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As filed with the Securities and Exchange Commission on August 2, 2021.</w:t>
      </w:r>
    </w:p>
    <w:p>
      <w:pPr>
        <w:spacing w:after="0" w:line="26"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333-257975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75565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132080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AMENDMENT NO. 1</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TO</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S-1</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125730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Adagio Therapeutics, Inc.</w:t>
      </w:r>
    </w:p>
    <w:p>
      <w:pPr>
        <w:spacing w:after="0" w:line="1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140"/>
          </w:cols>
          <w:pgMar w:left="320" w:top="230" w:right="439" w:bottom="1440" w:gutter="0" w:footer="0" w:header="0"/>
        </w:sectPr>
      </w:pPr>
    </w:p>
    <w:p>
      <w:pPr>
        <w:spacing w:after="0" w:line="61" w:lineRule="exact"/>
        <w:rPr>
          <w:sz w:val="24"/>
          <w:szCs w:val="24"/>
          <w:color w:val="auto"/>
        </w:rPr>
      </w:pPr>
    </w:p>
    <w:p>
      <w:pPr>
        <w:ind w:left="166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jc w:val="center"/>
        <w:ind w:right="2360"/>
        <w:spacing w:after="0"/>
        <w:rPr>
          <w:sz w:val="20"/>
          <w:szCs w:val="20"/>
          <w:color w:val="auto"/>
        </w:rPr>
      </w:pPr>
      <w:r>
        <w:rPr>
          <w:rFonts w:ascii="Arial" w:cs="Arial" w:eastAsia="Arial" w:hAnsi="Arial"/>
          <w:sz w:val="14"/>
          <w:szCs w:val="14"/>
          <w:b w:val="1"/>
          <w:bCs w:val="1"/>
          <w:color w:val="auto"/>
        </w:rPr>
        <w:t>2836</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85-1403134</w:t>
      </w:r>
    </w:p>
    <w:p>
      <w:pPr>
        <w:spacing w:after="0" w:line="47" w:lineRule="exact"/>
        <w:rPr>
          <w:sz w:val="24"/>
          <w:szCs w:val="24"/>
          <w:color w:val="auto"/>
        </w:rPr>
      </w:pPr>
    </w:p>
    <w:p>
      <w:pPr>
        <w:sectPr>
          <w:pgSz w:w="11900" w:h="16838" w:orient="portrait"/>
          <w:cols w:equalWidth="0" w:num="3">
            <w:col w:w="4860" w:space="720"/>
            <w:col w:w="2680" w:space="720"/>
            <w:col w:w="2160"/>
          </w:cols>
          <w:pgMar w:left="320" w:top="230" w:right="439" w:bottom="1440" w:gutter="0" w:footer="0" w:header="0"/>
          <w:type w:val="continuous"/>
        </w:sectPr>
      </w:pPr>
    </w:p>
    <w:p>
      <w:pPr>
        <w:ind w:left="1160"/>
        <w:spacing w:after="0"/>
        <w:rPr>
          <w:sz w:val="20"/>
          <w:szCs w:val="20"/>
          <w:color w:val="auto"/>
        </w:rPr>
      </w:pPr>
      <w:r>
        <w:rPr>
          <w:rFonts w:ascii="Arial" w:cs="Arial" w:eastAsia="Arial" w:hAnsi="Arial"/>
          <w:sz w:val="13"/>
          <w:szCs w:val="13"/>
          <w:color w:val="auto"/>
        </w:rPr>
        <w:t>(State or other jurisdiction of</w:t>
      </w:r>
    </w:p>
    <w:p>
      <w:pPr>
        <w:ind w:left="112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ind w:left="180"/>
        <w:spacing w:after="0"/>
        <w:rPr>
          <w:sz w:val="20"/>
          <w:szCs w:val="20"/>
          <w:color w:val="auto"/>
        </w:rPr>
      </w:pPr>
      <w:r>
        <w:rPr>
          <w:rFonts w:ascii="Arial" w:cs="Arial" w:eastAsia="Arial" w:hAnsi="Arial"/>
          <w:sz w:val="13"/>
          <w:szCs w:val="13"/>
          <w:color w:val="auto"/>
        </w:rPr>
        <w:t>(Primary Standard Industrial</w:t>
      </w:r>
    </w:p>
    <w:p>
      <w:pPr>
        <w:ind w:left="160"/>
        <w:spacing w:after="0"/>
        <w:rPr>
          <w:sz w:val="20"/>
          <w:szCs w:val="20"/>
          <w:color w:val="auto"/>
        </w:rPr>
      </w:pPr>
      <w:r>
        <w:rPr>
          <w:rFonts w:ascii="Arial" w:cs="Arial" w:eastAsia="Arial" w:hAnsi="Arial"/>
          <w:sz w:val="13"/>
          <w:szCs w:val="13"/>
          <w:color w:val="auto"/>
        </w:rPr>
        <w:t>Classification Code Number)</w:t>
      </w:r>
    </w:p>
    <w:p>
      <w:pPr>
        <w:spacing w:after="0"/>
        <w:rPr>
          <w:sz w:val="20"/>
          <w:szCs w:val="20"/>
          <w:color w:val="auto"/>
        </w:rPr>
      </w:pPr>
      <w:r>
        <w:rPr>
          <w:rFonts w:ascii="Arial" w:cs="Arial" w:eastAsia="Arial" w:hAnsi="Arial"/>
          <w:sz w:val="13"/>
          <w:szCs w:val="13"/>
          <w:b w:val="1"/>
          <w:bCs w:val="1"/>
          <w:color w:val="auto"/>
        </w:rPr>
        <w:t>303 Wyman Street, Suite 300</w:t>
      </w:r>
    </w:p>
    <w:p>
      <w:pPr>
        <w:ind w:left="240"/>
        <w:spacing w:after="0" w:line="221" w:lineRule="auto"/>
        <w:rPr>
          <w:sz w:val="20"/>
          <w:szCs w:val="20"/>
          <w:color w:val="auto"/>
        </w:rPr>
      </w:pPr>
      <w:r>
        <w:rPr>
          <w:rFonts w:ascii="Arial" w:cs="Arial" w:eastAsia="Arial" w:hAnsi="Arial"/>
          <w:sz w:val="14"/>
          <w:szCs w:val="14"/>
          <w:b w:val="1"/>
          <w:bCs w:val="1"/>
          <w:color w:val="auto"/>
        </w:rPr>
        <w:t>Waltham, MA 02451</w:t>
      </w:r>
    </w:p>
    <w:p>
      <w:pPr>
        <w:ind w:left="440"/>
        <w:spacing w:after="0"/>
        <w:rPr>
          <w:sz w:val="20"/>
          <w:szCs w:val="20"/>
          <w:color w:val="auto"/>
        </w:rPr>
      </w:pPr>
      <w:r>
        <w:rPr>
          <w:rFonts w:ascii="Arial" w:cs="Arial" w:eastAsia="Arial" w:hAnsi="Arial"/>
          <w:sz w:val="14"/>
          <w:szCs w:val="14"/>
          <w:b w:val="1"/>
          <w:bCs w:val="1"/>
          <w:color w:val="auto"/>
        </w:rPr>
        <w:t>(603) 252-2274</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3"/>
          <w:szCs w:val="13"/>
          <w:color w:val="auto"/>
        </w:rPr>
        <w:t>(I.R.S. Employer</w:t>
      </w:r>
    </w:p>
    <w:p>
      <w:pPr>
        <w:spacing w:after="0"/>
        <w:rPr>
          <w:sz w:val="20"/>
          <w:szCs w:val="20"/>
          <w:color w:val="auto"/>
        </w:rPr>
      </w:pPr>
      <w:r>
        <w:rPr>
          <w:rFonts w:ascii="Arial" w:cs="Arial" w:eastAsia="Arial" w:hAnsi="Arial"/>
          <w:sz w:val="13"/>
          <w:szCs w:val="13"/>
          <w:color w:val="auto"/>
        </w:rPr>
        <w:t>Identification No.)</w:t>
      </w:r>
    </w:p>
    <w:p>
      <w:pPr>
        <w:spacing w:after="0" w:line="457" w:lineRule="exact"/>
        <w:rPr>
          <w:sz w:val="24"/>
          <w:szCs w:val="24"/>
          <w:color w:val="auto"/>
        </w:rPr>
      </w:pPr>
    </w:p>
    <w:p>
      <w:pPr>
        <w:sectPr>
          <w:pgSz w:w="11900" w:h="16838" w:orient="portrait"/>
          <w:cols w:equalWidth="0" w:num="3">
            <w:col w:w="4020" w:space="720"/>
            <w:col w:w="3380" w:space="720"/>
            <w:col w:w="2300"/>
          </w:cols>
          <w:pgMar w:left="320" w:top="230" w:right="439" w:bottom="1440" w:gutter="0" w:footer="0" w:header="0"/>
          <w:type w:val="continuous"/>
        </w:sectPr>
      </w:pPr>
    </w:p>
    <w:p>
      <w:pPr>
        <w:jc w:val="center"/>
        <w:ind w:right="-119"/>
        <w:spacing w:after="0" w:line="235" w:lineRule="auto"/>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110490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Tillman U. Gerngross</w:t>
      </w:r>
    </w:p>
    <w:p>
      <w:pPr>
        <w:jc w:val="center"/>
        <w:ind w:right="-119"/>
        <w:spacing w:after="0" w:line="226" w:lineRule="auto"/>
        <w:rPr>
          <w:sz w:val="20"/>
          <w:szCs w:val="20"/>
          <w:color w:val="auto"/>
        </w:rPr>
      </w:pPr>
      <w:r>
        <w:rPr>
          <w:rFonts w:ascii="Arial" w:cs="Arial" w:eastAsia="Arial" w:hAnsi="Arial"/>
          <w:sz w:val="14"/>
          <w:szCs w:val="14"/>
          <w:b w:val="1"/>
          <w:bCs w:val="1"/>
          <w:color w:val="auto"/>
        </w:rPr>
        <w:t>Chief Executive Officer</w:t>
      </w:r>
    </w:p>
    <w:p>
      <w:pPr>
        <w:jc w:val="center"/>
        <w:ind w:right="-119"/>
        <w:spacing w:after="0" w:line="221" w:lineRule="auto"/>
        <w:rPr>
          <w:sz w:val="20"/>
          <w:szCs w:val="20"/>
          <w:color w:val="auto"/>
        </w:rPr>
      </w:pPr>
      <w:r>
        <w:rPr>
          <w:rFonts w:ascii="Arial" w:cs="Arial" w:eastAsia="Arial" w:hAnsi="Arial"/>
          <w:sz w:val="14"/>
          <w:szCs w:val="14"/>
          <w:b w:val="1"/>
          <w:bCs w:val="1"/>
          <w:color w:val="auto"/>
        </w:rPr>
        <w:t>Adagio Therapeutics, Inc.</w:t>
      </w:r>
    </w:p>
    <w:p>
      <w:pPr>
        <w:jc w:val="center"/>
        <w:ind w:right="-119"/>
        <w:spacing w:after="0" w:line="222" w:lineRule="auto"/>
        <w:rPr>
          <w:sz w:val="20"/>
          <w:szCs w:val="20"/>
          <w:color w:val="auto"/>
        </w:rPr>
      </w:pPr>
      <w:r>
        <w:rPr>
          <w:rFonts w:ascii="Arial" w:cs="Arial" w:eastAsia="Arial" w:hAnsi="Arial"/>
          <w:sz w:val="14"/>
          <w:szCs w:val="14"/>
          <w:b w:val="1"/>
          <w:bCs w:val="1"/>
          <w:color w:val="auto"/>
        </w:rPr>
        <w:t>303 Wyman Street, Suite 300</w:t>
      </w:r>
    </w:p>
    <w:p>
      <w:pPr>
        <w:jc w:val="center"/>
        <w:ind w:right="-119"/>
        <w:spacing w:after="0" w:line="221" w:lineRule="auto"/>
        <w:rPr>
          <w:sz w:val="20"/>
          <w:szCs w:val="20"/>
          <w:color w:val="auto"/>
        </w:rPr>
      </w:pPr>
      <w:r>
        <w:rPr>
          <w:rFonts w:ascii="Arial" w:cs="Arial" w:eastAsia="Arial" w:hAnsi="Arial"/>
          <w:sz w:val="14"/>
          <w:szCs w:val="14"/>
          <w:b w:val="1"/>
          <w:bCs w:val="1"/>
          <w:color w:val="auto"/>
        </w:rPr>
        <w:t>Waltham, MA 02451</w:t>
      </w:r>
    </w:p>
    <w:p>
      <w:pPr>
        <w:jc w:val="center"/>
        <w:ind w:right="-119"/>
        <w:spacing w:after="0" w:line="222" w:lineRule="auto"/>
        <w:rPr>
          <w:sz w:val="20"/>
          <w:szCs w:val="20"/>
          <w:color w:val="auto"/>
        </w:rPr>
      </w:pPr>
      <w:r>
        <w:rPr>
          <w:rFonts w:ascii="Arial" w:cs="Arial" w:eastAsia="Arial" w:hAnsi="Arial"/>
          <w:sz w:val="14"/>
          <w:szCs w:val="14"/>
          <w:b w:val="1"/>
          <w:bCs w:val="1"/>
          <w:color w:val="auto"/>
        </w:rPr>
        <w:t>(603) 252-2274</w:t>
      </w:r>
    </w:p>
    <w:p>
      <w:pPr>
        <w:jc w:val="center"/>
        <w:ind w:right="-11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125095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9" w:lineRule="exact"/>
        <w:rPr>
          <w:sz w:val="24"/>
          <w:szCs w:val="24"/>
          <w:color w:val="auto"/>
        </w:rPr>
      </w:pPr>
    </w:p>
    <w:tbl>
      <w:tblPr>
        <w:tblLayout w:type="fixed"/>
        <w:tblInd w:w="2060" w:type="dxa"/>
        <w:tblCellMar>
          <w:top w:w="0" w:type="dxa"/>
          <w:left w:w="0" w:type="dxa"/>
          <w:bottom w:w="0" w:type="dxa"/>
          <w:right w:w="0" w:type="dxa"/>
        </w:tblCellMar>
      </w:tblPr>
      <w:tr>
        <w:trPr>
          <w:trHeight w:val="182"/>
        </w:trPr>
        <w:tc>
          <w:tcPr>
            <w:tcW w:w="2480" w:type="dxa"/>
            <w:vAlign w:val="bottom"/>
          </w:tcPr>
          <w:p>
            <w:pPr>
              <w:spacing w:after="0"/>
              <w:rPr>
                <w:sz w:val="15"/>
                <w:szCs w:val="15"/>
                <w:color w:val="auto"/>
              </w:rPr>
            </w:pPr>
          </w:p>
        </w:tc>
        <w:tc>
          <w:tcPr>
            <w:tcW w:w="4800" w:type="dxa"/>
            <w:vAlign w:val="bottom"/>
          </w:tcPr>
          <w:p>
            <w:pPr>
              <w:ind w:left="780"/>
              <w:spacing w:after="0"/>
              <w:rPr>
                <w:sz w:val="20"/>
                <w:szCs w:val="20"/>
                <w:color w:val="auto"/>
              </w:rPr>
            </w:pPr>
            <w:r>
              <w:rPr>
                <w:rFonts w:ascii="Arial" w:cs="Arial" w:eastAsia="Arial" w:hAnsi="Arial"/>
                <w:sz w:val="14"/>
                <w:szCs w:val="14"/>
                <w:i w:val="1"/>
                <w:iCs w:val="1"/>
                <w:color w:val="auto"/>
              </w:rPr>
              <w:t>Copies to:</w:t>
            </w:r>
          </w:p>
        </w:tc>
      </w:tr>
      <w:tr>
        <w:trPr>
          <w:trHeight w:val="192"/>
        </w:trPr>
        <w:tc>
          <w:tcPr>
            <w:tcW w:w="2480" w:type="dxa"/>
            <w:vAlign w:val="bottom"/>
          </w:tcPr>
          <w:p>
            <w:pPr>
              <w:jc w:val="center"/>
              <w:ind w:right="728"/>
              <w:spacing w:after="0"/>
              <w:rPr>
                <w:sz w:val="20"/>
                <w:szCs w:val="20"/>
                <w:color w:val="auto"/>
              </w:rPr>
            </w:pPr>
            <w:r>
              <w:rPr>
                <w:rFonts w:ascii="Arial" w:cs="Arial" w:eastAsia="Arial" w:hAnsi="Arial"/>
                <w:sz w:val="14"/>
                <w:szCs w:val="14"/>
                <w:b w:val="1"/>
                <w:bCs w:val="1"/>
                <w:color w:val="auto"/>
                <w:w w:val="96"/>
              </w:rPr>
              <w:t>Divakar Gupta</w:t>
            </w:r>
          </w:p>
        </w:tc>
        <w:tc>
          <w:tcPr>
            <w:tcW w:w="4800" w:type="dxa"/>
            <w:vAlign w:val="bottom"/>
          </w:tcPr>
          <w:p>
            <w:pPr>
              <w:jc w:val="center"/>
              <w:ind w:left="2968"/>
              <w:spacing w:after="0"/>
              <w:rPr>
                <w:sz w:val="20"/>
                <w:szCs w:val="20"/>
                <w:color w:val="auto"/>
              </w:rPr>
            </w:pPr>
            <w:r>
              <w:rPr>
                <w:rFonts w:ascii="Arial" w:cs="Arial" w:eastAsia="Arial" w:hAnsi="Arial"/>
                <w:sz w:val="14"/>
                <w:szCs w:val="14"/>
                <w:b w:val="1"/>
                <w:bCs w:val="1"/>
                <w:color w:val="auto"/>
                <w:w w:val="94"/>
              </w:rPr>
              <w:t>Richard D. Truesdell, Jr.</w:t>
            </w:r>
          </w:p>
        </w:tc>
      </w:tr>
      <w:tr>
        <w:trPr>
          <w:trHeight w:val="148"/>
        </w:trPr>
        <w:tc>
          <w:tcPr>
            <w:tcW w:w="2480" w:type="dxa"/>
            <w:vAlign w:val="bottom"/>
          </w:tcPr>
          <w:p>
            <w:pPr>
              <w:jc w:val="center"/>
              <w:ind w:right="728"/>
              <w:spacing w:after="0" w:line="149" w:lineRule="exact"/>
              <w:rPr>
                <w:sz w:val="20"/>
                <w:szCs w:val="20"/>
                <w:color w:val="auto"/>
              </w:rPr>
            </w:pPr>
            <w:r>
              <w:rPr>
                <w:rFonts w:ascii="Arial" w:cs="Arial" w:eastAsia="Arial" w:hAnsi="Arial"/>
                <w:sz w:val="14"/>
                <w:szCs w:val="14"/>
                <w:b w:val="1"/>
                <w:bCs w:val="1"/>
                <w:color w:val="auto"/>
                <w:w w:val="90"/>
              </w:rPr>
              <w:t>Ryan Sansom</w:t>
            </w:r>
          </w:p>
        </w:tc>
        <w:tc>
          <w:tcPr>
            <w:tcW w:w="4800" w:type="dxa"/>
            <w:vAlign w:val="bottom"/>
          </w:tcPr>
          <w:p>
            <w:pPr>
              <w:jc w:val="center"/>
              <w:ind w:left="2968"/>
              <w:spacing w:after="0" w:line="149" w:lineRule="exact"/>
              <w:rPr>
                <w:sz w:val="20"/>
                <w:szCs w:val="20"/>
                <w:color w:val="auto"/>
              </w:rPr>
            </w:pPr>
            <w:r>
              <w:rPr>
                <w:rFonts w:ascii="Arial" w:cs="Arial" w:eastAsia="Arial" w:hAnsi="Arial"/>
                <w:sz w:val="14"/>
                <w:szCs w:val="14"/>
                <w:b w:val="1"/>
                <w:bCs w:val="1"/>
                <w:color w:val="auto"/>
                <w:w w:val="93"/>
              </w:rPr>
              <w:t>Roshni Banker Cariello</w:t>
            </w:r>
          </w:p>
        </w:tc>
      </w:tr>
      <w:tr>
        <w:trPr>
          <w:trHeight w:val="149"/>
        </w:trPr>
        <w:tc>
          <w:tcPr>
            <w:tcW w:w="2480" w:type="dxa"/>
            <w:vAlign w:val="bottom"/>
          </w:tcPr>
          <w:p>
            <w:pPr>
              <w:jc w:val="center"/>
              <w:ind w:right="728"/>
              <w:spacing w:after="0" w:line="149" w:lineRule="exact"/>
              <w:rPr>
                <w:sz w:val="20"/>
                <w:szCs w:val="20"/>
                <w:color w:val="auto"/>
              </w:rPr>
            </w:pPr>
            <w:r>
              <w:rPr>
                <w:rFonts w:ascii="Arial" w:cs="Arial" w:eastAsia="Arial" w:hAnsi="Arial"/>
                <w:sz w:val="14"/>
                <w:szCs w:val="14"/>
                <w:b w:val="1"/>
                <w:bCs w:val="1"/>
                <w:color w:val="auto"/>
                <w:w w:val="93"/>
              </w:rPr>
              <w:t>Courtney M.W. Tygesson</w:t>
            </w:r>
          </w:p>
        </w:tc>
        <w:tc>
          <w:tcPr>
            <w:tcW w:w="4800" w:type="dxa"/>
            <w:vAlign w:val="bottom"/>
          </w:tcPr>
          <w:p>
            <w:pPr>
              <w:jc w:val="center"/>
              <w:ind w:left="2968"/>
              <w:spacing w:after="0" w:line="149" w:lineRule="exact"/>
              <w:rPr>
                <w:sz w:val="20"/>
                <w:szCs w:val="20"/>
                <w:color w:val="auto"/>
              </w:rPr>
            </w:pPr>
            <w:r>
              <w:rPr>
                <w:rFonts w:ascii="Arial" w:cs="Arial" w:eastAsia="Arial" w:hAnsi="Arial"/>
                <w:sz w:val="14"/>
                <w:szCs w:val="14"/>
                <w:b w:val="1"/>
                <w:bCs w:val="1"/>
                <w:color w:val="auto"/>
                <w:w w:val="97"/>
              </w:rPr>
              <w:t>Davis Polk &amp; Wardwell LLP</w:t>
            </w:r>
          </w:p>
        </w:tc>
      </w:tr>
      <w:tr>
        <w:trPr>
          <w:trHeight w:val="148"/>
        </w:trPr>
        <w:tc>
          <w:tcPr>
            <w:tcW w:w="2480" w:type="dxa"/>
            <w:vAlign w:val="bottom"/>
          </w:tcPr>
          <w:p>
            <w:pPr>
              <w:jc w:val="center"/>
              <w:ind w:right="748"/>
              <w:spacing w:after="0" w:line="149" w:lineRule="exact"/>
              <w:rPr>
                <w:sz w:val="20"/>
                <w:szCs w:val="20"/>
                <w:color w:val="auto"/>
              </w:rPr>
            </w:pPr>
            <w:r>
              <w:rPr>
                <w:rFonts w:ascii="Arial" w:cs="Arial" w:eastAsia="Arial" w:hAnsi="Arial"/>
                <w:sz w:val="14"/>
                <w:szCs w:val="14"/>
                <w:b w:val="1"/>
                <w:bCs w:val="1"/>
                <w:color w:val="auto"/>
                <w:w w:val="96"/>
              </w:rPr>
              <w:t>Cooley LLP</w:t>
            </w:r>
          </w:p>
        </w:tc>
        <w:tc>
          <w:tcPr>
            <w:tcW w:w="4800" w:type="dxa"/>
            <w:vAlign w:val="bottom"/>
          </w:tcPr>
          <w:p>
            <w:pPr>
              <w:jc w:val="center"/>
              <w:ind w:left="2968"/>
              <w:spacing w:after="0" w:line="149" w:lineRule="exact"/>
              <w:rPr>
                <w:sz w:val="20"/>
                <w:szCs w:val="20"/>
                <w:color w:val="auto"/>
              </w:rPr>
            </w:pPr>
            <w:r>
              <w:rPr>
                <w:rFonts w:ascii="Arial" w:cs="Arial" w:eastAsia="Arial" w:hAnsi="Arial"/>
                <w:sz w:val="14"/>
                <w:szCs w:val="14"/>
                <w:b w:val="1"/>
                <w:bCs w:val="1"/>
                <w:color w:val="auto"/>
                <w:w w:val="91"/>
              </w:rPr>
              <w:t>450 Lexington Avenue</w:t>
            </w:r>
          </w:p>
        </w:tc>
      </w:tr>
      <w:tr>
        <w:trPr>
          <w:trHeight w:val="148"/>
        </w:trPr>
        <w:tc>
          <w:tcPr>
            <w:tcW w:w="2480" w:type="dxa"/>
            <w:vAlign w:val="bottom"/>
          </w:tcPr>
          <w:p>
            <w:pPr>
              <w:jc w:val="center"/>
              <w:ind w:right="748"/>
              <w:spacing w:after="0" w:line="149" w:lineRule="exact"/>
              <w:rPr>
                <w:sz w:val="20"/>
                <w:szCs w:val="20"/>
                <w:color w:val="auto"/>
              </w:rPr>
            </w:pPr>
            <w:r>
              <w:rPr>
                <w:rFonts w:ascii="Arial" w:cs="Arial" w:eastAsia="Arial" w:hAnsi="Arial"/>
                <w:sz w:val="14"/>
                <w:szCs w:val="14"/>
                <w:b w:val="1"/>
                <w:bCs w:val="1"/>
                <w:color w:val="auto"/>
                <w:w w:val="92"/>
              </w:rPr>
              <w:t>55 Hudson Yards</w:t>
            </w:r>
          </w:p>
        </w:tc>
        <w:tc>
          <w:tcPr>
            <w:tcW w:w="4800" w:type="dxa"/>
            <w:vAlign w:val="bottom"/>
          </w:tcPr>
          <w:p>
            <w:pPr>
              <w:jc w:val="center"/>
              <w:ind w:left="2968"/>
              <w:spacing w:after="0" w:line="149" w:lineRule="exact"/>
              <w:rPr>
                <w:sz w:val="20"/>
                <w:szCs w:val="20"/>
                <w:color w:val="auto"/>
              </w:rPr>
            </w:pPr>
            <w:r>
              <w:rPr>
                <w:rFonts w:ascii="Arial" w:cs="Arial" w:eastAsia="Arial" w:hAnsi="Arial"/>
                <w:sz w:val="14"/>
                <w:szCs w:val="14"/>
                <w:b w:val="1"/>
                <w:bCs w:val="1"/>
                <w:color w:val="auto"/>
                <w:w w:val="94"/>
              </w:rPr>
              <w:t>New York, New York 10017</w:t>
            </w:r>
          </w:p>
        </w:tc>
      </w:tr>
      <w:tr>
        <w:trPr>
          <w:trHeight w:val="149"/>
        </w:trPr>
        <w:tc>
          <w:tcPr>
            <w:tcW w:w="2480" w:type="dxa"/>
            <w:vAlign w:val="bottom"/>
          </w:tcPr>
          <w:p>
            <w:pPr>
              <w:jc w:val="center"/>
              <w:ind w:right="728"/>
              <w:spacing w:after="0" w:line="149" w:lineRule="exact"/>
              <w:rPr>
                <w:sz w:val="20"/>
                <w:szCs w:val="20"/>
                <w:color w:val="auto"/>
              </w:rPr>
            </w:pPr>
            <w:r>
              <w:rPr>
                <w:rFonts w:ascii="Arial" w:cs="Arial" w:eastAsia="Arial" w:hAnsi="Arial"/>
                <w:sz w:val="14"/>
                <w:szCs w:val="14"/>
                <w:b w:val="1"/>
                <w:bCs w:val="1"/>
                <w:color w:val="auto"/>
                <w:w w:val="94"/>
              </w:rPr>
              <w:t>New York, New York 10001</w:t>
            </w:r>
          </w:p>
        </w:tc>
        <w:tc>
          <w:tcPr>
            <w:tcW w:w="4800" w:type="dxa"/>
            <w:vAlign w:val="bottom"/>
          </w:tcPr>
          <w:p>
            <w:pPr>
              <w:jc w:val="center"/>
              <w:ind w:left="2948"/>
              <w:spacing w:after="0" w:line="149" w:lineRule="exact"/>
              <w:rPr>
                <w:sz w:val="20"/>
                <w:szCs w:val="20"/>
                <w:color w:val="auto"/>
              </w:rPr>
            </w:pPr>
            <w:r>
              <w:rPr>
                <w:rFonts w:ascii="Arial" w:cs="Arial" w:eastAsia="Arial" w:hAnsi="Arial"/>
                <w:sz w:val="14"/>
                <w:szCs w:val="14"/>
                <w:b w:val="1"/>
                <w:bCs w:val="1"/>
                <w:color w:val="auto"/>
                <w:w w:val="93"/>
              </w:rPr>
              <w:t>(212) 450-4000</w:t>
            </w:r>
          </w:p>
        </w:tc>
      </w:tr>
      <w:tr>
        <w:trPr>
          <w:trHeight w:val="186"/>
        </w:trPr>
        <w:tc>
          <w:tcPr>
            <w:tcW w:w="2480" w:type="dxa"/>
            <w:vAlign w:val="bottom"/>
          </w:tcPr>
          <w:p>
            <w:pPr>
              <w:jc w:val="center"/>
              <w:ind w:right="748"/>
              <w:spacing w:after="0"/>
              <w:rPr>
                <w:sz w:val="20"/>
                <w:szCs w:val="20"/>
                <w:color w:val="auto"/>
              </w:rPr>
            </w:pPr>
            <w:r>
              <w:rPr>
                <w:rFonts w:ascii="Arial" w:cs="Arial" w:eastAsia="Arial" w:hAnsi="Arial"/>
                <w:sz w:val="14"/>
                <w:szCs w:val="14"/>
                <w:b w:val="1"/>
                <w:bCs w:val="1"/>
                <w:color w:val="auto"/>
                <w:w w:val="93"/>
              </w:rPr>
              <w:t>(212) 479-6000</w:t>
            </w:r>
          </w:p>
        </w:tc>
        <w:tc>
          <w:tcPr>
            <w:tcW w:w="48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118745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9" w:lineRule="exact"/>
        <w:rPr>
          <w:sz w:val="24"/>
          <w:szCs w:val="24"/>
          <w:color w:val="auto"/>
        </w:rPr>
      </w:pPr>
    </w:p>
    <w:p>
      <w:pPr>
        <w:ind w:left="5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is declared effective.</w:t>
      </w:r>
    </w:p>
    <w:p>
      <w:pPr>
        <w:spacing w:after="0" w:line="59" w:lineRule="exact"/>
        <w:rPr>
          <w:sz w:val="24"/>
          <w:szCs w:val="24"/>
          <w:color w:val="auto"/>
        </w:rPr>
      </w:pPr>
    </w:p>
    <w:p>
      <w:pPr>
        <w:ind w:left="120" w:right="20" w:firstLine="44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20" w:firstLine="4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5" w:lineRule="exact"/>
        <w:rPr>
          <w:sz w:val="24"/>
          <w:szCs w:val="24"/>
          <w:color w:val="auto"/>
        </w:rPr>
      </w:pPr>
    </w:p>
    <w:p>
      <w:pPr>
        <w:ind w:left="120" w:right="2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2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20" w:firstLine="4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tbl>
      <w:tblPr>
        <w:tblLayout w:type="fixed"/>
        <w:tblInd w:w="120" w:type="dxa"/>
        <w:tblCellMar>
          <w:top w:w="0" w:type="dxa"/>
          <w:left w:w="0" w:type="dxa"/>
          <w:bottom w:w="0" w:type="dxa"/>
          <w:right w:w="0" w:type="dxa"/>
        </w:tblCellMar>
      </w:tblPr>
      <w:tr>
        <w:trPr>
          <w:trHeight w:val="181"/>
        </w:trPr>
        <w:tc>
          <w:tcPr>
            <w:tcW w:w="15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300"/>
              <w:spacing w:after="0"/>
              <w:rPr>
                <w:sz w:val="20"/>
                <w:szCs w:val="20"/>
                <w:color w:val="auto"/>
              </w:rPr>
            </w:pPr>
            <w:r>
              <w:rPr>
                <w:rFonts w:ascii="Arial" w:cs="Arial" w:eastAsia="Arial" w:hAnsi="Arial"/>
                <w:sz w:val="14"/>
                <w:szCs w:val="14"/>
                <w:color w:val="auto"/>
              </w:rPr>
              <w:t>Accelerated filer</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6"/>
        </w:trPr>
        <w:tc>
          <w:tcPr>
            <w:tcW w:w="1580" w:type="dxa"/>
            <w:vAlign w:val="bottom"/>
          </w:tcPr>
          <w:p>
            <w:pPr>
              <w:spacing w:after="0"/>
              <w:rPr>
                <w:sz w:val="20"/>
                <w:szCs w:val="20"/>
                <w:color w:val="auto"/>
              </w:rPr>
            </w:pPr>
            <w:r>
              <w:rPr>
                <w:rFonts w:ascii="Arial" w:cs="Arial" w:eastAsia="Arial" w:hAnsi="Arial"/>
                <w:sz w:val="14"/>
                <w:szCs w:val="14"/>
                <w:color w:val="auto"/>
              </w:rPr>
              <w:t>Non-accelerated filer</w:t>
            </w:r>
          </w:p>
        </w:tc>
        <w:tc>
          <w:tcPr>
            <w:tcW w:w="37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300"/>
              <w:spacing w:after="0"/>
              <w:rPr>
                <w:sz w:val="20"/>
                <w:szCs w:val="20"/>
                <w:color w:val="auto"/>
              </w:rPr>
            </w:pPr>
            <w:r>
              <w:rPr>
                <w:rFonts w:ascii="Arial" w:cs="Arial" w:eastAsia="Arial" w:hAnsi="Arial"/>
                <w:sz w:val="14"/>
                <w:szCs w:val="14"/>
                <w:color w:val="auto"/>
              </w:rPr>
              <w:t>Smaller reporting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5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5180" w:type="dxa"/>
            <w:vAlign w:val="bottom"/>
          </w:tcPr>
          <w:p>
            <w:pPr>
              <w:ind w:left="3300"/>
              <w:spacing w:after="0"/>
              <w:rPr>
                <w:sz w:val="20"/>
                <w:szCs w:val="20"/>
                <w:color w:val="auto"/>
              </w:rPr>
            </w:pPr>
            <w:r>
              <w:rPr>
                <w:rFonts w:ascii="Arial" w:cs="Arial" w:eastAsia="Arial" w:hAnsi="Arial"/>
                <w:sz w:val="14"/>
                <w:szCs w:val="14"/>
                <w:color w:val="auto"/>
              </w:rPr>
              <w:t>Emerging growth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9" w:lineRule="exact"/>
        <w:rPr>
          <w:sz w:val="24"/>
          <w:szCs w:val="24"/>
          <w:color w:val="auto"/>
        </w:rPr>
      </w:pPr>
    </w:p>
    <w:p>
      <w:pPr>
        <w:ind w:left="120" w:right="2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109220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0"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71"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356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3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880" w:type="dxa"/>
            <w:vAlign w:val="bottom"/>
            <w:tcBorders>
              <w:right w:val="single" w:sz="8" w:color="auto"/>
            </w:tcBorders>
            <w:vMerge w:val="restart"/>
          </w:tcPr>
          <w:p>
            <w:pPr>
              <w:jc w:val="center"/>
              <w:ind w:left="5"/>
              <w:spacing w:after="0"/>
              <w:rPr>
                <w:sz w:val="20"/>
                <w:szCs w:val="20"/>
                <w:color w:val="auto"/>
              </w:rPr>
            </w:pPr>
            <w:r>
              <w:rPr>
                <w:rFonts w:ascii="Arial" w:cs="Arial" w:eastAsia="Arial" w:hAnsi="Arial"/>
                <w:sz w:val="14"/>
                <w:szCs w:val="14"/>
                <w:b w:val="1"/>
                <w:bCs w:val="1"/>
                <w:color w:val="auto"/>
                <w:w w:val="93"/>
              </w:rPr>
              <w:t>Amount to be</w:t>
            </w:r>
          </w:p>
        </w:tc>
        <w:tc>
          <w:tcPr>
            <w:tcW w:w="1860" w:type="dxa"/>
            <w:vAlign w:val="bottom"/>
            <w:tcBorders>
              <w:right w:val="single" w:sz="8" w:color="auto"/>
            </w:tcBorders>
          </w:tcPr>
          <w:p>
            <w:pPr>
              <w:jc w:val="center"/>
              <w:ind w:left="8"/>
              <w:spacing w:after="0" w:line="106" w:lineRule="exact"/>
              <w:rPr>
                <w:sz w:val="20"/>
                <w:szCs w:val="20"/>
                <w:color w:val="auto"/>
              </w:rPr>
            </w:pPr>
            <w:r>
              <w:rPr>
                <w:rFonts w:ascii="Arial" w:cs="Arial" w:eastAsia="Arial" w:hAnsi="Arial"/>
                <w:sz w:val="12"/>
                <w:szCs w:val="12"/>
                <w:b w:val="1"/>
                <w:bCs w:val="1"/>
                <w:color w:val="auto"/>
              </w:rPr>
              <w:t>Proposed maximum</w:t>
            </w:r>
          </w:p>
        </w:tc>
        <w:tc>
          <w:tcPr>
            <w:tcW w:w="1860" w:type="dxa"/>
            <w:vAlign w:val="bottom"/>
            <w:tcBorders>
              <w:right w:val="single" w:sz="8" w:color="auto"/>
            </w:tcBorders>
          </w:tcPr>
          <w:p>
            <w:pPr>
              <w:jc w:val="center"/>
              <w:ind w:left="8"/>
              <w:spacing w:after="0" w:line="106" w:lineRule="exact"/>
              <w:rPr>
                <w:sz w:val="20"/>
                <w:szCs w:val="20"/>
                <w:color w:val="auto"/>
              </w:rPr>
            </w:pPr>
            <w:r>
              <w:rPr>
                <w:rFonts w:ascii="Arial" w:cs="Arial" w:eastAsia="Arial" w:hAnsi="Arial"/>
                <w:sz w:val="12"/>
                <w:szCs w:val="12"/>
                <w:b w:val="1"/>
                <w:bCs w:val="1"/>
                <w:color w:val="auto"/>
              </w:rPr>
              <w:t>Proposed maximum</w:t>
            </w:r>
          </w:p>
        </w:tc>
        <w:tc>
          <w:tcPr>
            <w:tcW w:w="1860" w:type="dxa"/>
            <w:vAlign w:val="bottom"/>
            <w:vMerge w:val="restart"/>
          </w:tcPr>
          <w:p>
            <w:pPr>
              <w:jc w:val="center"/>
              <w:ind w:left="5"/>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3560" w:type="dxa"/>
            <w:vAlign w:val="bottom"/>
            <w:tcBorders>
              <w:right w:val="single" w:sz="8" w:color="auto"/>
            </w:tcBorders>
            <w:vMerge w:val="continue"/>
          </w:tcPr>
          <w:p>
            <w:pPr>
              <w:spacing w:after="0"/>
              <w:rPr>
                <w:sz w:val="12"/>
                <w:szCs w:val="12"/>
                <w:color w:val="auto"/>
              </w:rPr>
            </w:pPr>
          </w:p>
        </w:tc>
        <w:tc>
          <w:tcPr>
            <w:tcW w:w="1880" w:type="dxa"/>
            <w:vAlign w:val="bottom"/>
            <w:tcBorders>
              <w:right w:val="single" w:sz="8" w:color="auto"/>
            </w:tcBorders>
            <w:vMerge w:val="continue"/>
          </w:tcPr>
          <w:p>
            <w:pPr>
              <w:spacing w:after="0"/>
              <w:rPr>
                <w:sz w:val="12"/>
                <w:szCs w:val="12"/>
                <w:color w:val="auto"/>
              </w:rPr>
            </w:pPr>
          </w:p>
        </w:tc>
        <w:tc>
          <w:tcPr>
            <w:tcW w:w="1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offering price per</w:t>
            </w:r>
          </w:p>
        </w:tc>
        <w:tc>
          <w:tcPr>
            <w:tcW w:w="186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86"/>
              </w:rPr>
              <w:t>aggregate</w:t>
            </w: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88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4"/>
                <w:szCs w:val="14"/>
                <w:b w:val="1"/>
                <w:bCs w:val="1"/>
                <w:color w:val="auto"/>
                <w:w w:val="90"/>
              </w:rPr>
              <w:t>registered (1)</w:t>
            </w:r>
          </w:p>
        </w:tc>
        <w:tc>
          <w:tcPr>
            <w:tcW w:w="186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0"/>
              </w:rPr>
              <w:t>share</w:t>
            </w:r>
          </w:p>
        </w:tc>
        <w:tc>
          <w:tcPr>
            <w:tcW w:w="1860" w:type="dxa"/>
            <w:vAlign w:val="bottom"/>
            <w:tcBorders>
              <w:bottom w:val="single" w:sz="8" w:color="auto"/>
              <w:right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4"/>
              </w:rPr>
              <w:t>offering price (2)</w:t>
            </w:r>
          </w:p>
        </w:tc>
        <w:tc>
          <w:tcPr>
            <w:tcW w:w="1860" w:type="dxa"/>
            <w:vAlign w:val="bottom"/>
            <w:tcBorders>
              <w:bottom w:val="single" w:sz="8" w:color="auto"/>
            </w:tcBorders>
          </w:tcPr>
          <w:p>
            <w:pPr>
              <w:jc w:val="center"/>
              <w:ind w:left="5"/>
              <w:spacing w:after="0"/>
              <w:rPr>
                <w:sz w:val="20"/>
                <w:szCs w:val="20"/>
                <w:color w:val="auto"/>
              </w:rPr>
            </w:pPr>
            <w:r>
              <w:rPr>
                <w:rFonts w:ascii="Arial" w:cs="Arial" w:eastAsia="Arial" w:hAnsi="Arial"/>
                <w:sz w:val="14"/>
                <w:szCs w:val="14"/>
                <w:b w:val="1"/>
                <w:bCs w:val="1"/>
                <w:color w:val="auto"/>
                <w:w w:val="93"/>
              </w:rPr>
              <w:t>registration fee (3)</w:t>
            </w:r>
          </w:p>
        </w:tc>
        <w:tc>
          <w:tcPr>
            <w:tcW w:w="0" w:type="dxa"/>
            <w:vAlign w:val="bottom"/>
          </w:tcPr>
          <w:p>
            <w:pPr>
              <w:spacing w:after="0"/>
              <w:rPr>
                <w:sz w:val="1"/>
                <w:szCs w:val="1"/>
                <w:color w:val="auto"/>
              </w:rPr>
            </w:pPr>
          </w:p>
        </w:tc>
      </w:tr>
      <w:tr>
        <w:trPr>
          <w:trHeight w:val="196"/>
        </w:trPr>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Common Stock, $0.0001 par value per share</w:t>
            </w:r>
          </w:p>
        </w:tc>
        <w:tc>
          <w:tcPr>
            <w:tcW w:w="188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6"/>
                <w:szCs w:val="16"/>
                <w:color w:val="auto"/>
                <w:w w:val="89"/>
              </w:rPr>
              <w:t>20,355,000</w:t>
            </w:r>
          </w:p>
        </w:tc>
        <w:tc>
          <w:tcPr>
            <w:tcW w:w="186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6"/>
                <w:szCs w:val="16"/>
                <w:color w:val="auto"/>
                <w:w w:val="93"/>
              </w:rPr>
              <w:t>$18.00</w:t>
            </w:r>
          </w:p>
        </w:tc>
        <w:tc>
          <w:tcPr>
            <w:tcW w:w="186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6"/>
                <w:szCs w:val="16"/>
                <w:color w:val="auto"/>
                <w:w w:val="91"/>
              </w:rPr>
              <w:t>$366,390,000</w:t>
            </w:r>
          </w:p>
        </w:tc>
        <w:tc>
          <w:tcPr>
            <w:tcW w:w="1860" w:type="dxa"/>
            <w:vAlign w:val="bottom"/>
            <w:tcBorders>
              <w:bottom w:val="single" w:sz="8" w:color="auto"/>
            </w:tcBorders>
          </w:tcPr>
          <w:p>
            <w:pPr>
              <w:jc w:val="center"/>
              <w:ind w:left="25"/>
              <w:spacing w:after="0"/>
              <w:rPr>
                <w:sz w:val="20"/>
                <w:szCs w:val="20"/>
                <w:color w:val="auto"/>
              </w:rPr>
            </w:pPr>
            <w:r>
              <w:rPr>
                <w:rFonts w:ascii="Arial" w:cs="Arial" w:eastAsia="Arial" w:hAnsi="Arial"/>
                <w:sz w:val="16"/>
                <w:szCs w:val="16"/>
                <w:color w:val="auto"/>
                <w:w w:val="89"/>
              </w:rPr>
              <w:t>$39,974.00</w:t>
            </w:r>
          </w:p>
        </w:tc>
        <w:tc>
          <w:tcPr>
            <w:tcW w:w="0" w:type="dxa"/>
            <w:vAlign w:val="bottom"/>
          </w:tcPr>
          <w:p>
            <w:pPr>
              <w:spacing w:after="0"/>
              <w:rPr>
                <w:sz w:val="1"/>
                <w:szCs w:val="1"/>
                <w:color w:val="auto"/>
              </w:rPr>
            </w:pP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hanging="424"/>
        <w:spacing w:after="0" w:line="231"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2,655,000 shares that the underwriters have the option to purchase.</w:t>
      </w:r>
    </w:p>
    <w:p>
      <w:pPr>
        <w:ind w:left="540" w:hanging="424"/>
        <w:spacing w:after="0" w:line="221"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457(a) under the Securities Act of 1933, as amended.</w:t>
      </w: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Of this amount, the registrant previously paid $10,910 in connection with the prior filing of this Registration Statement.</w:t>
      </w:r>
    </w:p>
    <w:p>
      <w:pPr>
        <w:spacing w:after="0" w:line="53" w:lineRule="exact"/>
        <w:rPr>
          <w:sz w:val="24"/>
          <w:szCs w:val="24"/>
          <w:color w:val="auto"/>
        </w:rPr>
      </w:pPr>
    </w:p>
    <w:p>
      <w:pPr>
        <w:jc w:val="both"/>
        <w:ind w:left="120" w:right="20" w:firstLine="440"/>
        <w:spacing w:after="0"/>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50800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93345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120"/>
        <w:spacing w:after="0" w:line="243" w:lineRule="auto"/>
        <w:rPr>
          <w:sz w:val="20"/>
          <w:szCs w:val="20"/>
          <w:color w:val="auto"/>
        </w:rPr>
      </w:pPr>
      <w:r>
        <w:rPr>
          <w:rFonts w:ascii="Arial" w:cs="Arial" w:eastAsia="Arial" w:hAnsi="Arial"/>
          <w:sz w:val="15"/>
          <w:szCs w:val="15"/>
          <w:b w:val="1"/>
          <w:bCs w:val="1"/>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nor does it seek an offer to buy these securities in any jurisdiction where the offer or sale is not permitted.</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DE1A1E"/>
        </w:rPr>
        <w:t>SUBJECT TO COMPLETION</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DE1A1E"/>
        </w:rPr>
        <w:t>DATED AUGUST 2, 2021</w:t>
      </w: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32"/>
          <w:szCs w:val="32"/>
          <w:i w:val="1"/>
          <w:iCs w:val="1"/>
          <w:color w:val="auto"/>
        </w:rPr>
        <w:t>17,700,000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173355</wp:posOffset>
            </wp:positionV>
            <wp:extent cx="1388745" cy="377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8874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43"/>
          <w:szCs w:val="43"/>
          <w:i w:val="1"/>
          <w:iCs w:val="1"/>
          <w:color w:val="auto"/>
        </w:rPr>
        <w:t>Adagio Therapeutics, Inc.</w:t>
      </w: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22"/>
          <w:szCs w:val="22"/>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229870</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Adagio Therapeutics, Inc. is offering 17,700,000 shares of common stock. This is our initial public offering and no public market exists for our common stock. We anticipate that the initial public offering price will be between $16.00 and $18.00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203200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applied to list our common stock on The Nasdaq Global Market under the trading symbol “ADGI.”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246380</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as defined under U.S. federal securities laws and, as such, will be subject to reduced public company reporting requirements for this prospectus and future filings. See “Prospectus Summary—Implications of Being an Emerging Growth Company and a 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211455</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120"/>
        <w:spacing w:after="0"/>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Investing in our common stock involves risks. See “</w:t>
      </w:r>
      <w:hyperlink w:anchor="page16">
        <w:r>
          <w:rPr>
            <w:rFonts w:ascii="Arial" w:cs="Arial" w:eastAsia="Arial" w:hAnsi="Arial"/>
            <w:sz w:val="21"/>
            <w:szCs w:val="21"/>
            <w:b w:val="1"/>
            <w:bCs w:val="1"/>
            <w:i w:val="1"/>
            <w:iCs w:val="1"/>
            <w:u w:val="single" w:color="auto"/>
            <w:color w:val="0000EE"/>
          </w:rPr>
          <w:t>Risk Factors</w:t>
        </w:r>
      </w:hyperlink>
      <w:r>
        <w:rPr>
          <w:rFonts w:ascii="Arial" w:cs="Arial" w:eastAsia="Arial" w:hAnsi="Arial"/>
          <w:sz w:val="21"/>
          <w:szCs w:val="21"/>
          <w:b w:val="1"/>
          <w:bCs w:val="1"/>
          <w:i w:val="1"/>
          <w:iCs w:val="1"/>
          <w:color w:val="auto"/>
        </w:rPr>
        <w:t>” beginning on page 13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9040" w:type="dxa"/>
            <w:vAlign w:val="bottom"/>
            <w:vMerge w:val="restart"/>
          </w:tcPr>
          <w:p>
            <w:pPr>
              <w:spacing w:after="0"/>
              <w:rPr>
                <w:sz w:val="20"/>
                <w:szCs w:val="20"/>
                <w:color w:val="auto"/>
              </w:rPr>
            </w:pPr>
            <w:r>
              <w:rPr>
                <w:rFonts w:ascii="Arial" w:cs="Arial" w:eastAsia="Arial" w:hAnsi="Arial"/>
                <w:sz w:val="18"/>
                <w:szCs w:val="18"/>
                <w:i w:val="1"/>
                <w:iCs w:val="1"/>
                <w:color w:val="auto"/>
              </w:rPr>
              <w:t>Initial Public Offering Price</w:t>
            </w:r>
          </w:p>
        </w:tc>
        <w:tc>
          <w:tcPr>
            <w:tcW w:w="600" w:type="dxa"/>
            <w:vAlign w:val="bottom"/>
          </w:tcPr>
          <w:p>
            <w:pPr>
              <w:jc w:val="right"/>
              <w:spacing w:after="0"/>
              <w:rPr>
                <w:sz w:val="20"/>
                <w:szCs w:val="20"/>
                <w:color w:val="auto"/>
              </w:rPr>
            </w:pPr>
            <w:r>
              <w:rPr>
                <w:rFonts w:ascii="Arial" w:cs="Arial" w:eastAsia="Arial" w:hAnsi="Arial"/>
                <w:sz w:val="14"/>
                <w:szCs w:val="14"/>
                <w:b w:val="1"/>
                <w:bCs w:val="1"/>
                <w:i w:val="1"/>
                <w:iCs w:val="1"/>
                <w:color w:val="auto"/>
                <w:w w:val="88"/>
              </w:rPr>
              <w:t>Per Share</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195"/>
        </w:trPr>
        <w:tc>
          <w:tcPr>
            <w:tcW w:w="9040" w:type="dxa"/>
            <w:vAlign w:val="bottom"/>
            <w:vMerge w:val="continue"/>
          </w:tcPr>
          <w:p>
            <w:pPr>
              <w:spacing w:after="0"/>
              <w:rPr>
                <w:sz w:val="16"/>
                <w:szCs w:val="16"/>
                <w:color w:val="auto"/>
              </w:rPr>
            </w:pPr>
          </w:p>
        </w:tc>
        <w:tc>
          <w:tcPr>
            <w:tcW w:w="600" w:type="dxa"/>
            <w:vAlign w:val="bottom"/>
            <w:tcBorders>
              <w:top w:val="single" w:sz="8" w:color="auto"/>
            </w:tcBorders>
          </w:tcPr>
          <w:p>
            <w:pPr>
              <w:jc w:val="right"/>
              <w:ind w:right="235"/>
              <w:spacing w:after="0" w:line="195" w:lineRule="exact"/>
              <w:rPr>
                <w:sz w:val="20"/>
                <w:szCs w:val="20"/>
                <w:color w:val="auto"/>
              </w:rPr>
            </w:pPr>
            <w:r>
              <w:rPr>
                <w:rFonts w:ascii="Arial" w:cs="Arial" w:eastAsia="Arial" w:hAnsi="Arial"/>
                <w:sz w:val="18"/>
                <w:szCs w:val="18"/>
                <w:i w:val="1"/>
                <w:iCs w:val="1"/>
                <w:color w:val="auto"/>
              </w:rPr>
              <w:t>$</w:t>
            </w:r>
          </w:p>
        </w:tc>
        <w:tc>
          <w:tcPr>
            <w:tcW w:w="880" w:type="dxa"/>
            <w:vAlign w:val="bottom"/>
          </w:tcPr>
          <w:p>
            <w:pPr>
              <w:spacing w:after="0"/>
              <w:rPr>
                <w:sz w:val="16"/>
                <w:szCs w:val="16"/>
                <w:color w:val="auto"/>
              </w:rPr>
            </w:pPr>
          </w:p>
        </w:tc>
        <w:tc>
          <w:tcPr>
            <w:tcW w:w="300" w:type="dxa"/>
            <w:vAlign w:val="bottom"/>
            <w:tcBorders>
              <w:top w:val="single" w:sz="8" w:color="auto"/>
            </w:tcBorders>
          </w:tcPr>
          <w:p>
            <w:pPr>
              <w:jc w:val="right"/>
              <w:ind w:right="189"/>
              <w:spacing w:after="0"/>
              <w:rPr>
                <w:sz w:val="20"/>
                <w:szCs w:val="20"/>
                <w:color w:val="auto"/>
              </w:rPr>
            </w:pPr>
            <w:r>
              <w:rPr>
                <w:rFonts w:ascii="Arial" w:cs="Arial" w:eastAsia="Arial" w:hAnsi="Arial"/>
                <w:sz w:val="10"/>
                <w:szCs w:val="10"/>
                <w:i w:val="1"/>
                <w:iCs w:val="1"/>
                <w:color w:val="auto"/>
                <w:w w:val="71"/>
              </w:rPr>
              <w:t>$</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i w:val="1"/>
                <w:iCs w:val="1"/>
                <w:color w:val="auto"/>
              </w:rPr>
              <w:t>Underwriting Discounts and Commissions (1)</w:t>
            </w:r>
          </w:p>
        </w:tc>
        <w:tc>
          <w:tcPr>
            <w:tcW w:w="600" w:type="dxa"/>
            <w:vAlign w:val="bottom"/>
          </w:tcPr>
          <w:p>
            <w:pPr>
              <w:jc w:val="right"/>
              <w:ind w:right="235"/>
              <w:spacing w:after="0"/>
              <w:rPr>
                <w:sz w:val="20"/>
                <w:szCs w:val="20"/>
                <w:color w:val="auto"/>
              </w:rPr>
            </w:pPr>
            <w:r>
              <w:rPr>
                <w:rFonts w:ascii="Arial" w:cs="Arial" w:eastAsia="Arial" w:hAnsi="Arial"/>
                <w:sz w:val="18"/>
                <w:szCs w:val="18"/>
                <w:i w:val="1"/>
                <w:iCs w:val="1"/>
                <w:color w:val="auto"/>
              </w:rPr>
              <w:t>$</w:t>
            </w:r>
          </w:p>
        </w:tc>
        <w:tc>
          <w:tcPr>
            <w:tcW w:w="1180" w:type="dxa"/>
            <w:vAlign w:val="bottom"/>
            <w:gridSpan w:val="2"/>
          </w:tcPr>
          <w:p>
            <w:pPr>
              <w:jc w:val="right"/>
              <w:ind w:right="189"/>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9040" w:type="dxa"/>
            <w:vAlign w:val="bottom"/>
          </w:tcPr>
          <w:p>
            <w:pPr>
              <w:spacing w:after="0"/>
              <w:rPr>
                <w:sz w:val="20"/>
                <w:szCs w:val="20"/>
                <w:color w:val="auto"/>
              </w:rPr>
            </w:pPr>
            <w:r>
              <w:rPr>
                <w:rFonts w:ascii="Arial" w:cs="Arial" w:eastAsia="Arial" w:hAnsi="Arial"/>
                <w:sz w:val="18"/>
                <w:szCs w:val="18"/>
                <w:i w:val="1"/>
                <w:iCs w:val="1"/>
                <w:color w:val="auto"/>
              </w:rPr>
              <w:t>Proceeds, before expenses, to us</w:t>
            </w:r>
          </w:p>
        </w:tc>
        <w:tc>
          <w:tcPr>
            <w:tcW w:w="600" w:type="dxa"/>
            <w:vAlign w:val="bottom"/>
          </w:tcPr>
          <w:p>
            <w:pPr>
              <w:jc w:val="right"/>
              <w:ind w:right="235"/>
              <w:spacing w:after="0"/>
              <w:rPr>
                <w:sz w:val="20"/>
                <w:szCs w:val="20"/>
                <w:color w:val="auto"/>
              </w:rPr>
            </w:pPr>
            <w:r>
              <w:rPr>
                <w:rFonts w:ascii="Arial" w:cs="Arial" w:eastAsia="Arial" w:hAnsi="Arial"/>
                <w:sz w:val="18"/>
                <w:szCs w:val="18"/>
                <w:i w:val="1"/>
                <w:iCs w:val="1"/>
                <w:color w:val="auto"/>
              </w:rPr>
              <w:t>$</w:t>
            </w:r>
          </w:p>
        </w:tc>
        <w:tc>
          <w:tcPr>
            <w:tcW w:w="1180" w:type="dxa"/>
            <w:vAlign w:val="bottom"/>
            <w:gridSpan w:val="2"/>
          </w:tcPr>
          <w:p>
            <w:pPr>
              <w:jc w:val="right"/>
              <w:ind w:right="189"/>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refer you to “Underwriting” for additional information regarding total underwriter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We have granted the underwriters an option for a period of 30 days to purchase up to an additional 2,655,000 shares of our common stock.</w:t>
      </w:r>
    </w:p>
    <w:p>
      <w:pPr>
        <w:spacing w:after="0" w:line="23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380" w:type="dxa"/>
            <w:vAlign w:val="bottom"/>
            <w:gridSpan w:val="5"/>
          </w:tcPr>
          <w:p>
            <w:pPr>
              <w:spacing w:after="0"/>
              <w:rPr>
                <w:sz w:val="20"/>
                <w:szCs w:val="20"/>
                <w:color w:val="auto"/>
              </w:rPr>
            </w:pPr>
            <w:r>
              <w:rPr>
                <w:rFonts w:ascii="Arial" w:cs="Arial" w:eastAsia="Arial" w:hAnsi="Arial"/>
                <w:sz w:val="18"/>
                <w:szCs w:val="18"/>
                <w:i w:val="1"/>
                <w:iCs w:val="1"/>
                <w:color w:val="auto"/>
                <w:w w:val="90"/>
              </w:rPr>
              <w:t>The underwriters expect to deliver the shares of common stock against payment in New York, New York on or about</w:t>
            </w:r>
          </w:p>
        </w:tc>
        <w:tc>
          <w:tcPr>
            <w:tcW w:w="2640" w:type="dxa"/>
            <w:vAlign w:val="bottom"/>
          </w:tcPr>
          <w:p>
            <w:pPr>
              <w:jc w:val="right"/>
              <w:ind w:right="1403"/>
              <w:spacing w:after="0"/>
              <w:rPr>
                <w:sz w:val="20"/>
                <w:szCs w:val="20"/>
                <w:color w:val="auto"/>
              </w:rPr>
            </w:pPr>
            <w:r>
              <w:rPr>
                <w:rFonts w:ascii="Arial" w:cs="Arial" w:eastAsia="Arial" w:hAnsi="Arial"/>
                <w:sz w:val="18"/>
                <w:szCs w:val="18"/>
                <w:i w:val="1"/>
                <w:iCs w:val="1"/>
                <w:color w:val="auto"/>
              </w:rPr>
              <w:t>, 2021.</w:t>
            </w:r>
          </w:p>
        </w:tc>
      </w:tr>
      <w:tr>
        <w:trPr>
          <w:trHeight w:val="351"/>
        </w:trPr>
        <w:tc>
          <w:tcPr>
            <w:tcW w:w="2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320" w:type="dxa"/>
            <w:vAlign w:val="bottom"/>
            <w:tcBorders>
              <w:bottom w:val="single" w:sz="8" w:color="auto"/>
            </w:tcBorders>
            <w:gridSpan w:val="2"/>
          </w:tcPr>
          <w:p>
            <w:pPr>
              <w:spacing w:after="0"/>
              <w:rPr>
                <w:sz w:val="24"/>
                <w:szCs w:val="24"/>
                <w:color w:val="auto"/>
              </w:rPr>
            </w:pPr>
          </w:p>
        </w:tc>
        <w:tc>
          <w:tcPr>
            <w:tcW w:w="17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425"/>
        </w:trPr>
        <w:tc>
          <w:tcPr>
            <w:tcW w:w="2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40" w:type="dxa"/>
            <w:vAlign w:val="bottom"/>
            <w:gridSpan w:val="3"/>
          </w:tcPr>
          <w:p>
            <w:pPr>
              <w:jc w:val="right"/>
              <w:ind w:right="1760"/>
              <w:spacing w:after="0"/>
              <w:rPr>
                <w:sz w:val="20"/>
                <w:szCs w:val="20"/>
                <w:color w:val="auto"/>
              </w:rPr>
            </w:pPr>
            <w:r>
              <w:rPr>
                <w:rFonts w:ascii="Arial" w:cs="Arial" w:eastAsia="Arial" w:hAnsi="Arial"/>
                <w:sz w:val="18"/>
                <w:szCs w:val="18"/>
                <w:i w:val="1"/>
                <w:iCs w:val="1"/>
                <w:color w:val="auto"/>
                <w:w w:val="93"/>
              </w:rPr>
              <w:t>Joint Book-Running Managers</w:t>
            </w:r>
          </w:p>
        </w:tc>
        <w:tc>
          <w:tcPr>
            <w:tcW w:w="2640" w:type="dxa"/>
            <w:vAlign w:val="bottom"/>
          </w:tcPr>
          <w:p>
            <w:pPr>
              <w:spacing w:after="0"/>
              <w:rPr>
                <w:sz w:val="24"/>
                <w:szCs w:val="24"/>
                <w:color w:val="auto"/>
              </w:rPr>
            </w:pPr>
          </w:p>
        </w:tc>
      </w:tr>
      <w:tr>
        <w:trPr>
          <w:trHeight w:val="494"/>
        </w:trPr>
        <w:tc>
          <w:tcPr>
            <w:tcW w:w="2660" w:type="dxa"/>
            <w:vAlign w:val="bottom"/>
          </w:tcPr>
          <w:p>
            <w:pPr>
              <w:spacing w:after="0"/>
              <w:rPr>
                <w:sz w:val="20"/>
                <w:szCs w:val="20"/>
                <w:color w:val="auto"/>
              </w:rPr>
            </w:pPr>
            <w:r>
              <w:rPr>
                <w:rFonts w:ascii="Arial" w:cs="Arial" w:eastAsia="Arial" w:hAnsi="Arial"/>
                <w:sz w:val="21"/>
                <w:szCs w:val="21"/>
                <w:i w:val="1"/>
                <w:iCs w:val="1"/>
                <w:color w:val="auto"/>
              </w:rPr>
              <w:t>MORGAN STANLEY</w:t>
            </w:r>
          </w:p>
        </w:tc>
        <w:tc>
          <w:tcPr>
            <w:tcW w:w="2620" w:type="dxa"/>
            <w:vAlign w:val="bottom"/>
            <w:gridSpan w:val="2"/>
          </w:tcPr>
          <w:p>
            <w:pPr>
              <w:ind w:left="920"/>
              <w:spacing w:after="0"/>
              <w:rPr>
                <w:sz w:val="20"/>
                <w:szCs w:val="20"/>
                <w:color w:val="auto"/>
              </w:rPr>
            </w:pPr>
            <w:r>
              <w:rPr>
                <w:rFonts w:ascii="Arial" w:cs="Arial" w:eastAsia="Arial" w:hAnsi="Arial"/>
                <w:sz w:val="21"/>
                <w:szCs w:val="21"/>
                <w:i w:val="1"/>
                <w:iCs w:val="1"/>
                <w:color w:val="auto"/>
              </w:rPr>
              <w:t>JEFFERIES</w:t>
            </w:r>
          </w:p>
        </w:tc>
        <w:tc>
          <w:tcPr>
            <w:tcW w:w="3100" w:type="dxa"/>
            <w:vAlign w:val="bottom"/>
            <w:gridSpan w:val="2"/>
          </w:tcPr>
          <w:p>
            <w:pPr>
              <w:jc w:val="right"/>
              <w:ind w:right="1760"/>
              <w:spacing w:after="0"/>
              <w:rPr>
                <w:sz w:val="20"/>
                <w:szCs w:val="20"/>
                <w:color w:val="auto"/>
              </w:rPr>
            </w:pPr>
            <w:r>
              <w:rPr>
                <w:rFonts w:ascii="Arial" w:cs="Arial" w:eastAsia="Arial" w:hAnsi="Arial"/>
                <w:sz w:val="21"/>
                <w:szCs w:val="21"/>
                <w:i w:val="1"/>
                <w:iCs w:val="1"/>
                <w:color w:val="auto"/>
              </w:rPr>
              <w:t>STIFEL</w:t>
            </w:r>
          </w:p>
        </w:tc>
        <w:tc>
          <w:tcPr>
            <w:tcW w:w="2640" w:type="dxa"/>
            <w:vAlign w:val="bottom"/>
          </w:tcPr>
          <w:p>
            <w:pPr>
              <w:jc w:val="right"/>
              <w:spacing w:after="0"/>
              <w:rPr>
                <w:sz w:val="20"/>
                <w:szCs w:val="20"/>
                <w:color w:val="auto"/>
              </w:rPr>
            </w:pPr>
            <w:r>
              <w:rPr>
                <w:rFonts w:ascii="Arial" w:cs="Arial" w:eastAsia="Arial" w:hAnsi="Arial"/>
                <w:sz w:val="21"/>
                <w:szCs w:val="21"/>
                <w:i w:val="1"/>
                <w:iCs w:val="1"/>
                <w:color w:val="auto"/>
                <w:w w:val="94"/>
              </w:rPr>
              <w:t>GUGGENHEIM SECURITIES</w:t>
            </w:r>
          </w:p>
        </w:tc>
      </w:tr>
    </w:tbl>
    <w:p>
      <w:pPr>
        <w:spacing w:after="0" w:line="194" w:lineRule="exact"/>
        <w:rPr>
          <w:sz w:val="20"/>
          <w:szCs w:val="20"/>
          <w:color w:val="auto"/>
        </w:rPr>
      </w:pPr>
    </w:p>
    <w:p>
      <w:pPr>
        <w:sectPr>
          <w:pgSz w:w="11900" w:h="16838" w:orient="portrait"/>
          <w:cols w:equalWidth="0" w:num="1">
            <w:col w:w="11140"/>
          </w:cols>
          <w:pgMar w:left="320" w:top="459" w:right="439" w:bottom="1440" w:gutter="0" w:footer="0" w:header="0"/>
        </w:sectPr>
      </w:pPr>
    </w:p>
    <w:p>
      <w:pPr>
        <w:ind w:left="120"/>
        <w:spacing w:after="0"/>
        <w:tabs>
          <w:tab w:leader="none" w:pos="2960" w:val="left"/>
        </w:tabs>
        <w:rPr>
          <w:sz w:val="20"/>
          <w:szCs w:val="20"/>
          <w:color w:val="auto"/>
        </w:rPr>
      </w:pPr>
      <w:r>
        <w:rPr>
          <w:rFonts w:ascii="Arial" w:cs="Arial" w:eastAsia="Arial" w:hAnsi="Arial"/>
          <w:sz w:val="18"/>
          <w:szCs w:val="18"/>
          <w:i w:val="1"/>
          <w:iCs w:val="1"/>
          <w:color w:val="auto"/>
        </w:rPr>
        <w:t>The date of this prospectus is</w:t>
      </w:r>
      <w:r>
        <w:rPr>
          <w:sz w:val="20"/>
          <w:szCs w:val="20"/>
          <w:color w:val="auto"/>
        </w:rPr>
        <w:tab/>
      </w:r>
      <w:r>
        <w:rPr>
          <w:rFonts w:ascii="Arial" w:cs="Arial" w:eastAsia="Arial" w:hAnsi="Arial"/>
          <w:sz w:val="15"/>
          <w:szCs w:val="15"/>
          <w:i w:val="1"/>
          <w:iCs w:val="1"/>
          <w:color w:val="auto"/>
        </w:rPr>
        <w:t>, 2021</w:t>
      </w:r>
    </w:p>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00" w:type="dxa"/>
            <w:vAlign w:val="bottom"/>
            <w:gridSpan w:val="14"/>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Prospectus Summary</w:t>
              </w:r>
            </w:hyperlink>
          </w:p>
        </w:tc>
        <w:tc>
          <w:tcPr>
            <w:tcW w:w="7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Page</w:t>
            </w:r>
          </w:p>
        </w:tc>
        <w:tc>
          <w:tcPr>
            <w:tcW w:w="5000" w:type="dxa"/>
            <w:vAlign w:val="bottom"/>
            <w:gridSpan w:val="13"/>
            <w:vMerge w:val="restart"/>
          </w:tcPr>
          <w:p>
            <w:pPr>
              <w:spacing w:after="0"/>
              <w:rPr>
                <w:rFonts w:ascii="Arial" w:cs="Arial" w:eastAsia="Arial" w:hAnsi="Arial"/>
                <w:sz w:val="18"/>
                <w:szCs w:val="18"/>
                <w:color w:val="0000EE"/>
              </w:rPr>
            </w:pPr>
            <w:hyperlink w:anchor="page175">
              <w:r>
                <w:rPr>
                  <w:rFonts w:ascii="Arial" w:cs="Arial" w:eastAsia="Arial" w:hAnsi="Arial"/>
                  <w:sz w:val="18"/>
                  <w:szCs w:val="18"/>
                  <w:color w:val="0000EE"/>
                </w:rPr>
                <w:t>Executive Compensation</w:t>
              </w:r>
            </w:hyperlink>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4900" w:type="dxa"/>
            <w:vAlign w:val="bottom"/>
            <w:gridSpan w:val="14"/>
            <w:vMerge w:val="continue"/>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400" w:type="dxa"/>
            <w:vAlign w:val="bottom"/>
          </w:tcPr>
          <w:p>
            <w:pPr>
              <w:spacing w:after="0"/>
              <w:rPr>
                <w:sz w:val="14"/>
                <w:szCs w:val="14"/>
                <w:color w:val="auto"/>
              </w:rPr>
            </w:pPr>
          </w:p>
        </w:tc>
        <w:tc>
          <w:tcPr>
            <w:tcW w:w="5000" w:type="dxa"/>
            <w:vAlign w:val="bottom"/>
            <w:gridSpan w:val="13"/>
            <w:vMerge w:val="continue"/>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w w:val="99"/>
              </w:rPr>
              <w:t>172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gridSpan w:val="8"/>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3380" w:type="dxa"/>
            <w:vAlign w:val="bottom"/>
            <w:gridSpan w:val="6"/>
          </w:tcPr>
          <w:p>
            <w:pPr>
              <w:spacing w:after="0"/>
              <w:rPr>
                <w:sz w:val="17"/>
                <w:szCs w:val="17"/>
                <w:color w:val="auto"/>
              </w:rPr>
            </w:pPr>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13</w:t>
            </w:r>
          </w:p>
        </w:tc>
        <w:tc>
          <w:tcPr>
            <w:tcW w:w="5000" w:type="dxa"/>
            <w:vAlign w:val="bottom"/>
            <w:gridSpan w:val="13"/>
          </w:tcPr>
          <w:p>
            <w:pPr>
              <w:spacing w:after="0" w:line="196" w:lineRule="exact"/>
              <w:rPr>
                <w:rFonts w:ascii="Arial" w:cs="Arial" w:eastAsia="Arial" w:hAnsi="Arial"/>
                <w:sz w:val="18"/>
                <w:szCs w:val="18"/>
                <w:color w:val="0000EE"/>
              </w:rPr>
            </w:pPr>
            <w:hyperlink w:anchor="page187">
              <w:r>
                <w:rPr>
                  <w:rFonts w:ascii="Arial" w:cs="Arial" w:eastAsia="Arial" w:hAnsi="Arial"/>
                  <w:sz w:val="18"/>
                  <w:szCs w:val="18"/>
                  <w:color w:val="0000EE"/>
                </w:rPr>
                <w:t>Certain Relationships and Related Party Transactions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184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86">
              <w:r>
                <w:rPr>
                  <w:rFonts w:ascii="Arial" w:cs="Arial" w:eastAsia="Arial" w:hAnsi="Arial"/>
                  <w:sz w:val="18"/>
                  <w:szCs w:val="18"/>
                  <w:color w:val="0000EE"/>
                  <w:w w:val="90"/>
                </w:rPr>
                <w:t>Special Note Regarding Forward-Looking Statements</w:t>
              </w:r>
            </w:hyperlink>
          </w:p>
        </w:tc>
        <w:tc>
          <w:tcPr>
            <w:tcW w:w="1020" w:type="dxa"/>
            <w:vAlign w:val="bottom"/>
            <w:gridSpan w:val="2"/>
          </w:tcPr>
          <w:p>
            <w:pPr>
              <w:spacing w:after="0"/>
              <w:rPr>
                <w:sz w:val="17"/>
                <w:szCs w:val="17"/>
                <w:color w:val="auto"/>
              </w:rPr>
            </w:pPr>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83</w:t>
            </w:r>
          </w:p>
        </w:tc>
        <w:tc>
          <w:tcPr>
            <w:tcW w:w="16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193">
              <w:r>
                <w:rPr>
                  <w:rFonts w:ascii="Arial" w:cs="Arial" w:eastAsia="Arial" w:hAnsi="Arial"/>
                  <w:sz w:val="18"/>
                  <w:szCs w:val="18"/>
                  <w:color w:val="0000EE"/>
                  <w:w w:val="90"/>
                </w:rPr>
                <w:t>Principal Stockholders</w:t>
              </w:r>
            </w:hyperlink>
          </w:p>
        </w:tc>
        <w:tc>
          <w:tcPr>
            <w:tcW w:w="336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190</w:t>
            </w:r>
          </w:p>
        </w:tc>
        <w:tc>
          <w:tcPr>
            <w:tcW w:w="0" w:type="dxa"/>
            <w:vAlign w:val="bottom"/>
          </w:tcPr>
          <w:p>
            <w:pPr>
              <w:spacing w:after="0"/>
              <w:rPr>
                <w:sz w:val="1"/>
                <w:szCs w:val="1"/>
                <w:color w:val="auto"/>
              </w:rPr>
            </w:pPr>
          </w:p>
        </w:tc>
      </w:tr>
      <w:tr>
        <w:trPr>
          <w:trHeight w:val="196"/>
        </w:trPr>
        <w:tc>
          <w:tcPr>
            <w:tcW w:w="18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88">
              <w:r>
                <w:rPr>
                  <w:rFonts w:ascii="Arial" w:cs="Arial" w:eastAsia="Arial" w:hAnsi="Arial"/>
                  <w:sz w:val="18"/>
                  <w:szCs w:val="18"/>
                  <w:color w:val="0000EE"/>
                  <w:w w:val="91"/>
                </w:rPr>
                <w:t>Market and Industry Data</w:t>
              </w:r>
            </w:hyperlink>
          </w:p>
        </w:tc>
        <w:tc>
          <w:tcPr>
            <w:tcW w:w="3040" w:type="dxa"/>
            <w:vAlign w:val="bottom"/>
            <w:gridSpan w:val="5"/>
          </w:tcPr>
          <w:p>
            <w:pPr>
              <w:spacing w:after="0"/>
              <w:rPr>
                <w:sz w:val="17"/>
                <w:szCs w:val="17"/>
                <w:color w:val="auto"/>
              </w:rPr>
            </w:pPr>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85</w:t>
            </w:r>
          </w:p>
        </w:tc>
        <w:tc>
          <w:tcPr>
            <w:tcW w:w="206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198">
              <w:r>
                <w:rPr>
                  <w:rFonts w:ascii="Arial" w:cs="Arial" w:eastAsia="Arial" w:hAnsi="Arial"/>
                  <w:sz w:val="18"/>
                  <w:szCs w:val="18"/>
                  <w:color w:val="0000EE"/>
                  <w:w w:val="92"/>
                </w:rPr>
                <w:t>Description of Capital Stock</w:t>
              </w:r>
            </w:hyperlink>
          </w:p>
        </w:tc>
        <w:tc>
          <w:tcPr>
            <w:tcW w:w="294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195</w:t>
            </w:r>
          </w:p>
        </w:tc>
        <w:tc>
          <w:tcPr>
            <w:tcW w:w="0" w:type="dxa"/>
            <w:vAlign w:val="bottom"/>
          </w:tcPr>
          <w:p>
            <w:pPr>
              <w:spacing w:after="0"/>
              <w:rPr>
                <w:sz w:val="1"/>
                <w:szCs w:val="1"/>
                <w:color w:val="auto"/>
              </w:rPr>
            </w:pPr>
          </w:p>
        </w:tc>
      </w:tr>
      <w:tr>
        <w:trPr>
          <w:trHeight w:val="196"/>
        </w:trPr>
        <w:tc>
          <w:tcPr>
            <w:tcW w:w="4900" w:type="dxa"/>
            <w:vAlign w:val="bottom"/>
            <w:gridSpan w:val="14"/>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Use of Proceeds</w:t>
              </w:r>
            </w:hyperlink>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86</w:t>
            </w:r>
          </w:p>
        </w:tc>
        <w:tc>
          <w:tcPr>
            <w:tcW w:w="5000" w:type="dxa"/>
            <w:vAlign w:val="bottom"/>
            <w:gridSpan w:val="13"/>
          </w:tcPr>
          <w:p>
            <w:pPr>
              <w:spacing w:after="0" w:line="196" w:lineRule="exact"/>
              <w:rPr>
                <w:rFonts w:ascii="Arial" w:cs="Arial" w:eastAsia="Arial" w:hAnsi="Arial"/>
                <w:sz w:val="18"/>
                <w:szCs w:val="18"/>
                <w:color w:val="0000EE"/>
              </w:rPr>
            </w:pPr>
            <w:hyperlink w:anchor="page204">
              <w:r>
                <w:rPr>
                  <w:rFonts w:ascii="Arial" w:cs="Arial" w:eastAsia="Arial" w:hAnsi="Arial"/>
                  <w:sz w:val="18"/>
                  <w:szCs w:val="18"/>
                  <w:color w:val="0000EE"/>
                </w:rPr>
                <w:t>Shares Eligible for Future Sale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201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7"/>
          </w:tcPr>
          <w:p>
            <w:pPr>
              <w:spacing w:after="0" w:line="196" w:lineRule="exact"/>
              <w:rPr>
                <w:rFonts w:ascii="Arial" w:cs="Arial" w:eastAsia="Arial" w:hAnsi="Arial"/>
                <w:sz w:val="18"/>
                <w:szCs w:val="18"/>
                <w:color w:val="0000EE"/>
                <w:w w:val="94"/>
              </w:rPr>
            </w:pPr>
            <w:hyperlink w:anchor="page90">
              <w:r>
                <w:rPr>
                  <w:rFonts w:ascii="Arial" w:cs="Arial" w:eastAsia="Arial" w:hAnsi="Arial"/>
                  <w:sz w:val="18"/>
                  <w:szCs w:val="18"/>
                  <w:color w:val="0000EE"/>
                  <w:w w:val="94"/>
                </w:rPr>
                <w:t>Dividend Policy</w:t>
              </w:r>
            </w:hyperlink>
          </w:p>
        </w:tc>
        <w:tc>
          <w:tcPr>
            <w:tcW w:w="3720" w:type="dxa"/>
            <w:vAlign w:val="bottom"/>
            <w:gridSpan w:val="7"/>
          </w:tcPr>
          <w:p>
            <w:pPr>
              <w:spacing w:after="0"/>
              <w:rPr>
                <w:sz w:val="17"/>
                <w:szCs w:val="17"/>
                <w:color w:val="auto"/>
              </w:rPr>
            </w:pPr>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87</w:t>
            </w:r>
          </w:p>
        </w:tc>
        <w:tc>
          <w:tcPr>
            <w:tcW w:w="5000" w:type="dxa"/>
            <w:vAlign w:val="bottom"/>
            <w:gridSpan w:val="13"/>
          </w:tcPr>
          <w:p>
            <w:pPr>
              <w:spacing w:after="0" w:line="196" w:lineRule="exact"/>
              <w:rPr>
                <w:rFonts w:ascii="Arial" w:cs="Arial" w:eastAsia="Arial" w:hAnsi="Arial"/>
                <w:sz w:val="18"/>
                <w:szCs w:val="18"/>
                <w:color w:val="0000EE"/>
              </w:rPr>
            </w:pPr>
            <w:hyperlink w:anchor="page207">
              <w:r>
                <w:rPr>
                  <w:rFonts w:ascii="Arial" w:cs="Arial" w:eastAsia="Arial" w:hAnsi="Arial"/>
                  <w:sz w:val="18"/>
                  <w:szCs w:val="18"/>
                  <w:color w:val="0000EE"/>
                </w:rPr>
                <w:t>Material U.S. Federal Income Tax Consequences to Non-U.S.</w:t>
              </w:r>
            </w:hyperlink>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Capitalization</w:t>
              </w:r>
            </w:hyperlink>
          </w:p>
        </w:tc>
        <w:tc>
          <w:tcPr>
            <w:tcW w:w="3720" w:type="dxa"/>
            <w:vAlign w:val="bottom"/>
            <w:gridSpan w:val="7"/>
          </w:tcPr>
          <w:p>
            <w:pPr>
              <w:spacing w:after="0"/>
              <w:rPr>
                <w:sz w:val="17"/>
                <w:szCs w:val="17"/>
                <w:color w:val="auto"/>
              </w:rPr>
            </w:pPr>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88</w:t>
            </w:r>
          </w:p>
        </w:tc>
        <w:tc>
          <w:tcPr>
            <w:tcW w:w="180" w:type="dxa"/>
            <w:vAlign w:val="bottom"/>
            <w:tcBorders>
              <w:top w:val="single" w:sz="8" w:color="0000EE"/>
            </w:tcBorders>
          </w:tcPr>
          <w:p>
            <w:pPr>
              <w:spacing w:after="0"/>
              <w:rPr>
                <w:sz w:val="17"/>
                <w:szCs w:val="17"/>
                <w:color w:val="auto"/>
              </w:rPr>
            </w:pPr>
          </w:p>
        </w:tc>
        <w:tc>
          <w:tcPr>
            <w:tcW w:w="42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07">
              <w:r>
                <w:rPr>
                  <w:rFonts w:ascii="Arial" w:cs="Arial" w:eastAsia="Arial" w:hAnsi="Arial"/>
                  <w:sz w:val="18"/>
                  <w:szCs w:val="18"/>
                  <w:color w:val="0000EE"/>
                </w:rPr>
                <w:t>Holders</w:t>
              </w:r>
            </w:hyperlink>
          </w:p>
        </w:tc>
        <w:tc>
          <w:tcPr>
            <w:tcW w:w="56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204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5"/>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Dilution</w:t>
              </w:r>
            </w:hyperlink>
          </w:p>
        </w:tc>
        <w:tc>
          <w:tcPr>
            <w:tcW w:w="3900" w:type="dxa"/>
            <w:vAlign w:val="bottom"/>
            <w:gridSpan w:val="9"/>
          </w:tcPr>
          <w:p>
            <w:pPr>
              <w:spacing w:after="0"/>
              <w:rPr>
                <w:sz w:val="17"/>
                <w:szCs w:val="17"/>
                <w:color w:val="auto"/>
              </w:rPr>
            </w:pPr>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90</w:t>
            </w:r>
          </w:p>
        </w:tc>
        <w:tc>
          <w:tcPr>
            <w:tcW w:w="5000" w:type="dxa"/>
            <w:vAlign w:val="bottom"/>
            <w:gridSpan w:val="13"/>
          </w:tcPr>
          <w:p>
            <w:pPr>
              <w:spacing w:after="0" w:line="196" w:lineRule="exact"/>
              <w:rPr>
                <w:rFonts w:ascii="Arial" w:cs="Arial" w:eastAsia="Arial" w:hAnsi="Arial"/>
                <w:sz w:val="18"/>
                <w:szCs w:val="18"/>
                <w:color w:val="0000EE"/>
              </w:rPr>
            </w:pPr>
            <w:hyperlink w:anchor="page211">
              <w:r>
                <w:rPr>
                  <w:rFonts w:ascii="Arial" w:cs="Arial" w:eastAsia="Arial" w:hAnsi="Arial"/>
                  <w:sz w:val="18"/>
                  <w:szCs w:val="18"/>
                  <w:color w:val="0000EE"/>
                </w:rPr>
                <w:t>Underwriting</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208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14"/>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Selected Consolidated Financial Data</w:t>
              </w:r>
            </w:hyperlink>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93</w:t>
            </w:r>
          </w:p>
        </w:tc>
        <w:tc>
          <w:tcPr>
            <w:tcW w:w="5000" w:type="dxa"/>
            <w:vAlign w:val="bottom"/>
            <w:gridSpan w:val="13"/>
          </w:tcPr>
          <w:p>
            <w:pPr>
              <w:spacing w:after="0" w:line="196" w:lineRule="exact"/>
              <w:rPr>
                <w:rFonts w:ascii="Arial" w:cs="Arial" w:eastAsia="Arial" w:hAnsi="Arial"/>
                <w:sz w:val="18"/>
                <w:szCs w:val="18"/>
                <w:color w:val="0000EE"/>
              </w:rPr>
            </w:pPr>
            <w:hyperlink w:anchor="page220">
              <w:r>
                <w:rPr>
                  <w:rFonts w:ascii="Arial" w:cs="Arial" w:eastAsia="Arial" w:hAnsi="Arial"/>
                  <w:sz w:val="18"/>
                  <w:szCs w:val="18"/>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217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14"/>
          </w:tcPr>
          <w:p>
            <w:pPr>
              <w:spacing w:after="0" w:line="196" w:lineRule="exact"/>
              <w:rPr>
                <w:rFonts w:ascii="Arial" w:cs="Arial" w:eastAsia="Arial" w:hAnsi="Arial"/>
                <w:sz w:val="18"/>
                <w:szCs w:val="18"/>
                <w:color w:val="0000EE"/>
                <w:w w:val="98"/>
              </w:rPr>
            </w:pPr>
            <w:hyperlink w:anchor="page98">
              <w:r>
                <w:rPr>
                  <w:rFonts w:ascii="Arial" w:cs="Arial" w:eastAsia="Arial" w:hAnsi="Arial"/>
                  <w:sz w:val="18"/>
                  <w:szCs w:val="18"/>
                  <w:color w:val="0000EE"/>
                  <w:w w:val="98"/>
                </w:rPr>
                <w:t>Management’s Discussion and Analysis of Financial Condition</w:t>
              </w:r>
            </w:hyperlink>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0" w:type="dxa"/>
            <w:vAlign w:val="bottom"/>
            <w:gridSpan w:val="13"/>
          </w:tcPr>
          <w:p>
            <w:pPr>
              <w:spacing w:after="0" w:line="196" w:lineRule="exact"/>
              <w:rPr>
                <w:rFonts w:ascii="Arial" w:cs="Arial" w:eastAsia="Arial" w:hAnsi="Arial"/>
                <w:sz w:val="18"/>
                <w:szCs w:val="18"/>
                <w:color w:val="0000EE"/>
              </w:rPr>
            </w:pPr>
            <w:hyperlink w:anchor="page220">
              <w:r>
                <w:rPr>
                  <w:rFonts w:ascii="Arial" w:cs="Arial" w:eastAsia="Arial" w:hAnsi="Arial"/>
                  <w:sz w:val="18"/>
                  <w:szCs w:val="18"/>
                  <w:color w:val="0000EE"/>
                </w:rPr>
                <w:t>Experts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217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360" w:type="dxa"/>
            <w:vAlign w:val="bottom"/>
            <w:gridSpan w:val="12"/>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and Results of Operations</w:t>
              </w:r>
            </w:hyperlink>
          </w:p>
        </w:tc>
        <w:tc>
          <w:tcPr>
            <w:tcW w:w="360" w:type="dxa"/>
            <w:vAlign w:val="bottom"/>
          </w:tcPr>
          <w:p>
            <w:pPr>
              <w:spacing w:after="0"/>
              <w:rPr>
                <w:sz w:val="17"/>
                <w:szCs w:val="17"/>
                <w:color w:val="auto"/>
              </w:rPr>
            </w:pPr>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95</w:t>
            </w:r>
          </w:p>
        </w:tc>
        <w:tc>
          <w:tcPr>
            <w:tcW w:w="5000" w:type="dxa"/>
            <w:vAlign w:val="bottom"/>
            <w:gridSpan w:val="13"/>
          </w:tcPr>
          <w:p>
            <w:pPr>
              <w:spacing w:after="0" w:line="196" w:lineRule="exact"/>
              <w:rPr>
                <w:rFonts w:ascii="Arial" w:cs="Arial" w:eastAsia="Arial" w:hAnsi="Arial"/>
                <w:sz w:val="18"/>
                <w:szCs w:val="18"/>
                <w:color w:val="0000EE"/>
              </w:rPr>
            </w:pPr>
            <w:hyperlink w:anchor="page220">
              <w:r>
                <w:rPr>
                  <w:rFonts w:ascii="Arial" w:cs="Arial" w:eastAsia="Arial" w:hAnsi="Arial"/>
                  <w:sz w:val="18"/>
                  <w:szCs w:val="18"/>
                  <w:color w:val="0000EE"/>
                </w:rPr>
                <w:t>Where You Can Find Additional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217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14"/>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Business</w:t>
              </w:r>
            </w:hyperlink>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w w:val="99"/>
              </w:rPr>
              <w:t>113</w:t>
            </w:r>
          </w:p>
        </w:tc>
        <w:tc>
          <w:tcPr>
            <w:tcW w:w="5000" w:type="dxa"/>
            <w:vAlign w:val="bottom"/>
            <w:gridSpan w:val="13"/>
          </w:tcPr>
          <w:p>
            <w:pPr>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Index to Consolidated Financial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900" w:type="dxa"/>
            <w:vAlign w:val="bottom"/>
            <w:gridSpan w:val="9"/>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65">
              <w:r>
                <w:rPr>
                  <w:rFonts w:ascii="Arial" w:cs="Arial" w:eastAsia="Arial" w:hAnsi="Arial"/>
                  <w:sz w:val="18"/>
                  <w:szCs w:val="18"/>
                  <w:color w:val="0000EE"/>
                  <w:w w:val="91"/>
                </w:rPr>
                <w:t>Management</w:t>
              </w:r>
            </w:hyperlink>
          </w:p>
        </w:tc>
        <w:tc>
          <w:tcPr>
            <w:tcW w:w="3900" w:type="dxa"/>
            <w:vAlign w:val="bottom"/>
            <w:gridSpan w:val="9"/>
          </w:tcPr>
          <w:p>
            <w:pPr>
              <w:spacing w:after="0"/>
              <w:rPr>
                <w:sz w:val="17"/>
                <w:szCs w:val="17"/>
                <w:color w:val="auto"/>
              </w:rPr>
            </w:pPr>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w w:val="99"/>
              </w:rPr>
              <w:t>162</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334645</wp:posOffset>
            </wp:positionV>
            <wp:extent cx="1474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Neither we nor the underwriters have authorized anyone to provide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provide you. We are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the common stock.</w:t>
      </w:r>
    </w:p>
    <w:p>
      <w:pPr>
        <w:spacing w:after="0" w:line="176"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8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 xml:space="preserve">All trademarks, trade names and service marks appearing in this prospectus are the property of their respective owners. Solely for convenience, the trademarks and trade names in this prospectus may be referred to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symbols, but such references should not be construed as any indicator that their respective owners will not assert their rights thereto.</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left="300" w:firstLine="426"/>
        <w:spacing w:after="0" w:line="255" w:lineRule="auto"/>
        <w:rPr>
          <w:sz w:val="20"/>
          <w:szCs w:val="20"/>
          <w:color w:val="auto"/>
        </w:rPr>
      </w:pPr>
      <w:r>
        <w:rPr>
          <w:rFonts w:ascii="Arial" w:cs="Arial" w:eastAsia="Arial" w:hAnsi="Arial"/>
          <w:sz w:val="18"/>
          <w:szCs w:val="18"/>
          <w:i w:val="1"/>
          <w:iCs w:val="1"/>
          <w:color w:val="auto"/>
        </w:rPr>
        <w:t>This summary highlights, and is qualified in its entirety by, information contained elsewhere in this prospectus. This summary does not contain all of the information you should consider before investing in our common stock. You should read this entire prospectus carefully, especially the sections titled “Risk Factors” and “Management’s Discussion and Analysis of Financial Condition and Results of Operations” and our consolidated financial statements and the related notes appearing elsewhere in this prospectus, before making an investment decision. As used in this prospectus, unless the context otherwise requires, references to “we,” “us,” “our,” “the company,” “Adagio” and “Adagio Therapeutics” refer to Adagio Therapeutics, Inc.</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300" w:firstLine="426"/>
        <w:spacing w:after="0" w:line="289" w:lineRule="auto"/>
        <w:rPr>
          <w:sz w:val="20"/>
          <w:szCs w:val="20"/>
          <w:color w:val="auto"/>
        </w:rPr>
      </w:pPr>
      <w:r>
        <w:rPr>
          <w:rFonts w:ascii="Arial" w:cs="Arial" w:eastAsia="Arial" w:hAnsi="Arial"/>
          <w:sz w:val="16"/>
          <w:szCs w:val="16"/>
          <w:color w:val="auto"/>
        </w:rPr>
        <w:t>We are a clinical-stage biopharmaceutical company focused on the discovery, development and commercialization of antibody-based solutions for infectious diseases with pandemic potential. We are developing our lead product candidate, ADG20, for the treatment and prevention of coronavirus disease 2019, or COVID-19, the disease caused by the virus SARS-CoV-2 and its variants. COVID-19 has caused the current global pandemic that remains a significant global health crisis and has resulted in millions of deaths and lasting health problems in many survivors. We believe that COVID-19 will become an endemic disease requiring a variety of effective, safe and convenient treatment and prevention options for years to come. We aim to address COVID-19 and future potential viral outbreaks by building a portfolio of antibodies with broadly neutralizing activity against multiple members of the coronavirus family or additional viruses with pandemic potential. Our portfolio of antibodies was discovered by Adimab, LLC, or Adimab, an industry leader in translating target hypotheses into therapeutically relevant antibodies with their proprietary platform, which has resulted in more than 385 antibody discovery programs, over 40 of which have advanced into clinical trials.</w:t>
      </w:r>
    </w:p>
    <w:p>
      <w:pPr>
        <w:spacing w:after="0" w:line="166" w:lineRule="exact"/>
        <w:rPr>
          <w:sz w:val="20"/>
          <w:szCs w:val="20"/>
          <w:color w:val="auto"/>
        </w:rPr>
      </w:pPr>
    </w:p>
    <w:p>
      <w:pPr>
        <w:jc w:val="both"/>
        <w:ind w:left="300" w:firstLine="426"/>
        <w:spacing w:after="0" w:line="286" w:lineRule="auto"/>
        <w:rPr>
          <w:sz w:val="20"/>
          <w:szCs w:val="20"/>
          <w:color w:val="auto"/>
        </w:rPr>
      </w:pPr>
      <w:r>
        <w:rPr>
          <w:rFonts w:ascii="Arial" w:cs="Arial" w:eastAsia="Arial" w:hAnsi="Arial"/>
          <w:sz w:val="16"/>
          <w:szCs w:val="16"/>
          <w:color w:val="auto"/>
        </w:rPr>
        <w:t>ADG20 is designed to be a potent, long-acting and broadly neutralizing antibody for both the treatment and prevention of COVID-19 as either a single or combination agent. Unlike other antibody-based therapies specifically targeting SARS-CoV-2, ADG20 has demonstrated in non-clinical studies an ability to neutralize SARS-CoV-2, including variants of concern, as well as a broad range of SARS-like viruses with neutralization potency at IC</w:t>
      </w:r>
      <w:r>
        <w:rPr>
          <w:rFonts w:ascii="Arial" w:cs="Arial" w:eastAsia="Arial" w:hAnsi="Arial"/>
          <w:sz w:val="13"/>
          <w:szCs w:val="13"/>
          <w:color w:val="auto"/>
        </w:rPr>
        <w:t>50</w:t>
      </w:r>
      <w:r>
        <w:rPr>
          <w:rFonts w:ascii="Arial" w:cs="Arial" w:eastAsia="Arial" w:hAnsi="Arial"/>
          <w:sz w:val="16"/>
          <w:szCs w:val="16"/>
          <w:color w:val="auto"/>
        </w:rPr>
        <w:t xml:space="preserve"> (half maximal inhibitory concentrations) of approximately 0.01 mcg/mL or less in live-virus cellular assays. We believe this demonstrated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neutralization activity will translate into the ability to conveniently deliver ADG20 as a single intramuscular, or IM, injection. We believe these and other attributes of ADG20 differentiate it from other antibodies that are either available under Emergency Use Authorization, or EUA, or in development to address COVID-19. We have completed enrollment in our first-in-human Phase 1 clinical trial of ADG20. Interim data demonstrated that ADG20 was well tolerated and displayed a pharmacokinetic profile consistent with an extended half-life monoclonal antibody, or mAb. Serum virus neutralizing antibody titers measured the day following administration of ADG20 were similar to or exceeded peak serum neutralizing antibody titers generated after two doses of mRNA or adenovirus-based COVID-19 vaccines. Based on these data, we are conducting two separate Phase 2/3 clinical trials: our STAMP trial to evaluate ADG20 for the treatment of COVID-19 and our EVADE trial to evaluate ADG20 for the prevention of COVID-19. Additionally, our portfolio includes multiple broadly neutralizing antibodies, including ADG10, for potential use with ADG20 as a combination therapy for the treatment and prevention of COVID-19 and future coronavirus outbreaks.</w:t>
      </w:r>
    </w:p>
    <w:p>
      <w:pPr>
        <w:spacing w:after="0" w:line="174" w:lineRule="exact"/>
        <w:rPr>
          <w:sz w:val="20"/>
          <w:szCs w:val="20"/>
          <w:color w:val="auto"/>
        </w:rPr>
      </w:pPr>
    </w:p>
    <w:p>
      <w:pPr>
        <w:jc w:val="both"/>
        <w:ind w:left="300" w:firstLine="426"/>
        <w:spacing w:after="0" w:line="291" w:lineRule="auto"/>
        <w:rPr>
          <w:sz w:val="20"/>
          <w:szCs w:val="20"/>
          <w:color w:val="auto"/>
        </w:rPr>
      </w:pPr>
      <w:r>
        <w:rPr>
          <w:rFonts w:ascii="Arial" w:cs="Arial" w:eastAsia="Arial" w:hAnsi="Arial"/>
          <w:sz w:val="16"/>
          <w:szCs w:val="16"/>
          <w:color w:val="auto"/>
        </w:rPr>
        <w:t>Over the past 20 years, three pathogenic novel coronaviruses have spilled over into the human population from animal reservoirs to cause outbreaks of deadly pneumonia, including COVID-19, severe acute respiratory syndrome, or SARS, and Middle East respiratory syndrome, or MERS. Most recently, SARS-CoV-2 has given rise to a global pandemic that swept rapidly throughout the world in 2020. Of significant current concern is the emergence of a number of SARS-CoV-2 variants with increased transmissibility and/or the ability to evade neutralizing antibodies. In addition to the emergence of these variants, there are multiple factors that we believe contribute to the likelihood of COVID-19 becoming an endemic threat, including (1) uneven global rollout of vaccinations; (2) ongoing vaccine hesitancy; (3) unknown duration of immunity and efficacy against current and future viral variants conferred by currently available vaccines; (4) uncertain impact of vaccines on transmission; and</w:t>
      </w:r>
    </w:p>
    <w:p>
      <w:pPr>
        <w:spacing w:after="0" w:line="35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82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hanging="2"/>
        <w:spacing w:after="0" w:line="259" w:lineRule="auto"/>
        <w:tabs>
          <w:tab w:leader="none" w:pos="558" w:val="left"/>
        </w:tabs>
        <w:numPr>
          <w:ilvl w:val="0"/>
          <w:numId w:val="3"/>
        </w:numPr>
        <w:rPr>
          <w:rFonts w:ascii="Arial" w:cs="Arial" w:eastAsia="Arial" w:hAnsi="Arial"/>
          <w:sz w:val="18"/>
          <w:szCs w:val="18"/>
          <w:color w:val="auto"/>
        </w:rPr>
      </w:pPr>
      <w:r>
        <w:rPr>
          <w:rFonts w:ascii="Arial" w:cs="Arial" w:eastAsia="Arial" w:hAnsi="Arial"/>
          <w:sz w:val="18"/>
          <w:szCs w:val="18"/>
          <w:color w:val="auto"/>
        </w:rPr>
        <w:t>variable implementation of virus mitigation efforts, such as wearing masks and social distancing. As a result, our epidemiological modeling has suggested that as much as 50% of the global population may be susceptible to SARS-CoV-2 infection within three years. We also believe that future pandemics similar to the COVID-19 pandemic are likely because, in many parts of the world, humans live in close proximity to animal species harboring SARS-like viruses that are capable of infecting humans.</w:t>
      </w:r>
    </w:p>
    <w:p>
      <w:pPr>
        <w:spacing w:after="0" w:line="187" w:lineRule="exact"/>
        <w:rPr>
          <w:sz w:val="20"/>
          <w:szCs w:val="20"/>
          <w:color w:val="auto"/>
        </w:rPr>
      </w:pPr>
    </w:p>
    <w:p>
      <w:pPr>
        <w:jc w:val="both"/>
        <w:ind w:left="300" w:firstLine="426"/>
        <w:spacing w:after="0" w:line="285" w:lineRule="auto"/>
        <w:rPr>
          <w:sz w:val="20"/>
          <w:szCs w:val="20"/>
          <w:color w:val="auto"/>
        </w:rPr>
      </w:pPr>
      <w:r>
        <w:rPr>
          <w:rFonts w:ascii="Arial" w:cs="Arial" w:eastAsia="Arial" w:hAnsi="Arial"/>
          <w:sz w:val="16"/>
          <w:szCs w:val="16"/>
          <w:color w:val="auto"/>
        </w:rPr>
        <w:t xml:space="preserve">In response to the ongoing pandemic, multiple agents have been discovered, developed and authorized at an unprecedented speed to address COVID-19. Several vaccines have been authorized for the prevention of COVID-19 under public health emergency guidelines both in the United States and abroad. In addition, some mAb therapies, either as a monotherapy or a combination cocktail, have been granted an EUA in the United States and India and are available for use as unauthorized products in certain EU member states for the treatment of mild to moderate COVID-19 in patients at high risk of disease progression. However, we believe additional solutions are required. The recent emergence of SARS-CoV-2 variants has attenuated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neutralization activity of certain currently available mAbs. For example, the U.S. Food and Drug Administration, or the FDA, recently revoked the EUA for one of these mAbs due to its lack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activity against key variants of concern as a single agent and distribution of a second agent, bamlanvimab/etesevimab, has been paused in the United States due to data showing increased prevalence of two variants resistant to this product, the Gamma (P.1) and Beta (B.1.351) variants. Consistent with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data showing more pronounced loss of neutralization activity for casirivimab and bamlanivimab/etesevimab against the Gamma variant compared to the Alpha variant, preliminary real-world use data from Italy suggest lower clinical efficacy for casirivimab/imdevimab and bamlanivimab/etesevimab against infections due to the Gamma variant. In addition, the use of currently available mAbs for the treatment of COVID-19 has been limited by the inconvenience of their intravenous, or IV, administration, which requires specialized facilities that are properly equipped to accommodate IV infusions in actively infected patients and may lead to a delay in administration. Additional factors that have limited use of mAbs include lack of awareness and education on appropriate use as well as perceived difficulty accessing treatment. We anticipate that these same limitations will apply to any IV-administered mAbs that may be authorized or approved for the prevention of COVID-19. Furthermore, in the setting of prevention, mAbs without sufficiently long half-lives will likely require frequent and periodic administration in order to achieve long-lasting protection.</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Approach to COVID-19 and Development of Coronavirus mAbs</w:t>
      </w:r>
    </w:p>
    <w:p>
      <w:pPr>
        <w:spacing w:after="0" w:line="121" w:lineRule="exact"/>
        <w:rPr>
          <w:sz w:val="20"/>
          <w:szCs w:val="20"/>
          <w:color w:val="auto"/>
        </w:rPr>
      </w:pPr>
    </w:p>
    <w:p>
      <w:pPr>
        <w:jc w:val="both"/>
        <w:ind w:left="300" w:firstLine="426"/>
        <w:spacing w:after="0" w:line="257" w:lineRule="auto"/>
        <w:rPr>
          <w:sz w:val="20"/>
          <w:szCs w:val="20"/>
          <w:color w:val="auto"/>
        </w:rPr>
      </w:pPr>
      <w:r>
        <w:rPr>
          <w:rFonts w:ascii="Arial" w:cs="Arial" w:eastAsia="Arial" w:hAnsi="Arial"/>
          <w:sz w:val="18"/>
          <w:szCs w:val="18"/>
          <w:color w:val="auto"/>
        </w:rPr>
        <w:t>Our vision is to discover, develop and commercialize antibody-based solutions not only for the current COVID-19 pandemic but also to address future potential coronavirus outbreaks. To enable this vision, our discovery efforts are focused on broadly neutralizing antibodies that target conserved epitopes across multiple members of the coronavirus family. We believe that a mAb therapy with the following characteristics will have the potential to address the limitations of currently available treatment and prevention options for COVID-19 as well as future diseases that may arise from SARS-like viruses with pandemic potential:</w:t>
      </w:r>
    </w:p>
    <w:p>
      <w:pPr>
        <w:spacing w:after="0" w:line="93" w:lineRule="exact"/>
        <w:rPr>
          <w:sz w:val="20"/>
          <w:szCs w:val="20"/>
          <w:color w:val="auto"/>
        </w:rPr>
      </w:pPr>
    </w:p>
    <w:p>
      <w:pPr>
        <w:ind w:left="1240" w:hanging="523"/>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 potency and broad neutralizing activity to address SARS-CoV-2, including variants of concern, and additional SARS-like viruses, or sarbecoviruses;</w:t>
      </w:r>
    </w:p>
    <w:p>
      <w:pPr>
        <w:spacing w:after="0" w:line="75" w:lineRule="exact"/>
        <w:rPr>
          <w:rFonts w:ascii="Arial" w:cs="Arial" w:eastAsia="Arial" w:hAnsi="Arial"/>
          <w:sz w:val="18"/>
          <w:szCs w:val="18"/>
          <w:color w:val="auto"/>
        </w:rPr>
      </w:pPr>
    </w:p>
    <w:p>
      <w:pPr>
        <w:ind w:left="1240" w:hanging="523"/>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Multiple mechanisms of action, including direct virus neutralization by blocking viral entry into the host cell and elimination of infected host cells through innate immune effector activity to clear infection;</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Convenient outpatient administration as a single-dose IM injection; and</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provide both rapid and durable protection with potential protection against COVID-19 for up to one year.</w:t>
      </w:r>
    </w:p>
    <w:p>
      <w:pPr>
        <w:spacing w:after="0" w:line="225"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auto"/>
        </w:rPr>
        <w:t>To develop mAb therapies with these characteristics, we optimize both the antigen-binding fragment, or Fab, and constant fragment, or Fc, regions of candidate molecules to improve breadth, potency, half-life and developability. The Fab region binds to the viral antigen and is a key determinant of specificity and potency. The</w:t>
      </w:r>
    </w:p>
    <w:p>
      <w:pPr>
        <w:spacing w:after="0" w:line="37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474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3474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77" w:lineRule="auto"/>
        <w:rPr>
          <w:sz w:val="20"/>
          <w:szCs w:val="20"/>
          <w:color w:val="auto"/>
        </w:rPr>
      </w:pPr>
      <w:r>
        <w:rPr>
          <w:rFonts w:ascii="Arial" w:cs="Arial" w:eastAsia="Arial" w:hAnsi="Arial"/>
          <w:sz w:val="18"/>
          <w:szCs w:val="18"/>
          <w:color w:val="auto"/>
        </w:rPr>
        <w:t>Fc portion binds to host cell receptors to activate the innate immune system to eliminate infected host cells and is a key determinant of serum half-life. Key elements that differentiate our approach include:</w:t>
      </w:r>
    </w:p>
    <w:p>
      <w:pPr>
        <w:spacing w:after="0" w:line="72" w:lineRule="exact"/>
        <w:rPr>
          <w:sz w:val="20"/>
          <w:szCs w:val="20"/>
          <w:color w:val="auto"/>
        </w:rPr>
      </w:pPr>
    </w:p>
    <w:p>
      <w:pPr>
        <w:jc w:val="both"/>
        <w:ind w:left="1240" w:hanging="523"/>
        <w:spacing w:after="0" w:line="266"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Recognition of the importance of broadly neutralizing antibodies: </w:t>
      </w:r>
      <w:r>
        <w:rPr>
          <w:rFonts w:ascii="Arial" w:cs="Arial" w:eastAsia="Arial" w:hAnsi="Arial"/>
          <w:sz w:val="18"/>
          <w:szCs w:val="18"/>
          <w:color w:val="auto"/>
        </w:rPr>
        <w:t>From the outset, we chose to focus on mAbs capable of broadly</w:t>
      </w:r>
      <w:r>
        <w:rPr>
          <w:rFonts w:ascii="Arial" w:cs="Arial" w:eastAsia="Arial" w:hAnsi="Arial"/>
          <w:sz w:val="18"/>
          <w:szCs w:val="18"/>
          <w:b w:val="1"/>
          <w:bCs w:val="1"/>
          <w:color w:val="auto"/>
        </w:rPr>
        <w:t xml:space="preserve"> </w:t>
      </w:r>
      <w:r>
        <w:rPr>
          <w:rFonts w:ascii="Arial" w:cs="Arial" w:eastAsia="Arial" w:hAnsi="Arial"/>
          <w:sz w:val="18"/>
          <w:szCs w:val="18"/>
          <w:color w:val="auto"/>
        </w:rPr>
        <w:t>neutralizing not only SARS-CoV-2 and its variants, but also the entire viral class of sarbecoviruses that target the human angiotensin-converting enzyme 2, or hACE2, receptor.</w:t>
      </w:r>
    </w:p>
    <w:p>
      <w:pPr>
        <w:spacing w:after="0" w:line="81" w:lineRule="exact"/>
        <w:rPr>
          <w:rFonts w:ascii="Arial" w:cs="Arial" w:eastAsia="Arial" w:hAnsi="Arial"/>
          <w:sz w:val="18"/>
          <w:szCs w:val="18"/>
          <w:color w:val="auto"/>
        </w:rPr>
      </w:pPr>
    </w:p>
    <w:p>
      <w:pPr>
        <w:jc w:val="both"/>
        <w:ind w:left="1240" w:hanging="523"/>
        <w:spacing w:after="0" w:line="255"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Industry-leading B-cell mining, protein engineering and developability screening capabilities through our partnership with Adimab: </w:t>
      </w:r>
      <w:r>
        <w:rPr>
          <w:rFonts w:ascii="Arial" w:cs="Arial" w:eastAsia="Arial" w:hAnsi="Arial"/>
          <w:sz w:val="18"/>
          <w:szCs w:val="18"/>
          <w:color w:val="auto"/>
        </w:rPr>
        <w:t>We leverage nature’s solutions using Adimab’s deep B-cell mining capabilities to isolate broadly neutralizing antibodies</w:t>
      </w:r>
      <w:r>
        <w:rPr>
          <w:rFonts w:ascii="Arial" w:cs="Arial" w:eastAsia="Arial" w:hAnsi="Arial"/>
          <w:sz w:val="18"/>
          <w:szCs w:val="18"/>
          <w:b w:val="1"/>
          <w:bCs w:val="1"/>
          <w:color w:val="auto"/>
        </w:rPr>
        <w:t xml:space="preserve"> </w:t>
      </w:r>
      <w:r>
        <w:rPr>
          <w:rFonts w:ascii="Arial" w:cs="Arial" w:eastAsia="Arial" w:hAnsi="Arial"/>
          <w:sz w:val="18"/>
          <w:szCs w:val="18"/>
          <w:color w:val="auto"/>
        </w:rPr>
        <w:t>from a disease survivor of an earlier SARS infection. We then utilize Adimab’s leading protein engineering capabilities to improve the potency, breadth and half-life of the antibody candidates we advance into preclinical development. We specifically engineer our antibodies to extend their half-lives without affecting Fc-mediated innate immune effector activity. In addition, we have access to Adimab’s extensive suite of developability assays that allow for selection of lead candidates most likely to be readily manufactured and formulated for use in humans.</w:t>
      </w:r>
    </w:p>
    <w:p>
      <w:pPr>
        <w:spacing w:after="0" w:line="94" w:lineRule="exact"/>
        <w:rPr>
          <w:rFonts w:ascii="Arial" w:cs="Arial" w:eastAsia="Arial" w:hAnsi="Arial"/>
          <w:sz w:val="18"/>
          <w:szCs w:val="18"/>
          <w:color w:val="auto"/>
        </w:rPr>
      </w:pPr>
    </w:p>
    <w:p>
      <w:pPr>
        <w:jc w:val="both"/>
        <w:ind w:left="1240" w:hanging="523"/>
        <w:spacing w:after="0" w:line="298" w:lineRule="auto"/>
        <w:tabs>
          <w:tab w:leader="none" w:pos="124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Reduced risk of clinical resistance: </w:t>
      </w:r>
      <w:r>
        <w:rPr>
          <w:rFonts w:ascii="Arial" w:cs="Arial" w:eastAsia="Arial" w:hAnsi="Arial"/>
          <w:sz w:val="16"/>
          <w:szCs w:val="16"/>
          <w:color w:val="auto"/>
        </w:rPr>
        <w:t>We are developing antibodies that target conserved residues in the receptor-binding domain, or</w:t>
      </w:r>
      <w:r>
        <w:rPr>
          <w:rFonts w:ascii="Arial" w:cs="Arial" w:eastAsia="Arial" w:hAnsi="Arial"/>
          <w:sz w:val="16"/>
          <w:szCs w:val="16"/>
          <w:b w:val="1"/>
          <w:bCs w:val="1"/>
          <w:color w:val="auto"/>
        </w:rPr>
        <w:t xml:space="preserve"> </w:t>
      </w:r>
      <w:r>
        <w:rPr>
          <w:rFonts w:ascii="Arial" w:cs="Arial" w:eastAsia="Arial" w:hAnsi="Arial"/>
          <w:sz w:val="16"/>
          <w:szCs w:val="16"/>
          <w:color w:val="auto"/>
        </w:rPr>
        <w:t>RBD, of the viral S protein. Importantly, these residues are distinct from those recognized by other SARS-CoV-2-specific antibodies that are currently available or in development. In addition, the residues that our antibodies target are not readily targeted by antibodies induced by natural infection, which are referred to as public antibodies. These two factors suggest that the residues our antibodies target are less likely to mutate, which we believe will reduce the risk of resistance to our antibodies.</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ADG20: Our Solution for the Treatment and Prevention of COVID-19</w:t>
      </w:r>
    </w:p>
    <w:p>
      <w:pPr>
        <w:spacing w:after="0" w:line="121"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auto"/>
        </w:rPr>
        <w:t>ADG20, our lead product candidate, is designed to be a potent, broadly neutralizing antibody for both the treatment and prevention of COVID-19, including disease caused by variants, as either a single or combination agent. We believe ADG20 will have the following key clinical and commercial attributes:</w:t>
      </w:r>
    </w:p>
    <w:p>
      <w:pPr>
        <w:spacing w:after="0" w:line="89" w:lineRule="exact"/>
        <w:rPr>
          <w:sz w:val="20"/>
          <w:szCs w:val="20"/>
          <w:color w:val="auto"/>
        </w:rPr>
      </w:pPr>
    </w:p>
    <w:p>
      <w:pPr>
        <w:ind w:left="1240" w:hanging="523"/>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Broadly neutralizing activity across sarbecoviruses;</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Rapid onset of protection;</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Differentiated durability;</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Convenient, single-dose IM injection for use in the outpatient setting;</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Ability to both complement and supplement currently available COVID-19 vaccines, including for immunocompromised individuals;</w:t>
      </w:r>
    </w:p>
    <w:p>
      <w:pPr>
        <w:spacing w:after="0" w:line="153" w:lineRule="exact"/>
        <w:rPr>
          <w:rFonts w:ascii="Arial" w:cs="Arial" w:eastAsia="Arial" w:hAnsi="Arial"/>
          <w:sz w:val="16"/>
          <w:szCs w:val="16"/>
          <w:color w:val="auto"/>
        </w:rPr>
      </w:pPr>
    </w:p>
    <w:p>
      <w:pPr>
        <w:ind w:left="1240" w:hanging="523"/>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 titer, high yield manufacturing process;</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Standard refrigeration requirements to facilitate worldwide distribution and storage; and</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Long shelf life to enable stockpiling.</w:t>
      </w:r>
    </w:p>
    <w:p>
      <w:pPr>
        <w:spacing w:after="0" w:line="225" w:lineRule="exact"/>
        <w:rPr>
          <w:sz w:val="20"/>
          <w:szCs w:val="20"/>
          <w:color w:val="auto"/>
        </w:rPr>
      </w:pPr>
    </w:p>
    <w:p>
      <w:pPr>
        <w:jc w:val="both"/>
        <w:ind w:left="300" w:firstLine="426"/>
        <w:spacing w:after="0" w:line="273" w:lineRule="auto"/>
        <w:rPr>
          <w:sz w:val="20"/>
          <w:szCs w:val="20"/>
          <w:color w:val="auto"/>
        </w:rPr>
      </w:pPr>
      <w:r>
        <w:rPr>
          <w:rFonts w:ascii="Arial" w:cs="Arial" w:eastAsia="Arial" w:hAnsi="Arial"/>
          <w:sz w:val="17"/>
          <w:szCs w:val="17"/>
          <w:color w:val="auto"/>
        </w:rPr>
        <w:t xml:space="preserve">ADG20 has been evaluated in a series of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studies to demonstrate its breadth as well as safety and efficacy in various animal models.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binding studies have demonstrated that ADG20 binds with high affinity to a diverse set of RBD subdomain 1, or RBD SD1, molecules from naturally circulating SARS-CoV-2 variants and related sarbecoviruses. In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studies, ADG20 has demonstrated neutralizing activity against SARS-CoV-2 and the emerging variants that have been associated with lower efficacy rates of certain vaccines and are resistant or partially resistant to a subset of currently available or clinical-stage mAbs. In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models, ADG20 demonstrated an ability to prevent and treat SARS-CoV-2 infection and associated disease as well as a prolonged serum half-life.</w:t>
      </w:r>
    </w:p>
    <w:p>
      <w:pPr>
        <w:spacing w:after="0" w:line="36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420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4420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firstLine="426"/>
        <w:spacing w:after="0" w:line="287" w:lineRule="auto"/>
        <w:rPr>
          <w:sz w:val="20"/>
          <w:szCs w:val="20"/>
          <w:color w:val="auto"/>
        </w:rPr>
      </w:pPr>
      <w:r>
        <w:rPr>
          <w:rFonts w:ascii="Arial" w:cs="Arial" w:eastAsia="Arial" w:hAnsi="Arial"/>
          <w:sz w:val="16"/>
          <w:szCs w:val="16"/>
          <w:color w:val="auto"/>
        </w:rPr>
        <w:t>We have completed enrollment in our first-in-human Phase 1 clinical trial in healthy volunteers. Interim data demonstrated that ADG20 was well tolerated and displayed a pharmacokinetic profile consistent with an extended half-life mAb. Serum virus neutralizing antibody titers measured the day following administration of ADG20 were similar to or exceeded peak serum neutralizing antibody titers generated after two doses of mRNA or adenovirus-based COVID-19 vaccines. For the treatment of mild to moderate COVID-19 in patients at high risk of disease progression, we are conducting our STAMP trial, a combined Phase 2/3 global clinical trial designed to provide a path to applying for EUA and/or filing a BLA for marketing approval in 2022, and commercial launch thereafter, if ADG20 is approved. We may not meet our time frames for submission for an EUA or BLA, and if we do meet such timelines, there is no guarantee the FDA would approve our submission, or on the time frame we have indicated. For the prevention of COVID-19, we are conducting our EVADE trial, a combined Phase 2/3 global clinical trial, in both post-exposure and pre-exposure populations. As shown in the graphic below, we believe that intervention with an antiviral neutralizing antibody before exposure to SARS-CoV-2, post-exposure but prior to the onset of symptoms, or early in the course of symptomatic disease when viral replication is high but prior to the onset of significant immune pathology is likely to provide the greatest benefit to patients.</w:t>
      </w:r>
    </w:p>
    <w:p>
      <w:pPr>
        <w:spacing w:after="0" w:line="38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u w:val="single" w:color="auto"/>
          <w:color w:val="auto"/>
        </w:rPr>
        <w:t>ADG20 for Treatment and Prevention of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300" w:firstLine="426"/>
        <w:spacing w:after="0" w:line="301" w:lineRule="auto"/>
        <w:rPr>
          <w:sz w:val="20"/>
          <w:szCs w:val="20"/>
          <w:color w:val="auto"/>
        </w:rPr>
      </w:pPr>
      <w:r>
        <w:rPr>
          <w:rFonts w:ascii="Arial" w:cs="Arial" w:eastAsia="Arial" w:hAnsi="Arial"/>
          <w:sz w:val="16"/>
          <w:szCs w:val="16"/>
          <w:color w:val="auto"/>
        </w:rPr>
        <w:t>If our STAMP and EVADE trials are successful, we believe ADG20 has the potential to be approved for both the treatment and prevention of COVID-19 in the United States, potentially preceded by an EUA for the treatment of mild to moderate COVID-19 in patients at high risk of disease progression. Importantly, given the global impact of COVID-19, we also plan to seek approvals outside the United States. In addition, we are developing a clinical plan to support the use of ADG20 in the pediatric population for both the treatment and prevention of COVID-19.</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Additional Broadly Neutralizing Antibodies and Discovery Programs Beyond ADG20</w:t>
      </w:r>
    </w:p>
    <w:p>
      <w:pPr>
        <w:spacing w:after="0" w:line="121" w:lineRule="exact"/>
        <w:rPr>
          <w:sz w:val="20"/>
          <w:szCs w:val="20"/>
          <w:color w:val="auto"/>
        </w:rPr>
      </w:pPr>
    </w:p>
    <w:p>
      <w:pPr>
        <w:jc w:val="both"/>
        <w:ind w:left="300" w:firstLine="426"/>
        <w:spacing w:after="0" w:line="271" w:lineRule="auto"/>
        <w:rPr>
          <w:sz w:val="20"/>
          <w:szCs w:val="20"/>
          <w:color w:val="auto"/>
        </w:rPr>
      </w:pPr>
      <w:r>
        <w:rPr>
          <w:rFonts w:ascii="Arial" w:cs="Arial" w:eastAsia="Arial" w:hAnsi="Arial"/>
          <w:sz w:val="17"/>
          <w:szCs w:val="17"/>
          <w:color w:val="auto"/>
        </w:rPr>
        <w:t>We are currently evaluating additional broadly neutralizing antibodies, such as ADG10, for potential use in combination with ADG20 for COVID-19. We believe the incorporation of a second broadly neutralizing antibody that targets a distinct viral epitope from the epitope targeted by ADG20 will ensure long-lasting product activity against COVID-19 as new variants of SARS-CoV-2 emerge, as well as against future potential outbreaks of disease that may arise from additional SARS-like viruses with pandemic potential. In addition, we plan to leverage the robust antibody discovery and development capabilities that have enabled our expedited advancement of ADG20 into clinical trials to develop therapeutic or preventative options for other respiratory viral infections, such as additional coronaviruses and seasonal and pandemic influenza. In addition to building a portfolio of broadly neutralizing antibodies, we are leveraging our knowledge around broadly neutralizing antibody responses to inform the rational design of coronavirus vaccine antigens.</w:t>
      </w:r>
    </w:p>
    <w:p>
      <w:pPr>
        <w:spacing w:after="0" w:line="36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963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65963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auto"/>
        </w:rPr>
        <w:t>Our goal is to develop and commercialize differentiated antibody-based solutions with broadly neutralizing activity for the treatment and prevention of diseases caused by SARS-CoV-2, its variants and additional SARS-like viruses with pandemic potential. In order to achieve this goal, our strategy involves executing on the following key elements:</w:t>
      </w:r>
    </w:p>
    <w:p>
      <w:pPr>
        <w:spacing w:after="0" w:line="89" w:lineRule="exact"/>
        <w:rPr>
          <w:sz w:val="20"/>
          <w:szCs w:val="20"/>
          <w:color w:val="auto"/>
        </w:rPr>
      </w:pPr>
    </w:p>
    <w:p>
      <w:pPr>
        <w:ind w:left="1240" w:hanging="523"/>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Leverage our team’s collective expertise in development, manufacturing and commercialization to efficiently bring ADG20 to patients.</w:t>
      </w:r>
    </w:p>
    <w:p>
      <w:pPr>
        <w:spacing w:after="0" w:line="75" w:lineRule="exact"/>
        <w:rPr>
          <w:rFonts w:ascii="Arial" w:cs="Arial" w:eastAsia="Arial" w:hAnsi="Arial"/>
          <w:sz w:val="18"/>
          <w:szCs w:val="18"/>
          <w:color w:val="auto"/>
        </w:rPr>
      </w:pPr>
    </w:p>
    <w:p>
      <w:pPr>
        <w:ind w:left="1240" w:right="20" w:hanging="523"/>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Complete development and obtain global approval for our lead product candidate, ADG20, for both the treatment and prevention of COVID-19.</w:t>
      </w:r>
    </w:p>
    <w:p>
      <w:pPr>
        <w:spacing w:after="0" w:line="75" w:lineRule="exact"/>
        <w:rPr>
          <w:rFonts w:ascii="Arial" w:cs="Arial" w:eastAsia="Arial" w:hAnsi="Arial"/>
          <w:sz w:val="18"/>
          <w:szCs w:val="18"/>
          <w:color w:val="auto"/>
        </w:rPr>
      </w:pPr>
    </w:p>
    <w:p>
      <w:pPr>
        <w:ind w:left="1240" w:hanging="523"/>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Successfully commercialize ADG20, if approved, through our own organization in the United States and Europe, and partners in the rest of the world.</w:t>
      </w:r>
    </w:p>
    <w:p>
      <w:pPr>
        <w:spacing w:after="0" w:line="75" w:lineRule="exact"/>
        <w:rPr>
          <w:rFonts w:ascii="Arial" w:cs="Arial" w:eastAsia="Arial" w:hAnsi="Arial"/>
          <w:sz w:val="18"/>
          <w:szCs w:val="18"/>
          <w:color w:val="auto"/>
        </w:rPr>
      </w:pPr>
    </w:p>
    <w:p>
      <w:pPr>
        <w:ind w:left="1240" w:right="20" w:hanging="523"/>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secure additional manufacturing capacity with trusted contract development and manufacturing organization, or CDMO, partners to enable a worldwide commercial launch.</w:t>
      </w:r>
    </w:p>
    <w:p>
      <w:pPr>
        <w:spacing w:after="0" w:line="75" w:lineRule="exact"/>
        <w:rPr>
          <w:rFonts w:ascii="Arial" w:cs="Arial" w:eastAsia="Arial" w:hAnsi="Arial"/>
          <w:sz w:val="18"/>
          <w:szCs w:val="18"/>
          <w:color w:val="auto"/>
        </w:rPr>
      </w:pPr>
    </w:p>
    <w:p>
      <w:pPr>
        <w:ind w:left="1240" w:hanging="523"/>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 additional antibodies for use in potential combination with ADG20 to address future potential variants of SARS-CoV-2 and other sarbecovirus outbreaks.</w:t>
      </w:r>
    </w:p>
    <w:p>
      <w:pPr>
        <w:spacing w:after="0" w:line="75" w:lineRule="exact"/>
        <w:rPr>
          <w:rFonts w:ascii="Arial" w:cs="Arial" w:eastAsia="Arial" w:hAnsi="Arial"/>
          <w:sz w:val="18"/>
          <w:szCs w:val="18"/>
          <w:color w:val="auto"/>
        </w:rPr>
      </w:pPr>
    </w:p>
    <w:p>
      <w:pPr>
        <w:ind w:left="1240" w:right="20" w:hanging="523"/>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Leverage relationships with Adimab and academic institutions to discover additional antibody-based solutions to address coronavirus and influenza infections.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History and Team</w:t>
      </w:r>
    </w:p>
    <w:p>
      <w:pPr>
        <w:spacing w:after="0" w:line="121" w:lineRule="exact"/>
        <w:rPr>
          <w:sz w:val="20"/>
          <w:szCs w:val="20"/>
          <w:color w:val="auto"/>
        </w:rPr>
      </w:pPr>
    </w:p>
    <w:p>
      <w:pPr>
        <w:jc w:val="both"/>
        <w:ind w:left="300" w:firstLine="426"/>
        <w:spacing w:after="0" w:line="269" w:lineRule="auto"/>
        <w:rPr>
          <w:sz w:val="20"/>
          <w:szCs w:val="20"/>
          <w:color w:val="auto"/>
        </w:rPr>
      </w:pPr>
      <w:r>
        <w:rPr>
          <w:rFonts w:ascii="Arial" w:cs="Arial" w:eastAsia="Arial" w:hAnsi="Arial"/>
          <w:sz w:val="17"/>
          <w:szCs w:val="17"/>
          <w:color w:val="auto"/>
        </w:rPr>
        <w:t>We were founded in June 2020 to develop a portfolio of anti-coronavirus antibodies discovered by Adimab for both the treatment and prevention of COVID-19 and future coronavirus outbreaks. Our founding scientists discovered ADG20, our lead product candidate, while working at Adimab, an industry leader in translating target hypotheses into therapeutically relevant antibodies. The Adimab platform has been used in more than 385 antibody discovery and optimization programs, more than 40 of which have advanced into clinical trials, including five programs in pivotal clinical trials. In order to maximize ADG20’s potential and to ensure its development and commercialization with appropriate infectious disease resources and development expertise, we were launched as a new biotechnology company. Since our founding, we have assembled a team of industry veterans with substantial experience in discovering, developing and commercializing novel treatments for infectious diseases, including extensive experience discovering and optimizing mAbs. Many of our team members have held senior positions at companies such as Cubist Pharmaceuticals, Inc., Vir Biotechnology Inc., Adimab, Biogen and Ironwood Pharmaceuticals, among others. Our leadership team has more than 100 years of combined development and commercialization experience with small and large molecules in infectious disease, as well as decades of domain expertise in B-cell immunology of viral diseases.</w:t>
      </w:r>
    </w:p>
    <w:p>
      <w:pPr>
        <w:spacing w:after="0" w:line="18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Since our inception, we have raised approximately $470 million of capital from leading institutional healthcare investors and our partners.</w:t>
      </w:r>
    </w:p>
    <w:p>
      <w:pPr>
        <w:spacing w:after="0" w:line="3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jc w:val="both"/>
        <w:ind w:left="300" w:firstLine="426"/>
        <w:spacing w:after="0" w:line="277" w:lineRule="auto"/>
        <w:rPr>
          <w:sz w:val="20"/>
          <w:szCs w:val="20"/>
          <w:color w:val="auto"/>
        </w:rPr>
      </w:pPr>
      <w:r>
        <w:rPr>
          <w:rFonts w:ascii="Arial" w:cs="Arial" w:eastAsia="Arial" w:hAnsi="Arial"/>
          <w:sz w:val="18"/>
          <w:szCs w:val="18"/>
          <w:color w:val="auto"/>
        </w:rPr>
        <w:t>Our business is subject to numerous risks that you should be aware of before making an investment decision. These risks are described more fully in the section titled “Risk Factors” and include, among others:</w:t>
      </w:r>
    </w:p>
    <w:p>
      <w:pPr>
        <w:spacing w:after="0" w:line="76" w:lineRule="exact"/>
        <w:rPr>
          <w:sz w:val="20"/>
          <w:szCs w:val="20"/>
          <w:color w:val="auto"/>
        </w:rPr>
      </w:pPr>
    </w:p>
    <w:p>
      <w:pPr>
        <w:ind w:left="1240" w:right="20" w:hanging="523"/>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We expect to incur losses over the next several years and may never achieve or maintain profitability.</w:t>
      </w:r>
    </w:p>
    <w:p>
      <w:pPr>
        <w:spacing w:after="0" w:line="75" w:lineRule="exact"/>
        <w:rPr>
          <w:rFonts w:ascii="Arial" w:cs="Arial" w:eastAsia="Arial" w:hAnsi="Arial"/>
          <w:sz w:val="18"/>
          <w:szCs w:val="18"/>
          <w:color w:val="auto"/>
        </w:rPr>
      </w:pPr>
    </w:p>
    <w:p>
      <w:pPr>
        <w:ind w:left="1240" w:hanging="523"/>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limited operating history and no history of commercializing products, which may make it difficult for an investor to evaluate the success of our business to date and to assess our future viability.</w:t>
      </w:r>
    </w:p>
    <w:p>
      <w:pPr>
        <w:spacing w:after="0" w:line="35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274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62274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1240" w:right="20" w:hanging="523"/>
        <w:spacing w:after="0" w:line="263"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Even if this offering is successful, 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89" w:lineRule="exact"/>
        <w:rPr>
          <w:rFonts w:ascii="Arial" w:cs="Arial" w:eastAsia="Arial" w:hAnsi="Arial"/>
          <w:sz w:val="18"/>
          <w:szCs w:val="18"/>
          <w:color w:val="auto"/>
        </w:rPr>
      </w:pPr>
    </w:p>
    <w:p>
      <w:pPr>
        <w:ind w:left="1240" w:hanging="523"/>
        <w:spacing w:after="0"/>
        <w:tabs>
          <w:tab w:leader="none" w:pos="1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recurring losses from operations and financial condition raise substantial doubt about our ability to continue as a going concern.</w:t>
      </w:r>
    </w:p>
    <w:p>
      <w:pPr>
        <w:spacing w:after="0" w:line="153" w:lineRule="exact"/>
        <w:rPr>
          <w:rFonts w:ascii="Arial" w:cs="Arial" w:eastAsia="Arial" w:hAnsi="Arial"/>
          <w:sz w:val="16"/>
          <w:szCs w:val="16"/>
          <w:color w:val="auto"/>
        </w:rPr>
      </w:pPr>
    </w:p>
    <w:p>
      <w:pPr>
        <w:jc w:val="both"/>
        <w:ind w:left="1240" w:right="20" w:hanging="523"/>
        <w:spacing w:after="0" w:line="286" w:lineRule="auto"/>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All of our product candidates are currently in clinical and preclinical development. If we are unable to successfully develop, receive regulatory approval or EUA for and commercialize our product candidates for the indications we seek, or successfully develop any other product candidates, or experience significant delays in doing so, our business will be harmed.</w:t>
      </w:r>
    </w:p>
    <w:p>
      <w:pPr>
        <w:spacing w:after="0" w:line="70" w:lineRule="exact"/>
        <w:rPr>
          <w:rFonts w:ascii="Arial" w:cs="Arial" w:eastAsia="Arial" w:hAnsi="Arial"/>
          <w:sz w:val="17"/>
          <w:szCs w:val="17"/>
          <w:color w:val="auto"/>
        </w:rPr>
      </w:pPr>
    </w:p>
    <w:p>
      <w:pPr>
        <w:jc w:val="both"/>
        <w:ind w:left="1240" w:hanging="523"/>
        <w:spacing w:after="0" w:line="263"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Because ADG20 and any future product candidates represent novel approaches to the treatment of disease, there are many uncertainties regarding the development, market acceptance, third-party reimbursement coverage and commercial potential of our product candidates.</w:t>
      </w:r>
    </w:p>
    <w:p>
      <w:pPr>
        <w:spacing w:after="0" w:line="89" w:lineRule="exact"/>
        <w:rPr>
          <w:rFonts w:ascii="Arial" w:cs="Arial" w:eastAsia="Arial" w:hAnsi="Arial"/>
          <w:sz w:val="18"/>
          <w:szCs w:val="18"/>
          <w:color w:val="auto"/>
        </w:rPr>
      </w:pPr>
    </w:p>
    <w:p>
      <w:pPr>
        <w:jc w:val="both"/>
        <w:ind w:left="1240" w:hanging="523"/>
        <w:spacing w:after="0" w:line="273" w:lineRule="auto"/>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There can be no assurance that the product we are developing for COVID-19 would be granted an EUA by the FDA or similar authorization by regulatory authorities outside of the United States if we decide to apply for such an authorization. If we do not apply for such an authorization or, if we do apply and no authorization is granted or, once granted, it is terminated, we will be unable to sell our product in the near future and instead, will be required to pursue solely the traditional regulatory approval processes of the FDA and comparable foreign authorities, which are lengthy, time consuming and inherently unpredictable. If we are not able to obtain required regulatory approval for our product candidates, our business will be substantially harmed.</w:t>
      </w:r>
    </w:p>
    <w:p>
      <w:pPr>
        <w:spacing w:after="0" w:line="83" w:lineRule="exact"/>
        <w:rPr>
          <w:rFonts w:ascii="Arial" w:cs="Arial" w:eastAsia="Arial" w:hAnsi="Arial"/>
          <w:sz w:val="17"/>
          <w:szCs w:val="17"/>
          <w:color w:val="auto"/>
        </w:rPr>
      </w:pPr>
    </w:p>
    <w:p>
      <w:pPr>
        <w:ind w:left="1240" w:hanging="523"/>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 in preclinical studies or earlier clinical trials may not be indicative of results in future clinical trials. Our product candidates may not have favorable results in later clinical trials, if any, or receive regulatory approval.</w:t>
      </w:r>
    </w:p>
    <w:p>
      <w:pPr>
        <w:spacing w:after="0" w:line="75" w:lineRule="exact"/>
        <w:rPr>
          <w:rFonts w:ascii="Arial" w:cs="Arial" w:eastAsia="Arial" w:hAnsi="Arial"/>
          <w:sz w:val="18"/>
          <w:szCs w:val="18"/>
          <w:color w:val="auto"/>
        </w:rPr>
      </w:pPr>
    </w:p>
    <w:p>
      <w:pPr>
        <w:jc w:val="both"/>
        <w:ind w:left="1240" w:right="20" w:hanging="523"/>
        <w:spacing w:after="0" w:line="263"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Lack of awareness or negative public opinion of monoclonal antibody therapies and increased regulatory scrutiny of monoclonal antibody therapies to treat symptomatic COVID-19 may adversely impact the development or commercial success of our current and future product candidates.</w:t>
      </w:r>
    </w:p>
    <w:p>
      <w:pPr>
        <w:spacing w:after="0" w:line="89" w:lineRule="exact"/>
        <w:rPr>
          <w:rFonts w:ascii="Arial" w:cs="Arial" w:eastAsia="Arial" w:hAnsi="Arial"/>
          <w:sz w:val="18"/>
          <w:szCs w:val="18"/>
          <w:color w:val="auto"/>
        </w:rPr>
      </w:pPr>
    </w:p>
    <w:p>
      <w:pPr>
        <w:ind w:left="1240" w:hanging="523"/>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successful in our efforts to build a pipeline of additional product candidates.</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and operations may be adversely affected by the evolving and ongoing COVID-19 global pandemic.</w:t>
      </w:r>
    </w:p>
    <w:p>
      <w:pPr>
        <w:spacing w:after="0" w:line="130" w:lineRule="exact"/>
        <w:rPr>
          <w:rFonts w:ascii="Arial" w:cs="Arial" w:eastAsia="Arial" w:hAnsi="Arial"/>
          <w:sz w:val="18"/>
          <w:szCs w:val="18"/>
          <w:color w:val="auto"/>
        </w:rPr>
      </w:pPr>
    </w:p>
    <w:p>
      <w:pPr>
        <w:jc w:val="both"/>
        <w:ind w:left="1240" w:hanging="523"/>
        <w:spacing w:after="0" w:line="263"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Monoclonal antibody therapies are complex and difficult to manufacture. We could experience manufacturing problems, or may be unable to access raw materials due to global supply chain shortages, that result in delays in the development or commercialization of our product candidates or otherwise harm our business.</w:t>
      </w:r>
    </w:p>
    <w:p>
      <w:pPr>
        <w:spacing w:after="0" w:line="89" w:lineRule="exact"/>
        <w:rPr>
          <w:rFonts w:ascii="Arial" w:cs="Arial" w:eastAsia="Arial" w:hAnsi="Arial"/>
          <w:sz w:val="18"/>
          <w:szCs w:val="18"/>
          <w:color w:val="auto"/>
        </w:rPr>
      </w:pPr>
    </w:p>
    <w:p>
      <w:pPr>
        <w:ind w:left="1240" w:right="20" w:hanging="523"/>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affected populations for our lead monoclonal antibody product candidate or our other product candidates may be smaller than we or third parties currently project, which may affect the addressable markets for our product candidates.</w:t>
      </w:r>
    </w:p>
    <w:p>
      <w:pPr>
        <w:spacing w:after="0" w:line="75" w:lineRule="exact"/>
        <w:rPr>
          <w:rFonts w:ascii="Arial" w:cs="Arial" w:eastAsia="Arial" w:hAnsi="Arial"/>
          <w:sz w:val="18"/>
          <w:szCs w:val="18"/>
          <w:color w:val="auto"/>
        </w:rPr>
      </w:pPr>
    </w:p>
    <w:p>
      <w:pPr>
        <w:ind w:left="1240" w:right="20" w:hanging="523"/>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ADG20 and our other monoclonal antibody product candidates may face significant competition from vaccines and other treatments for COVID-19 that are currently available or in development.</w:t>
      </w:r>
    </w:p>
    <w:p>
      <w:pPr>
        <w:spacing w:after="0" w:line="75" w:lineRule="exact"/>
        <w:rPr>
          <w:rFonts w:ascii="Arial" w:cs="Arial" w:eastAsia="Arial" w:hAnsi="Arial"/>
          <w:sz w:val="18"/>
          <w:szCs w:val="18"/>
          <w:color w:val="auto"/>
        </w:rPr>
      </w:pPr>
    </w:p>
    <w:p>
      <w:pPr>
        <w:jc w:val="both"/>
        <w:ind w:left="1240" w:hanging="523"/>
        <w:spacing w:after="0" w:line="259"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unable to obtain, maintain and enforce patent protection for our current and future product candidates, or if the scope of the patent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92" w:lineRule="exact"/>
        <w:rPr>
          <w:rFonts w:ascii="Arial" w:cs="Arial" w:eastAsia="Arial" w:hAnsi="Arial"/>
          <w:sz w:val="18"/>
          <w:szCs w:val="18"/>
          <w:color w:val="auto"/>
        </w:rPr>
      </w:pPr>
    </w:p>
    <w:p>
      <w:pPr>
        <w:ind w:left="1240" w:right="20" w:hanging="523"/>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Third parties may initiate legal proceedings alleging that we are infringing, misappropriating or otherwise violating their intellectual property rights, the outcome of which would be uncertain.</w:t>
      </w: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734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63734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1240" w:right="20" w:hanging="523"/>
        <w:spacing w:after="0" w:line="263"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of our directors and officers may have actual or potential conflicts of interest because of their positions with Adimab and/or other companies and may not be able to or may choose not to devote sufficient time and attention to our company, or may otherwise have conflicting incentives.</w:t>
      </w:r>
    </w:p>
    <w:p>
      <w:pPr>
        <w:spacing w:after="0" w:line="89" w:lineRule="exact"/>
        <w:rPr>
          <w:rFonts w:ascii="Arial" w:cs="Arial" w:eastAsia="Arial" w:hAnsi="Arial"/>
          <w:sz w:val="18"/>
          <w:szCs w:val="18"/>
          <w:color w:val="auto"/>
        </w:rPr>
      </w:pPr>
    </w:p>
    <w:p>
      <w:pPr>
        <w:jc w:val="both"/>
        <w:ind w:left="1240" w:hanging="523"/>
        <w:spacing w:after="0" w:line="259"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identified a material weakness in our internal control over financial reporting. If we are unable to remediate this material weakness, or if we identify additional material weaknesses in the future or otherwise fail to maintain effective internal control over financial reporting, we may not be able to accurately or timely report our financial condition or results of operations, which may adversely affect our business.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121"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auto"/>
        </w:rPr>
        <w:t>We are an “emerging growth company” as defined in the Jumpstart Our Business Startups Act of 2012, as amended, or the JOBS Act. As such, we may take advantage of certain exemptions from various reporting requirements that are otherwise applicable to public companies. These exemptions include, but are not limited to:</w:t>
      </w:r>
    </w:p>
    <w:p>
      <w:pPr>
        <w:spacing w:after="0" w:line="89" w:lineRule="exact"/>
        <w:rPr>
          <w:sz w:val="20"/>
          <w:szCs w:val="20"/>
          <w:color w:val="auto"/>
        </w:rPr>
      </w:pPr>
    </w:p>
    <w:p>
      <w:pPr>
        <w:jc w:val="both"/>
        <w:ind w:left="1240" w:hanging="523"/>
        <w:spacing w:after="0" w:line="263"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89" w:lineRule="exact"/>
        <w:rPr>
          <w:rFonts w:ascii="Arial" w:cs="Arial" w:eastAsia="Arial" w:hAnsi="Arial"/>
          <w:sz w:val="18"/>
          <w:szCs w:val="18"/>
          <w:color w:val="auto"/>
        </w:rPr>
      </w:pPr>
    </w:p>
    <w:p>
      <w:pPr>
        <w:ind w:left="1240" w:right="20" w:hanging="523"/>
        <w:spacing w:after="0" w:line="277"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exemption from compliance with the auditor attestation requirement in the assessment of our internal control over financial reporting;</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w:t>
      </w:r>
    </w:p>
    <w:p>
      <w:pPr>
        <w:spacing w:after="0" w:line="130" w:lineRule="exact"/>
        <w:rPr>
          <w:rFonts w:ascii="Arial" w:cs="Arial" w:eastAsia="Arial" w:hAnsi="Arial"/>
          <w:sz w:val="18"/>
          <w:szCs w:val="18"/>
          <w:color w:val="auto"/>
        </w:rPr>
      </w:pPr>
    </w:p>
    <w:p>
      <w:pPr>
        <w:ind w:left="1240" w:right="20" w:hanging="523"/>
        <w:spacing w:after="0" w:line="277"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 and</w:t>
      </w:r>
    </w:p>
    <w:p>
      <w:pPr>
        <w:spacing w:after="0" w:line="75" w:lineRule="exact"/>
        <w:rPr>
          <w:rFonts w:ascii="Arial" w:cs="Arial" w:eastAsia="Arial" w:hAnsi="Arial"/>
          <w:sz w:val="18"/>
          <w:szCs w:val="18"/>
          <w:color w:val="auto"/>
        </w:rPr>
      </w:pPr>
    </w:p>
    <w:p>
      <w:pPr>
        <w:ind w:left="1240" w:hanging="523"/>
        <w:spacing w:after="0" w:line="277"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exemption from compliance with the requirements of the Public Company Accounting Oversight Board regarding the communication of critical audit matters in the auditor’s report on the financial statements.</w:t>
      </w:r>
    </w:p>
    <w:p>
      <w:pPr>
        <w:spacing w:after="0" w:line="170" w:lineRule="exact"/>
        <w:rPr>
          <w:sz w:val="20"/>
          <w:szCs w:val="20"/>
          <w:color w:val="auto"/>
        </w:rPr>
      </w:pPr>
    </w:p>
    <w:p>
      <w:pPr>
        <w:jc w:val="both"/>
        <w:ind w:left="300" w:firstLine="426"/>
        <w:spacing w:after="0" w:line="284" w:lineRule="auto"/>
        <w:rPr>
          <w:sz w:val="20"/>
          <w:szCs w:val="20"/>
          <w:color w:val="auto"/>
        </w:rPr>
      </w:pPr>
      <w:r>
        <w:rPr>
          <w:rFonts w:ascii="Arial" w:cs="Arial" w:eastAsia="Arial" w:hAnsi="Arial"/>
          <w:sz w:val="16"/>
          <w:szCs w:val="16"/>
          <w:color w:val="auto"/>
        </w:rPr>
        <w:t>We may take advantage of these provisions until the last day of our fiscal year following the fifth anniversary of the completion of this offering. However, if prior to the end of such five-year period, (i) our annual gross revenue exceeds $1.07 billion, (ii) we issue more than $1.0 billion of non-convertible debt in the previous three-year period or (iii) we become a “large accelerated filer” (as defined in Rule 12b-2 under the Securities Exchange Act of 1934, as amended, or the Exchange Act), we will cease to be an emerging growth company prior to the end of such five-year period. We will be deemed to be a “large accelerated filer” at such time that we (a) have an aggregate worldwide market value of our common stock held by non-affiliates of $700.0 million or more as of the last business day of our most recently completed second fiscal quarter,</w:t>
      </w:r>
    </w:p>
    <w:p>
      <w:pPr>
        <w:spacing w:after="0" w:line="4" w:lineRule="exact"/>
        <w:rPr>
          <w:sz w:val="20"/>
          <w:szCs w:val="20"/>
          <w:color w:val="auto"/>
        </w:rPr>
      </w:pPr>
    </w:p>
    <w:p>
      <w:pPr>
        <w:ind w:left="300" w:hanging="2"/>
        <w:spacing w:after="0" w:line="260" w:lineRule="auto"/>
        <w:tabs>
          <w:tab w:leader="none" w:pos="559"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have been required to file annual and quarterly reports under the Exchange Act for a period of at least 12 months and (c) have filed at least one annual report pursuant to the Exchange Act.</w:t>
      </w:r>
    </w:p>
    <w:p>
      <w:pPr>
        <w:spacing w:after="0" w:line="185" w:lineRule="exact"/>
        <w:rPr>
          <w:sz w:val="20"/>
          <w:szCs w:val="20"/>
          <w:color w:val="auto"/>
        </w:rPr>
      </w:pPr>
    </w:p>
    <w:p>
      <w:pPr>
        <w:jc w:val="both"/>
        <w:ind w:left="300" w:firstLine="426"/>
        <w:spacing w:after="0" w:line="311" w:lineRule="auto"/>
        <w:rPr>
          <w:sz w:val="20"/>
          <w:szCs w:val="20"/>
          <w:color w:val="auto"/>
        </w:rPr>
      </w:pPr>
      <w:r>
        <w:rPr>
          <w:rFonts w:ascii="Arial" w:cs="Arial" w:eastAsia="Arial" w:hAnsi="Arial"/>
          <w:sz w:val="16"/>
          <w:szCs w:val="16"/>
          <w:color w:val="auto"/>
        </w:rPr>
        <w:t>We have elected to take advantage of certain of the reduced disclosure obligations in the registration statement of which this prospectus forms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49" w:lineRule="exact"/>
        <w:rPr>
          <w:sz w:val="20"/>
          <w:szCs w:val="20"/>
          <w:color w:val="auto"/>
        </w:rPr>
      </w:pPr>
    </w:p>
    <w:p>
      <w:pPr>
        <w:jc w:val="both"/>
        <w:ind w:left="300" w:firstLine="426"/>
        <w:spacing w:after="0" w:line="301"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We have elected not to “opt out” of the exemption for the delayed adoption of certain accounting standards, and, therefore, we will adopt new or revised accounting standards at the time private companies adopt the new or revised accounting standards and will do so until such time that we either (i) irrevocably elect to “opt out” of such extended transition period or (ii) no longer</w:t>
      </w:r>
    </w:p>
    <w:p>
      <w:pPr>
        <w:spacing w:after="0" w:line="34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1673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31673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qualify as an emerging growth company. We may choose to early adopt any new or revised accounting standards whenever such early adoption is permitted for private companies.</w:t>
      </w:r>
    </w:p>
    <w:p>
      <w:pPr>
        <w:spacing w:after="0" w:line="170" w:lineRule="exact"/>
        <w:rPr>
          <w:sz w:val="20"/>
          <w:szCs w:val="20"/>
          <w:color w:val="auto"/>
        </w:rPr>
      </w:pPr>
    </w:p>
    <w:p>
      <w:pPr>
        <w:jc w:val="both"/>
        <w:ind w:left="300" w:firstLine="426"/>
        <w:spacing w:after="0" w:line="269" w:lineRule="auto"/>
        <w:rPr>
          <w:sz w:val="20"/>
          <w:szCs w:val="20"/>
          <w:color w:val="auto"/>
        </w:rPr>
      </w:pPr>
      <w:r>
        <w:rPr>
          <w:rFonts w:ascii="Arial" w:cs="Arial" w:eastAsia="Arial" w:hAnsi="Arial"/>
          <w:sz w:val="17"/>
          <w:szCs w:val="17"/>
          <w:color w:val="auto"/>
        </w:rPr>
        <w:t>We are also a “smaller reporting company” as defined under the Securities Exchange Act. We may continue to be a smaller reporting company for so long as either (i) the market value of our common stock held by non-affiliates is less than $250 million as of the last business day of our most recently completed second fiscal quarter or (ii) our annual revenue was less than $100 million during the most recently completed fiscal year and the market value of our common stock held by non-affiliates is less than $700 million as of the last business day of our most recently completed second quarter.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have reduced disclosure obligations regarding executive compensation, and, similar to emerging growth companies, if we are a smaller reporting company with less than $100 million in annual revenue, we would not be required to obtain an attestation report on internal control over financial reporting issued by our independent registered public accounting firm.</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left="300" w:firstLine="426"/>
        <w:spacing w:after="0" w:line="275" w:lineRule="auto"/>
        <w:rPr>
          <w:sz w:val="20"/>
          <w:szCs w:val="20"/>
          <w:color w:val="auto"/>
        </w:rPr>
      </w:pPr>
      <w:r>
        <w:rPr>
          <w:rFonts w:ascii="Arial" w:cs="Arial" w:eastAsia="Arial" w:hAnsi="Arial"/>
          <w:sz w:val="17"/>
          <w:szCs w:val="17"/>
          <w:color w:val="auto"/>
        </w:rPr>
        <w:t>We were incorporated under the laws of the State of Delaware in June of 2020. Our principal executive offices are located at 303 Wyman Street, Suite 300, Waltham, MA 02451 and our telephone number is (781) 819-0080. Our website address is adagiotx.com. The information contained on, or accessible through, our website is not incorporated by reference into this prospectus, and you should not consider any information contained in, or that can be accessed through, our website as part of this prospectus or in deciding whether to purchase our common stock. We have included our website in this prospectus solely as an inactive textual reference.</w:t>
      </w:r>
    </w:p>
    <w:p>
      <w:pPr>
        <w:spacing w:after="0" w:line="36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991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6000" w:type="dxa"/>
            <w:vAlign w:val="bottom"/>
          </w:tcPr>
          <w:p>
            <w:pPr>
              <w:spacing w:after="0"/>
              <w:rPr>
                <w:sz w:val="20"/>
                <w:szCs w:val="20"/>
                <w:color w:val="auto"/>
              </w:rPr>
            </w:pPr>
            <w:r>
              <w:rPr>
                <w:rFonts w:ascii="Arial" w:cs="Arial" w:eastAsia="Arial" w:hAnsi="Arial"/>
                <w:sz w:val="18"/>
                <w:szCs w:val="18"/>
                <w:b w:val="1"/>
                <w:bCs w:val="1"/>
                <w:color w:val="auto"/>
              </w:rPr>
              <w:t>THE OFFERING</w:t>
            </w:r>
          </w:p>
        </w:tc>
        <w:tc>
          <w:tcPr>
            <w:tcW w:w="0" w:type="dxa"/>
            <w:vAlign w:val="bottom"/>
          </w:tcPr>
          <w:p>
            <w:pPr>
              <w:spacing w:after="0"/>
              <w:rPr>
                <w:sz w:val="1"/>
                <w:szCs w:val="1"/>
                <w:color w:val="auto"/>
              </w:rPr>
            </w:pPr>
          </w:p>
        </w:tc>
      </w:tr>
      <w:tr>
        <w:trPr>
          <w:trHeight w:val="459"/>
        </w:trPr>
        <w:tc>
          <w:tcPr>
            <w:tcW w:w="4640" w:type="dxa"/>
            <w:vAlign w:val="bottom"/>
          </w:tcPr>
          <w:p>
            <w:pPr>
              <w:spacing w:after="0"/>
              <w:rPr>
                <w:sz w:val="20"/>
                <w:szCs w:val="20"/>
                <w:color w:val="auto"/>
              </w:rPr>
            </w:pPr>
            <w:r>
              <w:rPr>
                <w:rFonts w:ascii="Arial" w:cs="Arial" w:eastAsia="Arial" w:hAnsi="Arial"/>
                <w:sz w:val="18"/>
                <w:szCs w:val="18"/>
                <w:color w:val="auto"/>
              </w:rPr>
              <w:t>Common stock offered by us</w:t>
            </w:r>
          </w:p>
        </w:tc>
        <w:tc>
          <w:tcPr>
            <w:tcW w:w="6000" w:type="dxa"/>
            <w:vAlign w:val="bottom"/>
          </w:tcPr>
          <w:p>
            <w:pPr>
              <w:ind w:left="900"/>
              <w:spacing w:after="0"/>
              <w:rPr>
                <w:sz w:val="20"/>
                <w:szCs w:val="20"/>
                <w:color w:val="auto"/>
              </w:rPr>
            </w:pPr>
            <w:r>
              <w:rPr>
                <w:rFonts w:ascii="Arial" w:cs="Arial" w:eastAsia="Arial" w:hAnsi="Arial"/>
                <w:sz w:val="18"/>
                <w:szCs w:val="18"/>
                <w:color w:val="auto"/>
              </w:rPr>
              <w:t>17,700,000 shares.</w:t>
            </w:r>
          </w:p>
        </w:tc>
        <w:tc>
          <w:tcPr>
            <w:tcW w:w="0" w:type="dxa"/>
            <w:vAlign w:val="bottom"/>
          </w:tcPr>
          <w:p>
            <w:pPr>
              <w:spacing w:after="0"/>
              <w:rPr>
                <w:sz w:val="1"/>
                <w:szCs w:val="1"/>
                <w:color w:val="auto"/>
              </w:rPr>
            </w:pPr>
          </w:p>
        </w:tc>
      </w:tr>
      <w:tr>
        <w:trPr>
          <w:trHeight w:val="324"/>
        </w:trPr>
        <w:tc>
          <w:tcPr>
            <w:tcW w:w="4640" w:type="dxa"/>
            <w:vAlign w:val="bottom"/>
          </w:tcPr>
          <w:p>
            <w:pPr>
              <w:spacing w:after="0"/>
              <w:rPr>
                <w:sz w:val="20"/>
                <w:szCs w:val="20"/>
                <w:color w:val="auto"/>
              </w:rPr>
            </w:pPr>
            <w:r>
              <w:rPr>
                <w:rFonts w:ascii="Arial" w:cs="Arial" w:eastAsia="Arial" w:hAnsi="Arial"/>
                <w:sz w:val="18"/>
                <w:szCs w:val="18"/>
                <w:color w:val="auto"/>
                <w:w w:val="91"/>
              </w:rPr>
              <w:t>Common stock to be outstanding immediately after this offering</w:t>
            </w:r>
          </w:p>
        </w:tc>
        <w:tc>
          <w:tcPr>
            <w:tcW w:w="6000" w:type="dxa"/>
            <w:vAlign w:val="bottom"/>
            <w:vMerge w:val="restart"/>
          </w:tcPr>
          <w:p>
            <w:pPr>
              <w:ind w:left="900"/>
              <w:spacing w:after="0"/>
              <w:rPr>
                <w:sz w:val="20"/>
                <w:szCs w:val="20"/>
                <w:color w:val="auto"/>
              </w:rPr>
            </w:pPr>
            <w:r>
              <w:rPr>
                <w:rFonts w:ascii="Arial" w:cs="Arial" w:eastAsia="Arial" w:hAnsi="Arial"/>
                <w:sz w:val="18"/>
                <w:szCs w:val="18"/>
                <w:color w:val="auto"/>
                <w:w w:val="89"/>
              </w:rPr>
              <w:t>108,015,660 shares (or 110,670,660 shares if the underwriters exercise</w:t>
            </w:r>
          </w:p>
        </w:tc>
        <w:tc>
          <w:tcPr>
            <w:tcW w:w="0" w:type="dxa"/>
            <w:vAlign w:val="bottom"/>
          </w:tcPr>
          <w:p>
            <w:pPr>
              <w:spacing w:after="0"/>
              <w:rPr>
                <w:sz w:val="1"/>
                <w:szCs w:val="1"/>
                <w:color w:val="auto"/>
              </w:rPr>
            </w:pPr>
          </w:p>
        </w:tc>
      </w:tr>
      <w:tr>
        <w:trPr>
          <w:trHeight w:val="202"/>
        </w:trPr>
        <w:tc>
          <w:tcPr>
            <w:tcW w:w="4640" w:type="dxa"/>
            <w:vAlign w:val="bottom"/>
          </w:tcPr>
          <w:p>
            <w:pPr>
              <w:spacing w:after="0"/>
              <w:rPr>
                <w:sz w:val="17"/>
                <w:szCs w:val="17"/>
                <w:color w:val="auto"/>
              </w:rPr>
            </w:pPr>
          </w:p>
        </w:tc>
        <w:tc>
          <w:tcPr>
            <w:tcW w:w="6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p>
        </w:tc>
        <w:tc>
          <w:tcPr>
            <w:tcW w:w="6000" w:type="dxa"/>
            <w:vAlign w:val="bottom"/>
          </w:tcPr>
          <w:p>
            <w:pPr>
              <w:ind w:left="900"/>
              <w:spacing w:after="0"/>
              <w:rPr>
                <w:sz w:val="20"/>
                <w:szCs w:val="20"/>
                <w:color w:val="auto"/>
              </w:rPr>
            </w:pPr>
            <w:r>
              <w:rPr>
                <w:rFonts w:ascii="Arial" w:cs="Arial" w:eastAsia="Arial" w:hAnsi="Arial"/>
                <w:sz w:val="18"/>
                <w:szCs w:val="18"/>
                <w:color w:val="auto"/>
                <w:w w:val="98"/>
              </w:rPr>
              <w:t>in full their option to purchase up to 2,655,000 additional shares).</w:t>
            </w:r>
          </w:p>
        </w:tc>
        <w:tc>
          <w:tcPr>
            <w:tcW w:w="0" w:type="dxa"/>
            <w:vAlign w:val="bottom"/>
          </w:tcPr>
          <w:p>
            <w:pPr>
              <w:spacing w:after="0"/>
              <w:rPr>
                <w:sz w:val="1"/>
                <w:szCs w:val="1"/>
                <w:color w:val="auto"/>
              </w:rPr>
            </w:pPr>
          </w:p>
        </w:tc>
      </w:tr>
      <w:tr>
        <w:trPr>
          <w:trHeight w:val="310"/>
        </w:trPr>
        <w:tc>
          <w:tcPr>
            <w:tcW w:w="4640" w:type="dxa"/>
            <w:vAlign w:val="bottom"/>
          </w:tcPr>
          <w:p>
            <w:pPr>
              <w:spacing w:after="0"/>
              <w:rPr>
                <w:sz w:val="20"/>
                <w:szCs w:val="20"/>
                <w:color w:val="auto"/>
              </w:rPr>
            </w:pPr>
            <w:r>
              <w:rPr>
                <w:rFonts w:ascii="Arial" w:cs="Arial" w:eastAsia="Arial" w:hAnsi="Arial"/>
                <w:sz w:val="18"/>
                <w:szCs w:val="18"/>
                <w:color w:val="auto"/>
              </w:rPr>
              <w:t>Option to purchase additional shares offered by us</w:t>
            </w:r>
          </w:p>
        </w:tc>
        <w:tc>
          <w:tcPr>
            <w:tcW w:w="6000" w:type="dxa"/>
            <w:vAlign w:val="bottom"/>
          </w:tcPr>
          <w:p>
            <w:pPr>
              <w:ind w:left="900"/>
              <w:spacing w:after="0"/>
              <w:rPr>
                <w:sz w:val="20"/>
                <w:szCs w:val="20"/>
                <w:color w:val="auto"/>
              </w:rPr>
            </w:pPr>
            <w:r>
              <w:rPr>
                <w:rFonts w:ascii="Arial" w:cs="Arial" w:eastAsia="Arial" w:hAnsi="Arial"/>
                <w:sz w:val="18"/>
                <w:szCs w:val="18"/>
                <w:color w:val="auto"/>
                <w:w w:val="91"/>
              </w:rPr>
              <w:t>We have granted the underwriters an option for a period of 30 days to</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p>
        </w:tc>
        <w:tc>
          <w:tcPr>
            <w:tcW w:w="6000" w:type="dxa"/>
            <w:vAlign w:val="bottom"/>
          </w:tcPr>
          <w:p>
            <w:pPr>
              <w:ind w:left="900"/>
              <w:spacing w:after="0"/>
              <w:rPr>
                <w:sz w:val="20"/>
                <w:szCs w:val="20"/>
                <w:color w:val="auto"/>
              </w:rPr>
            </w:pPr>
            <w:r>
              <w:rPr>
                <w:rFonts w:ascii="Arial" w:cs="Arial" w:eastAsia="Arial" w:hAnsi="Arial"/>
                <w:sz w:val="18"/>
                <w:szCs w:val="18"/>
                <w:color w:val="auto"/>
              </w:rPr>
              <w:t>purchase up to 2,655,000 additional shares of common stock.</w:t>
            </w:r>
          </w:p>
        </w:tc>
        <w:tc>
          <w:tcPr>
            <w:tcW w:w="0" w:type="dxa"/>
            <w:vAlign w:val="bottom"/>
          </w:tcPr>
          <w:p>
            <w:pPr>
              <w:spacing w:after="0"/>
              <w:rPr>
                <w:sz w:val="1"/>
                <w:szCs w:val="1"/>
                <w:color w:val="auto"/>
              </w:rPr>
            </w:pPr>
          </w:p>
        </w:tc>
      </w:tr>
      <w:tr>
        <w:trPr>
          <w:trHeight w:val="310"/>
        </w:trPr>
        <w:tc>
          <w:tcPr>
            <w:tcW w:w="4640" w:type="dxa"/>
            <w:vAlign w:val="bottom"/>
          </w:tcPr>
          <w:p>
            <w:pPr>
              <w:spacing w:after="0"/>
              <w:rPr>
                <w:sz w:val="20"/>
                <w:szCs w:val="20"/>
                <w:color w:val="auto"/>
              </w:rPr>
            </w:pPr>
            <w:r>
              <w:rPr>
                <w:rFonts w:ascii="Arial" w:cs="Arial" w:eastAsia="Arial" w:hAnsi="Arial"/>
                <w:sz w:val="18"/>
                <w:szCs w:val="18"/>
                <w:color w:val="auto"/>
              </w:rPr>
              <w:t>Use of proceeds</w:t>
            </w:r>
          </w:p>
        </w:tc>
        <w:tc>
          <w:tcPr>
            <w:tcW w:w="6000" w:type="dxa"/>
            <w:vAlign w:val="bottom"/>
          </w:tcPr>
          <w:p>
            <w:pPr>
              <w:ind w:left="900"/>
              <w:spacing w:after="0"/>
              <w:rPr>
                <w:sz w:val="20"/>
                <w:szCs w:val="20"/>
                <w:color w:val="auto"/>
              </w:rPr>
            </w:pPr>
            <w:r>
              <w:rPr>
                <w:rFonts w:ascii="Arial" w:cs="Arial" w:eastAsia="Arial" w:hAnsi="Arial"/>
                <w:sz w:val="18"/>
                <w:szCs w:val="18"/>
                <w:color w:val="auto"/>
                <w:w w:val="98"/>
              </w:rPr>
              <w:t>We  estimate  that  the  net  proceeds  from  this  offering  will  be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tcPr>
          <w:p>
            <w:pPr>
              <w:ind w:left="900"/>
              <w:spacing w:after="0"/>
              <w:rPr>
                <w:sz w:val="20"/>
                <w:szCs w:val="20"/>
                <w:color w:val="auto"/>
              </w:rPr>
            </w:pPr>
            <w:r>
              <w:rPr>
                <w:rFonts w:ascii="Arial" w:cs="Arial" w:eastAsia="Arial" w:hAnsi="Arial"/>
                <w:sz w:val="18"/>
                <w:szCs w:val="18"/>
                <w:color w:val="auto"/>
                <w:w w:val="95"/>
              </w:rPr>
              <w:t>approximately $276.0 million, or approximately $318.0 million if the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tcPr>
          <w:p>
            <w:pPr>
              <w:ind w:left="900"/>
              <w:spacing w:after="0"/>
              <w:rPr>
                <w:sz w:val="20"/>
                <w:szCs w:val="20"/>
                <w:color w:val="auto"/>
              </w:rPr>
            </w:pPr>
            <w:r>
              <w:rPr>
                <w:rFonts w:ascii="Arial" w:cs="Arial" w:eastAsia="Arial" w:hAnsi="Arial"/>
                <w:sz w:val="18"/>
                <w:szCs w:val="18"/>
                <w:color w:val="auto"/>
                <w:w w:val="93"/>
              </w:rPr>
              <w:t>underwriters exercise in full their option to purchase up to 2,655,000</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tcPr>
          <w:p>
            <w:pPr>
              <w:ind w:left="900"/>
              <w:spacing w:after="0"/>
              <w:rPr>
                <w:sz w:val="20"/>
                <w:szCs w:val="20"/>
                <w:color w:val="auto"/>
              </w:rPr>
            </w:pPr>
            <w:r>
              <w:rPr>
                <w:rFonts w:ascii="Arial" w:cs="Arial" w:eastAsia="Arial" w:hAnsi="Arial"/>
                <w:sz w:val="18"/>
                <w:szCs w:val="18"/>
                <w:color w:val="auto"/>
                <w:w w:val="91"/>
              </w:rPr>
              <w:t>additional shares of common stock, assuming an initial public offering</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tcPr>
          <w:p>
            <w:pPr>
              <w:ind w:left="900"/>
              <w:spacing w:after="0"/>
              <w:rPr>
                <w:sz w:val="20"/>
                <w:szCs w:val="20"/>
                <w:color w:val="auto"/>
              </w:rPr>
            </w:pPr>
            <w:r>
              <w:rPr>
                <w:rFonts w:ascii="Arial" w:cs="Arial" w:eastAsia="Arial" w:hAnsi="Arial"/>
                <w:sz w:val="18"/>
                <w:szCs w:val="18"/>
                <w:color w:val="auto"/>
                <w:w w:val="91"/>
              </w:rPr>
              <w:t>price of $17.00 per share, which is the midpoint of the estimated price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tcPr>
          <w:p>
            <w:pPr>
              <w:ind w:left="900"/>
              <w:spacing w:after="0"/>
              <w:rPr>
                <w:sz w:val="20"/>
                <w:szCs w:val="20"/>
                <w:color w:val="auto"/>
              </w:rPr>
            </w:pPr>
            <w:r>
              <w:rPr>
                <w:rFonts w:ascii="Arial" w:cs="Arial" w:eastAsia="Arial" w:hAnsi="Arial"/>
                <w:sz w:val="18"/>
                <w:szCs w:val="18"/>
                <w:color w:val="auto"/>
                <w:w w:val="94"/>
              </w:rPr>
              <w:t>range set forth on the cover page of this prospectus, after deducting</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tcPr>
          <w:p>
            <w:pPr>
              <w:ind w:left="900"/>
              <w:spacing w:after="0"/>
              <w:rPr>
                <w:sz w:val="20"/>
                <w:szCs w:val="20"/>
                <w:color w:val="auto"/>
              </w:rPr>
            </w:pPr>
            <w:r>
              <w:rPr>
                <w:rFonts w:ascii="Arial" w:cs="Arial" w:eastAsia="Arial" w:hAnsi="Arial"/>
                <w:sz w:val="18"/>
                <w:szCs w:val="18"/>
                <w:color w:val="auto"/>
                <w:w w:val="96"/>
              </w:rPr>
              <w:t>estimated underwriting discounts and commissions and estimated</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p>
        </w:tc>
        <w:tc>
          <w:tcPr>
            <w:tcW w:w="6000" w:type="dxa"/>
            <w:vAlign w:val="bottom"/>
          </w:tcPr>
          <w:p>
            <w:pPr>
              <w:ind w:left="900"/>
              <w:spacing w:after="0"/>
              <w:rPr>
                <w:sz w:val="20"/>
                <w:szCs w:val="20"/>
                <w:color w:val="auto"/>
              </w:rPr>
            </w:pPr>
            <w:r>
              <w:rPr>
                <w:rFonts w:ascii="Arial" w:cs="Arial" w:eastAsia="Arial" w:hAnsi="Arial"/>
                <w:sz w:val="18"/>
                <w:szCs w:val="18"/>
                <w:color w:val="auto"/>
              </w:rPr>
              <w:t>offering expenses payable by us.</w:t>
            </w:r>
          </w:p>
        </w:tc>
        <w:tc>
          <w:tcPr>
            <w:tcW w:w="0" w:type="dxa"/>
            <w:vAlign w:val="bottom"/>
          </w:tcPr>
          <w:p>
            <w:pPr>
              <w:spacing w:after="0"/>
              <w:rPr>
                <w:sz w:val="1"/>
                <w:szCs w:val="1"/>
                <w:color w:val="auto"/>
              </w:rPr>
            </w:pPr>
          </w:p>
        </w:tc>
      </w:tr>
      <w:tr>
        <w:trPr>
          <w:trHeight w:val="323"/>
        </w:trPr>
        <w:tc>
          <w:tcPr>
            <w:tcW w:w="4640" w:type="dxa"/>
            <w:vAlign w:val="bottom"/>
          </w:tcPr>
          <w:p>
            <w:pPr>
              <w:spacing w:after="0"/>
              <w:rPr>
                <w:sz w:val="24"/>
                <w:szCs w:val="24"/>
                <w:color w:val="auto"/>
              </w:rPr>
            </w:pPr>
          </w:p>
        </w:tc>
        <w:tc>
          <w:tcPr>
            <w:tcW w:w="6000" w:type="dxa"/>
            <w:vAlign w:val="bottom"/>
          </w:tcPr>
          <w:p>
            <w:pPr>
              <w:ind w:left="900"/>
              <w:spacing w:after="0"/>
              <w:rPr>
                <w:sz w:val="20"/>
                <w:szCs w:val="20"/>
                <w:color w:val="auto"/>
              </w:rPr>
            </w:pPr>
            <w:r>
              <w:rPr>
                <w:rFonts w:ascii="Arial" w:cs="Arial" w:eastAsia="Arial" w:hAnsi="Arial"/>
                <w:sz w:val="18"/>
                <w:szCs w:val="18"/>
                <w:color w:val="auto"/>
                <w:w w:val="91"/>
              </w:rPr>
              <w:t>We intend to use the net proceeds from this offering, together with our</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tcPr>
          <w:p>
            <w:pPr>
              <w:ind w:left="900"/>
              <w:spacing w:after="0"/>
              <w:rPr>
                <w:sz w:val="20"/>
                <w:szCs w:val="20"/>
                <w:color w:val="auto"/>
              </w:rPr>
            </w:pPr>
            <w:r>
              <w:rPr>
                <w:rFonts w:ascii="Arial" w:cs="Arial" w:eastAsia="Arial" w:hAnsi="Arial"/>
                <w:sz w:val="18"/>
                <w:szCs w:val="18"/>
                <w:color w:val="auto"/>
                <w:w w:val="98"/>
              </w:rPr>
              <w:t>existing cash and cash equivalents, to fund clinical development,</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tcPr>
          <w:p>
            <w:pPr>
              <w:ind w:left="900"/>
              <w:spacing w:after="0"/>
              <w:rPr>
                <w:sz w:val="20"/>
                <w:szCs w:val="20"/>
                <w:color w:val="auto"/>
              </w:rPr>
            </w:pPr>
            <w:r>
              <w:rPr>
                <w:rFonts w:ascii="Arial" w:cs="Arial" w:eastAsia="Arial" w:hAnsi="Arial"/>
                <w:sz w:val="18"/>
                <w:szCs w:val="18"/>
                <w:color w:val="auto"/>
                <w:w w:val="93"/>
              </w:rPr>
              <w:t>manufacturing supply and initial commercialization costs for ADG20,</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tcPr>
          <w:p>
            <w:pPr>
              <w:ind w:left="900"/>
              <w:spacing w:after="0"/>
              <w:rPr>
                <w:sz w:val="20"/>
                <w:szCs w:val="20"/>
                <w:color w:val="auto"/>
              </w:rPr>
            </w:pPr>
            <w:r>
              <w:rPr>
                <w:rFonts w:ascii="Arial" w:cs="Arial" w:eastAsia="Arial" w:hAnsi="Arial"/>
                <w:sz w:val="18"/>
                <w:szCs w:val="18"/>
                <w:color w:val="auto"/>
                <w:w w:val="97"/>
              </w:rPr>
              <w:t>and the remainder for working capital and other general corporate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tcPr>
          <w:p>
            <w:pPr>
              <w:ind w:left="900"/>
              <w:spacing w:after="0"/>
              <w:rPr>
                <w:sz w:val="20"/>
                <w:szCs w:val="20"/>
                <w:color w:val="auto"/>
              </w:rPr>
            </w:pPr>
            <w:r>
              <w:rPr>
                <w:rFonts w:ascii="Arial" w:cs="Arial" w:eastAsia="Arial" w:hAnsi="Arial"/>
                <w:sz w:val="18"/>
                <w:szCs w:val="18"/>
                <w:color w:val="auto"/>
                <w:w w:val="95"/>
              </w:rPr>
              <w:t>purposes,  including  development  of  additional  programs  in  our</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tcPr>
          <w:p>
            <w:pPr>
              <w:ind w:left="900"/>
              <w:spacing w:after="0"/>
              <w:rPr>
                <w:sz w:val="20"/>
                <w:szCs w:val="20"/>
                <w:color w:val="auto"/>
              </w:rPr>
            </w:pPr>
            <w:r>
              <w:rPr>
                <w:rFonts w:ascii="Arial" w:cs="Arial" w:eastAsia="Arial" w:hAnsi="Arial"/>
                <w:sz w:val="18"/>
                <w:szCs w:val="18"/>
                <w:color w:val="auto"/>
              </w:rPr>
              <w:t>pipeline. See the section titled “Use of Proceeds” for additional</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p>
        </w:tc>
        <w:tc>
          <w:tcPr>
            <w:tcW w:w="6000" w:type="dxa"/>
            <w:vAlign w:val="bottom"/>
          </w:tcPr>
          <w:p>
            <w:pPr>
              <w:ind w:left="900"/>
              <w:spacing w:after="0"/>
              <w:rPr>
                <w:sz w:val="20"/>
                <w:szCs w:val="20"/>
                <w:color w:val="auto"/>
              </w:rPr>
            </w:pPr>
            <w:r>
              <w:rPr>
                <w:rFonts w:ascii="Arial" w:cs="Arial" w:eastAsia="Arial" w:hAnsi="Arial"/>
                <w:sz w:val="18"/>
                <w:szCs w:val="18"/>
                <w:color w:val="auto"/>
              </w:rPr>
              <w:t>information.</w:t>
            </w:r>
          </w:p>
        </w:tc>
        <w:tc>
          <w:tcPr>
            <w:tcW w:w="0" w:type="dxa"/>
            <w:vAlign w:val="bottom"/>
          </w:tcPr>
          <w:p>
            <w:pPr>
              <w:spacing w:after="0"/>
              <w:rPr>
                <w:sz w:val="1"/>
                <w:szCs w:val="1"/>
                <w:color w:val="auto"/>
              </w:rPr>
            </w:pPr>
          </w:p>
        </w:tc>
      </w:tr>
      <w:tr>
        <w:trPr>
          <w:trHeight w:val="323"/>
        </w:trPr>
        <w:tc>
          <w:tcPr>
            <w:tcW w:w="4640" w:type="dxa"/>
            <w:vAlign w:val="bottom"/>
          </w:tcPr>
          <w:p>
            <w:pPr>
              <w:spacing w:after="0"/>
              <w:rPr>
                <w:sz w:val="20"/>
                <w:szCs w:val="20"/>
                <w:color w:val="auto"/>
              </w:rPr>
            </w:pPr>
            <w:r>
              <w:rPr>
                <w:rFonts w:ascii="Arial" w:cs="Arial" w:eastAsia="Arial" w:hAnsi="Arial"/>
                <w:sz w:val="18"/>
                <w:szCs w:val="18"/>
                <w:color w:val="auto"/>
              </w:rPr>
              <w:t>Risk factors</w:t>
            </w:r>
          </w:p>
        </w:tc>
        <w:tc>
          <w:tcPr>
            <w:tcW w:w="6000" w:type="dxa"/>
            <w:vAlign w:val="bottom"/>
          </w:tcPr>
          <w:p>
            <w:pPr>
              <w:ind w:left="900"/>
              <w:spacing w:after="0"/>
              <w:rPr>
                <w:sz w:val="20"/>
                <w:szCs w:val="20"/>
                <w:color w:val="auto"/>
              </w:rPr>
            </w:pPr>
            <w:r>
              <w:rPr>
                <w:rFonts w:ascii="Arial" w:cs="Arial" w:eastAsia="Arial" w:hAnsi="Arial"/>
                <w:sz w:val="18"/>
                <w:szCs w:val="18"/>
                <w:color w:val="auto"/>
                <w:w w:val="95"/>
              </w:rPr>
              <w:t>You should read the section titled “Risk Factors” for a discussion of</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tcPr>
          <w:p>
            <w:pPr>
              <w:ind w:left="900"/>
              <w:spacing w:after="0"/>
              <w:rPr>
                <w:sz w:val="20"/>
                <w:szCs w:val="20"/>
                <w:color w:val="auto"/>
              </w:rPr>
            </w:pPr>
            <w:r>
              <w:rPr>
                <w:rFonts w:ascii="Arial" w:cs="Arial" w:eastAsia="Arial" w:hAnsi="Arial"/>
                <w:sz w:val="18"/>
                <w:szCs w:val="18"/>
                <w:color w:val="auto"/>
              </w:rPr>
              <w:t>factors you should consider carefully, together with all the other</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tcPr>
          <w:p>
            <w:pPr>
              <w:ind w:left="900"/>
              <w:spacing w:after="0"/>
              <w:rPr>
                <w:sz w:val="20"/>
                <w:szCs w:val="20"/>
                <w:color w:val="auto"/>
              </w:rPr>
            </w:pPr>
            <w:r>
              <w:rPr>
                <w:rFonts w:ascii="Arial" w:cs="Arial" w:eastAsia="Arial" w:hAnsi="Arial"/>
                <w:sz w:val="18"/>
                <w:szCs w:val="18"/>
                <w:color w:val="auto"/>
                <w:w w:val="95"/>
              </w:rPr>
              <w:t>information included in this prospectus, before deciding to invest in</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p>
        </w:tc>
        <w:tc>
          <w:tcPr>
            <w:tcW w:w="6000" w:type="dxa"/>
            <w:vAlign w:val="bottom"/>
          </w:tcPr>
          <w:p>
            <w:pPr>
              <w:ind w:left="900"/>
              <w:spacing w:after="0"/>
              <w:rPr>
                <w:sz w:val="20"/>
                <w:szCs w:val="20"/>
                <w:color w:val="auto"/>
              </w:rPr>
            </w:pPr>
            <w:r>
              <w:rPr>
                <w:rFonts w:ascii="Arial" w:cs="Arial" w:eastAsia="Arial" w:hAnsi="Arial"/>
                <w:sz w:val="18"/>
                <w:szCs w:val="18"/>
                <w:color w:val="auto"/>
              </w:rPr>
              <w:t>our common stock.</w:t>
            </w:r>
          </w:p>
        </w:tc>
        <w:tc>
          <w:tcPr>
            <w:tcW w:w="0" w:type="dxa"/>
            <w:vAlign w:val="bottom"/>
          </w:tcPr>
          <w:p>
            <w:pPr>
              <w:spacing w:after="0"/>
              <w:rPr>
                <w:sz w:val="1"/>
                <w:szCs w:val="1"/>
                <w:color w:val="auto"/>
              </w:rPr>
            </w:pPr>
          </w:p>
        </w:tc>
      </w:tr>
      <w:tr>
        <w:trPr>
          <w:trHeight w:val="324"/>
        </w:trPr>
        <w:tc>
          <w:tcPr>
            <w:tcW w:w="4640" w:type="dxa"/>
            <w:vAlign w:val="bottom"/>
          </w:tcPr>
          <w:p>
            <w:pPr>
              <w:spacing w:after="0"/>
              <w:rPr>
                <w:sz w:val="20"/>
                <w:szCs w:val="20"/>
                <w:color w:val="auto"/>
              </w:rPr>
            </w:pPr>
            <w:r>
              <w:rPr>
                <w:rFonts w:ascii="Arial" w:cs="Arial" w:eastAsia="Arial" w:hAnsi="Arial"/>
                <w:sz w:val="18"/>
                <w:szCs w:val="18"/>
                <w:color w:val="auto"/>
              </w:rPr>
              <w:t>Proposed Nasdaq Global Market symbol</w:t>
            </w:r>
          </w:p>
        </w:tc>
        <w:tc>
          <w:tcPr>
            <w:tcW w:w="6000" w:type="dxa"/>
            <w:vAlign w:val="bottom"/>
          </w:tcPr>
          <w:p>
            <w:pPr>
              <w:ind w:left="900"/>
              <w:spacing w:after="0"/>
              <w:rPr>
                <w:sz w:val="20"/>
                <w:szCs w:val="20"/>
                <w:color w:val="auto"/>
              </w:rPr>
            </w:pPr>
            <w:r>
              <w:rPr>
                <w:rFonts w:ascii="Arial" w:cs="Arial" w:eastAsia="Arial" w:hAnsi="Arial"/>
                <w:sz w:val="18"/>
                <w:szCs w:val="18"/>
                <w:color w:val="auto"/>
              </w:rPr>
              <w:t>“ADGI”</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00" w:firstLine="426"/>
        <w:spacing w:after="0" w:line="259" w:lineRule="auto"/>
        <w:rPr>
          <w:sz w:val="20"/>
          <w:szCs w:val="20"/>
          <w:color w:val="auto"/>
        </w:rPr>
      </w:pPr>
      <w:r>
        <w:rPr>
          <w:rFonts w:ascii="Arial" w:cs="Arial" w:eastAsia="Arial" w:hAnsi="Arial"/>
          <w:sz w:val="18"/>
          <w:szCs w:val="18"/>
          <w:color w:val="auto"/>
        </w:rPr>
        <w:t>The number of shares of our common stock to be outstanding after this offering is based on 90,315,660 shares of our common stock outstanding as of March 31, 2021, assuming the automatic conversion of all outstanding shares of our preferred stock, including 4,296,550 shares of Series C preferred stock issued in April 2021, into an aggregate of 84,722,420 shares of common stock upon the closing of this offering, and excludes:</w:t>
      </w:r>
    </w:p>
    <w:p>
      <w:pPr>
        <w:spacing w:after="0" w:line="92" w:lineRule="exact"/>
        <w:rPr>
          <w:sz w:val="20"/>
          <w:szCs w:val="20"/>
          <w:color w:val="auto"/>
        </w:rPr>
      </w:pPr>
    </w:p>
    <w:p>
      <w:pPr>
        <w:ind w:left="1240" w:hanging="523"/>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6,000 shares of our common stock issued subsequent to March 31, 2021;</w:t>
      </w:r>
    </w:p>
    <w:p>
      <w:pPr>
        <w:spacing w:after="0" w:line="130" w:lineRule="exact"/>
        <w:rPr>
          <w:rFonts w:ascii="Arial" w:cs="Arial" w:eastAsia="Arial" w:hAnsi="Arial"/>
          <w:sz w:val="18"/>
          <w:szCs w:val="18"/>
          <w:color w:val="auto"/>
        </w:rPr>
      </w:pPr>
    </w:p>
    <w:p>
      <w:pPr>
        <w:jc w:val="both"/>
        <w:ind w:left="1240" w:hanging="523"/>
        <w:spacing w:after="0" w:line="259"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5,366,070 shares of our common stock issuable upon the exercise of options outstanding as of March 31, 2021 under our 2020 Equity Incentive Plan, or the 2020 Plan, at a weighted-average exercise price of $2.49 per share (which does not include options to purchase an aggregate of 11,427,020 shares of our common stock, at a weighted-average exercise price of $10.86 per share, that were granted subsequent to March 31, 2021);</w:t>
      </w:r>
    </w:p>
    <w:p>
      <w:pPr>
        <w:spacing w:after="0" w:line="37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0589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40589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1240" w:hanging="523"/>
        <w:spacing w:after="0" w:line="263"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11,860,995 shares of our common stock available for future issuance as of March 31, 2021 under the 2020 Plan, which such shares will cease to be available for issuance under the 2020 Plan at the time our 2021 Equity Incentive Plan, or the 2021 Plan, becomes effective and will be added to, and become available for issuance under, the 2021 Plan;</w:t>
      </w:r>
    </w:p>
    <w:p>
      <w:pPr>
        <w:spacing w:after="0" w:line="89" w:lineRule="exact"/>
        <w:rPr>
          <w:rFonts w:ascii="Arial" w:cs="Arial" w:eastAsia="Arial" w:hAnsi="Arial"/>
          <w:sz w:val="18"/>
          <w:szCs w:val="18"/>
          <w:color w:val="auto"/>
        </w:rPr>
      </w:pPr>
    </w:p>
    <w:p>
      <w:pPr>
        <w:jc w:val="both"/>
        <w:ind w:left="1240" w:hanging="523"/>
        <w:spacing w:after="0" w:line="311" w:lineRule="auto"/>
        <w:tabs>
          <w:tab w:leader="none" w:pos="12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6,434,485 additional shares of our common stock available for future issuance under our 2020 Plan, which was amended subsequent to March 31, 2021 to increase the shares available under the plan, which such shares will cease to be available for issuance under the 2020 Plan at the time our 2021 Plan becomes effective and will be added to, and become available for issuance under, the 2021 Plan;</w:t>
      </w:r>
    </w:p>
    <w:p>
      <w:pPr>
        <w:spacing w:after="0" w:line="54" w:lineRule="exact"/>
        <w:rPr>
          <w:rFonts w:ascii="Arial" w:cs="Arial" w:eastAsia="Arial" w:hAnsi="Arial"/>
          <w:sz w:val="16"/>
          <w:szCs w:val="16"/>
          <w:color w:val="auto"/>
        </w:rPr>
      </w:pPr>
    </w:p>
    <w:p>
      <w:pPr>
        <w:jc w:val="both"/>
        <w:ind w:left="1240" w:hanging="523"/>
        <w:spacing w:after="0" w:line="286" w:lineRule="auto"/>
        <w:tabs>
          <w:tab w:leader="none" w:pos="1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11,413,572 shares of our common stock that will become available for future issuance under the 2021 Plan, which will become effective immediately prior to and contingent upon the execution of the underwriting agreement related to this offering, as well as any automatic increases in the number of shares of common stock reserved for future issuance under the 2021 Plan; and</w:t>
      </w:r>
    </w:p>
    <w:p>
      <w:pPr>
        <w:spacing w:after="0" w:line="70" w:lineRule="exact"/>
        <w:rPr>
          <w:rFonts w:ascii="Arial" w:cs="Arial" w:eastAsia="Arial" w:hAnsi="Arial"/>
          <w:sz w:val="17"/>
          <w:szCs w:val="17"/>
          <w:color w:val="auto"/>
        </w:rPr>
      </w:pPr>
    </w:p>
    <w:p>
      <w:pPr>
        <w:jc w:val="both"/>
        <w:ind w:left="1240" w:hanging="523"/>
        <w:spacing w:after="0" w:line="259"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1,342,773 shares of our common stock that will become available for future issuance under our 2021 Employee Stock Purchase Plan, or the 2021 ESPP, which will become effective immediately prior to and contingent upon the execution of the underwriting agreement related to this offering, as well as any automatic increases in the number of shares of common stock reserved for future issuance under the 2021 ESPP.</w:t>
      </w:r>
    </w:p>
    <w:p>
      <w:pPr>
        <w:spacing w:after="0" w:line="187" w:lineRule="exact"/>
        <w:rPr>
          <w:sz w:val="20"/>
          <w:szCs w:val="20"/>
          <w:color w:val="auto"/>
        </w:rPr>
      </w:pPr>
    </w:p>
    <w:p>
      <w:pPr>
        <w:ind w:left="300" w:firstLine="426"/>
        <w:spacing w:after="0" w:line="277" w:lineRule="auto"/>
        <w:rPr>
          <w:sz w:val="20"/>
          <w:szCs w:val="20"/>
          <w:color w:val="auto"/>
        </w:rPr>
      </w:pPr>
      <w:r>
        <w:rPr>
          <w:rFonts w:ascii="Arial" w:cs="Arial" w:eastAsia="Arial" w:hAnsi="Arial"/>
          <w:sz w:val="18"/>
          <w:szCs w:val="18"/>
          <w:color w:val="auto"/>
        </w:rPr>
        <w:t>Unless otherwise indicated, all information contained in this prospectus, including the number of shares of common stock that will be outstanding after this offering, assumes or gives effect to:</w:t>
      </w:r>
    </w:p>
    <w:p>
      <w:pPr>
        <w:spacing w:after="0" w:line="76" w:lineRule="exact"/>
        <w:rPr>
          <w:sz w:val="20"/>
          <w:szCs w:val="20"/>
          <w:color w:val="auto"/>
        </w:rPr>
      </w:pPr>
    </w:p>
    <w:p>
      <w:pPr>
        <w:ind w:left="1240" w:right="20" w:hanging="523"/>
        <w:spacing w:after="0" w:line="277"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preferred stock into an aggregate of 84,722,420 shares of our common stock, which will occur upon the closing of this offering;</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five-for-one split of our common stock effected on July 30, 2021;</w:t>
      </w:r>
    </w:p>
    <w:p>
      <w:pPr>
        <w:spacing w:after="0" w:line="130" w:lineRule="exact"/>
        <w:rPr>
          <w:rFonts w:ascii="Arial" w:cs="Arial" w:eastAsia="Arial" w:hAnsi="Arial"/>
          <w:sz w:val="18"/>
          <w:szCs w:val="18"/>
          <w:color w:val="auto"/>
        </w:rPr>
      </w:pPr>
    </w:p>
    <w:p>
      <w:pPr>
        <w:ind w:left="1240" w:hanging="523"/>
        <w:spacing w:after="0" w:line="277"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and the adoption of our amended and restated bylaws immediately prior to the completion of this offering;</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exercise of the outstanding options referred to above after March 31, 2021; and</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our common stock.</w:t>
      </w:r>
    </w:p>
    <w:p>
      <w:pPr>
        <w:spacing w:after="0" w:line="200" w:lineRule="exact"/>
        <w:rPr>
          <w:sz w:val="20"/>
          <w:szCs w:val="20"/>
          <w:color w:val="auto"/>
        </w:rPr>
      </w:pPr>
    </w:p>
    <w:p>
      <w:pPr>
        <w:spacing w:after="0" w:line="21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648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jc w:val="both"/>
        <w:ind w:left="300" w:firstLine="426"/>
        <w:spacing w:after="0" w:line="270" w:lineRule="auto"/>
        <w:rPr>
          <w:sz w:val="20"/>
          <w:szCs w:val="20"/>
          <w:color w:val="auto"/>
        </w:rPr>
      </w:pPr>
      <w:r>
        <w:rPr>
          <w:rFonts w:ascii="Arial" w:cs="Arial" w:eastAsia="Arial" w:hAnsi="Arial"/>
          <w:sz w:val="17"/>
          <w:szCs w:val="17"/>
          <w:color w:val="auto"/>
        </w:rPr>
        <w:t>You should read the following summary consolidated financial data together with our consolidated financial statements and the related notes appearing at the end of this prospectus and the “Selected Consolidated Financial Data” and “Management’s Discussion and Analysis of Financial Condition and Results of Operations” sections of this prospectus. We have derived the consolidated statement of operations data for the period from June 3, 2020 (inception) to December 31, 2020 from our audited consolidated financial statements appearing at the end of this prospectus. The consolidated statement of operations data for the three months ended March 31, 2021 and the consolidated balance sheet data as of March 31, 2021 have been derived from our unaudited consolidated financial statements appearing at the end of this prospectus and have been prepared on the same basis as the audited consolidated financial statements. In the opinion of management, the unaudited data reflect all adjustments, consisting only of normal recurring adjustments, necessary for a fair statement of the financial information in those statements. Our historical results are not necessarily indicative of the results that may be expected in any future period.</w:t>
      </w:r>
    </w:p>
    <w:p>
      <w:pPr>
        <w:spacing w:after="0" w:line="18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Period from</w:t>
            </w:r>
          </w:p>
        </w:tc>
        <w:tc>
          <w:tcPr>
            <w:tcW w:w="360" w:type="dxa"/>
            <w:vAlign w:val="bottom"/>
          </w:tcPr>
          <w:p>
            <w:pPr>
              <w:spacing w:after="0"/>
              <w:rPr>
                <w:sz w:val="14"/>
                <w:szCs w:val="14"/>
                <w:color w:val="auto"/>
              </w:rPr>
            </w:pPr>
          </w:p>
        </w:tc>
        <w:tc>
          <w:tcPr>
            <w:tcW w:w="10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8"/>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June 3, 2020</w:t>
            </w:r>
          </w:p>
        </w:tc>
        <w:tc>
          <w:tcPr>
            <w:tcW w:w="36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December 31, 2020</w:t>
            </w:r>
          </w:p>
        </w:tc>
        <w:tc>
          <w:tcPr>
            <w:tcW w:w="3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5"/>
          </w:tcPr>
          <w:p>
            <w:pPr>
              <w:jc w:val="right"/>
              <w:ind w:right="231"/>
              <w:spacing w:after="0" w:line="142" w:lineRule="exact"/>
              <w:rPr>
                <w:sz w:val="20"/>
                <w:szCs w:val="20"/>
                <w:color w:val="auto"/>
              </w:rPr>
            </w:pPr>
            <w:r>
              <w:rPr>
                <w:rFonts w:ascii="Arial" w:cs="Arial" w:eastAsia="Arial" w:hAnsi="Arial"/>
                <w:sz w:val="14"/>
                <w:szCs w:val="14"/>
                <w:b w:val="1"/>
                <w:bCs w:val="1"/>
                <w:color w:val="auto"/>
                <w:w w:val="98"/>
              </w:rPr>
              <w:t>(in thousands, except 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21,992</w:t>
            </w: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ind w:left="340"/>
              <w:spacing w:after="0"/>
              <w:rPr>
                <w:sz w:val="20"/>
                <w:szCs w:val="20"/>
                <w:color w:val="auto"/>
              </w:rPr>
            </w:pPr>
            <w:r>
              <w:rPr>
                <w:rFonts w:ascii="Arial" w:cs="Arial" w:eastAsia="Arial" w:hAnsi="Arial"/>
                <w:sz w:val="18"/>
                <w:szCs w:val="18"/>
                <w:color w:val="auto"/>
              </w:rPr>
              <w:t>Acquired in-process research and development</w:t>
            </w:r>
            <w:r>
              <w:rPr>
                <w:rFonts w:ascii="Arial" w:cs="Arial" w:eastAsia="Arial" w:hAnsi="Arial"/>
                <w:sz w:val="15"/>
                <w:szCs w:val="15"/>
                <w:color w:val="auto"/>
              </w:rPr>
              <w:t>(2)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40,125</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40" w:type="dxa"/>
            <w:vAlign w:val="bottom"/>
            <w:gridSpan w:val="2"/>
          </w:tcPr>
          <w:p>
            <w:pPr>
              <w:ind w:left="700"/>
              <w:spacing w:after="0"/>
              <w:rPr>
                <w:sz w:val="20"/>
                <w:szCs w:val="20"/>
                <w:color w:val="auto"/>
              </w:rPr>
            </w:pPr>
            <w:r>
              <w:rPr>
                <w:rFonts w:ascii="Arial" w:cs="Arial" w:eastAsia="Arial" w:hAnsi="Arial"/>
                <w:sz w:val="18"/>
                <w:szCs w:val="18"/>
                <w:color w:val="auto"/>
              </w:rPr>
              <w:t>Total operating expenses</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65,327</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(65,327)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(38,709)</w:t>
            </w:r>
          </w:p>
        </w:tc>
        <w:tc>
          <w:tcPr>
            <w:tcW w:w="0" w:type="dxa"/>
            <w:vAlign w:val="bottom"/>
          </w:tcPr>
          <w:p>
            <w:pPr>
              <w:spacing w:after="0"/>
              <w:rPr>
                <w:sz w:val="1"/>
                <w:szCs w:val="1"/>
                <w:color w:val="auto"/>
              </w:rPr>
            </w:pPr>
          </w:p>
        </w:tc>
      </w:tr>
      <w:tr>
        <w:trPr>
          <w:trHeight w:val="223"/>
        </w:trPr>
        <w:tc>
          <w:tcPr>
            <w:tcW w:w="7260" w:type="dxa"/>
            <w:vAlign w:val="bottom"/>
            <w:gridSpan w:val="3"/>
          </w:tcPr>
          <w:p>
            <w:pPr>
              <w:spacing w:after="0"/>
              <w:rPr>
                <w:sz w:val="20"/>
                <w:szCs w:val="20"/>
                <w:color w:val="auto"/>
              </w:rPr>
            </w:pPr>
            <w:r>
              <w:rPr>
                <w:rFonts w:ascii="Arial" w:cs="Arial" w:eastAsia="Arial" w:hAnsi="Arial"/>
                <w:sz w:val="18"/>
                <w:szCs w:val="18"/>
                <w:color w:val="auto"/>
              </w:rPr>
              <w:t>Other income:</w:t>
            </w: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40" w:type="dxa"/>
            <w:vAlign w:val="bottom"/>
            <w:gridSpan w:val="2"/>
          </w:tcPr>
          <w:p>
            <w:pPr>
              <w:ind w:left="700"/>
              <w:spacing w:after="0"/>
              <w:rPr>
                <w:sz w:val="20"/>
                <w:szCs w:val="20"/>
                <w:color w:val="auto"/>
              </w:rPr>
            </w:pPr>
            <w:r>
              <w:rPr>
                <w:rFonts w:ascii="Arial" w:cs="Arial" w:eastAsia="Arial" w:hAnsi="Arial"/>
                <w:sz w:val="18"/>
                <w:szCs w:val="18"/>
                <w:color w:val="auto"/>
              </w:rPr>
              <w:t>Total other income</w:t>
            </w: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(65,319)</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(38,700)</w:t>
            </w:r>
          </w:p>
        </w:tc>
        <w:tc>
          <w:tcPr>
            <w:tcW w:w="0" w:type="dxa"/>
            <w:vAlign w:val="bottom"/>
          </w:tcPr>
          <w:p>
            <w:pPr>
              <w:spacing w:after="0"/>
              <w:rPr>
                <w:sz w:val="1"/>
                <w:szCs w:val="1"/>
                <w:color w:val="auto"/>
              </w:rPr>
            </w:pPr>
          </w:p>
        </w:tc>
      </w:tr>
      <w:tr>
        <w:trPr>
          <w:trHeight w:val="20"/>
        </w:trPr>
        <w:tc>
          <w:tcPr>
            <w:tcW w:w="7260" w:type="dxa"/>
            <w:vAlign w:val="bottom"/>
            <w:gridSpan w:val="3"/>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 diluted</w:t>
            </w:r>
            <w:r>
              <w:rPr>
                <w:rFonts w:ascii="Arial" w:cs="Arial" w:eastAsia="Arial" w:hAnsi="Arial"/>
                <w:sz w:val="15"/>
                <w:szCs w:val="15"/>
                <w:color w:val="auto"/>
              </w:rPr>
              <w:t>(3)</w:t>
            </w: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gridSpan w:val="3"/>
            <w:vMerge w:val="continue"/>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outstanding, basic and diluted</w:t>
            </w:r>
            <w:r>
              <w:rPr>
                <w:rFonts w:ascii="Arial" w:cs="Arial" w:eastAsia="Arial" w:hAnsi="Arial"/>
                <w:sz w:val="15"/>
                <w:szCs w:val="15"/>
                <w:color w:val="auto"/>
              </w:rPr>
              <w:t>(3)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60" w:type="dxa"/>
            <w:vAlign w:val="bottom"/>
            <w:gridSpan w:val="3"/>
            <w:vMerge w:val="restart"/>
          </w:tcPr>
          <w:p>
            <w:pPr>
              <w:spacing w:after="0"/>
              <w:rPr>
                <w:sz w:val="20"/>
                <w:szCs w:val="20"/>
                <w:color w:val="auto"/>
              </w:rPr>
            </w:pPr>
            <w:r>
              <w:rPr>
                <w:rFonts w:ascii="Arial" w:cs="Arial" w:eastAsia="Arial" w:hAnsi="Arial"/>
                <w:sz w:val="18"/>
                <w:szCs w:val="18"/>
                <w:color w:val="auto"/>
                <w:w w:val="94"/>
              </w:rPr>
              <w:t>Pro forma net loss per share attributable to common stockholders, basic and diluted (unaudited)</w:t>
            </w: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60" w:type="dxa"/>
            <w:vAlign w:val="bottom"/>
            <w:gridSpan w:val="3"/>
            <w:vMerge w:val="continue"/>
          </w:tcPr>
          <w:p>
            <w:pPr>
              <w:spacing w:after="0"/>
              <w:rPr>
                <w:sz w:val="17"/>
                <w:szCs w:val="17"/>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(1.25)</w:t>
            </w:r>
          </w:p>
        </w:tc>
        <w:tc>
          <w:tcPr>
            <w:tcW w:w="540" w:type="dxa"/>
            <w:vAlign w:val="bottom"/>
            <w:gridSpan w:val="2"/>
            <w:vMerge w:val="restart"/>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175"/>
        </w:trPr>
        <w:tc>
          <w:tcPr>
            <w:tcW w:w="1160" w:type="dxa"/>
            <w:vAlign w:val="bottom"/>
            <w:gridSpan w:val="2"/>
          </w:tcPr>
          <w:p>
            <w:pPr>
              <w:ind w:left="180"/>
              <w:spacing w:after="0"/>
              <w:rPr>
                <w:sz w:val="20"/>
                <w:szCs w:val="20"/>
                <w:color w:val="auto"/>
              </w:rPr>
            </w:pPr>
            <w:r>
              <w:rPr>
                <w:rFonts w:ascii="Arial" w:cs="Arial" w:eastAsia="Arial" w:hAnsi="Arial"/>
                <w:sz w:val="15"/>
                <w:szCs w:val="15"/>
                <w:color w:val="auto"/>
              </w:rPr>
              <w:t>(3)</w:t>
            </w:r>
          </w:p>
        </w:tc>
        <w:tc>
          <w:tcPr>
            <w:tcW w:w="610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24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Pro forma weighted-average common shares outstanding, basic and diluted</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(unaudited)</w:t>
            </w:r>
            <w:r>
              <w:rPr>
                <w:rFonts w:ascii="Arial" w:cs="Arial" w:eastAsia="Arial" w:hAnsi="Arial"/>
                <w:sz w:val="15"/>
                <w:szCs w:val="15"/>
                <w:color w:val="auto"/>
              </w:rPr>
              <w:t>(3)</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52,167</w:t>
            </w:r>
          </w:p>
        </w:tc>
        <w:tc>
          <w:tcPr>
            <w:tcW w:w="4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6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20" w:right="20" w:hanging="422"/>
        <w:spacing w:after="0" w:line="274" w:lineRule="auto"/>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Includes related-party amounts of $0.6 million for the period from June 3, 2020 (inception) to December 31, 2020 and $0.2 million for the three months ended March 31, 2021. See Note 6 to our consolidated financial statements appearing at the end of this prospectus.</w:t>
      </w:r>
    </w:p>
    <w:p>
      <w:pPr>
        <w:ind w:left="720" w:hanging="422"/>
        <w:spacing w:after="0" w:line="265" w:lineRule="auto"/>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Includes related-party amounts of $39.9 million for the period from June 3, 2020 (inception) to December 31, 2020 and $1.0 million for the three months ended March 31, 2021. See Note 6 to our consolidated financial statements appearing at the end of this prospectus.</w:t>
      </w:r>
    </w:p>
    <w:p>
      <w:pPr>
        <w:jc w:val="both"/>
        <w:ind w:left="720" w:hanging="422"/>
        <w:spacing w:after="0" w:line="302" w:lineRule="auto"/>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See Note 13 to our consolidated financial statements appearing at the end of this prospectus for details on the calculation of basic and diluted net loss per share attributable to common stockholders and the “Selected Consolidated Financial Data” section of this prospectus for details on the calculation of unaudited basic and diluted pro forma net loss per share attributable to common stockholders.</w:t>
      </w:r>
    </w:p>
    <w:p>
      <w:pPr>
        <w:spacing w:after="0" w:line="34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230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42303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As of March 31, 2021</w:t>
            </w:r>
          </w:p>
        </w:tc>
        <w:tc>
          <w:tcPr>
            <w:tcW w:w="9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8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9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Actual</w:t>
            </w:r>
          </w:p>
        </w:tc>
        <w:tc>
          <w:tcPr>
            <w:tcW w:w="152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2"/>
                <w:szCs w:val="12"/>
                <w:b w:val="1"/>
                <w:bCs w:val="1"/>
                <w:color w:val="auto"/>
              </w:rPr>
              <w:t>(2)</w:t>
            </w:r>
          </w:p>
        </w:tc>
        <w:tc>
          <w:tcPr>
            <w:tcW w:w="960" w:type="dxa"/>
            <w:vAlign w:val="bottom"/>
          </w:tcPr>
          <w:p>
            <w:pPr>
              <w:jc w:val="right"/>
              <w:ind w:right="16"/>
              <w:spacing w:after="0" w:line="119"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7"/>
              </w:rPr>
              <w:t>As Adjusted</w:t>
            </w:r>
            <w:r>
              <w:rPr>
                <w:rFonts w:ascii="Arial" w:cs="Arial" w:eastAsia="Arial" w:hAnsi="Arial"/>
                <w:sz w:val="12"/>
                <w:szCs w:val="12"/>
                <w:b w:val="1"/>
                <w:bCs w:val="1"/>
                <w:color w:val="auto"/>
                <w:w w:val="97"/>
              </w:rPr>
              <w:t>(3)</w:t>
            </w: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(in thousands)</w:t>
            </w:r>
          </w:p>
        </w:tc>
        <w:tc>
          <w:tcPr>
            <w:tcW w:w="9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20" w:type="dxa"/>
            <w:vAlign w:val="bottom"/>
            <w:gridSpan w:val="2"/>
          </w:tcPr>
          <w:p>
            <w:pPr>
              <w:jc w:val="right"/>
              <w:ind w:right="128"/>
              <w:spacing w:after="0"/>
              <w:rPr>
                <w:sz w:val="20"/>
                <w:szCs w:val="20"/>
                <w:color w:val="auto"/>
              </w:rPr>
            </w:pPr>
            <w:r>
              <w:rPr>
                <w:rFonts w:ascii="Arial" w:cs="Arial" w:eastAsia="Arial" w:hAnsi="Arial"/>
                <w:sz w:val="18"/>
                <w:szCs w:val="18"/>
                <w:color w:val="auto"/>
              </w:rPr>
              <w:t>$  91,247</w:t>
            </w:r>
          </w:p>
        </w:tc>
        <w:tc>
          <w:tcPr>
            <w:tcW w:w="1520" w:type="dxa"/>
            <w:vAlign w:val="bottom"/>
          </w:tcPr>
          <w:p>
            <w:pPr>
              <w:jc w:val="right"/>
              <w:ind w:right="297"/>
              <w:spacing w:after="0"/>
              <w:rPr>
                <w:sz w:val="20"/>
                <w:szCs w:val="20"/>
                <w:color w:val="auto"/>
              </w:rPr>
            </w:pPr>
            <w:r>
              <w:rPr>
                <w:rFonts w:ascii="Arial" w:cs="Arial" w:eastAsia="Arial" w:hAnsi="Arial"/>
                <w:sz w:val="18"/>
                <w:szCs w:val="18"/>
                <w:color w:val="auto"/>
              </w:rPr>
              <w:t>$  426,746</w:t>
            </w:r>
          </w:p>
        </w:tc>
        <w:tc>
          <w:tcPr>
            <w:tcW w:w="960" w:type="dxa"/>
            <w:vAlign w:val="bottom"/>
          </w:tcPr>
          <w:p>
            <w:pPr>
              <w:jc w:val="right"/>
              <w:spacing w:after="0"/>
              <w:rPr>
                <w:sz w:val="20"/>
                <w:szCs w:val="20"/>
                <w:color w:val="auto"/>
              </w:rPr>
            </w:pPr>
            <w:r>
              <w:rPr>
                <w:rFonts w:ascii="Arial" w:cs="Arial" w:eastAsia="Arial" w:hAnsi="Arial"/>
                <w:sz w:val="18"/>
                <w:szCs w:val="18"/>
                <w:color w:val="auto"/>
              </w:rPr>
              <w:t>$   702,833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32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66,197</w:t>
            </w:r>
          </w:p>
        </w:tc>
        <w:tc>
          <w:tcPr>
            <w:tcW w:w="152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401,696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Total assets</w:t>
            </w:r>
          </w:p>
        </w:tc>
        <w:tc>
          <w:tcPr>
            <w:tcW w:w="3220" w:type="dxa"/>
            <w:vAlign w:val="bottom"/>
            <w:gridSpan w:val="2"/>
          </w:tcPr>
          <w:p>
            <w:pPr>
              <w:jc w:val="right"/>
              <w:ind w:right="128"/>
              <w:spacing w:after="0"/>
              <w:rPr>
                <w:sz w:val="20"/>
                <w:szCs w:val="20"/>
                <w:color w:val="auto"/>
              </w:rPr>
            </w:pPr>
            <w:r>
              <w:rPr>
                <w:rFonts w:ascii="Arial" w:cs="Arial" w:eastAsia="Arial" w:hAnsi="Arial"/>
                <w:sz w:val="18"/>
                <w:szCs w:val="18"/>
                <w:color w:val="auto"/>
              </w:rPr>
              <w:t>94,874</w:t>
            </w:r>
          </w:p>
        </w:tc>
        <w:tc>
          <w:tcPr>
            <w:tcW w:w="1520" w:type="dxa"/>
            <w:vAlign w:val="bottom"/>
          </w:tcPr>
          <w:p>
            <w:pPr>
              <w:jc w:val="right"/>
              <w:ind w:right="297"/>
              <w:spacing w:after="0"/>
              <w:rPr>
                <w:sz w:val="20"/>
                <w:szCs w:val="20"/>
                <w:color w:val="auto"/>
              </w:rPr>
            </w:pPr>
            <w:r>
              <w:rPr>
                <w:rFonts w:ascii="Arial" w:cs="Arial" w:eastAsia="Arial" w:hAnsi="Arial"/>
                <w:sz w:val="18"/>
                <w:szCs w:val="18"/>
                <w:color w:val="auto"/>
              </w:rPr>
              <w:t>430,373</w:t>
            </w:r>
          </w:p>
        </w:tc>
        <w:tc>
          <w:tcPr>
            <w:tcW w:w="960" w:type="dxa"/>
            <w:vAlign w:val="bottom"/>
          </w:tcPr>
          <w:p>
            <w:pPr>
              <w:jc w:val="right"/>
              <w:spacing w:after="0"/>
              <w:rPr>
                <w:sz w:val="20"/>
                <w:szCs w:val="20"/>
                <w:color w:val="auto"/>
              </w:rPr>
            </w:pPr>
            <w:r>
              <w:rPr>
                <w:rFonts w:ascii="Arial" w:cs="Arial" w:eastAsia="Arial" w:hAnsi="Arial"/>
                <w:sz w:val="18"/>
                <w:szCs w:val="18"/>
                <w:color w:val="auto"/>
              </w:rPr>
              <w:t>706,355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32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169,548</w:t>
            </w:r>
          </w:p>
        </w:tc>
        <w:tc>
          <w:tcPr>
            <w:tcW w:w="152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3220" w:type="dxa"/>
            <w:vAlign w:val="bottom"/>
            <w:gridSpan w:val="2"/>
          </w:tcPr>
          <w:p>
            <w:pPr>
              <w:jc w:val="right"/>
              <w:ind w:right="68"/>
              <w:spacing w:after="0"/>
              <w:rPr>
                <w:sz w:val="20"/>
                <w:szCs w:val="20"/>
                <w:color w:val="auto"/>
              </w:rPr>
            </w:pPr>
            <w:r>
              <w:rPr>
                <w:rFonts w:ascii="Arial" w:cs="Arial" w:eastAsia="Arial" w:hAnsi="Arial"/>
                <w:sz w:val="18"/>
                <w:szCs w:val="18"/>
                <w:color w:val="auto"/>
              </w:rPr>
              <w:t>(103,362)</w:t>
            </w:r>
          </w:p>
        </w:tc>
        <w:tc>
          <w:tcPr>
            <w:tcW w:w="1520" w:type="dxa"/>
            <w:vAlign w:val="bottom"/>
          </w:tcPr>
          <w:p>
            <w:pPr>
              <w:jc w:val="right"/>
              <w:ind w:right="297"/>
              <w:spacing w:after="0"/>
              <w:rPr>
                <w:sz w:val="20"/>
                <w:szCs w:val="20"/>
                <w:color w:val="auto"/>
              </w:rPr>
            </w:pPr>
            <w:r>
              <w:rPr>
                <w:rFonts w:ascii="Arial" w:cs="Arial" w:eastAsia="Arial" w:hAnsi="Arial"/>
                <w:sz w:val="18"/>
                <w:szCs w:val="18"/>
                <w:color w:val="auto"/>
              </w:rPr>
              <w:t>401,685</w:t>
            </w:r>
          </w:p>
        </w:tc>
        <w:tc>
          <w:tcPr>
            <w:tcW w:w="960" w:type="dxa"/>
            <w:vAlign w:val="bottom"/>
          </w:tcPr>
          <w:p>
            <w:pPr>
              <w:jc w:val="right"/>
              <w:spacing w:after="0"/>
              <w:rPr>
                <w:sz w:val="20"/>
                <w:szCs w:val="20"/>
                <w:color w:val="auto"/>
              </w:rPr>
            </w:pPr>
            <w:r>
              <w:rPr>
                <w:rFonts w:ascii="Arial" w:cs="Arial" w:eastAsia="Arial" w:hAnsi="Arial"/>
                <w:sz w:val="18"/>
                <w:szCs w:val="18"/>
                <w:color w:val="auto"/>
              </w:rPr>
              <w:t>677,722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720" w:hanging="422"/>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w:t>
      </w:r>
    </w:p>
    <w:p>
      <w:pPr>
        <w:spacing w:after="0" w:line="23" w:lineRule="exact"/>
        <w:rPr>
          <w:rFonts w:ascii="Arial" w:cs="Arial" w:eastAsia="Arial" w:hAnsi="Arial"/>
          <w:sz w:val="18"/>
          <w:szCs w:val="18"/>
          <w:color w:val="auto"/>
        </w:rPr>
      </w:pPr>
    </w:p>
    <w:p>
      <w:pPr>
        <w:jc w:val="both"/>
        <w:ind w:left="720" w:hanging="422"/>
        <w:spacing w:after="0" w:line="265" w:lineRule="auto"/>
        <w:tabs>
          <w:tab w:leader="none" w:pos="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pro forma consolidated balance sheet data give effect to (i) our issuance and sale in April 2021 of 4,296,550 shares of our Series C preferred stock for gross proceeds of $335.5 million and (ii) the automatic conversion of all outstanding shares of our preferred stock, including our Series C preferred stock, into an aggregate of 84,722,420 shares of common stock upon the closing of this offering.</w:t>
      </w:r>
    </w:p>
    <w:p>
      <w:pPr>
        <w:jc w:val="both"/>
        <w:ind w:left="720" w:hanging="422"/>
        <w:spacing w:after="0" w:line="253"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 forma as adjusted consolidated balance sheet data give further effect to our issuance and sale of 17,700,000 shares of our common stock in this offering at an assumed initial public offering price of $17.00 per share, which is the midpoint of the estimated price range set forth on the cover page of this prospectus, after deducting estimated underwriting discounts and commissions and estimated offering expenses payable by us.</w:t>
      </w:r>
    </w:p>
    <w:p>
      <w:pPr>
        <w:spacing w:after="0" w:line="192" w:lineRule="exact"/>
        <w:rPr>
          <w:rFonts w:ascii="Arial" w:cs="Arial" w:eastAsia="Arial" w:hAnsi="Arial"/>
          <w:sz w:val="18"/>
          <w:szCs w:val="18"/>
          <w:color w:val="auto"/>
        </w:rPr>
      </w:pPr>
    </w:p>
    <w:p>
      <w:pPr>
        <w:jc w:val="both"/>
        <w:ind w:left="720"/>
        <w:spacing w:after="0" w:line="269" w:lineRule="auto"/>
        <w:rPr>
          <w:rFonts w:ascii="Arial" w:cs="Arial" w:eastAsia="Arial" w:hAnsi="Arial"/>
          <w:sz w:val="18"/>
          <w:szCs w:val="18"/>
          <w:color w:val="auto"/>
        </w:rPr>
      </w:pPr>
      <w:r>
        <w:rPr>
          <w:rFonts w:ascii="Arial" w:cs="Arial" w:eastAsia="Arial" w:hAnsi="Arial"/>
          <w:sz w:val="17"/>
          <w:szCs w:val="17"/>
          <w:color w:val="auto"/>
        </w:rPr>
        <w:t>The pro forma as adjusted information discussed above is illustrative only and will change based on the actual initial public offering price and other terms of this offering determined at pricing. Each $1.00 increase (decrease) in the assumed initial public offering price of $17.00 per share, which is the midpoint of the estimated price range set forth on the cover page of this prospectus, would increase (decrease) the pro forma as adjusted amount of each of cash and cash equivalents, working capital, total assets and total stockholders’ equity by $16.5 million, assuming that the number of shares offered by us, as set forth on the cover page of this prospectus, remains the same and after deducting estimated underwriting discounts and commissions and estimated offering expenses payable by us. Each increase (decrease) of 1,000,000 shares in the number of shares offered by us, as set forth on the cover page of this prospectus, would increase (decrease) the pro forma as adjusted amount of each of cash and cash equivalents, working capital, total assets and total stockholders’ equity by $15.8 million, assuming no change in the assumed initial public offering price per share and after deducting estimated underwriting discounts and commissions and estimated offering expenses payable by us.</w:t>
      </w:r>
    </w:p>
    <w:p>
      <w:pPr>
        <w:spacing w:after="0" w:line="37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and uncertainties described below, together with all of the other information in this prospectus, including our financial statements and related notes, before deciding whether to purchase shares of our common stock. The risks and uncertainties described below are not the only ones we face. Additional risks and uncertainties that we are unaware of, or that we currently believe are not material, may also become important factors that affect us. If any of the following risks are realized, our business, financial condition, results of operations and prospects could be materially and adversely affected. In that event, the price of our common stock could decline, and you could lose part or all of your investment.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21" w:lineRule="exact"/>
        <w:rPr>
          <w:sz w:val="20"/>
          <w:szCs w:val="20"/>
          <w:color w:val="auto"/>
        </w:rPr>
      </w:pPr>
    </w:p>
    <w:p>
      <w:pPr>
        <w:ind w:left="560" w:right="62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62"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Since our inception, we have incurred significant losses, and we expect to continue to incur significant expenses and operating losses for the foreseeable future. Our net losses were $65.3 million for the period from June 3, 2020 (inception) to December 31, 2020 and $38.7 million for the three months ended March 31, 2021. As of March 31, 2021, we had an accumulated deficit of $104.0 million. Since our inception, we have financed our operations with gross proceeds of $465.4 million raised in our private placements of preferred stock, including the sale of our Series C preferred stock in April 2021. We have no products approved for commercialization and have never generated any revenue from product sales.</w:t>
      </w:r>
    </w:p>
    <w:p>
      <w:pPr>
        <w:spacing w:after="0" w:line="176"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All of our product candidates are still in clinical and preclinical testing.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89" w:lineRule="exact"/>
        <w:rPr>
          <w:sz w:val="20"/>
          <w:szCs w:val="20"/>
          <w:color w:val="auto"/>
        </w:rPr>
      </w:pPr>
    </w:p>
    <w:p>
      <w:pPr>
        <w:ind w:left="1080" w:hanging="532"/>
        <w:spacing w:after="0" w:line="342"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continue to conduct our ongoing clinical trials of ADG20, including advancement into late-stage global clinical trials, as well as initiate and complete additional clinical trials of future product candidates or current product candidates in new indications or patient populations;</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to advance the preclinical development of our other product candidates and our preclinical and discovery programs;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 regulatory approval for any product candidates that successfully complete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pursue marketing approvals or Emergency Use Authorization, or EUA, and reimbursement for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acquire or in-license other product candidates, intellectual property and/or technologies;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establish and validate our commercial-scale cGMP manufacturing process;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manufacture material under current good manufacturing practices, or cGMP, for clinical trials and potential commercial sales at our contracted manufacturing facilities;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 portfolio;</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comply with regulatory requirements established by the applicable regulatory authorities;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establish and validate our commercial-scale cGMP manufacturing process;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and scale up manufacturing capabilities to commercialize any product candidates for which we may obtain regulatory approval or EUA;</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hire and retain additional personnel, including research, clinical, development, manufacturing quality control, quality assurance, regulatory and scientific personnel;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 operational, financial, corporate development, management information systems and administrative personnel, including personnel to support our product development and planned future commercialization efforts;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225"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To date, we have not generated any revenue from product sales. To become and remain profitable, we must succeed in developing and eventually commercializing product candidates that generate significant revenue. This will require us to be successful in a range of challenging activities, including completing preclinical testing and clinical trials of our product candidates, validating manufacturing processes, obtaining regulatory approval or EUA, and manufacturing, marketing and selling any product candidates for which we may obtain regulatory approval or EUA, as well as discovering and developing additional product candidates. All of our product candidates are in clinical or preclinical development. We may never succeed in these activities and, even if we do, may never generate any revenue or revenue that is significant enough to achieve profitability.</w:t>
      </w:r>
    </w:p>
    <w:p>
      <w:pPr>
        <w:spacing w:after="0" w:line="164"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Because of the numerous risks and uncertainties associated with product candidate development, we are unable to accurately predict the timing or amount of expenses or when, or if, we will be able to achieve profitability. If we are required by regulatory authorities to perform clinical trials or preclinical studies in addition to those currently expected, or if there are any delays in the initiation and completion of our clinical trials or the development of any of our product candidates, our expenses could increase.</w:t>
      </w:r>
    </w:p>
    <w:p>
      <w:pPr>
        <w:spacing w:after="0" w:line="18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p>
    <w:p>
      <w:pPr>
        <w:spacing w:after="0" w:line="295" w:lineRule="exact"/>
        <w:rPr>
          <w:sz w:val="20"/>
          <w:szCs w:val="20"/>
          <w:color w:val="auto"/>
        </w:rPr>
      </w:pPr>
    </w:p>
    <w:p>
      <w:pPr>
        <w:ind w:left="560" w:right="32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no history of commercializing products, which may make it difficult for an investor to evaluate the success of our business to date and to assess our future viability.</w:t>
      </w:r>
    </w:p>
    <w:p>
      <w:pPr>
        <w:spacing w:after="0" w:line="62"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auto"/>
        </w:rPr>
        <w:t>We are a clinical-stage biopharmaceutical company with a limited operating history. We commenced operations in June 2020, and our operations to date have been largely focused on organizing and staffing our company, business planning, raising capital, acquiring our technology and product candidates, developing our manufacturing capabilities and developing our clinical and preclinical product candidates, including undertaking preclinical studies and conducting clinical trials. To date, we have not yet demonstrated our ability to successfully complete pivotal clinical trials, obtain regulatory approvals or EUA, manufacture a product on a commercial scale, or conduct sales and marketing activities necessary for successful commercialization, and we may not be successful in doing so. Consequently, any predictions you make about our future success or viability may not be as accurate as they could be if we had a longer operating history or a history of successfully developing and commercializing products.</w:t>
      </w:r>
    </w:p>
    <w:p>
      <w:pPr>
        <w:spacing w:after="0" w:line="166"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In addition, as a business with a limited operating history, we may encounter unforeseen expenses, difficulties, complications, delays and other known and unknown factors. We will eventually need to transition from a company with a research and clinical focus to a company, if any of our product candidates are approved, capable of supporting commercial activities. We may not be successful in such a transition.</w:t>
      </w:r>
    </w:p>
    <w:p>
      <w:pPr>
        <w:spacing w:after="0" w:line="273" w:lineRule="exact"/>
        <w:rPr>
          <w:sz w:val="20"/>
          <w:szCs w:val="20"/>
          <w:color w:val="auto"/>
        </w:rPr>
      </w:pPr>
    </w:p>
    <w:p>
      <w:pPr>
        <w:ind w:left="560" w:right="200"/>
        <w:spacing w:after="0" w:line="263" w:lineRule="auto"/>
        <w:rPr>
          <w:sz w:val="20"/>
          <w:szCs w:val="20"/>
          <w:color w:val="auto"/>
        </w:rPr>
      </w:pPr>
      <w:r>
        <w:rPr>
          <w:rFonts w:ascii="Arial" w:cs="Arial" w:eastAsia="Arial" w:hAnsi="Arial"/>
          <w:sz w:val="18"/>
          <w:szCs w:val="18"/>
          <w:b w:val="1"/>
          <w:bCs w:val="1"/>
          <w:i w:val="1"/>
          <w:iCs w:val="1"/>
          <w:color w:val="auto"/>
        </w:rPr>
        <w:t>Even if this offering is successful, 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76"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Our operations have consumed substantial amounts of cash since inception, and we expect to continue to incur significant expenses and operating losses over the next several years as we continue to develop our product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candidate pipeline and build out our manufacturing capabilities for our product candidates, which, if approved, may not achieve commercial success. Our revenue, if any, will be derived from sales of products that may not be commercially available for a number of years, if at all. If we obtain marketing approval for any product candidates that we develop or otherwise acquire, we expect to incur significant commercialization expenses related to product sales, marketing, distribution and manufacturing. We also expect an increase in our expenses associated with creating additional infrastructure to support operations as a public company. Accordingly, we will need to obtain substantial additional funding in order to continue our operations.</w:t>
      </w:r>
    </w:p>
    <w:p>
      <w:pPr>
        <w:spacing w:after="0" w:line="161"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As of March 31, 2021, we had cash and cash equivalents of $91.2 million. In addition, in April 2021, we received gross proceeds of $335.5 million from sales of our Series C preferred stock. We believe that the anticipated net proceeds from this offering, together with our existing cash and cash equivalents, will be sufficient to fund our operating expenses and capital expenditure requirements into the first quarter of 2023. This estimate is based on assumptions that may prove to be wrong, and we could exhaust our available capital resources sooner than we expect. We plan to use the net proceeds from this offering to fund clinical development, manufacturing supply and initial commercialization costs for ADG20, and the remainder for working capital and other general corporate purposes, including development of additional programs in our pipeline. The net proceeds from this offering, together with our existing cash and cash equivalents, may not be sufficient to fund any of our product candidates through regulatory approval. Changes may occur beyond our control that would cause us to consume our available capital before that time, including changes in and progress of our development activities, acquisitions of additional product candidates and changes in regulation. The timing and amount of our funding requirements will depend on many factors, including:</w:t>
      </w:r>
    </w:p>
    <w:p>
      <w:pPr>
        <w:spacing w:after="0" w:line="91"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rate of progress in the development of AGD20 and our other product candidates;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progress, results and costs of non-clinical studies, preclinical development, laboratory testing and clinical trials for ADG20 and future product candidates and associated development programs;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to which we develop, in-license or acquire other product candidates and technologies in our pipeline;</w:t>
      </w:r>
    </w:p>
    <w:p>
      <w:pPr>
        <w:spacing w:after="0" w:line="130"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progress, results and costs as well as timing of process development and manufacturing scale-up and validation activities associated with ADG20 and our future product candidates and other programs as we advance them through preclinical and clinical development;</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and development requirements of product candidates that we may pursue;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capabilities and establish a commercial infrastructure;</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and costs of securing sufficient capacity for commercial supply of our product candidates, or the raw material components thereof;</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 or EUA;</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necessary to obtain regulatory approvals, if any, for products in the United States and other jurisdictions, and the costs of post-marketing studies that could be required by regulatory authorities in jurisdictions where approval is obtained;</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continuation of our existing licensing and collaboration arrangements and entry into new collaborations and licensing arrangements, if at all;</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need and ability to hire additional research, clinical, development, scientific and manufacturing personnel;</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we incur in maintaining business operations;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need to implement additional internal systems and infrastructure;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 of competing technological, product and market developments;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operating as a public company; and</w:t>
      </w:r>
    </w:p>
    <w:p>
      <w:pPr>
        <w:spacing w:after="0" w:line="130"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progression of the COVID-19 pandemic and emergence of potential outbreaks of other coronaviruses, including the impact of any business interruptions to our operations or to those of our contract manufacturers, suppliers or other vendors resulting from the COVID-19 pandemic or other similar public health crises.</w:t>
      </w:r>
    </w:p>
    <w:p>
      <w:pPr>
        <w:spacing w:after="0" w:line="184"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We will require additional capital to achieve our business objectives. Additional funds may not be available on a timely basis, on favorable terms or at all, and such funds, if raised, may not be sufficient to enable us to continue to implement our long-term business strategy. Any additional fundraising efforts may divert our management from their day-to-day activities, which may adversely affect our ability to develop and commercialize our product candidates. Further, our ability to raise additional capital may be adversely impacted by potential worsening global economic conditions and the recent disruptions to and volatility in the credit and financial markets in the United States and worldwide resulting from the ongoing COVID-19 pandemic. If we are unable to raise sufficient additional capital, we could be forced to curtail our planned operations and the pursuit of our growth strategy.</w:t>
      </w:r>
    </w:p>
    <w:p>
      <w:pPr>
        <w:spacing w:after="0" w:line="303"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2"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Until such time, if ever, as we can generate substantial revenue, we may finance our cash needs through a combination of equity offerings, government or private-party grants, debt financings and license and collaboration agreements. We do not currently have any other committed external source of funds. To the extent that we raise additional capital through the sale of equity or convertible debt securities, your ownership interest will be diluted, and the terms of such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78"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be required to relinquish valuable rights to our technologies, future revenue streams or product candidates, grant licenses on terms that may not be favorable to us or commit to future payment streams.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Our recurring losses from operations and financial condition raise substantial doubt about our ability to continue as a going concern.</w:t>
      </w:r>
    </w:p>
    <w:p>
      <w:pPr>
        <w:spacing w:after="0" w:line="140"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Our recurring losses from operations and financial condition raise substantial doubt about our ability to continue as a going concern. In our financial statements for the period from June 3, 2020 (inception) to December 31, 2020, we concluded that our recurring losses from operations and need for additional financing to fund future operations raise substantial doubt about our ability to continue as a going concern. Similarly, our independent registered public accounting firm included an explanatory paragraph in its report on our financial</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87" w:lineRule="auto"/>
        <w:rPr>
          <w:sz w:val="20"/>
          <w:szCs w:val="20"/>
          <w:color w:val="auto"/>
        </w:rPr>
      </w:pPr>
      <w:r>
        <w:rPr>
          <w:rFonts w:ascii="Arial" w:cs="Arial" w:eastAsia="Arial" w:hAnsi="Arial"/>
          <w:sz w:val="16"/>
          <w:szCs w:val="16"/>
          <w:color w:val="auto"/>
        </w:rPr>
        <w:t>statements for the period from June 3, 2020 (inception) to December 31, 2020 with respect to this uncertainty. Our ability to continue as a going concern will require us to obtain additional funding. If we are unable to obtain sufficient funding, our business, prospects, financial condition and results of operations will be materially and adversely affected, and we may be unable to continue as a going concern. If we are unable to raise capital when needed or on acceptable terms, we would be forced to delay, limit, reduce or terminate our product development or future commercialization efforts of one or more of our product candidates, or may be forced to reduce or terminate our operations. If we are unable to continue as a going concern, we may have to liquidate our assets and may receive less than the value at which those assets are carried on our audited financial statements, and it is likely that investors will lose all or a part of their investment. After this offering, in our own required quarterly assessments, we may again conclude that there is substantial doubt about our ability to continue as a going concern, and future reports from our independent registered public accounting firm may also contain statements expressing substantial doubt about our ability to continue as a going concern. If we seek additional financing to fund our business activities in the future and there remains substantial doubt about our ability to continue as a going concern, investors or other financing sources may be unwilling to provide additional funding to us on commercially reasonable terms, if at all.</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121" w:lineRule="exact"/>
        <w:rPr>
          <w:sz w:val="20"/>
          <w:szCs w:val="20"/>
          <w:color w:val="auto"/>
        </w:rPr>
      </w:pPr>
    </w:p>
    <w:p>
      <w:pPr>
        <w:ind w:left="560" w:right="20"/>
        <w:spacing w:after="0" w:line="286" w:lineRule="auto"/>
        <w:rPr>
          <w:sz w:val="20"/>
          <w:szCs w:val="20"/>
          <w:color w:val="auto"/>
        </w:rPr>
      </w:pPr>
      <w:r>
        <w:rPr>
          <w:rFonts w:ascii="Arial" w:cs="Arial" w:eastAsia="Arial" w:hAnsi="Arial"/>
          <w:sz w:val="17"/>
          <w:szCs w:val="17"/>
          <w:b w:val="1"/>
          <w:bCs w:val="1"/>
          <w:i w:val="1"/>
          <w:iCs w:val="1"/>
          <w:color w:val="auto"/>
        </w:rPr>
        <w:t>All of our product candidates are currently in clinical and preclinical development. If we are unable to successfully develop, receive regulatory approval or EUA for and commercialize our product candidates for the indications we seek, or successfully develop any other product candidates, or experience significant delays in doing so, our business will be harmed.</w:t>
      </w:r>
    </w:p>
    <w:p>
      <w:pPr>
        <w:spacing w:after="0" w:line="5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We currently have no products approved for commercial sale, and all of our product candidates are currently in clinical and preclinical development. In February 2021, we initiated a Phase 1 clinical trial evaluating ADG20, our lead monoclonal antibody product candidate. We have also advanced ADG20 into global pivotal trials for the treatment and prevention of COVID-19, including in countries with high rates of resistant variants. We have initiated conduct of our first prospective, randomized, multi-center clinical trials, have not previously conducted any later stage or pivotal clinical trials, have limited experience in preparing, submitting and prosecuting regulatory filings and have not previously submitted a biologics license application, or BLA, for any product candidate.</w:t>
      </w:r>
    </w:p>
    <w:p>
      <w:pPr>
        <w:spacing w:after="0" w:line="192"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Our ability to generate revenue from our product candidates, which may not occur for several years, if ever, will depend heavily on the successful development, regulatory approval or granting of EUA, obtaining of manufacturing supply, capacity and expertise and eventual commercialization of our product candidates. In the absence of a public health emergency, we will not be able to receive an EUA. The success of ADG20 or any other product candidates that we develop or otherwise may acquire will depend on several factors, including:</w:t>
      </w:r>
    </w:p>
    <w:p>
      <w:pPr>
        <w:spacing w:after="0" w:line="77"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30" w:lineRule="exact"/>
        <w:rPr>
          <w:rFonts w:ascii="Arial" w:cs="Arial" w:eastAsia="Arial" w:hAnsi="Arial"/>
          <w:sz w:val="18"/>
          <w:szCs w:val="18"/>
          <w:color w:val="auto"/>
        </w:rPr>
      </w:pPr>
    </w:p>
    <w:p>
      <w:pPr>
        <w:ind w:left="1080" w:hanging="532"/>
        <w:spacing w:after="0" w:line="34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filing acceptable investigational new drug applications, or INDs, with the U.S. Food and Drug Administration, or the FDA, or comparable foreign applications that allow commencement of our planned clinical trials or future clinical trials for our product candidates;</w:t>
      </w:r>
    </w:p>
    <w:p>
      <w:pPr>
        <w:spacing w:after="0" w:line="29" w:lineRule="exact"/>
        <w:rPr>
          <w:rFonts w:ascii="Arial" w:cs="Arial" w:eastAsia="Arial" w:hAnsi="Arial"/>
          <w:sz w:val="16"/>
          <w:szCs w:val="16"/>
          <w:color w:val="auto"/>
        </w:rPr>
      </w:pPr>
    </w:p>
    <w:p>
      <w:pPr>
        <w:ind w:left="108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 manufacture the product candidates and complete associated regulatory activities;</w:t>
      </w:r>
    </w:p>
    <w:p>
      <w:pPr>
        <w:spacing w:after="0" w:line="75"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establish and maintain agreements with third-party manufacturers for clinical supply for our clinical trials and commercial manufacturing and successfully develop, obtain regulatory approval or EUA for, and then successfully commercialize our product candidates;</w:t>
      </w:r>
    </w:p>
    <w:p>
      <w:pPr>
        <w:spacing w:after="0" w:line="89" w:lineRule="exact"/>
        <w:rPr>
          <w:rFonts w:ascii="Arial" w:cs="Arial" w:eastAsia="Arial" w:hAnsi="Arial"/>
          <w:sz w:val="18"/>
          <w:szCs w:val="18"/>
          <w:color w:val="auto"/>
        </w:rPr>
      </w:pPr>
    </w:p>
    <w:p>
      <w:pPr>
        <w:ind w:left="5540" w:right="180" w:hanging="4992"/>
        <w:spacing w:after="0" w:line="449" w:lineRule="auto"/>
        <w:tabs>
          <w:tab w:leader="none" w:pos="1094"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 enrollment and timely completion of clinical trials, including our ability to generate positive data from any such clinical trials; 17</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associated with the development of any additional development programs and product candidates we identify in-house or acquire through collaborations;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receipt of timely marketing approvals from applicable regulatory authorities;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developing and expanding sales, marketing and distribution capabilities and launching commercial sales of products, if approved, whether alone or in collaboration with others;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acceptance of the benefits and use of our products, including method of administration, if approved, by patients, the medical community and third-party payors, for their approved indications;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prevalence and severity of adverse events experienced with ADG20 or any other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availability, perceived advantages, cost, safety and efficacy of alternative therapies for any product candidate that we develop;</w:t>
      </w:r>
    </w:p>
    <w:p>
      <w:pPr>
        <w:spacing w:after="0" w:line="142" w:lineRule="exact"/>
        <w:rPr>
          <w:rFonts w:ascii="Arial" w:cs="Arial" w:eastAsia="Arial" w:hAnsi="Arial"/>
          <w:sz w:val="17"/>
          <w:szCs w:val="17"/>
          <w:color w:val="auto"/>
        </w:rPr>
      </w:pPr>
    </w:p>
    <w:p>
      <w:pPr>
        <w:ind w:left="1080" w:right="20" w:hanging="532"/>
        <w:spacing w:after="0" w:line="308" w:lineRule="auto"/>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continuing need for therapies for the treatment and prevention of COVID-19, including due to the continuation of the pandemic, the development of SARS-CoV-2 into an endemic disease or the inability of other available therapies to address COVID-19;</w:t>
      </w:r>
    </w:p>
    <w:p>
      <w:pPr>
        <w:spacing w:after="0" w:line="51"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terms and timing of any collaboration, license or other arrangement, including the terms and timing of any milestone payments thereunder;</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obtain and maintain patent, trademark and trade secret protection and regulatory exclusivity for our product candidates, if and when approved, and otherwise protecting our rights in our intellectual property portfolio;</w:t>
      </w:r>
    </w:p>
    <w:p>
      <w:pPr>
        <w:spacing w:after="0" w:line="75"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compliance with regulatory requirements, including Good Clinical Practices, or GCPs, current Good Laboratory Practices, or cGLPs, and cGMPs, and to comply effectively with other rules, regulations and procedures applicable to the development and sale of pharmaceutical products;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potential significant and changing government regulation, regulatory guidance and requirements and evolving treatment guidelines;</w:t>
      </w:r>
    </w:p>
    <w:p>
      <w:pPr>
        <w:spacing w:after="0" w:line="142"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and maintaining third-party coverage and adequate reimbursement and patients’ willingness to pay out-of-pocket in the absence of such coverage and adequate reimbursement;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a continued acceptable safety, tolerability and efficacy profile of the products following approval; and</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any business interruptions to our operations or those of third parties with which we work, particularly in light of the current COVID-19 pandemic.</w:t>
      </w:r>
    </w:p>
    <w:p>
      <w:pPr>
        <w:spacing w:after="0" w:line="170"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any product candidate we develop, we may not be able to continue our operations.</w:t>
      </w:r>
    </w:p>
    <w:p>
      <w:pPr>
        <w:spacing w:after="0" w:line="292" w:lineRule="exact"/>
        <w:rPr>
          <w:sz w:val="20"/>
          <w:szCs w:val="20"/>
          <w:color w:val="auto"/>
        </w:rPr>
      </w:pPr>
    </w:p>
    <w:p>
      <w:pPr>
        <w:jc w:val="both"/>
        <w:ind w:left="560" w:right="440"/>
        <w:spacing w:after="0" w:line="375" w:lineRule="auto"/>
        <w:rPr>
          <w:sz w:val="20"/>
          <w:szCs w:val="20"/>
          <w:color w:val="auto"/>
        </w:rPr>
      </w:pPr>
      <w:r>
        <w:rPr>
          <w:rFonts w:ascii="Arial" w:cs="Arial" w:eastAsia="Arial" w:hAnsi="Arial"/>
          <w:sz w:val="15"/>
          <w:szCs w:val="15"/>
          <w:b w:val="1"/>
          <w:bCs w:val="1"/>
          <w:i w:val="1"/>
          <w:iCs w:val="1"/>
          <w:color w:val="auto"/>
        </w:rPr>
        <w:t>Because ADG20 and any future product candidates represent novel approaches to the treatment of disease, there are many uncertainties regarding the development, market acceptance, third-party reimbursement coverage and commercial potential of our product candidates.</w:t>
      </w:r>
    </w:p>
    <w:p>
      <w:pPr>
        <w:spacing w:after="0" w:line="1"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COVID-19 is a new disease, the treatment and prevention of which is not yet well understood. Although monoclonal antibody products have been used in the treatment of many indications, to date, the FDA has not yet approved the use of any monoclonal antibodies to treat COVID-19, although the FDA has issued an EUA for several monoclonal antibody products for the treatment of COVID-19 in patients at high risk of disease progression, including bamlanivimab, casirivimab/imdevimab, bamlanvimab/etesevimab and sotrovimab. Because this is a relatively new and expanding area of novel therapeutic interventions, there are many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uncertainties related to development, marketing, reimbursement and the commercial potential for our product candidates. There can be no assurance as to the length of the clinical trials, the number of patients the FDA will require to be enrolled in the trials in order to establish the safety, efficacy, purity and potency of antibody products or that the design of or data generated in these trials will be acceptable to the FDA to support marketing approval.</w:t>
      </w:r>
    </w:p>
    <w:p>
      <w:pPr>
        <w:spacing w:after="0" w:line="149"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In addition, the FDA may take longer than usual to come to a decision on any BLA that we submit and may ultimately determine that there is insufficient data, information or experience with our product candidates to support an approval decision. The FDA may also require that we conduct additional post-marketing studies or implement risk management programs, such as Risk Evaluation and Mitigation Strategies, or REMS, until more experience with our product candidates is obtained. Finally, after increased usage, we may find that our product candidates do not have the intended effect or have unanticipated side effects, potentially jeopardizing initial or continuing regulatory approval and commercial prospects.</w:t>
      </w:r>
    </w:p>
    <w:p>
      <w:pPr>
        <w:spacing w:after="0" w:line="176"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The success of our business depends in part upon our ability to develop engineered monoclonal antibodies that can broadly neutralize SARS-CoV-2, SARS-CoV and additional pre-emergent coronaviruses. We may fail to deliver monoclonal antibodies that are effective in the treatment or prevention of symptomatic COVID-19. Even if we are able to identify and develop such antibodies, we cannot ensure that such product candidates will achieve marketing approval to safely and effectively treat or prevent symptomatic COVID-19 or other future coronavirus diseases.</w:t>
      </w:r>
    </w:p>
    <w:p>
      <w:pPr>
        <w:spacing w:after="0" w:line="15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If we uncover any previously unknown risks related to our antibodies, or if we experience unanticipated expenses, problems or delays in developing our product candidates, we may be unable to achieve our strategy of building a pipeline of monoclonal antibodies. Further, competitors who are developing products with similar technology may experience problems with their products that could identify problems that would potentially harm our business.</w:t>
      </w:r>
    </w:p>
    <w:p>
      <w:pPr>
        <w:spacing w:after="0" w:line="187"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There is no assurance that the approaches offered by our product candidates will gain broad acceptance among doctors or patients or that governmental agencies or third-party medical insurers will be willing to provide reimbursement coverage for our proposed product candidates. Since our current product candidates and any future product candidates will represent novel approaches to treating various conditions, it may be difficult, in any event, to accurately estimate the potential revenues from these product candidates. Accordingly, we may spend significant capital trying to obtain approval for product candidates that have an uncertain commercial market. The market for any products that we successfully develop will also depend on the cost of the product. We do not yet have sufficient information to reliably estimate what it will cost to commercially manufacture our current product candidates, and the actual cost to manufacture these products could materially and adversely affect the commercial viability of these products. If we do not successfully develop and commercialize products based upon our approach or find suitable and economical sources for materials used in the production of our products, we will not become profitable, which would materially and adversely affect the value of our common stock.</w:t>
      </w:r>
    </w:p>
    <w:p>
      <w:pPr>
        <w:spacing w:after="0" w:line="166"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addition, our monoclonal antibodies may be provided to patients in combination with other agents provided by third parties or by us. The cost of such combination therapy may increase the overall cost of therapy, which may affect our ability to obtain reimbursement coverage for the combination therapy from governmental or private third-party medical insurers.</w:t>
      </w:r>
    </w:p>
    <w:p>
      <w:pPr>
        <w:spacing w:after="0" w:line="292" w:lineRule="exact"/>
        <w:rPr>
          <w:sz w:val="20"/>
          <w:szCs w:val="20"/>
          <w:color w:val="auto"/>
        </w:rPr>
      </w:pPr>
    </w:p>
    <w:p>
      <w:pPr>
        <w:ind w:left="560" w:right="80"/>
        <w:spacing w:after="0" w:line="259" w:lineRule="auto"/>
        <w:rPr>
          <w:sz w:val="20"/>
          <w:szCs w:val="20"/>
          <w:color w:val="auto"/>
        </w:rPr>
      </w:pPr>
      <w:r>
        <w:rPr>
          <w:rFonts w:ascii="Arial" w:cs="Arial" w:eastAsia="Arial" w:hAnsi="Arial"/>
          <w:sz w:val="18"/>
          <w:szCs w:val="18"/>
          <w:b w:val="1"/>
          <w:bCs w:val="1"/>
          <w:i w:val="1"/>
          <w:iCs w:val="1"/>
          <w:color w:val="auto"/>
        </w:rPr>
        <w:t>Preclinical studies and clinical trials are expensive, time-consuming, difficult to design and implement and involve an uncertain outcome. Further, we may encounter substantial delays in completing the development of our product candidates. If we are not able to obtain required regulatory approvals or EUA, we will not be able to commercialize our product candidates, and our ability to generate product revenue will be adversely affected.</w:t>
      </w:r>
    </w:p>
    <w:p>
      <w:pPr>
        <w:spacing w:after="0" w:line="7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All of our product candidates are in clinical and preclinical development and their risk of failure is high. The clinical trials and manufacturing of our product candidates are, and the manufacturing and marketing of our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products, if approved,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In particular, because our product candidates are subject to regulation as biological products, we will need to demonstrate that they are safe, pure and potent for use in their target indications. Each product candidate must demonstrate an adequate risk versus benefit profile in its intended patient population and for its intended use.</w:t>
      </w:r>
    </w:p>
    <w:p>
      <w:pPr>
        <w:spacing w:after="0" w:line="178"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Clinical testing is expensive and can take many years to complete, and its outcome is inherently uncertain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cannot guarantee that any clinical trials will be conducted as planned or completed on schedule, if at all. Failure can occur at any time during the clinical trial process. Even if our future clinical trials are completed as planned, we cannot be certain that their results will support the safety and effectiveness of our product candidates for their targeted indications or support continued clinical development of such product candidates. Our future clinical trial results may not be successful.</w:t>
      </w:r>
    </w:p>
    <w:p>
      <w:pPr>
        <w:spacing w:after="0" w:line="195"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In addition, even if such trials are successfully completed, we cannot guarantee that the FDA, the European Medicines Agency, or EMA, or other foreign regulatory authorities will interpret the results as we do, and more trials could be required before we submit our product candidates for approval. Moreover, results acceptable to support approval in one jurisdiction may be deemed inadequate by another regulatory authority to support regulatory approval in that other jurisdiction. To the extent that the results of the trials are not satisfactory to the FDA, EMA or other foreign regulatory authorities for support of a marketing application, we may be required to expend significant resources, which may not be available to us, to conduct additional preclinical studies or trials for our product candidates either prior to or post-approval, or they may object to elements of our clinical development program, requiring their alteration.</w:t>
      </w:r>
    </w:p>
    <w:p>
      <w:pPr>
        <w:spacing w:after="0" w:line="195"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Of the large number of products in development, only a small percentage successfully complete the FDA’s or comparable foreign regulatory authorities’ approval processes and are commercialized. Even if we eventually complete clinical testing and receive approval of a new drug application, or NDA, BLA or foreign marketing application for our product candidates, the FDA or the comparable foreign regulatory authorities may grant approval or other marketing authorization contingent on the performance of costly additional clinical trials, including post-market clinical trials. The FDA or the comparable foreign regulatory authorities also may approve or authorize for marketing a product candidate for a more limited indication or patient population than we originally request, and the FDA or comparable foreign regulatory authorities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adversely impact our business and prospects.</w:t>
      </w:r>
    </w:p>
    <w:p>
      <w:pPr>
        <w:spacing w:after="0" w:line="196"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Furthermore, even if we obtain regulatory approval for our product candidates, we may still need to develop a commercial organization, establish a commercially viable pricing structure and obtain approval for coverage and adequate reimbursement from commercial and government payors, including government health administration authorities. If we are unable to successfully commercialize our product candidates, we may not be able to generate sufficient revenue to continue our business.</w:t>
      </w:r>
    </w:p>
    <w:p>
      <w:pPr>
        <w:spacing w:after="0" w:line="295" w:lineRule="exact"/>
        <w:rPr>
          <w:sz w:val="20"/>
          <w:szCs w:val="20"/>
          <w:color w:val="auto"/>
        </w:rPr>
      </w:pPr>
    </w:p>
    <w:p>
      <w:pPr>
        <w:jc w:val="both"/>
        <w:ind w:left="560" w:right="240"/>
        <w:spacing w:after="0" w:line="375" w:lineRule="auto"/>
        <w:rPr>
          <w:sz w:val="20"/>
          <w:szCs w:val="20"/>
          <w:color w:val="auto"/>
        </w:rPr>
      </w:pPr>
      <w:r>
        <w:rPr>
          <w:rFonts w:ascii="Arial" w:cs="Arial" w:eastAsia="Arial" w:hAnsi="Arial"/>
          <w:sz w:val="15"/>
          <w:szCs w:val="15"/>
          <w:b w:val="1"/>
          <w:bCs w:val="1"/>
          <w:i w:val="1"/>
          <w:iCs w:val="1"/>
          <w:color w:val="auto"/>
        </w:rPr>
        <w:t>We may experience delays in beginning or conducting clinical trials or numerous unforeseen events before, during or as a result of clinical trials that could delay or prevent our ability to complete clinical trials, receive marketing approval or commercialize our product candidates.</w:t>
      </w:r>
    </w:p>
    <w:p>
      <w:pPr>
        <w:spacing w:after="0" w:line="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may experience delays in conducting any clinical trials, and we do not know whether our clinical trials will begin on time, need to be redesigned, recruit and enroll patients on time or be completed on schedule, or at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all. We may experience numerous unforeseen events before, during or as a result of clinical trials that could delay or prevent our ability to complete such trials or receive marketing approval for or commercialize our product candidates, or that could significantly increase the cost of such trials, including:</w:t>
      </w:r>
    </w:p>
    <w:p>
      <w:pPr>
        <w:spacing w:after="0" w:line="2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inability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sufficiently developing, characterizing or controlling a manufacturing process suitable for advanced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developing suitable assays for screening patients for eligibility for trials with respect to certain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delays in reaching agreement with the FDA, EMA or other regulatory authorities as to the design or implementation of our clinical trials;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obtaining regulatory authorization to commence a clinical trial;</w:t>
      </w:r>
    </w:p>
    <w:p>
      <w:pPr>
        <w:spacing w:after="0" w:line="130" w:lineRule="exact"/>
        <w:rPr>
          <w:rFonts w:ascii="Arial" w:cs="Arial" w:eastAsia="Arial" w:hAnsi="Arial"/>
          <w:sz w:val="18"/>
          <w:szCs w:val="18"/>
          <w:color w:val="auto"/>
        </w:rPr>
      </w:pPr>
    </w:p>
    <w:p>
      <w:pPr>
        <w:ind w:left="1080" w:right="20" w:hanging="532"/>
        <w:spacing w:after="0" w:line="308" w:lineRule="auto"/>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challenges in reaching an agreement on acceptable terms with clinical trial sites or prospective contract research organizations, or CROs, the terms of which can be subject to extensive negotiation and may vary significantly among different clinical trial sites;</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obtaining institutional review board, or IRB, approval at each trial site;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challenges in recruiting suitable patients to participate in a clinical trial;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having patients complete a clinical trial or return for post-treatment follow-up;</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inspections of clinical trial sites or operations by applicable regulatory authorities, or the imposition of a clinical hold;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clinical sites, CROs or other third parties deviating from trial protocol or dropping out of a trial;</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perform in accordance with the applicable regulatory requirements, including the FDA’s regulations and GCP requirements, or applicable regulatory requirements in other countries;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addressing patient safety concerns that arise during the course of a trial, including the occurrence of adverse events associated with the product candidate that are viewed to outweigh its potential benefits;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having an insufficient number of clinical trial sites;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manufacturing sufficient quantities of product candidate for use in clinical trials;</w:t>
      </w:r>
    </w:p>
    <w:p>
      <w:pPr>
        <w:spacing w:after="0" w:line="130" w:lineRule="exact"/>
        <w:rPr>
          <w:rFonts w:ascii="Arial" w:cs="Arial" w:eastAsia="Arial" w:hAnsi="Arial"/>
          <w:sz w:val="18"/>
          <w:szCs w:val="18"/>
          <w:color w:val="auto"/>
        </w:rPr>
      </w:pPr>
    </w:p>
    <w:p>
      <w:pPr>
        <w:ind w:left="1080" w:hanging="532"/>
        <w:spacing w:after="0" w:line="308" w:lineRule="auto"/>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suspensions or terminations by IRBs of the institutions at which such trials are being conducted, by the independent Data Monitoring Committee for such trial or by the FDA or other regulatory authorities due to a number of factors, including those described above;</w:t>
      </w:r>
    </w:p>
    <w:p>
      <w:pPr>
        <w:spacing w:after="0" w:line="51" w:lineRule="exact"/>
        <w:rPr>
          <w:rFonts w:ascii="Arial" w:cs="Arial" w:eastAsia="Arial" w:hAnsi="Arial"/>
          <w:sz w:val="17"/>
          <w:szCs w:val="17"/>
          <w:color w:val="auto"/>
        </w:rPr>
      </w:pPr>
    </w:p>
    <w:p>
      <w:pPr>
        <w:jc w:val="both"/>
        <w:ind w:left="1080" w:right="20" w:hanging="532"/>
        <w:spacing w:after="0" w:line="25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regulatory requirements or guidance, or feedback from regulatory authorities that requires us to modify the design or conduct of our clinical trials; for example, in April 2021, the FDA informed us that it had changed its view on allowing high risk patients to be randomized to placebo in the United States in our STAMP treatment trial, which has resulted in modification of the design and conduct of this trial exclusively outside of the United States;</w:t>
      </w:r>
    </w:p>
    <w:p>
      <w:pPr>
        <w:spacing w:after="0" w:line="92"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and we may decide, or regulators may require us, to conduct additional clinical trials or abandon development programs;</w:t>
      </w:r>
    </w:p>
    <w:p>
      <w:pPr>
        <w:spacing w:after="0" w:line="75"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especially if regulatory bodies require the completion of non-inferiority trials, enrollment in these clinical trials may be slower than we anticipate or participants may drop out of these clinical trials at a higher rate than we anticipate;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75" w:lineRule="exact"/>
        <w:rPr>
          <w:rFonts w:ascii="Arial" w:cs="Arial" w:eastAsia="Arial" w:hAnsi="Arial"/>
          <w:sz w:val="18"/>
          <w:szCs w:val="18"/>
          <w:color w:val="auto"/>
        </w:rPr>
      </w:pPr>
    </w:p>
    <w:p>
      <w:pPr>
        <w:jc w:val="both"/>
        <w:ind w:left="1080" w:right="20" w:hanging="532"/>
        <w:spacing w:after="0" w:line="254"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or our investigators might have to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 for example, we intend to conduct our STAMP treatment trial at sites outside of the United States, and the applicable foreign regulatory authorities may determine that a placebo-controlled trial would expose patients to unacceptable health risks (for example, if alternative effective therapies become available in these regions during the conduct of the trial), which could delay enrollment of our trial and the authorization or approval of ADG20;</w:t>
      </w:r>
    </w:p>
    <w:p>
      <w:pPr>
        <w:spacing w:after="0" w:line="10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cost of clinical trials of our product candidates may be greater than we anticipate and we may not have funds to cover the costs;</w:t>
      </w:r>
    </w:p>
    <w:p>
      <w:pPr>
        <w:spacing w:after="0" w:line="142"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 or may not be able to be procured or distributed as needed;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regulators may revise the requirements for approving our product candidates, or such requirements may not be as we anticipate; and</w:t>
      </w:r>
    </w:p>
    <w:p>
      <w:pPr>
        <w:spacing w:after="0" w:line="142"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future collaborators that conduct clinical trials may face any of the above issues, and may conduct clinical trials in ways they view as advantageous to them but that are suboptimal for us.</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and timely complete clinical trials of our product candidates or other testing, if the results of these trials or tests are not positive or are only modestly positive or if there are safety concerns, we may:</w:t>
      </w:r>
    </w:p>
    <w:p>
      <w:pPr>
        <w:spacing w:after="0" w:line="8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incur unplanned costs;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or not obtain marketing approval at all;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marketing approval for indications or patient populations that are not as broad as intended or desired;</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marketing approval with labeling that includes significant use or distribution restrictions or safety warnings, including boxed warnings or REMS;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subject to changes in the way the product is administered; or</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product or to impose restrictions on its distribution after obtaining marketing approval.</w:t>
      </w:r>
    </w:p>
    <w:p>
      <w:pPr>
        <w:spacing w:after="0" w:line="170"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All of our product candidates will require extensive clinical testing before we are prepared to submit a BLA or marketing authorization application, or MAA, for regulatory approval. We cannot predict with any certainty if or when we might complete the clinical development for our product candidates and submit a BLA or MAA for regulatory approval of any of our product candidates or whether any such BLA or MAA will be approved. We may also seek feedback from the FDA, EMA or other regulatory authorities on our clinical development program, and the FDA, EMA or other regulatory authorities may not provide such feedback on a timely basis, or such feedback may not be favorable, which could further delay our development programs.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93" w:lineRule="auto"/>
        <w:rPr>
          <w:sz w:val="20"/>
          <w:szCs w:val="20"/>
          <w:color w:val="auto"/>
        </w:rPr>
      </w:pPr>
      <w:r>
        <w:rPr>
          <w:rFonts w:ascii="Arial" w:cs="Arial" w:eastAsia="Arial" w:hAnsi="Arial"/>
          <w:sz w:val="16"/>
          <w:szCs w:val="16"/>
          <w:color w:val="auto"/>
        </w:rPr>
        <w:t>We cannot predict with any certainty whether or when we might complete a given clinical trial. If we experience delays in the commencement or completion of our clinical trials, or if we terminate a clinical trial prior to completion, the commercial prospects of our product candidates could be harmed, and our ability to generate revenues from our product candidates may be delayed or lost. In addition, any delays in our clinical trials could increase our costs, slow down the development and approval process and jeopardize our ability to commence product sales and generate revenues. Any of these occurrences may harm our business, financial condition and results of operations. In addition, many of the factors that cause, or lead to, a delay in the commencement or completion of clinical trials may also ultimately lead to the denial of regulatory approval of our product candidates.</w:t>
      </w:r>
    </w:p>
    <w:p>
      <w:pPr>
        <w:spacing w:after="0" w:line="272" w:lineRule="exact"/>
        <w:rPr>
          <w:sz w:val="20"/>
          <w:szCs w:val="20"/>
          <w:color w:val="auto"/>
        </w:rPr>
      </w:pPr>
    </w:p>
    <w:p>
      <w:pPr>
        <w:ind w:left="560" w:right="60"/>
        <w:spacing w:after="0" w:line="273" w:lineRule="auto"/>
        <w:rPr>
          <w:sz w:val="20"/>
          <w:szCs w:val="20"/>
          <w:color w:val="auto"/>
        </w:rPr>
      </w:pPr>
      <w:r>
        <w:rPr>
          <w:rFonts w:ascii="Arial" w:cs="Arial" w:eastAsia="Arial" w:hAnsi="Arial"/>
          <w:sz w:val="17"/>
          <w:szCs w:val="17"/>
          <w:b w:val="1"/>
          <w:bCs w:val="1"/>
          <w:i w:val="1"/>
          <w:iCs w:val="1"/>
          <w:color w:val="auto"/>
        </w:rPr>
        <w:t>There can be no assurance that the product we are developing for COVID-19 would be granted an EUA by the FDA or similar authorization by regulatory authorities outside of the United States if we decide to apply for such an authorization. If we do not apply for such an authorization or, if we do apply and no authorization is granted or, once granted, it is terminated, we will be unable to sell our product in the near future and instead, will be required to pursue solely the traditional regulatory approval processes of the FDA and comparable foreign authorities, which are lengthy, time consuming and inherently unpredictable. If we are not able to obtain required regulatory approval for our product candidates, our business will be substantially harmed.</w:t>
      </w:r>
    </w:p>
    <w:p>
      <w:pPr>
        <w:spacing w:after="0" w:line="70" w:lineRule="exact"/>
        <w:rPr>
          <w:sz w:val="20"/>
          <w:szCs w:val="20"/>
          <w:color w:val="auto"/>
        </w:rPr>
      </w:pPr>
    </w:p>
    <w:p>
      <w:pPr>
        <w:jc w:val="both"/>
        <w:ind w:left="120" w:firstLine="440"/>
        <w:spacing w:after="0" w:line="266" w:lineRule="auto"/>
        <w:rPr>
          <w:sz w:val="20"/>
          <w:szCs w:val="20"/>
          <w:color w:val="auto"/>
        </w:rPr>
      </w:pPr>
      <w:r>
        <w:rPr>
          <w:rFonts w:ascii="Arial" w:cs="Arial" w:eastAsia="Arial" w:hAnsi="Arial"/>
          <w:sz w:val="17"/>
          <w:szCs w:val="17"/>
          <w:color w:val="auto"/>
        </w:rPr>
        <w:t>We may seek an EUA from the FDA or similar authorization from regulatory authorities outside of the United States, such as conditional marketing authorization from the EMA. If we apply for an EUA and it is granted, an EUA will authorize us to market and sell our COVID-19 monoclonal antibody under certain conditions of authorization as long as the public health emergency exists. The FDA expects that companies that receive an EUA for COVID-19 antibodies will proceed to licensure of their products under a full BLA. The FDA may issue an EUA during a public health emergency if the agency determines that the potential benefits of a product outweigh the potential risks and if other regulatory criteria are met. There is no guarantee that we will apply for an EUA or other similar authorization or, if we do apply, that we will be able to obtain such authorization. If an EUA or other authorization is granted, we will rely on the FDA or other applicable regulatory authority policies and guidance governing products authorized in this manner in connection with the marketing and sale of our product. If these policies and guidance change unexpectedly and/or materially or if we misinterpret them, potential sales of our product could be adversely impacted. An EUA authorizing the marketing and sale of our product will terminate upon expiration of the public health emergency, which is a determination made by the Secretary of the Department of Health and Human Services, or HHS. The FDA may also terminate an EUA if safety issues or other concerns about our product arise or if we fail to comply with the conditions of authorization. If we apply for an EUA or similar authorization from regulatory authorities outside of the United States, the failure to obtain such authorization or the termination of such an authorization, if obtained, would adversely impact our ability to market and sell our COVID-19 antibody, which could adversely impact our business, financial condition and results of operations. The time required to obtain approval or other marketing authorizations by the FDA and comparable foreign authorities is unpredictable, and it typically takes many years following the commencement of clinical trials and depends upon numerous factors, including the substantial discretion of the regulatory authorities. In addition, approval policies, regulations, and the type and amount of clinical data necessary to gain approval may change during the course of a product candidate’s clinical development and may vary among jurisdictions. We have not obtained regulatory approval for any product candidate, and it is possible that we may never obtain regulatory approval for any product candidates we may seek to develop in the future. Neither we nor any current or future collaborator is permitted to market any drug product candidates in the United States until we receive regulatory approval of a BLA from the FDA, and we cannot market it in the European Union until we receive approval for a MAA from the EMA, or other required regulatory approval in other countries. To date, we have had only limited discussions with the FDA and the Medicines and Healthcare products Regulatory Agency regarding clinical development programs or regulatory approval for any product candidate within the United States and United Kingdom, respectively. In addition, we have had no discussions with other comparable foreign authorities regarding clinical development programs or regulatory approval for any product candidate outside of those jurisdictions.</w:t>
      </w:r>
    </w:p>
    <w:p>
      <w:pPr>
        <w:spacing w:after="0" w:line="1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Prior to obtaining approval to commercialize any drug product candidate in the United States or abroad, we must demonstrate with substantial evidence from well-controlled clinical trials, and to the satisfaction of the FDA, EMA or other foreign regulatory agencies, that such product candidates are safe, pure and effective for their intended uses. Results from preclinical studies and clinical trials can be interpreted in different ways. Even if we believe the preclinical or clinical data for our product candidates are promising, such data may not be sufficient to support approval by the FDA and other regulatory authorities. The FDA may also require us to conduct additional preclinical studies or clinical trials for our product candidates either prior to or after approval, or it may object to elements of our clinical development programs.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31" w:lineRule="exact"/>
        <w:rPr>
          <w:sz w:val="20"/>
          <w:szCs w:val="20"/>
          <w:color w:val="auto"/>
        </w:rPr>
      </w:pPr>
    </w:p>
    <w:p>
      <w:pPr>
        <w:ind w:left="108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 or with our interpretation of data from preclinical studies or clinical trials;</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unable to collect sufficient data from clinical trials of our product candidates to support the submission and filing of a BLA with the FDA, MAA with the EMA or other submission;</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and testing laboratories with which we contract for clinical and commercial supplies; and</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authorities may significantly change in a manner rendering our clinical data insufficient for approval.</w:t>
      </w:r>
    </w:p>
    <w:p>
      <w:pPr>
        <w:spacing w:after="0" w:line="170"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In addition, the FDA, EMA and other regulatory authorities may change their policies, issue additional regulations or revise existing regulations, or take other actions, which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pacing w:after="0" w:line="295"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b w:val="1"/>
          <w:bCs w:val="1"/>
          <w:i w:val="1"/>
          <w:iCs w:val="1"/>
          <w:color w:val="auto"/>
        </w:rPr>
        <w:t>Success in preclinical studies or earlier clinical trials may not be indicative of results in future clinical trials. Our product candidates may not have favorable results in later clinical trials, if any, or receive regulatory approval.</w:t>
      </w:r>
    </w:p>
    <w:p>
      <w:pPr>
        <w:spacing w:after="0" w:line="62"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Success in preclinical testing and early clinical trials does not ensure that later clinical trials will generate the same results or otherwise provide adequate data to demonstrate the efficacy and safety of a product candidate. Preclinical tests and Phase 1 and Phase 2 clinical trials are primarily designed to test safety, to study pharmacokinetics and pharmacodynamics and to understand the side effects of product candidates at various doses and schedules. Success in preclinical or animal studies and early clinical trials does not ensure that later large-scale efficacy trials will be successful nor does it predict final results. For example, we may be unable to identify suitable animal disease models for our product candidates, which could delay or frustrate our ability to proceed into clinical trials or obtain marketing approval. Our product candidates may fail to show the desired safety and efficacy in clinical development despite having progressed through preclinical studies and initial clinical trials.</w:t>
      </w:r>
    </w:p>
    <w:p>
      <w:pPr>
        <w:spacing w:after="0" w:line="17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Many companies in the pharmaceutical and biotechnology industries have suffered significant setbacks in late-stage clinical trials even after achieving promising results in preclinical testing and earlier-stage clinical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257" w:lineRule="exact"/>
        <w:rPr>
          <w:sz w:val="20"/>
          <w:szCs w:val="20"/>
          <w:color w:val="auto"/>
        </w:rPr>
      </w:pPr>
    </w:p>
    <w:p>
      <w:pPr>
        <w:ind w:left="560" w:right="260"/>
        <w:spacing w:after="0" w:line="342" w:lineRule="auto"/>
        <w:rPr>
          <w:sz w:val="20"/>
          <w:szCs w:val="20"/>
          <w:color w:val="auto"/>
        </w:rPr>
      </w:pPr>
      <w:r>
        <w:rPr>
          <w:rFonts w:ascii="Arial" w:cs="Arial" w:eastAsia="Arial" w:hAnsi="Arial"/>
          <w:sz w:val="16"/>
          <w:szCs w:val="16"/>
          <w:b w:val="1"/>
          <w:bCs w:val="1"/>
          <w:i w:val="1"/>
          <w:iCs w:val="1"/>
          <w:color w:val="auto"/>
        </w:rPr>
        <w:t>Interim, “top-line” and preliminary results from our clinical trials that we announce or publish from time to time may change as more data become available and are subject to audit and verification procedures that could result in material changes in the final data.</w:t>
      </w:r>
    </w:p>
    <w:p>
      <w:pPr>
        <w:spacing w:after="0" w:line="16"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From time to time, we may publish interim, top-line or preliminary results from our clinical trials.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top-line or interim data and final data could significantly harm our business prospects and may cause the trading price of our common stock to fluctuate significantly.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w:t>
      </w:r>
    </w:p>
    <w:p>
      <w:pPr>
        <w:spacing w:after="0" w:line="196" w:lineRule="exact"/>
        <w:rPr>
          <w:sz w:val="20"/>
          <w:szCs w:val="20"/>
          <w:color w:val="auto"/>
        </w:rPr>
      </w:pPr>
    </w:p>
    <w:p>
      <w:pPr>
        <w:jc w:val="both"/>
        <w:ind w:left="120" w:right="20" w:firstLine="440"/>
        <w:spacing w:after="0" w:line="253"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development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meaningful by you or others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product candidates may be harmed, which could significantly harm our business prospects.</w:t>
      </w:r>
    </w:p>
    <w:p>
      <w:pPr>
        <w:spacing w:after="0" w:line="304" w:lineRule="exact"/>
        <w:rPr>
          <w:sz w:val="20"/>
          <w:szCs w:val="20"/>
          <w:color w:val="auto"/>
        </w:rPr>
      </w:pPr>
    </w:p>
    <w:p>
      <w:pPr>
        <w:ind w:left="560" w:right="40"/>
        <w:spacing w:after="0" w:line="279" w:lineRule="auto"/>
        <w:rPr>
          <w:sz w:val="20"/>
          <w:szCs w:val="20"/>
          <w:color w:val="auto"/>
        </w:rPr>
      </w:pPr>
      <w:r>
        <w:rPr>
          <w:rFonts w:ascii="Arial" w:cs="Arial" w:eastAsia="Arial" w:hAnsi="Arial"/>
          <w:sz w:val="17"/>
          <w:szCs w:val="17"/>
          <w:b w:val="1"/>
          <w:bCs w:val="1"/>
          <w:i w:val="1"/>
          <w:iCs w:val="1"/>
          <w:color w:val="auto"/>
        </w:rPr>
        <w:t>Our preclinical studies and clinical trials may fail to demonstrate substantial evidence of the safety and efficacy of our product candidates, or serious adverse or unacceptable side effects may be identified during the development of our product candidates, which could prevent, delay or limit the scope of regulatory approval of our product candidates, limit their commercialization, increase our costs or necessitate the abandonment or limitation of the development of some of our product candidates.</w:t>
      </w:r>
    </w:p>
    <w:p>
      <w:pPr>
        <w:spacing w:after="0" w:line="63"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To obtain the requisite regulatory approvals for the commercial sale of our product candidates, we must demonstrate through lengthy, complex and expensive preclinical testing and clinical trials that our product candidates are safe, pure and potent for use in each target indication. These trials are expensive and time consuming, and their outcomes are inherently uncertain. Failures can occur at any time during the development process. Preclinical studies and clinical trials often fail to demonstrate safety or efficacy of the product candidate studied for the target indication, and most product candidates that begin clinical trials are never approved.</w:t>
      </w:r>
    </w:p>
    <w:p>
      <w:pPr>
        <w:spacing w:after="0" w:line="188"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We may fail to demonstrate with substantial evidence from adequate and well-controlled trials, and to the satisfaction of the FDA or comparable foreign regulatory authorities, that our product candidates are safe and potent for their intended uses. In addition, the FDA may determine that antibody monotherapy products are not sufficient and that combination antibody therapies should become the standard of care.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If our product candidates are associated with undesirable effects in preclinical studies or clinical trials or have characteristics that are unexpected, we may decide or be required to perform additional preclinical studies or to halt or delay further clinical development of our product candidates or to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 These side effects may not be appropriately recognized or managed by the treating medical staff, as toxicities resulting from monoclonal antibody therapy, as with our ADG20 product candidate, are not normally encountered in the general patient population and by medical personnel.</w:t>
      </w:r>
    </w:p>
    <w:p>
      <w:pPr>
        <w:spacing w:after="0" w:line="164"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If any such adverse events occur, our clinical trials could be suspended or terminated. If we cannot demonstrate that any adverse events were not caused by the drug, the FDA, EMA or foreign regulatory authorities could order us to cease further development of, or deny approval of, our product candidates for any or all targeted indications, or require that we conduct additional animal or human studies regarding the safety and efficacy of our product candidates that we have not planned or anticipated. Such findings could further result in regulatory authorities failing to provide marketing authorization for our product candidates or limiting the scope of the approved indication, if approved. Many product candidates that initially showed promise in early-stage testing have later been found to cause side effects that prevented further development of the product candidate. Even if we are able to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18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identify undesirable side effects caused by such products, a number of potentially significant negative consequences could result, including:</w:t>
      </w:r>
    </w:p>
    <w:p>
      <w:pPr>
        <w:spacing w:after="0" w:line="76" w:lineRule="exact"/>
        <w:rPr>
          <w:sz w:val="20"/>
          <w:szCs w:val="20"/>
          <w:color w:val="auto"/>
        </w:rPr>
      </w:pPr>
    </w:p>
    <w:p>
      <w:pPr>
        <w:ind w:left="1080" w:right="2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suspend, withdraw or limit approvals of such product, or seek an injunction against its manufacture or distribution;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 or other requirements subject to a REMS;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required to change the way a product is administered or conduct additional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decide to remove the product from the market;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be able to achieve or maintain third-party payor coverage and adequate reimbursement;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reputation and physician or patient acceptance of our products may suffer.</w:t>
      </w:r>
    </w:p>
    <w:p>
      <w:pPr>
        <w:spacing w:after="0" w:line="225"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There can be no assurance that we will resolve any issues related to any product-related adverse events to the satisfaction of the FDA or foreign regulatory agency in a timely manner or at all. Moreover, any of these events could prevent us from achieving or maintaining market acceptance of the particular product candidate, if approved, and could significantly harm our business, results of operations and prospects.</w:t>
      </w:r>
    </w:p>
    <w:p>
      <w:pPr>
        <w:spacing w:after="0" w:line="273" w:lineRule="exact"/>
        <w:rPr>
          <w:sz w:val="20"/>
          <w:szCs w:val="20"/>
          <w:color w:val="auto"/>
        </w:rPr>
      </w:pPr>
    </w:p>
    <w:p>
      <w:pPr>
        <w:jc w:val="both"/>
        <w:ind w:left="560" w:right="340"/>
        <w:spacing w:after="0" w:line="263" w:lineRule="auto"/>
        <w:rPr>
          <w:sz w:val="20"/>
          <w:szCs w:val="20"/>
          <w:color w:val="auto"/>
        </w:rPr>
      </w:pPr>
      <w:r>
        <w:rPr>
          <w:rFonts w:ascii="Arial" w:cs="Arial" w:eastAsia="Arial" w:hAnsi="Arial"/>
          <w:sz w:val="18"/>
          <w:szCs w:val="18"/>
          <w:b w:val="1"/>
          <w:bCs w:val="1"/>
          <w:i w:val="1"/>
          <w:iCs w:val="1"/>
          <w:color w:val="auto"/>
        </w:rPr>
        <w:t>Lack of awareness or negative public opinion of monoclonal antibody therapies and increased regulatory scrutiny of monoclonal antibody therapies to treat symptomatic COVID-19 may adversely impact the development or commercial success of our current and future product candidates.</w:t>
      </w:r>
    </w:p>
    <w:p>
      <w:pPr>
        <w:spacing w:after="0" w:line="76"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clinical and commercial success of our monoclonal antibody therapies will depend in part on public acceptance of the use of monoclonal antibody therapies to treat symptomatic COVID-19. To date, the FDA has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not yet approved any monoclonal antibodies to treat or prevent COVID-19, although the FDA has issued an EUA for several monoclonal antibody products for the treatment of COVID-19 in patients at high risk of disease progression, including bamlanivimab, casirivimab/imdevimab, bamlanvimab/etesevimab and sotrovimab. Any adverse public attitudes about the use of monoclonal antibody therapies may adversely impact our ability to enroll clinical trials. Moreover, our success will depend upon physicians prescribing, and their patients’ willingness to receive, treatments that involve the use of product candidates we may develop in lieu of, or in addition to, existing treatments with which they are already familiar and for which greater clinical data may be available.</w:t>
      </w:r>
    </w:p>
    <w:p>
      <w:pPr>
        <w:spacing w:after="0" w:line="192"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More restrictive government regulations or negative public opinion would have a negative effect on our business or financial condition and may delay or impair the development and commercialization of our product candidates or demand for any products once approved. Adverse events in our or others’ clinical trials, even if not ultimately attributable to our product candidates, and the resulting publicity could result in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 all of which would have a negative impact on our business and operations.</w:t>
      </w:r>
    </w:p>
    <w:p>
      <w:pPr>
        <w:spacing w:after="0" w:line="300" w:lineRule="exact"/>
        <w:rPr>
          <w:sz w:val="20"/>
          <w:szCs w:val="20"/>
          <w:color w:val="auto"/>
        </w:rPr>
      </w:pPr>
    </w:p>
    <w:p>
      <w:pPr>
        <w:ind w:left="560" w:right="480"/>
        <w:spacing w:after="0" w:line="277" w:lineRule="auto"/>
        <w:rPr>
          <w:sz w:val="20"/>
          <w:szCs w:val="20"/>
          <w:color w:val="auto"/>
        </w:rPr>
      </w:pPr>
      <w:r>
        <w:rPr>
          <w:rFonts w:ascii="Arial" w:cs="Arial" w:eastAsia="Arial" w:hAnsi="Arial"/>
          <w:sz w:val="18"/>
          <w:szCs w:val="18"/>
          <w:b w:val="1"/>
          <w:bCs w:val="1"/>
          <w:i w:val="1"/>
          <w:iCs w:val="1"/>
          <w:color w:val="auto"/>
        </w:rPr>
        <w:t>We may experience delays or difficulties in the enrollment and/or retention of patients in clinical trials, which could delay or prevent our receipt of necessary regulatory approvals.</w:t>
      </w:r>
    </w:p>
    <w:p>
      <w:pPr>
        <w:spacing w:after="0" w:line="62"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Successful and timely completion of clinical trials will require that we enroll, and maintain the enrollment of, a sufficient number of patients. Patient enrollment, a significant factor in the timing of clinical trials, is affected by many factors, including the size and nature of the patient population and competition for patients eligible for our clinical trials with competitors that may have ongoing clinical trials for product candidates that are under development to treat the same indications as one or more of our product candidates, or approved products for the conditions for which we are developing our product candidates.</w:t>
      </w:r>
    </w:p>
    <w:p>
      <w:pPr>
        <w:spacing w:after="0" w:line="188"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Trials may be subject to delays as a result of patient enrollment taking longer than anticipated or patient withdrawal. We may not be able to initiate or continue clinical trials for our product candidates if we are unable to locate and enroll a sufficient number of eligible patients to participate in these trials as required by the FDA or foreign regulatory authorities. We cannot predict how successful we will be at enrolling patients in future clinical trials. Patient enrollment is affected by other factors, including:</w:t>
      </w:r>
    </w:p>
    <w:p>
      <w:pPr>
        <w:spacing w:after="0" w:line="92"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severity and difficulty of diagnosing the disease under investigation;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contraction of the public health crisis caused by COVID-19;</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 in question;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size of the patient population and process for identifying patients;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design of the trial protocol, including but not limited to the use of a placebo control or active comparator;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in the trial, including relating to monoclonal antibody approaches;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of competing commercially available therapies and other competing therapeutic candidates’ clinical trials for the disease or condition under investigation;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willingness of patients to be enrolled in our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30"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disruptions caused by the COVID-19 pandemic, including difficulties in initiating clinical sites, enrolling and retaining participants, diversion of healthcare resources away from clinical trials, travel or quarantine policies that may be implemented, our ability to import and export clinical trial supplies, raw materials and commercial supply and other factors;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25"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Our inability to enroll, or maintain the enrollment of, a sufficient number of patients for clinical trials would result in significant delays and could require us to abandon one or more clinical trials altogether. Enrollment delays in these clinical trials may result in increased development costs for our product candidates, which would cause the value of our company to decline and limit our ability to obtain additional financing. Furthermore, we expect to rely on CROs and clinical trial sites to ensure the proper and timely conduct of our clinical trials and we will have limited influence over their performance.</w:t>
      </w:r>
    </w:p>
    <w:p>
      <w:pPr>
        <w:spacing w:after="0" w:line="296" w:lineRule="exact"/>
        <w:rPr>
          <w:sz w:val="20"/>
          <w:szCs w:val="20"/>
          <w:color w:val="auto"/>
        </w:rPr>
      </w:pPr>
    </w:p>
    <w:p>
      <w:pPr>
        <w:ind w:left="560" w:right="660"/>
        <w:spacing w:after="0" w:line="342" w:lineRule="auto"/>
        <w:rPr>
          <w:sz w:val="20"/>
          <w:szCs w:val="20"/>
          <w:color w:val="auto"/>
        </w:rPr>
      </w:pPr>
      <w:r>
        <w:rPr>
          <w:rFonts w:ascii="Arial" w:cs="Arial" w:eastAsia="Arial" w:hAnsi="Arial"/>
          <w:sz w:val="16"/>
          <w:szCs w:val="16"/>
          <w:b w:val="1"/>
          <w:bCs w:val="1"/>
          <w:i w:val="1"/>
          <w:iCs w:val="1"/>
          <w:color w:val="auto"/>
        </w:rPr>
        <w:t>Breakthrough therapy designation by the FDA for any product candidate may not lead to a faster development or regulatory review or approval process, and it does not increase the likelihood that the product candidate will receive marketing approval.</w:t>
      </w:r>
    </w:p>
    <w:p>
      <w:pPr>
        <w:spacing w:after="0" w:line="16"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We may, in the future, apply for breakthrough therapy designation, or the equivalent thereof in foreign jurisdictions (where available), for our product candidates.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are also eligible for priority review if supported by clinical data at the time of the submission of the BLA.</w:t>
      </w:r>
    </w:p>
    <w:p>
      <w:pPr>
        <w:spacing w:after="0" w:line="178"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product candidates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it may decide that the time period for FDA review or approval will not be shortened.</w:t>
      </w:r>
    </w:p>
    <w:p>
      <w:pPr>
        <w:spacing w:after="0" w:line="272"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jc w:val="both"/>
        <w:ind w:left="120" w:right="20" w:firstLine="440"/>
        <w:spacing w:after="0" w:line="290" w:lineRule="auto"/>
        <w:rPr>
          <w:sz w:val="20"/>
          <w:szCs w:val="20"/>
          <w:color w:val="auto"/>
        </w:rPr>
      </w:pPr>
      <w:r>
        <w:rPr>
          <w:rFonts w:ascii="Arial" w:cs="Arial" w:eastAsia="Arial" w:hAnsi="Arial"/>
          <w:sz w:val="16"/>
          <w:szCs w:val="16"/>
          <w:color w:val="auto"/>
        </w:rPr>
        <w:t>Because we have limited financial and management resources, we must focus on development programs and product candidates that we identify for specific indications. As such, we are currently primarily focused on the development of ADG20 for the treatment and prevention of symptomatic COVID-19. As a result, we may forego or delay pursuit of opportunities with other product candidates or for other indications for these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00"/>
        <w:spacing w:after="0" w:line="342" w:lineRule="auto"/>
        <w:rPr>
          <w:sz w:val="20"/>
          <w:szCs w:val="20"/>
          <w:color w:val="auto"/>
        </w:rPr>
      </w:pPr>
      <w:r>
        <w:rPr>
          <w:rFonts w:ascii="Arial" w:cs="Arial" w:eastAsia="Arial" w:hAnsi="Arial"/>
          <w:sz w:val="16"/>
          <w:szCs w:val="16"/>
          <w:b w:val="1"/>
          <w:bCs w:val="1"/>
          <w:i w:val="1"/>
          <w:iCs w:val="1"/>
          <w:color w:val="auto"/>
        </w:rPr>
        <w:t>We plan to conduct and may in the future conduct additional clinical trials for our product candidates outside the United States, and the FDA and similar foreign regulatory authorities may not accept data from such trials conducted in locations outside of their jurisdiction.</w:t>
      </w:r>
    </w:p>
    <w:p>
      <w:pPr>
        <w:spacing w:after="0" w:line="16"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We intend to conduct clinical trials outside the United States. The acceptance of trial data from clinical trials conducted outside the United States by the FDA may be subject to certain conditions or may not be accepted at all.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in accordance with GCP standards,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trials conducted outside of the United States or the applicable jurisdiction. If the FDA or any similar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not be successful in our efforts to build a pipeline of additional product candidates.</w:t>
      </w:r>
    </w:p>
    <w:p>
      <w:pPr>
        <w:spacing w:after="0" w:line="11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We may not be able to continue to identify and develop new product candidates in addition to our current pipeline. Even if we are successful in continuing to build our pipeline, the potential product candidates that we identify may not be suitable for clinical development. For example, product candidates may be shown to have harmful side effects or other characteristics that indicate that they are unlikely to be successfully developed, much less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and adversely affect our stock price.</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business and operations may be adversely affected by the evolving and ongoing COVID-19 global pandemic.</w:t>
      </w:r>
    </w:p>
    <w:p>
      <w:pPr>
        <w:spacing w:after="0" w:line="117"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The evolving and constantly changing impact of COVID-19, which was declared a global pandemic by the World Health Organization, or WHO, will directly affect the potential commercial prospects of our lead product candidate for the treatment and prevention of COVID-19. The severity of the global pandemic, the availability, administration and acceptance of vaccines and monoclonal antibodies and the potential development of “herd immunity” by the global population will affect the design and enrollment of our clinical trials, the potential regulatory authorization or approval of our product candidates and the commercialization of our product candidates, if approved.</w:t>
      </w:r>
    </w:p>
    <w:p>
      <w:pPr>
        <w:spacing w:after="0" w:line="176"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In addition, our business and operations may be more broadly adversely affected by the COVID-19 pandemic. The COVID-19 pandemic has resulted in travel and other restrictions in order to reduce the spread of the disease, including public health directives and orders in the United States and the European Union that, among other things and for various periods of time, directed individuals to shelter at their places of residence, directed businesses and governmental agencies to cease non-essential operations at physical locations, prohibited certain non-essential gatherings and events and ordered cessation of non-essential travel. Future remote work policies and similar government orders or other restrictions on the conduct of business operations related to the COVID-19 pandemic may negatively impact productivity and may disrupt our ongoing research and development activities and our clinical programs and timelines, the magnitude of which will depend, in part, on the length and severity of the restrictions and other limitations on our ability to conduct our business in the ordinary course. Further, such orders also may impact the availability or cost of materials, which would disrupt our supply chain and manufacturing efforts and could affect our ability to conduct ongoing and planned clinical trials and preparatory activities.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Although our planned clinical trials have not been materially delayed by the COVID-19 pandemic to date, in December 2020 shipment of ADG20 clinical supply by WuXi Biologics (Hong Kong) Limited, or WuXi, was delayed due to the introduction by the Chinese government of a new procedure for the approval of the export of products for the treatment of COVID-19. However, this type of delay is not anticipated to occur in the future, now that this export procedure has been implemented. In addition, we may experience related disruptions in the future that could severely impact our clinical trials, including:</w:t>
      </w:r>
    </w:p>
    <w:p>
      <w:pPr>
        <w:spacing w:after="0" w:line="93" w:lineRule="exact"/>
        <w:rPr>
          <w:sz w:val="20"/>
          <w:szCs w:val="20"/>
          <w:color w:val="auto"/>
        </w:rPr>
      </w:pPr>
    </w:p>
    <w:p>
      <w:pPr>
        <w:ind w:left="1080" w:right="2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difficulties or a suspension in clinical site initiation, including difficulties in recruiting clinical site investigators and clinical site staff;</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interruptions in our ability to manufacture and deliver drug supply for trials due to capacity constraints or lack of raw materials;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outbreak that may require us to change the ways in which our clinical trials are conducted, which may result in unexpected costs, or to discontinue the clinical trials altogether;</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and the ability or willingness of subjects to travel to trial sites due to limitations on travel imposed or recommended by federal or state governments, employers and others;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these affected geographies.</w:t>
      </w:r>
    </w:p>
    <w:p>
      <w:pPr>
        <w:spacing w:after="0" w:line="225"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The spread of COVID-19, which has caused a broad impact globally, may materially affect us economically. While the potential economic impact brought by, and the duration of, COVID-19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171"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The global COVID-19 pandemic continues to rapidly evolve. The extent to which the COVID-19 pandemic impacts our business and operations, including our clinical development and regulatory efforts, will depend on future developments that are highly uncertain and cannot be predicted with confidence at the time of this prospectus, such as the ultimate geographic spread of the disease,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Accordingly, we do not yet know the full extent of potential delays or impacts on our business, our clinical and regulatory activities, healthcare systems or the global economy as a whole. However, these impacts could adversely affect our business, financial condition, results of operations and growth prospects.</w:t>
      </w:r>
    </w:p>
    <w:p>
      <w:pPr>
        <w:spacing w:after="0" w:line="17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addition, to the extent the ongoing COVID-19 pandemic adversely affects our business, financial condition and results of operations, it may also have the effect of heightening many of the other risks and uncertainties described in this “Risk Factors” section.</w:t>
      </w:r>
    </w:p>
    <w:p>
      <w:pPr>
        <w:spacing w:after="0" w:line="278" w:lineRule="exact"/>
        <w:rPr>
          <w:sz w:val="20"/>
          <w:szCs w:val="20"/>
          <w:color w:val="auto"/>
        </w:rPr>
      </w:pPr>
    </w:p>
    <w:p>
      <w:pPr>
        <w:ind w:left="560" w:right="620"/>
        <w:spacing w:after="0" w:line="308" w:lineRule="auto"/>
        <w:rPr>
          <w:sz w:val="20"/>
          <w:szCs w:val="20"/>
          <w:color w:val="auto"/>
        </w:rPr>
      </w:pPr>
      <w:r>
        <w:rPr>
          <w:rFonts w:ascii="Arial" w:cs="Arial" w:eastAsia="Arial" w:hAnsi="Arial"/>
          <w:sz w:val="17"/>
          <w:szCs w:val="17"/>
          <w:b w:val="1"/>
          <w:bCs w:val="1"/>
          <w:i w:val="1"/>
          <w:iCs w:val="1"/>
          <w:color w:val="auto"/>
        </w:rPr>
        <w:t>The market opportunities for any current or future product candidate we develop, if approved, may be limited to those patients who are ineligible for established therapies or for whom prior therapies have failed, and may be small.</w:t>
      </w:r>
    </w:p>
    <w:p>
      <w:pPr>
        <w:spacing w:after="0" w:line="3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Any revenue we are able to generate in the future from product sales will be dependent, in part, upon the size of the market in the United States and any other jurisdiction for which we gain regulatory approval and have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commercial rights. If the markets or patient subsets that we are targeting are not as significant as we estimate, we may not generate significant revenues from sales of such products, even if approved.</w:t>
      </w:r>
    </w:p>
    <w:p>
      <w:pPr>
        <w:spacing w:after="0" w:line="170"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The potentially addressable patient population for our current or future product candidates may be limited, if and when approved. Further, even if any of our product candidates are approved by the FDA or comparable foreign regulators, their approved indications may be limited to a subset of the indications that we targeted. Even if we obtain significant market share for any product candidate, if and when approved, if the potential target populations are small, we may never achieve profitability without obtaining marketing approval for additional indications, including to be used as first-or second-line therapy.</w:t>
      </w:r>
    </w:p>
    <w:p>
      <w:pPr>
        <w:spacing w:after="0" w:line="296" w:lineRule="exact"/>
        <w:rPr>
          <w:sz w:val="20"/>
          <w:szCs w:val="20"/>
          <w:color w:val="auto"/>
        </w:rPr>
      </w:pPr>
    </w:p>
    <w:p>
      <w:pPr>
        <w:ind w:left="560" w:right="480"/>
        <w:spacing w:after="0" w:line="277" w:lineRule="auto"/>
        <w:rPr>
          <w:sz w:val="20"/>
          <w:szCs w:val="20"/>
          <w:color w:val="auto"/>
        </w:rPr>
      </w:pPr>
      <w:r>
        <w:rPr>
          <w:rFonts w:ascii="Arial" w:cs="Arial" w:eastAsia="Arial" w:hAnsi="Arial"/>
          <w:sz w:val="18"/>
          <w:szCs w:val="18"/>
          <w:b w:val="1"/>
          <w:bCs w:val="1"/>
          <w:i w:val="1"/>
          <w:iCs w:val="1"/>
          <w:color w:val="auto"/>
        </w:rPr>
        <w:t>Newly emerging SARS-CoV-2 variants could reduce the activity and effectiveness of ADG20 as a potential treatment for or prevention of symptomatic COVID-19.</w:t>
      </w:r>
    </w:p>
    <w:p>
      <w:pPr>
        <w:spacing w:after="0" w:line="62"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Multiple variants of the virus that causes COVID-19 have been documented in the United States and globally during this pandemic. Although we have shown in pre-clinical studies that ADG20 has the potential to broadly neutralize SARS-CoV-2 and the predominantly circulating variants, new SARS-CoV-2 variants could be less impacted by ADG20 and its mechanism of action, or the results shown in pre-clinical studies may not be replicated in clinical studies. This would significantly and adversely affect our ability to obtain authorization or approval of and to commercialize ADG20.</w:t>
      </w:r>
    </w:p>
    <w:p>
      <w:pPr>
        <w:spacing w:after="0" w:line="265" w:lineRule="exact"/>
        <w:rPr>
          <w:sz w:val="20"/>
          <w:szCs w:val="20"/>
          <w:color w:val="auto"/>
        </w:rPr>
      </w:pPr>
    </w:p>
    <w:p>
      <w:pPr>
        <w:ind w:left="560" w:right="220"/>
        <w:spacing w:after="0" w:line="277" w:lineRule="auto"/>
        <w:rPr>
          <w:sz w:val="20"/>
          <w:szCs w:val="20"/>
          <w:color w:val="auto"/>
        </w:rPr>
      </w:pPr>
      <w:r>
        <w:rPr>
          <w:rFonts w:ascii="Arial" w:cs="Arial" w:eastAsia="Arial" w:hAnsi="Arial"/>
          <w:sz w:val="18"/>
          <w:szCs w:val="18"/>
          <w:b w:val="1"/>
          <w:bCs w:val="1"/>
          <w:i w:val="1"/>
          <w:iCs w:val="1"/>
          <w:color w:val="auto"/>
        </w:rPr>
        <w:t>We may develop ADG20 and future product candidates for use in combination with other therapies or third-party product candidates, which exposes us to additional regulatory risks.</w:t>
      </w:r>
    </w:p>
    <w:p>
      <w:pPr>
        <w:spacing w:after="0" w:line="62"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auto"/>
        </w:rPr>
        <w:t>We may develop ADG20 and future product candidates for use in combination with one or more currently authorized or approved therapies to treat symptomatic COVID-19, or with therapies that may be authorized or approved in the future. Even if any product candidate we develop were to receive marketing approval or be commercialized for use in combination with other existing therapies, we would continue to be subject to the risk that the FDA, EMA or comparable foreign regulatory authorities could revoke approval of the therapy used in combination with our product candidate or that safety, efficacy, manufacturing or supply issues could arise with these existing therapies. This could result in our own products being removed from the market or being less successful commercially. Combination antibody therapies appear to be favored by the FDA over monotherapy, and in the future the FDA, EMA and comparable foreign regulatory authorities may determine that monotherapy products should not be approved, eliminating our ability to commercialize ADG20 as a monotherapy treatment.</w:t>
      </w:r>
    </w:p>
    <w:p>
      <w:pPr>
        <w:spacing w:after="0" w:line="178"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We may also evaluate ADG20 or any future product candidate in combination with one or more other third-party product candidates that have not yet been approved for marketing by the FDA, EMA or comparable foreign regulatory authorities. If so, we will not be able to market and sell ADG20 or any product candidate we develop in combination with any such unapproved therapies that do not ultimately obtain marketing approval. If the FDA or comparable foreign regulatory authorities do not approve these other product candidates, or revoke their approval of, or if safety, efficacy, manufacturing or supply issues arise with, the biologics or antivirals we choose to evaluate in combination with ADG20 or any product candidate we develop, we may be unable to obtain approval of or market any such product candidate.</w:t>
      </w:r>
    </w:p>
    <w:p>
      <w:pPr>
        <w:spacing w:after="0" w:line="286"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have a negative effect on global economic conditions, financial markets and our business.</w:t>
      </w:r>
    </w:p>
    <w:p>
      <w:pPr>
        <w:spacing w:after="0" w:line="62"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Following the result of a referendum in 2016, the United Kingdom left the European Union on January 31, 2020, commonly referred to as Brexit. Pursuant to the formal withdrawal arrangements agreed to by the United Kingdom and the European Union, as of January 1, 2021, the United Kingdom is no longer subject to the transition period, or the Transition Period, during which European Union rules continued to apply. Negotiations between the United Kingdom and the European Union are expected to continue in relation to the customs and trading relationship between the United Kingdom and the European Union following the expiry of the Transition Period.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67" w:lineRule="auto"/>
        <w:rPr>
          <w:sz w:val="20"/>
          <w:szCs w:val="20"/>
          <w:color w:val="auto"/>
        </w:rPr>
      </w:pPr>
      <w:r>
        <w:rPr>
          <w:rFonts w:ascii="Arial" w:cs="Arial" w:eastAsia="Arial" w:hAnsi="Arial"/>
          <w:sz w:val="17"/>
          <w:szCs w:val="17"/>
          <w:color w:val="auto"/>
        </w:rPr>
        <w:t>Since a significant proportion of the regulatory framework in the United Kingdom applicable to our business and our product candidates is derived from European Union directives and regulations, Brexit, following the Transition Period, could materially impact the regulatory regime with respect to the development, manufacture, importation, approval and commercialization of our product candidates in the United Kingdom or the European Union. For example, as a result of the uncertainty surrounding Brexit, the EMA relocated to Amsterdam from London. Following the Transition Period, the United Kingdom will no longer be covered by the centralized procedures for obtaining European Union-wide marketing authorizations from the EMA and, unless a specific agreement is entered into, a separate process for authorization of drug products will be required in the United Kingdom, the potential process for which is currently unclear. Any delay in obtaining, or an inability to obtain, any marketing approvals, as a result of Brexit or otherwise, would prevent us from commercializing our product candidates in the United Kingdom or the European Union and limit our ability to generate revenue and achieve and sustain profitability. In addition, we may be required to pay taxes or duties or be subjected to other hurdles in connection with the importation of our product candidates into the European Union, or we may incur expenses in establishing a manufacturing facility in the European Union in order to circumvent such hurdles. If any of these outcomes occur, we may be forced to restrict or delay efforts to seek regulatory approval in the United Kingdom or the European Union for our product candidates, or incur significant additional expenses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United Kingdom. It is also possible that Brexit may negatively affect our ability to attract and retain employees, particularly those from the European Union.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Manufacturing of our Product Candidates</w:t>
      </w:r>
    </w:p>
    <w:p>
      <w:pPr>
        <w:spacing w:after="0" w:line="121" w:lineRule="exact"/>
        <w:rPr>
          <w:sz w:val="20"/>
          <w:szCs w:val="20"/>
          <w:color w:val="auto"/>
        </w:rPr>
      </w:pPr>
    </w:p>
    <w:p>
      <w:pPr>
        <w:ind w:left="560" w:right="120"/>
        <w:spacing w:after="0" w:line="263" w:lineRule="auto"/>
        <w:rPr>
          <w:sz w:val="20"/>
          <w:szCs w:val="20"/>
          <w:color w:val="auto"/>
        </w:rPr>
      </w:pPr>
      <w:r>
        <w:rPr>
          <w:rFonts w:ascii="Arial" w:cs="Arial" w:eastAsia="Arial" w:hAnsi="Arial"/>
          <w:sz w:val="18"/>
          <w:szCs w:val="18"/>
          <w:b w:val="1"/>
          <w:bCs w:val="1"/>
          <w:i w:val="1"/>
          <w:iCs w:val="1"/>
          <w:color w:val="auto"/>
        </w:rPr>
        <w:t>Monoclonal antibody therapies are complex and difficult to manufacture. We could experience manufacturing problems, or may be unable to access raw materials due to global supply chain shortages, that result in delays in the development or commercialization of our product candidates or otherwise harm our business.</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manufacture of monoclonal antibody therapies is technically complex and necessitates substantial expertise and capital investment.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Production difficulties caused by unforeseen events may delay the availability of material for our clinical studies or commercialization efforts.</w:t>
      </w:r>
    </w:p>
    <w:p>
      <w:pPr>
        <w:spacing w:after="0" w:line="222"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The manufacturers of pharmaceutical products must comply with strictly enforced cGMP requirements, state and federal regulations, as well as foreign requirements when applicable. Any failure of us or our contract manufacturing organizations to adhere to or document compliance to such regulatory requirements could lead to a delay or interruption in the availability of product for clinical trials or commercial use, or enforcement action from the FDA, EMA or foreign regulatory authorities. If we or our manufacturers were to fail to comply with the FDA, EMA or other regulatory authority, it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 candidates. Our potential future dependence upon others for the manufacture of our product candidates may also adversely affect our future profit margins, if any, and our ability to commercialize any product candidates that receive regulatory approval on a timely and competitive basis.</w:t>
      </w:r>
    </w:p>
    <w:p>
      <w:pPr>
        <w:spacing w:after="0" w:line="181"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Biological products are inherently difficult and time-consuming to manufacture. Our program materials are manufactured using technically complex processes requiring specialized equipment and facilities and other production constraints, including a number of highly specific raw materials, cell lines and reagents with limited suppliers. Even though we aim to have backup supplies of raw materials, cell lines and reagents whenever possible, we cannot be certain they will be sufficient if our primary sources are unavailable. A shortage of a critical raw material, cell line or reagent, or a technical issue during manufacturing, may lead to an inability to</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manufacture our product candidate, resulting in delays in clinical development or commercialization plans. Any changes in the manufacturing of components of the raw materials we use could result in unanticipated or unfavorable effects in our manufacturing processes or product quality, resulting in delays.</w:t>
      </w:r>
    </w:p>
    <w:p>
      <w:pPr>
        <w:spacing w:after="0" w:line="184"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Any delay, failure or inability to manufacture on a timely basis can impact the timelines for our clinical trials or our commercialization plans. Such delay, failure or inability to manufacture can result from:</w:t>
      </w:r>
    </w:p>
    <w:p>
      <w:pPr>
        <w:spacing w:after="0" w:line="76" w:lineRule="exact"/>
        <w:rPr>
          <w:sz w:val="20"/>
          <w:szCs w:val="20"/>
          <w:color w:val="auto"/>
        </w:rPr>
      </w:pPr>
    </w:p>
    <w:p>
      <w:pPr>
        <w:jc w:val="both"/>
        <w:ind w:left="1080" w:right="20" w:hanging="532"/>
        <w:spacing w:after="0" w:line="25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failure in the manufacturing process itself, for example by an error in manufacturing process, operator or human error, equipment failure, raw material or reagent failure, failure in any step of the manufacturing process, failure to maintain a cGMP environment or failure in quality systems applicable to manufacture (whether by us or our third-party contract development and manufacturing organization), sterility failures, testing failure or contamination during processing;</w:t>
      </w:r>
    </w:p>
    <w:p>
      <w:pPr>
        <w:spacing w:after="0" w:line="92" w:lineRule="exact"/>
        <w:rPr>
          <w:rFonts w:ascii="Arial" w:cs="Arial" w:eastAsia="Arial" w:hAnsi="Arial"/>
          <w:sz w:val="18"/>
          <w:szCs w:val="18"/>
          <w:color w:val="auto"/>
        </w:rPr>
      </w:pPr>
    </w:p>
    <w:p>
      <w:pPr>
        <w:jc w:val="both"/>
        <w:ind w:left="1080" w:right="20" w:hanging="532"/>
        <w:spacing w:after="0" w:line="286" w:lineRule="auto"/>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lack of reliability or reproducibility in the manufacturing process itself leading to variability in process execution or in product quality, which may lead to regulatory authorities placing a hold on a clinical trial or commercial supply and distribution or requesting further information on the process, which could in turn result in delays to the clinical trials or commercial supply and distributions;</w:t>
      </w:r>
    </w:p>
    <w:p>
      <w:pPr>
        <w:spacing w:after="0" w:line="70" w:lineRule="exact"/>
        <w:rPr>
          <w:rFonts w:ascii="Arial" w:cs="Arial" w:eastAsia="Arial" w:hAnsi="Arial"/>
          <w:sz w:val="17"/>
          <w:szCs w:val="17"/>
          <w:color w:val="auto"/>
        </w:rPr>
      </w:pPr>
    </w:p>
    <w:p>
      <w:pPr>
        <w:jc w:val="both"/>
        <w:ind w:left="1080" w:right="20" w:hanging="532"/>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inability to obtain manufacturing slots from contract development and manufacturing organizations (including contract testing laboratories that perform cGMP operations), or CDMOs, or to have enough manufacturing slots to manufacture our product candidates to meet clinical or commercial requirements and demands;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inability to procure raw materials and reagents;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depletion or performance degradation of the cell line starting material; and</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of or close-down of any manufacturing facility used in the manufacture of our product candidates, or the inability to find alternative manufacturing capability in a timely fashion.</w:t>
      </w:r>
    </w:p>
    <w:p>
      <w:pPr>
        <w:spacing w:after="0" w:line="278" w:lineRule="exact"/>
        <w:rPr>
          <w:sz w:val="20"/>
          <w:szCs w:val="20"/>
          <w:color w:val="auto"/>
        </w:rPr>
      </w:pPr>
    </w:p>
    <w:p>
      <w:pPr>
        <w:ind w:left="560" w:right="60"/>
        <w:spacing w:after="0" w:line="259" w:lineRule="auto"/>
        <w:rPr>
          <w:sz w:val="20"/>
          <w:szCs w:val="20"/>
          <w:color w:val="auto"/>
        </w:rPr>
      </w:pPr>
      <w:r>
        <w:rPr>
          <w:rFonts w:ascii="Arial" w:cs="Arial" w:eastAsia="Arial" w:hAnsi="Arial"/>
          <w:sz w:val="18"/>
          <w:szCs w:val="18"/>
          <w:b w:val="1"/>
          <w:bCs w:val="1"/>
          <w:i w:val="1"/>
          <w:iCs w:val="1"/>
          <w:color w:val="auto"/>
        </w:rPr>
        <w:t>Our product candidates are biologics, and the manufacture of our product candidates is complex and subject to extensive regulations. If we or our contract manufacturers fail to comply with such regulations, regulatory authorities may impose sanctions or require remedial measures that could be costly or time-consuming, and our ability to provide supply of our product candidates for clinical trials or any approved products could be delayed or stopped.</w:t>
      </w:r>
    </w:p>
    <w:p>
      <w:pPr>
        <w:spacing w:after="0" w:line="79"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6"/>
          <w:szCs w:val="16"/>
          <w:color w:val="auto"/>
        </w:rPr>
        <w:t>All entities involved in the preparation of therapeutics for clinical trials or commercial sale, including our existing contract manufacturers, are subject to extensive regulation. Components of a finished therapeutic product approved for commercial sale or used in late-stage clinical trials must be manufactured in accordance with cGMP. These regulations govern manufacturing processes and procedures (including record keeping) and the implementation and operation of quality systems to control and ensure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or MAA on a timely basis. Our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and they could put a hold on one or more of our clinical trials if the facilities of any of our CDMOs do not pass such audit or inspections. Certain of our CDMO’s facilities are or may be under construction and have not completed installation of equipment for and establishment of routine manufacturing and testing operations and have not yet been inspected by regulatory authorities. If any of our CDMO’s facilities do not pass a pre-approval plant inspection, FDA or EMA approval of the products will not be granted.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69" w:lineRule="auto"/>
        <w:rPr>
          <w:sz w:val="20"/>
          <w:szCs w:val="20"/>
          <w:color w:val="auto"/>
        </w:rPr>
      </w:pPr>
      <w:r>
        <w:rPr>
          <w:rFonts w:ascii="Arial" w:cs="Arial" w:eastAsia="Arial" w:hAnsi="Arial"/>
          <w:sz w:val="17"/>
          <w:szCs w:val="17"/>
          <w:color w:val="auto"/>
        </w:rPr>
        <w:t>The regulatory authorities also may, at any time following approval of a product for sale, inspect or audit our CDMO’s manufacturing facilities or those of our third-party contractors. If any such inspection or audit identifies a failure to comply with applicable regulations or if compliance discrepancies with our product specifications or violations of applicable regulations occur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harm our business. If we or any of our CDMOs fail to maintain regulatory compliance, the FDA or EMA can impose regulatory sanctions, including, among other things, refusal to approve a pending application for a new drug product, or revocation of a pre-existing approval. As a result, our business, financial condition and results of operations may be harmed. Additionally, if supply from one approved manufacturer is interrupted, there could be a significant disruption in commercial supply. An alternative manufacturer would need to be qualified and approved through a BLA and/or MAA supplement, which could result in further delay. The regulatory agencies may also require additional studies if a new manufacturer is relied upon for commercial production. Switching manufacturers may involve substantial costs and is likely to result in a delay in our desired commercial timelines.</w:t>
      </w:r>
    </w:p>
    <w:p>
      <w:pPr>
        <w:spacing w:after="0" w:line="179"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These factors could cause the delay of clinical trials, regulatory submissions, required approvals or commercialization of our product candidates, cause us to incur higher costs and prevent us from commercializing our products successfully, if approved, or could delay commercial supply once approved. Furthermore, if our suppliers fail to meet contractual requirements, and we are unable to secure one or more replacement suppliers capable of production at a substantially equivalent cost, our clinical trials or commercial launch may be delayed or we could lose potential revenue.</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intend to rely on third parties to produce clinical and commercial supplies of our product candidates.</w:t>
      </w:r>
    </w:p>
    <w:p>
      <w:pPr>
        <w:spacing w:after="0" w:line="117"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We are currently manufacturing material for our product candidates in partnership with a CDMO. We do not own or operate any facilities for product manufacturing, storage and distribution or testing. We are dependent on third parties to manufacture the clinical and commercial supplies of our current and any future product candidates. We have established a relationship with WuXi to produce material to support our clinical development program and our initial commercial supply for our products, if approved. We have not yet fully manufactured our product candidates on a commercial scale, and we do not yet have sufficient information to reliably estimate the cost of the commercial manufacturing of our product candidates. Certain of our product candidates may have to compete with existing and future products, such as the annual influenza vaccine, that may have a lower price point. The actual cost to manufacture our product candidates could materially and adversely affect the commercial viability of our product candidates.</w:t>
      </w:r>
    </w:p>
    <w:p>
      <w:pPr>
        <w:spacing w:after="0" w:line="166"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The facilities used by our contract manufacturers and contract testing labs to manufacture and test our product candidates must be approved by the FDA pursuant to inspections that will be conducted after we submit our BLA to the FDA. We do not control the manufacturing process of, and are completely dependent on, our contract manufacturing partners for compliance with the cGMP requirements. If our contract manufacturers cannot successfully manufacture material that conforms to our specifications and the strict regulatory requirements of the FDA or others, we will not be able to secure and/or maintain regulatory approval for our product candidates. In addition, we have limited control over the ability of our contract manufacturers to maintain adequate quality control, quality assurance and qualified personnel, including their ability to adequately separate products within their multi-product manufacturing facilities to prevent cross-contamination.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19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also intend to rely on third-party manufacturers to supply us with sufficient quantities of our product candidates to be used, if approved, for commercialization. If we are not able to meet market demand for 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approved product or if we are not able to produce supply at low enough costs, it would negatively impact our ability to generate revenue, harm our reputation, and could have an adverse effect on our business, financial condition, results of operations and prospects.</w:t>
      </w:r>
    </w:p>
    <w:p>
      <w:pPr>
        <w:spacing w:after="0" w:line="170"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We engaged WuXi for development and generation of the production cell line starting material for ADG20 manufacturing. The cell line expression technology used to generate the cell line is a licensed technology. Only high-level information identifying the general nature of the control elements in the expression vector has been provided to us. Details of the expression technology have not been provided, nor has there been sufficient information provided to enable a freedom-to-operate assessment of the expression technology.</w:t>
      </w:r>
    </w:p>
    <w:p>
      <w:pPr>
        <w:spacing w:after="0" w:line="187"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In addition, we currently rely on WuXi, a CDMO in China, for clinical supply of ADG20 and will rely on WuXi for commercial supply of ADG20. We will likely continue to rely on foreign CDMOs in the future. Foreign CDMOs may be subject to trade restrictions and other foreign regulatory requirements, which could increase the cost or reduce the supply of material available to us, delay the procurement of such material or delay or prevent the shipment of material out of the foreign country to the United States. Additionally, the biopharmaceutical industry in particular in China is strictly regulated by the Chinese government. Changes to Chinese regulations affecting biopharmaceutical companies are unpredictable and may have a material adverse effect on our partnerships in China, which could have an adverse effect on our business, financial condition, results of operations and prospects.</w:t>
      </w:r>
    </w:p>
    <w:p>
      <w:pPr>
        <w:spacing w:after="0" w:line="195"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In July 2021, we entered into a license agreement with Biocon Biologics Limited, or Biocon, to combat the ongoing COVID-19 crisis in southern Asia. Under the license agreement, we will provide Biocon materials and know-how to manufacture and commercialize an antibody treatment based on ADG20 in India and select emerging markets. Biocon’s ability to successfully manufacture in those territories may be restricted by foreign regulatory requirements.</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Further, our reliance on third-party manufacturers entails risks to which we would not be subject if we manufactured product candidates ourselves, including:</w:t>
      </w:r>
    </w:p>
    <w:p>
      <w:pPr>
        <w:spacing w:after="0" w:line="76"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inability to access sufficient manufacturing capacity;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inability of our third-party manufacturers to execute our manufacturing procedures and other logistical support requirements appropriately;</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inability to negotiate additional manufacturing agreements with third parties under commercially reasonable terms, if at all;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breach, termination or nonrenewal of manufacturing agreements with third parties in a manner or at a time that is costly or damaging to us;</w:t>
      </w:r>
    </w:p>
    <w:p>
      <w:pPr>
        <w:spacing w:after="0" w:line="153" w:lineRule="exact"/>
        <w:rPr>
          <w:rFonts w:ascii="Arial" w:cs="Arial" w:eastAsia="Arial" w:hAnsi="Arial"/>
          <w:sz w:val="16"/>
          <w:szCs w:val="16"/>
          <w:color w:val="auto"/>
        </w:rPr>
      </w:pPr>
    </w:p>
    <w:p>
      <w:pPr>
        <w:ind w:left="1080" w:right="2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lack of ownership of the intellectual property rights in any improvements made by our third-party manufacturers in the manufacturing process for our product candidates; and</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disruptions to operations of our third-party manufacturers or suppliers by conditions unrelated to our business or operations, including the bankruptcy of the manufacturer or supplier.</w:t>
      </w:r>
    </w:p>
    <w:p>
      <w:pPr>
        <w:spacing w:after="0" w:line="170"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We cannot be sure that single-source suppliers for our manufacturing raw materials will remain in business or that they will not be purchased by one of our competitors or another company that is not interested in continuing to produce these raw materials for our intended purpose. In addition, the lead time needed to establish a relationship with a new supplier can be lengthy and we may experience delays in meeting demand in the event we must switch to a new supplier. The time and effort to qualify a new supplier could result in additional costs, diversion of resources or reduced manufacturing yields, any of which would adversely impact our business, financial condition and results of operations.</w:t>
      </w:r>
    </w:p>
    <w:p>
      <w:pPr>
        <w:spacing w:after="0" w:line="176"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Any of these events could lead to clinical trial delays or failure to obtain regulatory approval or impact our ability to successfully commercialize our current or any future product candidates, if approved. Some of these events could be the basis for FDA action, including injunction, request for recall, seizure or total or partial suspension of production.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40"/>
        <w:spacing w:after="0" w:line="311" w:lineRule="auto"/>
        <w:rPr>
          <w:sz w:val="20"/>
          <w:szCs w:val="20"/>
          <w:color w:val="auto"/>
        </w:rPr>
      </w:pPr>
      <w:r>
        <w:rPr>
          <w:rFonts w:ascii="Arial" w:cs="Arial" w:eastAsia="Arial" w:hAnsi="Arial"/>
          <w:sz w:val="16"/>
          <w:szCs w:val="16"/>
          <w:b w:val="1"/>
          <w:bCs w:val="1"/>
          <w:i w:val="1"/>
          <w:iCs w:val="1"/>
          <w:color w:val="auto"/>
        </w:rPr>
        <w:t>We depend on sole-source third-party suppliers for materials that are necessary for the conduct of preclinical studies and manufacture of our product candidates for clinical trials, and the loss of these third-party suppliers and manufacturers or their inability to supply us with sufficient quantities of adequate materials, or to do so at acceptable quality levels and on a timely basis, could harm our business.</w:t>
      </w:r>
    </w:p>
    <w:p>
      <w:pPr>
        <w:spacing w:after="0" w:line="41"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Manufacturing our product candidates requires many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of our product candidates. For example, we are reliant on WuXi as the sole procurer of the raw materials used in the manufacture of our product candidates, including certain purification resins and cell culture media, which increases the risk of delays in production. In addition, to date, we have relied on WuXi as our only CDMO. The loss of this CDMO or its failure to supply us with material to support our clinical development program on a timely basis could impair our ability to develop our product candidates or otherwise delay the development process, which could adversely affect our business, financial condition and results of operations.</w:t>
      </w:r>
    </w:p>
    <w:p>
      <w:pPr>
        <w:spacing w:after="0" w:line="17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Some of our CDMO’s raw material suppliers may not have the capacity to support clinical trials and commercial products manufactured under cGMP by biopharmaceutical firms or may otherwise be ill-equipped to support our needs. We also do not have supply contracts with many of these suppliers directly, and we or our CDMOs may not be able to obtain supply contracts with them on acceptable terms or at all. Accordingly, we or our CDMOs may experience delays in receiving key raw materials and equipment to support clinical or commercial manufacturing.</w:t>
      </w:r>
    </w:p>
    <w:p>
      <w:pPr>
        <w:spacing w:after="0" w:line="171"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For some of these specialty materials, we and our CDMOs rely on and may in the future rely on sole-source vendors or a limited number of vendors. The supply of specialty materials and equipment that are necessary to produce our product candidates could be reduced or interrupted at any time. In such case, identifying and engaging an alternative supplier or manufacturer could result in delay, and we may not be able to find other acceptable suppliers or manufacturers on acceptable terms, or at all. Switching suppliers or manufacturers may involve substantial costs and is likely to result in a delay in our desired clinical and commercial timelines. If we change suppliers or manufacturers for commercial production, applicable regulatory agencies may require us to conduct additional studies or trials. If key suppliers or manufacturers are lost, or if the supply of the materials is diminished or discontinued, we may not be able to develop, manufacture and market our product candidates in a timely and competitive manner, or at all.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280" w:lineRule="exact"/>
        <w:rPr>
          <w:sz w:val="20"/>
          <w:szCs w:val="20"/>
          <w:color w:val="auto"/>
        </w:rPr>
      </w:pPr>
    </w:p>
    <w:p>
      <w:pPr>
        <w:ind w:left="560" w:right="500"/>
        <w:spacing w:after="0" w:line="308" w:lineRule="auto"/>
        <w:rPr>
          <w:sz w:val="20"/>
          <w:szCs w:val="20"/>
          <w:color w:val="auto"/>
        </w:rPr>
      </w:pPr>
      <w:r>
        <w:rPr>
          <w:rFonts w:ascii="Arial" w:cs="Arial" w:eastAsia="Arial" w:hAnsi="Arial"/>
          <w:sz w:val="17"/>
          <w:szCs w:val="17"/>
          <w:b w:val="1"/>
          <w:bCs w:val="1"/>
          <w:i w:val="1"/>
          <w:iCs w:val="1"/>
          <w:color w:val="auto"/>
        </w:rPr>
        <w:t>The third parties upon whom we depend may be adversely affected by earthquakes, wildfires or other natural disasters, and our business continuity and disaster recovery plans may not adequately protect us from a serious disaster.</w:t>
      </w:r>
    </w:p>
    <w:p>
      <w:pPr>
        <w:spacing w:after="0" w:line="38"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Any unplanned event, such as flood, fire, explosion, earthquake, extreme weather condition, medical epidemics or pandemics, power shortage, telecommunication failure or other natural or manmade accidents or incidents that result in the third parties upon whom we depend from being unable to fully utilize their facilities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prevented the third parties upon whom we depend from using all or a significant portion of their manufacturing facilities, or otherwise disrupted operations, it may be difficult or, in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certain cases, impossible, for us to continue our business for a substantial period of time. Unforeseen natural or manmade accidents or incidents, such as freezer failure, natural disasters or theft, could also result in loss of cell line starting material.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the third parties on which we rely are unable to operate their facilities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289" w:lineRule="exact"/>
        <w:rPr>
          <w:sz w:val="20"/>
          <w:szCs w:val="20"/>
          <w:color w:val="auto"/>
        </w:rPr>
      </w:pPr>
    </w:p>
    <w:p>
      <w:pPr>
        <w:ind w:left="560" w:right="140"/>
        <w:spacing w:after="0" w:line="308" w:lineRule="auto"/>
        <w:rPr>
          <w:sz w:val="20"/>
          <w:szCs w:val="20"/>
          <w:color w:val="auto"/>
        </w:rPr>
      </w:pPr>
      <w:r>
        <w:rPr>
          <w:rFonts w:ascii="Arial" w:cs="Arial" w:eastAsia="Arial" w:hAnsi="Arial"/>
          <w:sz w:val="17"/>
          <w:szCs w:val="17"/>
          <w:b w:val="1"/>
          <w:bCs w:val="1"/>
          <w:i w:val="1"/>
          <w:iCs w:val="1"/>
          <w:color w:val="auto"/>
        </w:rPr>
        <w:t>Any contamination or interruption in our manufacturing process, shortages of raw materials or failure of our suppliers of reagents to deliver necessary components could result in delays in our clinical development or commercialization schedules.</w:t>
      </w:r>
    </w:p>
    <w:p>
      <w:pPr>
        <w:spacing w:after="0" w:line="38"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Given the nature of monoclonal antibody manufacturing, there is a risk of contamination, including in the manufacture of raw materials and in the manufacturing of our product candidates, or in the manufacturing facility itself. Any contamination could adversely affect our ability to produce product candidates on schedule and could, therefore, harm our results of operations and cause reputational damage. 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adversely affect our development timelines and our business, financial condition, results of operations and prospects.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17"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product characteristics. Such changes carry the risk that they will not achieve our intended objectives. Any such changes could cause our product candidates to perform differently or impact product stability and expiry and affect the results of planned clinical trials or other future clinical trials conducted with the materials manufactured using altered processes or could impact our planned commercialization schedule.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21" w:lineRule="exact"/>
        <w:rPr>
          <w:sz w:val="20"/>
          <w:szCs w:val="20"/>
          <w:color w:val="auto"/>
        </w:rPr>
      </w:pPr>
    </w:p>
    <w:p>
      <w:pPr>
        <w:ind w:left="560" w:right="360"/>
        <w:spacing w:after="0" w:line="308" w:lineRule="auto"/>
        <w:rPr>
          <w:sz w:val="20"/>
          <w:szCs w:val="20"/>
          <w:color w:val="auto"/>
        </w:rPr>
      </w:pPr>
      <w:r>
        <w:rPr>
          <w:rFonts w:ascii="Arial" w:cs="Arial" w:eastAsia="Arial" w:hAnsi="Arial"/>
          <w:sz w:val="17"/>
          <w:szCs w:val="17"/>
          <w:b w:val="1"/>
          <w:bCs w:val="1"/>
          <w:i w:val="1"/>
          <w:iCs w:val="1"/>
          <w:color w:val="auto"/>
        </w:rPr>
        <w:t>Even if any of our product candidates receive marketing approval, they may fail to achieve the degree of market acceptance by physicians, patients, third-party payors and others in the medical community necessary for commercial success.</w:t>
      </w:r>
    </w:p>
    <w:p>
      <w:pPr>
        <w:spacing w:after="0" w:line="38"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If any of our product candidates receive marketing approval, they may nonetheless fail to gain sufficient market acceptance by physicians, patients, third-party payors and others in the medical community. If our product candidates do not achieve an adequate level of acceptance, we may not generate significant revenue and we may not become profitable. The degree of market acceptance of our product candidates, if approved for commercial sale, will depend on a number of factors, including:</w:t>
      </w:r>
    </w:p>
    <w:p>
      <w:pPr>
        <w:spacing w:after="0" w:line="92" w:lineRule="exact"/>
        <w:rPr>
          <w:sz w:val="20"/>
          <w:szCs w:val="20"/>
          <w:color w:val="auto"/>
        </w:rPr>
      </w:pPr>
    </w:p>
    <w:p>
      <w:pPr>
        <w:ind w:left="5540" w:right="2620" w:hanging="4992"/>
        <w:spacing w:after="0" w:line="449" w:lineRule="auto"/>
        <w:tabs>
          <w:tab w:leader="none" w:pos="109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efficacy, safety and potential advantages compared to alternative treatments, including oral options; 37</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EMA or other foreign regulatory authorities, including any limitations or warnings contained in a product’s approved labeling, including any black box warning or REMS;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treatments and of physicians to prescribe these treatments;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hire and retain a sales force in the United States;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availability of third-party coverage and adequate reimbursement for ADG20 and any other product candidates, once approved;</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 or requirements that our products be used in combination with other products;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to be effective against emerging variants as a monotherapy.</w:t>
      </w:r>
    </w:p>
    <w:p>
      <w:pPr>
        <w:spacing w:after="0" w:line="333" w:lineRule="exact"/>
        <w:rPr>
          <w:sz w:val="20"/>
          <w:szCs w:val="20"/>
          <w:color w:val="auto"/>
        </w:rPr>
      </w:pPr>
    </w:p>
    <w:p>
      <w:pPr>
        <w:ind w:left="560" w:right="660"/>
        <w:spacing w:after="0" w:line="375" w:lineRule="auto"/>
        <w:rPr>
          <w:sz w:val="20"/>
          <w:szCs w:val="20"/>
          <w:color w:val="auto"/>
        </w:rPr>
      </w:pPr>
      <w:r>
        <w:rPr>
          <w:rFonts w:ascii="Arial" w:cs="Arial" w:eastAsia="Arial" w:hAnsi="Arial"/>
          <w:sz w:val="15"/>
          <w:szCs w:val="15"/>
          <w:b w:val="1"/>
          <w:bCs w:val="1"/>
          <w:i w:val="1"/>
          <w:iCs w:val="1"/>
          <w:color w:val="auto"/>
        </w:rPr>
        <w:t>If we are unable to establish sales, marketing and distribution capabilities for ADG20 or any other product candidate that may receive regulatory approval, we may not be successful in commercializing those product candidates if and when they are approved.</w:t>
      </w:r>
    </w:p>
    <w:p>
      <w:pPr>
        <w:spacing w:after="0" w:line="1"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We are currently establishing our commercial infrastructure to support the anticipated marketing and distribution of our product candidates, which we will need to achieve commercial success for ADG20 or any other product candidate for which we may obtain marketing approval. We are currently in the process of building a sales, marketing and market access infrastructure to market our product candidates in the United States and Europe, if they are approved. There are risks involved with establishing our own sales, marketing and distribution capabilities.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Factors that may inhibit our efforts to market our products on our own include:</w:t>
      </w:r>
    </w:p>
    <w:p>
      <w:pPr>
        <w:spacing w:after="0" w:line="131"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in order to educate physicians about our product candidates, once approved;</w:t>
      </w:r>
    </w:p>
    <w:p>
      <w:pPr>
        <w:spacing w:after="0" w:line="153" w:lineRule="exact"/>
        <w:rPr>
          <w:rFonts w:ascii="Arial" w:cs="Arial" w:eastAsia="Arial" w:hAnsi="Arial"/>
          <w:sz w:val="16"/>
          <w:szCs w:val="16"/>
          <w:color w:val="auto"/>
        </w:rPr>
      </w:pPr>
    </w:p>
    <w:p>
      <w:pPr>
        <w:ind w:left="1080" w:right="20" w:hanging="532"/>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independent sales, marketing and market access organizations.</w:t>
      </w:r>
    </w:p>
    <w:p>
      <w:pPr>
        <w:spacing w:after="0" w:line="225"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If we are unable to establish our own sales, marketing and distribution capabilities and are forced to enter into arrangements with, and rely on, third parties to perform these services, our revenue and our profitability, if any, are likely to be lower than if we had developed such capabilities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b w:val="1"/>
          <w:bCs w:val="1"/>
          <w:i w:val="1"/>
          <w:iCs w:val="1"/>
          <w:color w:val="auto"/>
        </w:rPr>
        <w:t>The affected populations for our lead monoclonal antibody product candidate or our other product candidates may be smaller than we or third parties currently project, which may affect the addressable markets for our product candidates.</w:t>
      </w:r>
    </w:p>
    <w:p>
      <w:pPr>
        <w:spacing w:after="0" w:line="62"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Our projections of the number of people who are candidates to receive COVID-19 treatments and preventatives are estimates based on our knowledge and understanding of these diseases. These estimates may prove to be incorrect and new studies may further reduce the estimated incidence or prevalence of these diseases. The number of patients in the United States, the European Union and elsewhere may turn out to be lower than expected, may not be otherwise amenable to treatment with our product candidates or patients may become increasingly difficult to identify and access, all of which would adversely affect our business, financial condition, results of operations and prospects. Further, even if we obtain approval for our product candidates, the FDA or other regulators may limit their approved indications to more narrow uses or subpopulations within the populations for which we are targeting development of our product candidates.</w:t>
      </w:r>
    </w:p>
    <w:p>
      <w:pPr>
        <w:spacing w:after="0" w:line="195"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A decline, or a widespread perception of a decline, in the spread or severity of the ongoing COVID-19 pandemic, including disease due to variants with relative or absolute resistance to other products, or an increase in available alternative treatments for or widespread immunity to COVID-19, could reduce the total addressable market for our lead product candidate for the treatment and prevention of COVID-19. Similarly, if new SARS-CoV-2 variants are less impacted by ADG20 and its mechanism of action than expected and such variants become more prevalent in the ongoing pandemic, the number of patients that we will be able to successfully treat with ADG20, if approved, will be decreased.</w:t>
      </w:r>
    </w:p>
    <w:p>
      <w:pPr>
        <w:spacing w:after="0" w:line="176" w:lineRule="exact"/>
        <w:rPr>
          <w:sz w:val="20"/>
          <w:szCs w:val="20"/>
          <w:color w:val="auto"/>
        </w:rPr>
      </w:pPr>
    </w:p>
    <w:p>
      <w:pPr>
        <w:jc w:val="both"/>
        <w:ind w:left="120" w:right="20" w:firstLine="440"/>
        <w:spacing w:after="0" w:line="270" w:lineRule="auto"/>
        <w:rPr>
          <w:sz w:val="20"/>
          <w:szCs w:val="20"/>
          <w:color w:val="auto"/>
        </w:rPr>
      </w:pPr>
      <w:r>
        <w:rPr>
          <w:rFonts w:ascii="Arial" w:cs="Arial" w:eastAsia="Arial" w:hAnsi="Arial"/>
          <w:sz w:val="17"/>
          <w:szCs w:val="17"/>
          <w:color w:val="auto"/>
        </w:rPr>
        <w:t>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and product pricing and reimbursement. Incidence and prevalence estimates are frequently based on information and assumptions that are not exact and may not be appropriate, and the methodology is forward-looking and speculative. The process we have used in developing an estimated total addressable market range for the indications we are targeting has involved using a third-party to model the future populations susceptible to and immune from SARS-CoV-2, based on assumptions such as vaccine adoption, efficacy, duration of effect, viral infectiousness and other factors we cannot control. Accordingly, these estimates included in this prospectus may turn out to be inaccurate. Further, the data and statistical information used in this prospectus, including estimates derived from them, may differ from information and estimates made by our competitors or from current or future studies conducted by independent sources.</w:t>
      </w:r>
    </w:p>
    <w:p>
      <w:pPr>
        <w:spacing w:after="0" w:line="289" w:lineRule="exact"/>
        <w:rPr>
          <w:sz w:val="20"/>
          <w:szCs w:val="20"/>
          <w:color w:val="auto"/>
        </w:rPr>
      </w:pPr>
    </w:p>
    <w:p>
      <w:pPr>
        <w:ind w:left="560" w:right="20"/>
        <w:spacing w:after="0" w:line="375" w:lineRule="auto"/>
        <w:rPr>
          <w:sz w:val="20"/>
          <w:szCs w:val="20"/>
          <w:color w:val="auto"/>
        </w:rPr>
      </w:pPr>
      <w:r>
        <w:rPr>
          <w:rFonts w:ascii="Arial" w:cs="Arial" w:eastAsia="Arial" w:hAnsi="Arial"/>
          <w:sz w:val="15"/>
          <w:szCs w:val="15"/>
          <w:b w:val="1"/>
          <w:bCs w:val="1"/>
          <w:i w:val="1"/>
          <w:iCs w:val="1"/>
          <w:color w:val="auto"/>
        </w:rPr>
        <w:t>Off-label use or misuse of our products may harm our reputation in the marketplace, result in injuries that lead to costly product liability suits, and/or subject us to penalties if we fail to comply with regulatory requirements or experience unanticipated problems with any product.</w:t>
      </w:r>
    </w:p>
    <w:p>
      <w:pPr>
        <w:spacing w:after="0" w:line="1"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If our product candidates are approved by the FDA, we may only promote or market our product candidates for their specifically approved indications. We will train our marketing and sales force against promoting our product candidates for uses outside of the approved indications for use, known as “off-label uses.” We cannot, however, prevent a physician from using our products off-label, when in the physician’s independent professional medical judgment he or she deems it appropriate. Furthermore, the use of our products for indications other than those approved by the FDA may not effectively treat such conditions. Any such off-label use of our product candidates could harm our reputation in the marketplace among physicians and patients. There may also be increased risk of injury to patients if physicians attempt to use our products for these uses for which they are not approved, which could lead to product liability suits that might require significant financial and management resources and that could harm our reputation.</w:t>
      </w:r>
    </w:p>
    <w:p>
      <w:pPr>
        <w:spacing w:after="0" w:line="166"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Advertising and promotion of any product candidate that obtains approval in the United States will be heavily scrutinized by the FDA, the U.S. Federal Trade Commission, the Department of Justice, or the DOJ, the Office of Inspector General of HHS, state attorneys general, members of the U.S. Congress, and the public. Additionally, advertising and promotion of any product candidate that obtains approval outside of the United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States will be heavily scrutinized by comparable foreign entities and stakeholders. Violations, including actual or alleged promotion of our products for unapproved or off-label uses, are subject to enforcement letters, inquiries, investigations, and civil and criminal sanctions by the FDA, DOJ or comparable foreign bodies. Any actual or alleged failure to comply with labeling and promotion requirements may result in fines, warning letters, mandates to corrective information to healthcare practitioners, injunctions, or civil or criminal penalties.</w:t>
      </w:r>
    </w:p>
    <w:p>
      <w:pPr>
        <w:spacing w:after="0" w:line="295" w:lineRule="exact"/>
        <w:rPr>
          <w:sz w:val="20"/>
          <w:szCs w:val="20"/>
          <w:color w:val="auto"/>
        </w:rPr>
      </w:pPr>
    </w:p>
    <w:p>
      <w:pPr>
        <w:ind w:left="560" w:right="520"/>
        <w:spacing w:after="0" w:line="277" w:lineRule="auto"/>
        <w:rPr>
          <w:sz w:val="20"/>
          <w:szCs w:val="20"/>
          <w:color w:val="auto"/>
        </w:rPr>
      </w:pPr>
      <w:r>
        <w:rPr>
          <w:rFonts w:ascii="Arial" w:cs="Arial" w:eastAsia="Arial" w:hAnsi="Arial"/>
          <w:sz w:val="18"/>
          <w:szCs w:val="18"/>
          <w:b w:val="1"/>
          <w:bCs w:val="1"/>
          <w:i w:val="1"/>
          <w:iCs w:val="1"/>
          <w:color w:val="auto"/>
        </w:rPr>
        <w:t>ADG20 and our other monoclonal antibody product candidates may face significant competition from vaccines and other treatments for COVID-19 that are currently available or in development.</w:t>
      </w:r>
    </w:p>
    <w:p>
      <w:pPr>
        <w:spacing w:after="0" w:line="62"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Many biotechnology and pharmaceutical companies are developing treatments for COVID-19 or vaccines against SARS-CoV-2, the virus that causes COVID-19. Many of these companies, which include large pharmaceutical companies, have greater resources for development and established commercialization capabilities. For example, the FDA has approved or granted EUA for several therapeutics and vaccines for the treatment or prevention of COVID-19 developed or marketed by other companies, many of which are large, established biotechnology and pharmaceutical companies. Additional vaccines and therapeutics are in development by other pharmaceutical and biopharmaceutical companies. Given the products currently approved or authorized for use as well as those in development by others, any treatment we may develop could face significant competition. If any other company develops treatments more rapidly or effectively than we do, develops a treatment that becomes the standard of care, develops a treatment at a lower cost or is more successful at commercializing an approved therapeutic, we may not be able to successfully commercialize ADG20 for the treatment and prevention of symptomatic COVID-19, even if approved, or compete with other treatments or vaccines, which could adversely impact our business and operations.</w:t>
      </w:r>
    </w:p>
    <w:p>
      <w:pPr>
        <w:spacing w:after="0" w:line="185"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Many of our existing or potential competitors have substantially greater financial, technical and human resources than we do and significantly greater experience in the discovery, development and manufacture of product candidates, as well as in obtaining regulatory approvals of those product candidates in the United States and in foreign countries. Our current and potential future competitors may also have significantly more experience commercializing drugs, particularly monoclonal antibodies and other biological products, that have been approved for marketing. Mergers and acquisitions in the pharmaceutical and biotechnology industries could result in even more resources being concentrated among a small number of our competitors.</w:t>
      </w:r>
    </w:p>
    <w:p>
      <w:pPr>
        <w:spacing w:after="0" w:line="19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will face competition from other drugs or from other non-drug products currently approved or that will be approved in the future for the treatment of diseases we intend to target. Therefore, our ability to compete successfully will depend largely on our ability to:</w:t>
      </w:r>
    </w:p>
    <w:p>
      <w:pPr>
        <w:spacing w:after="0" w:line="76"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 and commercialize drugs that are differentiated from products in the market;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demonstrate through our clinical trials that our product candidates are differentiated from existing and future therapies;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attract qualified scientific, product development and commercial personnel;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obtain patent or other proprietary protection for our medicines;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obtain required regulatory approvals;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obtain placement in COVID-19 treatment and prevention guidelines from organizations such as the CDC, WHO and the Infectious Diseases Society of America, or IDSA, and equivalent European guidelines;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obtain coverage and adequate reimbursement from, and negotiate competitive pricing with, third-party payors;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successfully collaborate with pharmaceutical companies in the discovery, development and commercialization of new medicines.</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The availability of our competitors’ products could limit the demand, and the price we are able to charge, for any product candidate we develop. The inability to compete with existing or subsequently introduced drugs would have an adverse impact on our business, financial condition and prospects. In addition, the reimbursement structure of approved monoclonal antibodies by other companies could impact the anticipated reimbursement structure of our monoclonal antibodies, if approved, and our business, financial condition, results of operations and prospects.</w:t>
      </w:r>
    </w:p>
    <w:p>
      <w:pPr>
        <w:spacing w:after="0" w:line="15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Government entities, such as the Centers for Disease Control and Prevention, or CDC, the WHO and non-government professional societies, such as the IDSA and the European Society of Clinical Microbiology and Infectious Diseases, or ESCMID, may produce treatment and/or prevention guidelines for COVID-19, including the use of monoclonal antibodies for these indications. If ADG20 fails to be added to these guidelines, or if it receives poor positioning within those guidelines, payors and other customers may be less inclined to add ADG20 to their formularies, significantly reducing demand for ADG20, if approved.</w:t>
      </w:r>
    </w:p>
    <w:p>
      <w:pPr>
        <w:spacing w:after="0" w:line="188"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Established 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regulatory and marketing approval for, or commercializing, drugs before we do, which would have an adverse impact on our business and results of operations.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Any product candidates for which we intend to seek approval as biologic products may face biosimilar competition sooner than anticipated.</w:t>
      </w:r>
    </w:p>
    <w:p>
      <w:pPr>
        <w:spacing w:after="0" w:line="152"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If we are successful in achieving regulatory approval to commercialize any biologic product candidate that we develop, it may face competition from biosimilar products. In the United States, our product candidates are regulated by the FDA as biologic products subject to approval under the BLA pathway. The Patient Protection and Affordable Care Act, as amended by the Health Care and Education Reconciliation Act, or collectively, the ACA,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by the FDA.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our biological products.</w:t>
      </w:r>
    </w:p>
    <w:p>
      <w:pPr>
        <w:spacing w:after="0" w:line="186"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There is a risk that any of our product candidates approved as a biological product under a BLA would not qualify for the 12-year period of exclusivity or that this exclusivity could be shortened due to congressional action or otherwise, or that the FDA will not consider our product candidates to be reference products for competing products, potentially creating the opportunity for generic competition sooner than anticipated. For example, in May 2021, the Biden administration expressed support for waiving intellectual property protections for COVID-19 vaccines amid concerns about vaccine access in foreign nations. Such waiver, if implemented, could extend to our product candidates.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generic substitution for non-biological products is not yet clear, and will depend on a number of marketplace and regulatory factors that are still developing. If competitors are able to obtain marketing approval for biosimilars referencing our candidates, if approved, our products may become subject to competition from such biosimilars, with the attendant competitive pressure and potential adverse consequences.</w:t>
      </w:r>
    </w:p>
    <w:p>
      <w:pPr>
        <w:spacing w:after="0" w:line="292"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b w:val="1"/>
          <w:bCs w:val="1"/>
          <w:i w:val="1"/>
          <w:iCs w:val="1"/>
          <w:color w:val="auto"/>
        </w:rPr>
        <w:t>The success of our product candidates will depend significantly on coverage and adequate reimbursement or the willingness of patients to pay for these therapies.</w:t>
      </w:r>
    </w:p>
    <w:p>
      <w:pPr>
        <w:spacing w:after="0" w:line="62"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We believe our success depends on obtaining and maintaining coverage and adequate reimbursement for our product candidates, including ADG20 for the treatment and prevention of COVID-19, and the extent to which patients will be willing to pay out-of-pocket for such products, in the absence of reimbursement for all or part of the cost.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healthcare programs (e.g., Medicare, Medicaid, TRICARE), managed care providers, private health insurers, health maintenance organizations, and other organizations is essential for most patients to be able to afford medical services and pharmaceutical products such as our product candidates. Third-party payors often rely upon Medicare coverage policy and payment limitations in setting their own coverage and reimbursement policies. However, decisions regarding the extent of coverage and amount of reimbursement to be provided are made on a payor-by-payor basis. One payor’s determination to provide coverage for a drug product does not assure that other payors will also provide coverage, and adequate reimbursement. The principal decisions about reimbursement for new medicines are typically made by the Centers for Medicare &amp; Medicaid Services, or CMS, an agency within HHS. CMS decides whether and to what extent products will be covered and reimbursed under Medicare and private payors tend to follow CMS to a substantial degree.</w:t>
      </w:r>
    </w:p>
    <w:p>
      <w:pPr>
        <w:spacing w:after="0" w:line="168"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Third-party payors determine which products and procedures they will cover and establish reimbursement levels. Even if a third-party payor covers a particular product or procedure, the resulting reimbursement payment rates may not be adequate. Patients who are treated in-office for a medical condition generally rely on third-party payors to reimburse all or part of the costs associated with the procedure, including costs associated with products used during the procedure, and may be unwilling to undergo such procedures in the absence of such coverage and adequate reimbursement. Physicians and other healthcare professionals may be unlikely to offer procedures for such treatment if they are not covered by insurance and may be unlikely to purchase and use our product candidates, if approved, for our stated indications unless coverage is provided and reimbursement is adequate. In addition, for products administered under the supervision of a physician, obtaining coverage and adequate reimbursement may be particularly difficult because of the higher prices often associated with such drugs.</w:t>
      </w:r>
    </w:p>
    <w:p>
      <w:pPr>
        <w:spacing w:after="0" w:line="178"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Reimbursement by a third-party payor may depend upon a number of factors, including the third-party payor’s determination that a procedure is safe, effective and medically necessary; appropriate for the specific patient; cost-effective; supported by peer-reviewed medical journals; included in clinical practice guidelines; and neither cosmetic, experimental nor investigational. Government entities, such as the CDC, the WHO and non-government professional societies, such as IDSA and ESCMID, may produce treatment and/or prevention guidelines for the treatment and prevention of COVID-19, including guidance regarding the use of monoclonal antibodies in these indications. If ADG20 fails to be added to these guidelines, or if it receives poor positioning within these guidelines, payors and other customers may be less inclined to add ADG20 to their formularies, significantly reducing demand for ADG20, if approved.</w:t>
      </w:r>
    </w:p>
    <w:p>
      <w:pPr>
        <w:spacing w:after="0" w:line="195"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Further,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 from third-party payors in connection with the potential sale of any of our product candidates. Decreases in third-party reimbursement for any product or a decision by a third-party payor not to cover a product could reduce physician usage and patient demand for the product and also have a material adverse effect on sales.</w:t>
      </w:r>
    </w:p>
    <w:p>
      <w:pPr>
        <w:spacing w:after="0" w:line="17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Foreign governments also have their own healthcare reimbursement systems, which vary significantly by country and region, and we cannot be sure that coverage and adequate reimbursement will be made available with respect to the treatments in which our products are used under any foreign reimbursement system.</w:t>
      </w:r>
    </w:p>
    <w:p>
      <w:pPr>
        <w:spacing w:after="0" w:line="184"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There can be no assurance that ADG20 or any other product candidate, if approved for sale in the United States or in other countries, will be considered medically reasonable and necessary, that it will be considered cost-effective by third-party payors, that coverage or an adequate level of reimbursement will be available or that reimbursement policies and practices in the United States and in foreign countries where our products are sold will not adversely affect our ability to sell our product candidates profitably, if they are approved for sale.</w:t>
      </w:r>
    </w:p>
    <w:p>
      <w:pPr>
        <w:spacing w:after="0" w:line="279" w:lineRule="exact"/>
        <w:rPr>
          <w:sz w:val="20"/>
          <w:szCs w:val="20"/>
          <w:color w:val="auto"/>
        </w:rPr>
      </w:pPr>
    </w:p>
    <w:p>
      <w:pPr>
        <w:ind w:left="560" w:right="16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62"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human clinical trials and will face an even greater risk if we sell any products that we may develop. If we cannot successfully defend ourselves against claims that our product candidates or drugs caused injuries, we will incur substantial liabilities. Regardless of merit or eventual outcome, liability claims may result in:</w:t>
      </w:r>
    </w:p>
    <w:p>
      <w:pPr>
        <w:spacing w:after="0" w:line="71"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decreased demand for any product candidates or drugs that we may develop;</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substantial monetary awards paid to trial participants or patients;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Although we maintain product liability insurance coverage, such insurance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580"/>
        <w:spacing w:after="0" w:line="277" w:lineRule="auto"/>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 cyberattacks or a deficiency in our or our CDMO’s, CROs’, manufacturers’ contractors’, consultants’ or collaborators’ cybersecurity.</w:t>
      </w:r>
    </w:p>
    <w:p>
      <w:pPr>
        <w:spacing w:after="0" w:line="62"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Despite the implementation of security measures, our internal computer systems, and those of third parties on which we rely, are vulnerable to damage from, among other things, computer viruses, malware, natural disasters, terrorism, war, telecommunication and electrical failures, system malfunctions, cyberattacks or cyber-intrusions over the Internet, attachments to emails, phishing attacks,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it could lead to the loss, destruction, alteration, prevention of access to, disclosure, dissemination of, or damage or unauthorized access to, our data (including trade secrets or other confidential information, intellectual property, proprietary business information and personal data) or data that is processed or maintained on our behalf, and cause interruptions in our operations, resulting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w:t>
      </w:r>
    </w:p>
    <w:p>
      <w:pPr>
        <w:spacing w:after="0" w:line="182"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We cannot ensure that our data protection efforts and our investment in information technology, or the efforts or investments of CDMOs, CROs, consultants or other third parties with which we work, will prevent breakdowns or breaches in our or their systems or other cybersecurity incidents that cause loss, destruction, unavailability, alteration, dissemination of, or damage or unauthorized access to, our data, including personal data, assets and other data processed or maintained on our behalf, that could have a material adverse effect upon our reputation, business, operations or financial condition. We also rely on third parties to manufacture our product candidates, and any data breaches or other security events relating to their computer systems could also have a material adverse effect on our business. Controls employed by our information technology department and our CDMOs, CROs, consultants and other third parties could prove inadequate, and our ability to monitor such third parties’ data security practices is limited. Due to applicable laws, rules, regulations and standards or contractual obligations, we may be held responsible for any information security failure or cyberattack attributed to our third-party service providers as they relate to the information we share with them.</w:t>
      </w:r>
    </w:p>
    <w:p>
      <w:pPr>
        <w:spacing w:after="0" w:line="166"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To the extent that any disruption or security breach was to result in a loss of or damage to our data or applications, or inappropriate disclosure of confidential or proprietary information or personal data, we could incur material legal claims and liability and damage to our reputation, and the further development of our product candidates could be delayed. Any such event could also compel us to comply with federal and state breach notification laws, and foreign law equivalents, subject us to mandatory corrective action and otherwise subject us to substantial liability under laws, rules, regulations and standards that protect the privacy and security of personal data, which could result in significant legal and financial exposure and reputational damages that could potentially have an adverse effect on our business.</w:t>
      </w:r>
    </w:p>
    <w:p>
      <w:pPr>
        <w:spacing w:after="0" w:line="192"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Notifications and follow-up actions related to a data breach or other security incident could impact our reputation and cause us to incur significant costs, including significant legal expenses and remediation costs. We expect to incur significant costs in an effort to detect and prevent security incidents, and we may face increased costs and requirements to expend substantial resources in the event of an actual or perceived security incident. However, we cannot guarantee that we will be able to detect or prevent any such incidents, or that we can remediate any such incidents in an effective or timely manner. Our efforts to improve security and protect data from compromise may also identify previously undiscovered instances of data breaches or other cybersecurity incidents. To the extent that any data breach, disruption or security incident were to result in any loss, destruction, or alteration of, damage, unauthorized access to or inappropriate or unauthorized disclosure or dissemination of, our data, including personal data, or other information that is processed or maintained on our behalf, we could be exposed to litigation and governmental investigations and inquiries, the further development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and commercialization of our product candidates could be delayed and we could be subject to significant fines or penalties for any noncompliance with applicable state, federal and foreign privacy and security laws, rules, regulations and standards.</w:t>
      </w:r>
    </w:p>
    <w:p>
      <w:pPr>
        <w:spacing w:after="0" w:line="278" w:lineRule="exact"/>
        <w:rPr>
          <w:sz w:val="20"/>
          <w:szCs w:val="20"/>
          <w:color w:val="auto"/>
        </w:rPr>
      </w:pPr>
    </w:p>
    <w:p>
      <w:pPr>
        <w:ind w:left="560" w:right="220"/>
        <w:spacing w:after="0" w:line="277" w:lineRule="auto"/>
        <w:rPr>
          <w:sz w:val="20"/>
          <w:szCs w:val="20"/>
          <w:color w:val="auto"/>
        </w:rPr>
      </w:pPr>
      <w:r>
        <w:rPr>
          <w:rFonts w:ascii="Arial" w:cs="Arial" w:eastAsia="Arial" w:hAnsi="Arial"/>
          <w:sz w:val="18"/>
          <w:szCs w:val="18"/>
          <w:b w:val="1"/>
          <w:bCs w:val="1"/>
          <w:i w:val="1"/>
          <w:iCs w:val="1"/>
          <w:color w:val="auto"/>
        </w:rPr>
        <w:t>We are subject to a variety of privacy and data security laws, rules, regulations, policies, industry standards and contractual obligations, and our failure to comply with them could harm our business.</w:t>
      </w:r>
    </w:p>
    <w:p>
      <w:pPr>
        <w:spacing w:after="0" w:line="62"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We maintain a large quantity of sensitive information, including confidential business and personal information in connection with the conduct of our clinical trials and related to our employees, and we are subject to laws and regulations governing the privacy and security of such information. 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The legislative and regulatory landscape for privacy and data protection continues to evolve, and there has been an increasing focus on privacy and data protection issues, which may affect our business and is expected to increase our compliance costs and exposure to liability. In the United States, numerous federal and state laws and regulations could apply to our operations or the operations of our partners, including state data breach notification laws, state health information privacy laws and federal and state consumer protection laws and regulations, including Section 5 of the Federal Trade Commission Act, that govern the collection, use, disclosure and protection of health-related and other personal information. In addition, we may obtain health information from third parties, including research institutions from which we obtain clinical trial data, that are subject to privacy and security requirements under the federal Health Insurance Portability and Accountability Act, or HIPAA, as amended by the Health Information Technology for Economic and Clinical Health Act, and the regulations promulgated thereunder. Depending on the facts and circumstances, we could be subject to significant penalties if we obtain, use or disclose individually identifiable health information in a manner that is not authorized or permitted by HIPAA.</w:t>
      </w:r>
    </w:p>
    <w:p>
      <w:pPr>
        <w:spacing w:after="0" w:line="184"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In Europe, the General Data Protection Regulation, or the GDPR, took effect in May 2018. The GDPR governs the collection, use, disclosure, transfer or other processing of personal data of individuals within the European Economic Area, or the EEA, including clinical trial data. Among other things, the GDPR imposes requirements regarding the security of personal data and notification of data breaches to the competent national data processing authorities, requires having lawful bases on which personal data can be processed and requires changes to informed consent practices, as well as more detailed notices for clinical trial subjects and investigators. In addition, the GDPR increases the scrutiny of transfers of personal data from the EEA to the United States and other jurisdictions that the European Commission does not recognize as having “adequate” data protection laws; in July 2020, the Court of Justice of the European Union limited how organizations could lawfully transfer personal data from the EEA to the United States by invalidating the EU-U.S. Privacy Shield and imposing further restrictions on the use of standard contractual clauses, which could increase our costs and our ability to efficiently process personal data from the EEA. The GDPR imposes substantial fines for breaches and violations (up to the greater of €20 million or 4% of our consolidated annual worldwide gross revenue), and confers a private right of action on data subjects and consumer associations to lodge complaints with supervisory authorities, seek judicial remedies and obtain compensation for damages resulting from violations of the GDPR.</w:t>
      </w:r>
    </w:p>
    <w:p>
      <w:pPr>
        <w:spacing w:after="0" w:line="172"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Relatedly, following the United Kingdom’s withdrawal from the EEA and the European Union and the expiration of the Transition Period, companies must comply with both the GDPR and the legislation similar to the GDPR as incorporated into UK national law, which provides for significant fines of up to the greater of £17.5 million or 4% of global turnover and exposes companies to two parallel regimes with potentially divergent enforcement actions for certain violations. On January 1, 2021, the United Kingdom became a third country for purposes of the GDPR. The relationship between the United Kingdom and the European Union in relation to certain aspects of data protection law remains unclear, for example with respect to how data can lawfully be transferred between each jurisdiction, which exposes us to further compliance risk. Pursuant to the EU-UK Trade and Cooperation Agreement of December 24, 2020, transfers of personal data from the European Union to the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United Kingdom may continue to take place without a need for additional safeguards during a further transition period, which expires on the earlier of</w:t>
      </w:r>
    </w:p>
    <w:p>
      <w:pPr>
        <w:spacing w:after="0" w:line="46" w:lineRule="exact"/>
        <w:rPr>
          <w:sz w:val="20"/>
          <w:szCs w:val="20"/>
          <w:color w:val="auto"/>
        </w:rPr>
      </w:pPr>
    </w:p>
    <w:p>
      <w:pPr>
        <w:jc w:val="both"/>
        <w:ind w:left="120" w:right="20" w:hanging="4"/>
        <w:spacing w:after="0" w:line="270" w:lineRule="auto"/>
        <w:tabs>
          <w:tab w:leader="none" w:pos="356"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date on which an adequacy decision with respect to the United Kingdom is adopted by the European Commission; or (ii) the expiry of four months, which shall be extended by a further two months unless either the European Union or the United Kingdom objects. On February 19, 2021 the European Commission published its draft decision finding the United Kingdom to be adequate under the GDPR, though it remains unclear whether the European Commission will formally adopt an adequacy decision with respect to the United Kingdom. In the absence of such decision, after the expiry of the additional transition period we may need to put in place additional safeguards for transfers of personal data from the European Union to the United Kingdom, such as standard contractual clauses approved by the European Commission.</w:t>
      </w:r>
    </w:p>
    <w:p>
      <w:pPr>
        <w:spacing w:after="0" w:line="178"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auto"/>
        </w:rPr>
        <w:t>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 Furthermore, the laws are not consistent, and compliance in the event of a widespread data breach is costly. In addition, states are constantly adopting new laws or amending existing laws, requiring attention to frequently changing regulatory requirements. For example, California enacted the California Consumer Privacy Act, or the CCPA, which took effect on January 1, 2020, became enforceable by the California Attorney General on July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 out of certain sales of personal information. The CCPA provides for civil penalties for violations, as well as a private right of action for data breaches that is expected to increase data breach litigation. Further, the California Privacy Rights Act, or the CPRA, recently passed in California and will impose additional data protection obligations on companies doing business in California, including additional consumer rights processes, limitations on data uses, new audit requirements for higher risk data and opt outs for certain uses of sensitive data. It also created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Although the CCPA currently exempts certain health-related information, including clinical trial data, the CCPA and the CPRA may increase our compliance costs and potential liability. Similar laws have been proposed in other states and at the federal level and, if passed, such laws may have potentially conflicting requirements that would make compliance challenging.</w:t>
      </w:r>
    </w:p>
    <w:p>
      <w:pPr>
        <w:spacing w:after="0" w:line="171"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With the GDPR, CCPA, CPRA and other laws, regulations and other obligations relating to privacy and data protection imposing new and relatively burdensome obligations, and with the substantial uncertainty over the interpretation and application of these and other obligations, we may face challenges in addressing their requirements and making necessary changes to our policies and practices and may incur significant costs and expenses in an effort to do so. We are currently in the process of developing and updating our policies and procedures in accordance with requirements under applicable data privacy and protection laws and regulations. We do not currently have any formal data privacy policies and procedures in place and have not completed formal assessments of whether we are in compliance with all applicable data privacy laws and regulations. Additionally, if third parties with which we work, such as vendors or service providers, violate applicable laws, rules or regulations or our policies, such violations may also put our or our clinical trial and employee data, including personal data, at risk, which could in turn have an adverse effect on our business.</w:t>
      </w:r>
    </w:p>
    <w:p>
      <w:pPr>
        <w:spacing w:after="0" w:line="273" w:lineRule="exact"/>
        <w:rPr>
          <w:sz w:val="20"/>
          <w:szCs w:val="20"/>
          <w:color w:val="auto"/>
        </w:rPr>
      </w:pPr>
    </w:p>
    <w:p>
      <w:pPr>
        <w:ind w:left="560" w:right="260"/>
        <w:spacing w:after="0" w:line="277" w:lineRule="auto"/>
        <w:rPr>
          <w:sz w:val="20"/>
          <w:szCs w:val="20"/>
          <w:color w:val="auto"/>
        </w:rPr>
      </w:pPr>
      <w:r>
        <w:rPr>
          <w:rFonts w:ascii="Arial" w:cs="Arial" w:eastAsia="Arial" w:hAnsi="Arial"/>
          <w:sz w:val="18"/>
          <w:szCs w:val="18"/>
          <w:b w:val="1"/>
          <w:bCs w:val="1"/>
          <w:i w:val="1"/>
          <w:iCs w:val="1"/>
          <w:color w:val="auto"/>
        </w:rPr>
        <w:t>If we or any contract manufacturers and suppliers we engage fail to comply with environmental, health and safety laws and regulations, we could become subject to fines or penalties or incur costs that could seriously harm our business.</w:t>
      </w:r>
    </w:p>
    <w:p>
      <w:pPr>
        <w:spacing w:after="0" w:line="6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and any contract manufacturers and suppliers we engage are subject to numerous federal, state and local environmental, health and safety laws, regulations and permitting requirements, including those governing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auto"/>
        </w:rPr>
        <w:t>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166"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seriously harm our business.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left="560" w:right="160"/>
        <w:spacing w:after="0" w:line="301" w:lineRule="auto"/>
        <w:rPr>
          <w:sz w:val="20"/>
          <w:szCs w:val="20"/>
          <w:color w:val="auto"/>
        </w:rPr>
      </w:pPr>
      <w:r>
        <w:rPr>
          <w:rFonts w:ascii="Arial" w:cs="Arial" w:eastAsia="Arial" w:hAnsi="Arial"/>
          <w:sz w:val="16"/>
          <w:szCs w:val="16"/>
          <w:b w:val="1"/>
          <w:bCs w:val="1"/>
          <w:i w:val="1"/>
          <w:iCs w:val="1"/>
          <w:color w:val="auto"/>
        </w:rPr>
        <w:t>We currently rely on third parties to conduct, supervise, analyze and monitor a significant portion of our research and preclinical testing and clinical trials for our product candidates, and if those third parties do not successfully carry out their contractual duties, comply with regulatory requirements or otherwise perform satisfactorily, we may not be able to obtain regulatory approval or commercialize product candidates, or such approval or commercialization may be delayed, and our business may be substantially harmed.</w:t>
      </w:r>
    </w:p>
    <w:p>
      <w:pPr>
        <w:spacing w:after="0" w:line="49"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We have engaged CROs and other third parties to conduct our planned preclinical studies or clinical trials, including our ongoing clinical trials of ADG20, and to monitor and manage data. We expect to continue to rely on third parties, including clinical data management organizations, medical institutions and clinical investigators, to conduct those clinical trials. We also rely on third parties for their research and discovery capabilities. Any of these third parties may terminate their engagements with us, some in the event of an uncured material breach and some at any time for convenience. If any of our relationships with these third parties terminate, we may not be able to timely enter into arrangements with alternative third parties or to do so on commercially reasonable terms, if at all. Switching or adding CROs involves substantial cost and requires management time and focus. In addition, there is a natural transition period when a new CRO commences work. As a result, delays occur, which can materially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 material adverse impact on our business, financial condition and prospects. Further, the performance of our CROs and other third parties conducting our trials may also be interrupted by the ongoing COVID-19 pandemic, including due to travel or quarantine policies, heightened exposure of CRO or clinical site or other vendor staff who are healthcare providers to COVID-19 or prioritization of resources toward the pandemic.</w:t>
      </w:r>
    </w:p>
    <w:p>
      <w:pPr>
        <w:spacing w:after="0" w:line="16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addition, any third parties conducting our clinical trials will not be our employees, and except for remedies available to us under our agreements with such third parties, we cannot control whether or not they devote sufficient time and resources to our clinical programs. If these third parties do not successfully carry out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Consequently, our results of operations and the commercial prospects for our product candidates would be harmed, our costs could increase substantially and our ability to generate revenue could be delayed significantly.</w:t>
      </w:r>
    </w:p>
    <w:p>
      <w:pPr>
        <w:spacing w:after="0" w:line="188"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We rely on these parties for execution of our preclinical studies and clinical trials, and generally do not control their activities. 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If we or any of our CROs or other third parties, including trial sites, fail to comply with applicable GCPs,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GCP regulations. In addition, our clinical trials must be conducted with product produced under cGMP conditions. Our failure to comply with these regulations may require us to repeat clinical trials, which would delay the regulatory approval process.</w:t>
      </w:r>
    </w:p>
    <w:p>
      <w:pPr>
        <w:spacing w:after="0" w:line="182" w:lineRule="exact"/>
        <w:rPr>
          <w:sz w:val="20"/>
          <w:szCs w:val="20"/>
          <w:color w:val="auto"/>
        </w:rPr>
      </w:pPr>
    </w:p>
    <w:p>
      <w:pPr>
        <w:jc w:val="both"/>
        <w:ind w:left="120" w:firstLine="440"/>
        <w:spacing w:after="0" w:line="342" w:lineRule="auto"/>
        <w:rPr>
          <w:sz w:val="20"/>
          <w:szCs w:val="20"/>
          <w:color w:val="auto"/>
        </w:rPr>
      </w:pPr>
      <w:r>
        <w:rPr>
          <w:rFonts w:ascii="Arial" w:cs="Arial" w:eastAsia="Arial" w:hAnsi="Arial"/>
          <w:sz w:val="16"/>
          <w:szCs w:val="16"/>
          <w:color w:val="auto"/>
        </w:rPr>
        <w:t>We also are required to register certain ongoing clinical trials and post the results of certain completed clinical trials on a government-sponsored database, ClinicalTrials.gov, within specified timeframes. Failure to do so can result in fines, adverse publicity and civil and criminal sanctions.</w:t>
      </w:r>
    </w:p>
    <w:p>
      <w:pPr>
        <w:spacing w:after="0" w:line="124"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for ADG20 or any other product candidates.</w:t>
      </w:r>
    </w:p>
    <w:p>
      <w:pPr>
        <w:spacing w:after="0" w:line="17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also expect to rely on other third parties to label, store and distribute product supplies for our clinical trials. Any performance failure on the part of our distributors could delay clinical development or marketing approval of our product candidates or commercialization of our products, producing additional losses and depriving us of potential revenue.</w:t>
      </w:r>
    </w:p>
    <w:p>
      <w:pPr>
        <w:spacing w:after="0" w:line="292" w:lineRule="exact"/>
        <w:rPr>
          <w:sz w:val="20"/>
          <w:szCs w:val="20"/>
          <w:color w:val="auto"/>
        </w:rPr>
      </w:pPr>
    </w:p>
    <w:p>
      <w:pPr>
        <w:ind w:left="560" w:right="100"/>
        <w:spacing w:after="0" w:line="308" w:lineRule="auto"/>
        <w:rPr>
          <w:sz w:val="20"/>
          <w:szCs w:val="20"/>
          <w:color w:val="auto"/>
        </w:rPr>
      </w:pPr>
      <w:r>
        <w:rPr>
          <w:rFonts w:ascii="Arial" w:cs="Arial" w:eastAsia="Arial" w:hAnsi="Arial"/>
          <w:sz w:val="17"/>
          <w:szCs w:val="17"/>
          <w:b w:val="1"/>
          <w:bCs w:val="1"/>
          <w:i w:val="1"/>
          <w:iCs w:val="1"/>
          <w:color w:val="auto"/>
        </w:rPr>
        <w:t>We may seek collaborations with third parties for the development or commercialization of our product candidates. If those collaborations are not successful, we may not be able to capitalize on the market potential of these product candidates.</w:t>
      </w:r>
    </w:p>
    <w:p>
      <w:pPr>
        <w:spacing w:after="0" w:line="38"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We may seek third-party collaborators for the development and commercialization of our product candidates, including for the commercialization of any of our product candidates that are approved for marketing outside the United States. Our likely collaborators for any such arrangements include regional and national pharmaceutical companies and biotechnology companies. If we enter into any additional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 For example, our agreement with Biocon may not result in the successful development and commercialization of an antibody treatment for COVID-19 in India or other markets.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Collaborations involving our product candidates would pose the following risks to us:</w:t>
      </w:r>
    </w:p>
    <w:p>
      <w:pPr>
        <w:spacing w:after="0" w:line="131"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30" w:lineRule="exact"/>
        <w:rPr>
          <w:rFonts w:ascii="Arial" w:cs="Arial" w:eastAsia="Arial" w:hAnsi="Arial"/>
          <w:sz w:val="18"/>
          <w:szCs w:val="18"/>
          <w:color w:val="auto"/>
        </w:rPr>
      </w:pPr>
    </w:p>
    <w:p>
      <w:pPr>
        <w:jc w:val="both"/>
        <w:ind w:left="1080" w:right="20" w:hanging="532"/>
        <w:spacing w:after="0" w:line="311"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54" w:lineRule="exact"/>
        <w:rPr>
          <w:rFonts w:ascii="Arial" w:cs="Arial" w:eastAsia="Arial" w:hAnsi="Arial"/>
          <w:sz w:val="16"/>
          <w:szCs w:val="16"/>
          <w:color w:val="auto"/>
        </w:rPr>
      </w:pPr>
    </w:p>
    <w:p>
      <w:pPr>
        <w:ind w:left="1080" w:right="20" w:hanging="532"/>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75"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30" w:lineRule="exact"/>
        <w:rPr>
          <w:rFonts w:ascii="Arial" w:cs="Arial" w:eastAsia="Arial" w:hAnsi="Arial"/>
          <w:sz w:val="18"/>
          <w:szCs w:val="18"/>
          <w:color w:val="auto"/>
        </w:rPr>
      </w:pPr>
    </w:p>
    <w:p>
      <w:pPr>
        <w:ind w:left="1080" w:right="20" w:hanging="532"/>
        <w:spacing w:after="0" w:line="308" w:lineRule="auto"/>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drugs, which may cause collaborators to cease to devote resources to the commercialization of our product candidates;</w:t>
      </w:r>
    </w:p>
    <w:p>
      <w:pPr>
        <w:spacing w:after="0" w:line="51"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products;</w:t>
      </w:r>
    </w:p>
    <w:p>
      <w:pPr>
        <w:spacing w:after="0" w:line="75" w:lineRule="exact"/>
        <w:rPr>
          <w:rFonts w:ascii="Arial" w:cs="Arial" w:eastAsia="Arial" w:hAnsi="Arial"/>
          <w:sz w:val="18"/>
          <w:szCs w:val="18"/>
          <w:color w:val="auto"/>
        </w:rPr>
      </w:pPr>
    </w:p>
    <w:p>
      <w:pPr>
        <w:jc w:val="both"/>
        <w:ind w:left="1080" w:right="20" w:hanging="532"/>
        <w:spacing w:after="0" w:line="259"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92"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collaborators may infringe the intellectual property rights of third parties, which may expose us to litigation and potential liability; and</w:t>
      </w:r>
    </w:p>
    <w:p>
      <w:pPr>
        <w:spacing w:after="0" w:line="142"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any future collaborator of ours were to be involved in a business combination, the continued pursuit and emphasis on our product development or commercialization program could be delayed, diminished or terminated.</w:t>
      </w:r>
    </w:p>
    <w:p>
      <w:pPr>
        <w:spacing w:after="0" w:line="184"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any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of approval by the FDA, EMA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77"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We may not be able to negotiate additional collaborations on a timely basis, on acceptable terms, or at all. If we are unable to do so,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560" w:right="120"/>
        <w:spacing w:after="0" w:line="311" w:lineRule="auto"/>
        <w:rPr>
          <w:sz w:val="20"/>
          <w:szCs w:val="20"/>
          <w:color w:val="auto"/>
        </w:rPr>
      </w:pPr>
      <w:r>
        <w:rPr>
          <w:rFonts w:ascii="Arial" w:cs="Arial" w:eastAsia="Arial" w:hAnsi="Arial"/>
          <w:sz w:val="16"/>
          <w:szCs w:val="16"/>
          <w:b w:val="1"/>
          <w:bCs w:val="1"/>
          <w:i w:val="1"/>
          <w:iCs w:val="1"/>
          <w:color w:val="auto"/>
        </w:rPr>
        <w:t>If we are unable to obtain, maintain and enforce patent protection for our current and future product candidates, or if the scope of the patent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41"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auto"/>
        </w:rPr>
        <w:t>We rely upon a combination of patents, trade secret protection and confidentiality agreements to protect the intellectual property related to our product candidates and technologies. Our success depends in large part on our ability to obtain and maintain patent and other intellectual property protection in the United States and in other countries with respect to our proprietary technology and product candidates. The risks associated with patent rights generally apply to patent rights that we in-license now or in the future, as well as patent rights that we may own now or in the future. Although we own a number of pending patent applications that have not yet issued as patents, we do not own or license any issued patents with claims directed to our product candidates, including ADG20, and we may not be successful in prosecuting our filed patent applications. Accordingly, there can be no assurance that we will be able to obtain patent protection for any of our product candidates, including ADG20. Our pending Patent Cooperation Treaty, or PCT patent applications, are not eligible to become issued patents until, among other things, we file a national stage patent application within 30 months in the countries in which we seek patent protection. Furthermore, our pending U.S. provisional patent applications are not eligible to become issued patents until, among other things, we file a non-provisional U.S. patent application within one year of filing of the U.S. provisional patent application with the United States Patent and Trademark Office, or the USPTO. If we do not timely file any national stage patent applications or non-provisional U.S. patent applications, we may lose our priority date with respect to our PCT and provisional U.S. patent applications, and any patent protection on the inventions disclosed in such patent applications. We can provide no assurance that any of our current or future patent applications will result in issued patents or that any issued patents will provide us with any competitive advantage. In addition, the coverage claimed in any such patent application can be significantly reduced before the patent is issued, and its scope can be reinterpreted after issuance. Failure to obtain and maintain such issued patents could have a material adverse effect on our ability to develop and commercialize our product candidates.</w:t>
      </w:r>
    </w:p>
    <w:p>
      <w:pPr>
        <w:spacing w:after="0" w:line="176"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strength of patents in the biotechnology and pharmaceutical field involves complex legal and scientific questions and can be uncertain. We cannot offer any assurances about which of our patent applications will issue,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the breadth of any resulting patent or whether any of the issued patents will be found invalid and unenforceable or will be threatened by third parties. We cannot offer any assurances that the breadth of our resulting or granted patents will be sufficient to stop a competitor from developing and commercializing a product, including a biosimilar product, that would be competitive with one or more of our product candidates. There is no assurance that all the potentially relevant prior art relating to our patent and patent applications has been found, which can invalidate a patent or prevent a patent from issuing from a pending patent application. Since patent applications in the United States and most other countries are confidential for a period of time after filing, we cannot be certain that we or our future licensors were the first to file any patent application related to our product candidates and technologies. We additionally cannot guarantee that our employees, former employees or consultants will not file patent applications claiming our inventions. Because of the “first-to-file” laws in the United States, such unauthorized patent application filings may defeat our attempts to obtain patents on our own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rendered unenforceable. Additionally, an interference proceeding can be provoked by a third party or instituted by the USPTO to determine who was the first to invent any of the subject matter covered by the patent claims of our applications.</w:t>
      </w:r>
    </w:p>
    <w:p>
      <w:pPr>
        <w:spacing w:after="0" w:line="179"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owned and licensed patents may be challenged in courts or patent offices in the United States and abroad. For example, we may be subject to a third-party submission of prior art to the USPTO, challenging the validity of one or more claims of our owned or licensed patents. Such submissions may also be made prior to a patent’s issuance, precluding the granting of a patent based on one of our owned or licensed pending patent applications. A third party may also claim that our owned or licensed patent rights are invalid or unenforceable in litigation. The outcome following legal assertions of invalidity and unenforceability is unpredictable.</w:t>
      </w:r>
    </w:p>
    <w:p>
      <w:pPr>
        <w:spacing w:after="0" w:line="192" w:lineRule="exact"/>
        <w:rPr>
          <w:sz w:val="20"/>
          <w:szCs w:val="20"/>
          <w:color w:val="auto"/>
        </w:rPr>
      </w:pPr>
    </w:p>
    <w:p>
      <w:pPr>
        <w:jc w:val="both"/>
        <w:ind w:left="120" w:right="20" w:firstLine="440"/>
        <w:spacing w:after="0" w:line="290" w:lineRule="auto"/>
        <w:rPr>
          <w:sz w:val="20"/>
          <w:szCs w:val="20"/>
          <w:color w:val="auto"/>
        </w:rPr>
      </w:pPr>
      <w:r>
        <w:rPr>
          <w:rFonts w:ascii="Arial" w:cs="Arial" w:eastAsia="Arial" w:hAnsi="Arial"/>
          <w:sz w:val="16"/>
          <w:szCs w:val="16"/>
          <w:color w:val="auto"/>
        </w:rPr>
        <w:t>Any successful challenge to any patents owned by or licensed to us after patent issuance could put one or more of our owned or in-licensed patents at risk of being invalidated or interpreted narrowly and could deprive us of rights necessary for the successful commercialization of any of our product candidates and technologies that we may develop. Even if they are unchallenged or such third-party challenges are unsuccessful, our patents and patent applications may not adequately protect our intellectual property, provide exclusivity for our product candidates and technologies or prevent others from designing around our claims. If the breadth or strength of protection provided by the patent and patent applications we hold, obtain or pursue with respect to our product candidates and technologies is challenged, or if they fail to provide meaningful exclusivity for our product candidates and technologies, it could threaten our ability to commercialize our product candidates and technologies. Further, if we encounter delays in regulatory approvals, the period of time during which we could market a product candidate under patent protection, if approved, would be reduced.</w:t>
      </w:r>
    </w:p>
    <w:p>
      <w:pPr>
        <w:spacing w:after="0" w:line="165"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The patent prosecution process is expensive and time-consuming. We may not be able to prepare, file and prosecute all necessary or desirable patent applications at a commercially reasonable cost, in a timely manner or in all jurisdictions. It is also possible that we may fail to identify patentable aspects of inventions made in the course of development and commercialization activities before it is too late to obtain patent protection.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 Any of the foregoing could have an adverse impact on our business and results of operations.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addition to the protection provided by our patent estate, we rely on trade secret protection and confidentiality agreements to protect proprietary scientific, business and technical information and know-how that is not or may not be patentable or that we elect not to patent. We seek to protect our proprietary information,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data and processes, in part, by confidentiality agreements and invention assignment agreements with our employees, consultants, scientific advisors, contractors and partners. Although these agreements are designed to protect our proprietary information, we cannot be certain that our trade secrets and other confidential proprietary information will not be disclosed or that competitors will not otherwise gain access to our trade secrets or independently develop substantially equivalent information and techniques. Although we generally require all of our employees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with all third parties who may have helped to develop our intellectual property or who had access to our proprietary information, or that our agreements will not be breached. If any of the parties to these confidentiality agreements breaches or violates the terms of such agreements, we may not have adequate remedies for any such breach or violation, and we could lose our trade secrets as a result.</w:t>
      </w:r>
    </w:p>
    <w:p>
      <w:pPr>
        <w:spacing w:after="0" w:line="181"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Enforcing a claim that a third party illegally obtained and is using our trade secrets, like patent litigation, is expensive and time-consuming, and the outcome is unpredictable. Further, the laws of some foreign countries do not protect proprietary rights to the same extent or in the same manner as the laws of the United States. The enforceability of confidentiality agreements may vary from jurisdiction to jurisdiction. As a result, we may encounter significant problems in protecting and defending our intellectual property both in the United States and abroad. Additionally, if the steps taken to maintain our trade secrets are deemed inadequate, we may have insufficient recourse against third parties for misappropriating the trade secret.</w:t>
      </w:r>
    </w:p>
    <w:p>
      <w:pPr>
        <w:spacing w:after="0" w:line="161"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Moreover, our competitors and other third parties may independently develop knowledge, methods and know-how equivalent to our trade secrets. Competitors and other third parties could purchase our products and attempt to replicate some or all of the competitive advantages we derive from our development efforts, willfully infringe, misappropriate or violate our intellectual property rights, design around our protected technology or develop their own technologies that fall outside of our intellectual property rights.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and proprietary know-how were to be disclosed to or independently developed by a competitor or other third party, our competitive position would be harmed.</w:t>
      </w:r>
    </w:p>
    <w:p>
      <w:pPr>
        <w:spacing w:after="0" w:line="18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also seek to preserve the integrity and confidentiality of our data and trade secrets by maintaining physical security of our premises and physical and electronic security of our information technology systems.</w:t>
      </w:r>
    </w:p>
    <w:p>
      <w:pPr>
        <w:spacing w:after="0" w:line="170"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Monitoring unauthorized uses and disclosures is difficult, and we do not know whether the steps we have taken to protect our proprietary technologies will be effective.</w:t>
      </w:r>
    </w:p>
    <w:p>
      <w:pPr>
        <w:spacing w:after="0" w:line="170"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While we have confidence in these individuals, organizations and systems, our agreements or security measures may be breached, and we may not have adequate remedies for any breach. Also, if the steps taken to maintain our trade secrets are deemed inadequate, we may have insufficient recourse against third parties for misappropriating the trade secret. In addition, others may independently discover our trade secrets and proprietary information. For example, the FDA is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63"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products for an adequate amount of time, and if we do not obtain protection under the Hatch-Waxman Amendments and similar non-United States legislation for extending the term of patents covering each of our product candidates, our business may be materially harmed.</w:t>
      </w:r>
    </w:p>
    <w:p>
      <w:pPr>
        <w:spacing w:after="0" w:line="76"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auto"/>
        </w:rPr>
        <w:t>Patents have a limited lifespan. In the United States, the natural expiration of a patent is generally 20 years after its first effective filing date. Although various extensions may be available, the life of a patent, and the protection it affords, is limited. Even if patents covering our product candidates are obtained, once the patent life has expired for a product, we may be open to competition from generic and other competing medications. Given the amount of time required for the development, testing and regulatory review of new product candidates, patents protecting such candidates may expire before or shortly after such candidates are commercialized. Depending upon the timing, duration and conditions of FDA marketing approval of our product candidates, one or more of our United States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receive an extension if we fail to apply within applicable deadlines, fail to apply prior to expiration of relevant patents, fail to exercise due diligence during the testing phase or regulatory review process, or otherwise fail to satisfy applicable requirements. Moreover, the length of the extension could be less than we request. If we are unable to obtain patent term extension, or if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which could have a material adverse effect on our business.</w:t>
      </w:r>
    </w:p>
    <w:p>
      <w:pPr>
        <w:spacing w:after="0" w:line="284" w:lineRule="exact"/>
        <w:rPr>
          <w:sz w:val="20"/>
          <w:szCs w:val="20"/>
          <w:color w:val="auto"/>
        </w:rPr>
      </w:pPr>
    </w:p>
    <w:p>
      <w:pPr>
        <w:ind w:left="560" w:right="40"/>
        <w:spacing w:after="0" w:line="375" w:lineRule="auto"/>
        <w:rPr>
          <w:sz w:val="20"/>
          <w:szCs w:val="20"/>
          <w:color w:val="auto"/>
        </w:rPr>
      </w:pPr>
      <w:r>
        <w:rPr>
          <w:rFonts w:ascii="Arial" w:cs="Arial" w:eastAsia="Arial" w:hAnsi="Arial"/>
          <w:sz w:val="15"/>
          <w:szCs w:val="15"/>
          <w:b w:val="1"/>
          <w:bCs w:val="1"/>
          <w:i w:val="1"/>
          <w:iCs w:val="1"/>
          <w:color w:val="auto"/>
        </w:rPr>
        <w:t>We are a party to an assignment and license agreement with Adimab, pursuant to which we are obligated to make payments upon achievement of milestone events and royalties. If this agreement is terminated, our business and prospects will be materially and adversely affected.</w:t>
      </w:r>
    </w:p>
    <w:p>
      <w:pPr>
        <w:spacing w:after="0" w:line="1"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auto"/>
        </w:rPr>
        <w:t>We are party to an assignment and license agreement, or the Adimab Assignment Agreement, with Adimab, LLC, or Adimab, which has assigned to us its rights to all existing coronavirus antibodies controlled by it and their derivatives, patents claiming such antibodies, know-how related to such antibodies, and biological and chemical materials specifically related to such antibodies. Pursuant to the Adimab Assignment Agreement, Adimab additionally grants us a non-exclusive, worldwide, sublicensable license under Adimab’s antibody discovery and optimization platform technology to research, develop, make, use, and sell coronavirus antibodies and products containing or comprising coronavirus antibodies, provided that we may not use such licensed rights to discover or optimize antibodies. Under the Adimab Assignment Agreement, we are required to use commercially reasonable efforts to achieve specific development and regulatory milestones for products in certain major markets and to commercialize a product in any country in which we obtain marketing approval. This agreement additionally contains obligations that require us to make payments in the event certain milestone events are achieved and royalty payments on net sales of our products, if approved, on a product-by-product and country-by-country basis, for a period ending on the later of 12 years after the first commercial sale of such product in such country or the expiration of the last valid claim of any patent in such country that was assigned to us under the Adimab Assignment Agreement or that claims priority to any such patent. Our business is reliant upon the intellectual property rights assigned and licensed to us under the Adimab Assignment Agreement. If we materially breach the Adimab Assignment Agreement, our license under the Adimab Assignment Agreement can be terminated, we can be required to return to Adimab the assigned patent rights and any patents or patent applications that claim priority to such patents, our rights to develop and commercialize our product candidates will be adversely affected, and we could be found liable for substantial monetary damages. If the Adimab Assignment Agreement is terminated as a result of our breach or otherwise, our business and prospects will be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materially and adversely affected. For more information on the Adimab Assignment Agreement, see the section titled “Business—Licensing, Collaborations and Partnerships—Assignment and License Agreement with Adimab.” For more information regarding our relationship with Adimab, see the section titled “Certain Relationships and Related Party Transactions.”</w:t>
      </w:r>
    </w:p>
    <w:p>
      <w:pPr>
        <w:spacing w:after="0" w:line="292" w:lineRule="exact"/>
        <w:rPr>
          <w:sz w:val="20"/>
          <w:szCs w:val="20"/>
          <w:color w:val="auto"/>
        </w:rPr>
      </w:pPr>
    </w:p>
    <w:p>
      <w:pPr>
        <w:ind w:left="560" w:right="240"/>
        <w:spacing w:after="0" w:line="259" w:lineRule="auto"/>
        <w:rPr>
          <w:sz w:val="20"/>
          <w:szCs w:val="20"/>
          <w:color w:val="auto"/>
        </w:rPr>
      </w:pPr>
      <w:r>
        <w:rPr>
          <w:rFonts w:ascii="Arial" w:cs="Arial" w:eastAsia="Arial" w:hAnsi="Arial"/>
          <w:sz w:val="18"/>
          <w:szCs w:val="18"/>
          <w:b w:val="1"/>
          <w:bCs w:val="1"/>
          <w:i w:val="1"/>
          <w:iCs w:val="1"/>
          <w:color w:val="auto"/>
        </w:rPr>
        <w:t>Our rights to develop and commercialize our product candidates are subject, in part, to the terms and conditions of licenses granted to us by others.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79"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auto"/>
        </w:rPr>
        <w:t>We rely on licensed intellectual property rights and intend to periodically explore a variety of additional possible strategic collaborations or licenses in an effort to gain access to additional product candidates, technologies or resources. At this time, we cannot predict what form such strategic collaborations or licenses might take in the future. We are likely to face significant competition in seeking appropriate strategic collaborators, and strategic collaborations and licenses can be complicated and time-consuming to negotiate and document. We may not be able to negotiate strategic collaborations on acceptable terms, or at all. We are unable to predict when, if ever, we will enter into any additional strategic collaborations or licenses because of the numerous risks and uncertainties associated with establishing them. Any delays in entering into new strategic collaborations or licenses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current and future collaborations and licenses could subject us to a number of risks, including:</w:t>
      </w:r>
    </w:p>
    <w:p>
      <w:pPr>
        <w:spacing w:after="0" w:line="131"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be required to undertake the expenditure of substantial operational, financial and management resources;</w:t>
      </w:r>
    </w:p>
    <w:p>
      <w:pPr>
        <w:spacing w:after="0" w:line="130" w:lineRule="exact"/>
        <w:rPr>
          <w:rFonts w:ascii="Arial" w:cs="Arial" w:eastAsia="Arial" w:hAnsi="Arial"/>
          <w:sz w:val="18"/>
          <w:szCs w:val="18"/>
          <w:color w:val="auto"/>
        </w:rPr>
      </w:pPr>
    </w:p>
    <w:p>
      <w:pPr>
        <w:jc w:val="both"/>
        <w:ind w:left="1080" w:right="20" w:hanging="532"/>
        <w:spacing w:after="0" w:line="25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be required to comply with various development, diligence, commercialization and other obligations and meet development timelines, or exercise commercially reasonable efforts to develop and commercialize licensed products, in order to maintain the licenses (for example, under the Adimab Assignment Agreement, we are required to use commercially reasonable efforts to achieve specified development and regulatory milestones for products in certain major markets and to commercialize a product in any country in which we obtain marketing approval);</w:t>
      </w:r>
    </w:p>
    <w:p>
      <w:pPr>
        <w:spacing w:after="0" w:line="93"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be required to issue equity securities that would dilute our stockholders’ percentage ownership of our company;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be required to assume substantial actual or contingent liabilities;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strategic collaborators devote to the development or commercialization of our product candidates;</w:t>
      </w:r>
    </w:p>
    <w:p>
      <w:pPr>
        <w:spacing w:after="0" w:line="75" w:lineRule="exact"/>
        <w:rPr>
          <w:rFonts w:ascii="Arial" w:cs="Arial" w:eastAsia="Arial" w:hAnsi="Arial"/>
          <w:sz w:val="18"/>
          <w:szCs w:val="18"/>
          <w:color w:val="auto"/>
        </w:rPr>
      </w:pPr>
    </w:p>
    <w:p>
      <w:pPr>
        <w:jc w:val="both"/>
        <w:ind w:left="1080" w:hanging="532"/>
        <w:spacing w:after="0" w:line="25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not have the right to control the preparation, filing, prosecution and maintenance of patents and patent applications covering the technology that we license, and we cannot always be certain that these patents and patent applications will be prepared, filed, prosecuted and maintained in a manner consistent with the best interests of our business (for example, we have no rights to control the preparation, filing, prosecution or maintenance of the patents licensed to us under Adimab’s antibody discovery and optimization platform technology under the Adimab Assignment Agreement);</w:t>
      </w:r>
    </w:p>
    <w:p>
      <w:pPr>
        <w:spacing w:after="0" w:line="93"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strategic collaborators may select indications or design clinical trials in a way that may be less successful than if we were doing so;</w:t>
      </w:r>
    </w:p>
    <w:p>
      <w:pPr>
        <w:spacing w:after="0" w:line="142"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strategic collaborators may not pursue further development and commercialization of products resulting from the strategic collaboration arrangement or may elect to discontinue research and development programs;</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strategic collaborators may not commit adequate resources to the marketing and distribution of our product candidates, limiting our potential revenue from these products;</w:t>
      </w:r>
    </w:p>
    <w:p>
      <w:pPr>
        <w:spacing w:after="0" w:line="75"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strategic collaborators may experience financial difficulties;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strategic collaborators may not properly maintain, enforce or defend our intellectual property rights or may use our proprietary information in a manner that could jeopardize or invalidate our proprietary information or expose us to potential litigation;</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strategic collaborator’s business strategy may adversely affect a strategic collaborator’s willingness or ability to complete its obligations under any arrangement;</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strategic collaborators could decide to move forward with a competing product candidate developed either independently or in collaboration with others, including our competitors; and</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strategic collaborators could terminate the arrangement or allow it to expire, which would delay the development and may increase the cost of developing our product candidates.</w:t>
      </w:r>
    </w:p>
    <w:p>
      <w:pPr>
        <w:spacing w:after="0" w:line="170"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Disputes may arise with respect to our current or future licensing agreements, including in connection with any of the forgoing, and, in spite of our efforts, our current and future licensors might conclude that we have materially breached our obligations under our license agreements and might therefore terminate such license agreements, thereby removing or limiting our ability to develop and commercialize products and technology covered by these license agreements.</w:t>
      </w:r>
    </w:p>
    <w:p>
      <w:pPr>
        <w:spacing w:after="0" w:line="187"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w:t>
      </w:r>
    </w:p>
    <w:p>
      <w:pPr>
        <w:spacing w:after="0" w:line="157"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Furthermore, license agreements we enter into in the future may not provide exclusive rights to use intellectual property and technology in all relevant fields of use and in all territories in which we may wish to develop or commercialize our technology and products.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from developing and commercializing competitive products in territories included in all of our licenses.</w:t>
      </w:r>
    </w:p>
    <w:p>
      <w:pPr>
        <w:spacing w:after="0" w:line="284" w:lineRule="exact"/>
        <w:rPr>
          <w:sz w:val="20"/>
          <w:szCs w:val="20"/>
          <w:color w:val="auto"/>
        </w:rPr>
      </w:pPr>
    </w:p>
    <w:p>
      <w:pPr>
        <w:ind w:left="560" w:right="500"/>
        <w:spacing w:after="0" w:line="277" w:lineRule="auto"/>
        <w:rPr>
          <w:sz w:val="20"/>
          <w:szCs w:val="20"/>
          <w:color w:val="auto"/>
        </w:rPr>
      </w:pPr>
      <w:r>
        <w:rPr>
          <w:rFonts w:ascii="Arial" w:cs="Arial" w:eastAsia="Arial" w:hAnsi="Arial"/>
          <w:sz w:val="18"/>
          <w:szCs w:val="18"/>
          <w:b w:val="1"/>
          <w:bCs w:val="1"/>
          <w:i w:val="1"/>
          <w:iCs w:val="1"/>
          <w:color w:val="auto"/>
        </w:rPr>
        <w:t>Patent reform legislation could increase the uncertainties and costs surrounding the prosecution of our patent applications and licensed patents, and the enforcement or defense of our licensed patents or future owned patents.</w:t>
      </w:r>
    </w:p>
    <w:p>
      <w:pPr>
        <w:spacing w:after="0" w:line="62"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Our ability to obtain patents is highly uncertain because, to date, some legal principles remain unresolved, and there has not been a consistent policy regarding the breadth or interpretation of claims allowed in patents in the United States. Furthermore, the specific content of patents and patent applications that are necessary to support and interpret patent claims is highly uncertain due to the complex nature of the relevant legal, scientific</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and factual issues. Changes in either patent laws or interpretations of patent laws in the United States and other countries may diminish the value of our intellectual property or narrow the scope of our patent protection.</w:t>
      </w:r>
    </w:p>
    <w:p>
      <w:pPr>
        <w:spacing w:after="0" w:line="170" w:lineRule="exact"/>
        <w:rPr>
          <w:sz w:val="20"/>
          <w:szCs w:val="20"/>
          <w:color w:val="auto"/>
        </w:rPr>
      </w:pPr>
    </w:p>
    <w:p>
      <w:pPr>
        <w:jc w:val="both"/>
        <w:ind w:left="120" w:firstLine="440"/>
        <w:spacing w:after="0" w:line="267" w:lineRule="auto"/>
        <w:rPr>
          <w:sz w:val="20"/>
          <w:szCs w:val="20"/>
          <w:color w:val="auto"/>
        </w:rPr>
      </w:pPr>
      <w:r>
        <w:rPr>
          <w:rFonts w:ascii="Arial" w:cs="Arial" w:eastAsia="Arial" w:hAnsi="Arial"/>
          <w:sz w:val="17"/>
          <w:szCs w:val="17"/>
          <w:color w:val="auto"/>
        </w:rPr>
        <w:t xml:space="preserve">For example, on September 16, 2011, the Leahy-Smith America Invents Act, or the Leahy-Smith Act, was signed into law. The Leahy-Smith Act included a number of significant changes to United States patent law. These included provisions that affect the way patent applications are prosecuted and also affect patent litigation. The USPTO has developed new and untested regulations and procedures to govern the full implementation of the Leahy-Smith Act, and many of the substantive changes to patent law associated with the Leahy-Smith Act, and in particular, the first to file provisions, became effective in March 2013. The Leahy-Smith Act has also introduced procedures making it easier for third parties to challenge issued patents, as well as to intervene in the prosecution of patent applications. These include allowing third-party submission of prior art to the USPTO during patent prosecution and additional procedures to challenge the validity of a patent by USPTO administered post-grant proceedings, including post-grant review, </w:t>
      </w:r>
      <w:r>
        <w:rPr>
          <w:rFonts w:ascii="Arial" w:cs="Arial" w:eastAsia="Arial" w:hAnsi="Arial"/>
          <w:sz w:val="17"/>
          <w:szCs w:val="17"/>
          <w:i w:val="1"/>
          <w:iCs w:val="1"/>
          <w:color w:val="auto"/>
        </w:rPr>
        <w:t xml:space="preserve">inter partes </w:t>
      </w:r>
      <w:r>
        <w:rPr>
          <w:rFonts w:ascii="Arial" w:cs="Arial" w:eastAsia="Arial" w:hAnsi="Arial"/>
          <w:sz w:val="17"/>
          <w:szCs w:val="17"/>
          <w:color w:val="auto"/>
        </w:rPr>
        <w:t>review and derivation proceedings. Finally, the Leahy-Smith Act contained new statutory provisions that require the USPTO to issue new</w:t>
      </w:r>
      <w:r>
        <w:rPr>
          <w:rFonts w:ascii="Arial" w:cs="Arial" w:eastAsia="Arial" w:hAnsi="Arial"/>
          <w:sz w:val="17"/>
          <w:szCs w:val="17"/>
          <w:i w:val="1"/>
          <w:iCs w:val="1"/>
          <w:color w:val="auto"/>
        </w:rPr>
        <w:t xml:space="preserve"> </w:t>
      </w:r>
      <w:r>
        <w:rPr>
          <w:rFonts w:ascii="Arial" w:cs="Arial" w:eastAsia="Arial" w:hAnsi="Arial"/>
          <w:sz w:val="17"/>
          <w:szCs w:val="17"/>
          <w:color w:val="auto"/>
        </w:rPr>
        <w:t>regulations for their implementation, and it may take the courts years to interpret the provisions of the new statute. The Leahy-Smith Act and its implementation could increase the uncertainties and costs surrounding the prosecution of our patent applications and the enforcement or defense of our future patents. Further,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have owned or licensed or that we might obtain in the future. An inability to obtain, enforce, and defend patents covering our proprietary technologies would materially and adversely affect our business prospects and financial condition.</w:t>
      </w:r>
    </w:p>
    <w:p>
      <w:pPr>
        <w:spacing w:after="0" w:line="191"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Similarly,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may obtain in the future. 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another country, our ability to protect our intellectual property in those countries may be limited. Changes in either patent laws or in interpretations of patent laws in the United States and other countries may materially diminish the value of our intellectual property or narrow the scope of our patent protection.</w:t>
      </w:r>
    </w:p>
    <w:p>
      <w:pPr>
        <w:spacing w:after="0" w:line="274" w:lineRule="exact"/>
        <w:rPr>
          <w:sz w:val="20"/>
          <w:szCs w:val="20"/>
          <w:color w:val="auto"/>
        </w:rPr>
      </w:pPr>
    </w:p>
    <w:p>
      <w:pPr>
        <w:ind w:left="560" w:right="100"/>
        <w:spacing w:after="0" w:line="263" w:lineRule="auto"/>
        <w:rPr>
          <w:sz w:val="20"/>
          <w:szCs w:val="20"/>
          <w:color w:val="auto"/>
        </w:rPr>
      </w:pPr>
      <w:r>
        <w:rPr>
          <w:rFonts w:ascii="Arial" w:cs="Arial" w:eastAsia="Arial" w:hAnsi="Arial"/>
          <w:sz w:val="18"/>
          <w:szCs w:val="18"/>
          <w:b w:val="1"/>
          <w:bCs w:val="1"/>
          <w:i w:val="1"/>
          <w:iCs w:val="1"/>
          <w:color w:val="auto"/>
        </w:rPr>
        <w:t>We may be involved in lawsuits to protect or enforce our future patents, the patents of our licensors or our other intellectual property or proprietary rights, which could be expensive, time consuming and unsuccessful and our future issued patents and the patents of our licensors covering our product candidates could be found invalid or unenforceable.</w:t>
      </w:r>
    </w:p>
    <w:p>
      <w:pPr>
        <w:spacing w:after="0" w:line="76"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Competitors or other third parties may infringe, misappropriate or otherwise violate the patents of our licensors or any patents issued as a result of our pending or future patent applications. To counter infringement, misappropriation or unauthorized use, we may be required to file infringement claims, which can be expensive and time-consuming. In addition, in an infringement proceeding, a court may decide that a patent of ours or our licensors is not valid, is unenforceable or is not infringed, or may refuse to stop the other party in such infringement proceeding from using the technology at issue on the grounds that our patents do not cover the technology in question. An adverse result in any litigation or defense proceedings could put one or more of our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licensed or future owned patents at risk of being invalidated, held unenforceable or interpreted narrowly, and could put any of our owned or licensed patent applications at risk of not yielding an issued patent.</w:t>
      </w:r>
    </w:p>
    <w:p>
      <w:pPr>
        <w:spacing w:after="0" w:line="170"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 xml:space="preserve">If we initiate legal proceedings against a third party to enforce a patent covering one of our product candidates, the defendant could counterclaim that the patent covering our product or product candidate is invalid and/or unenforceable. In patent litigation in the United States, counterclaims alleging invalidity and/or unenforceability are common, and there are numerous grounds upon which a third party can assert invalidity or unenforceability of a patent.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w:t>
      </w:r>
      <w:r>
        <w:rPr>
          <w:rFonts w:ascii="Arial" w:cs="Arial" w:eastAsia="Arial" w:hAnsi="Arial"/>
          <w:sz w:val="17"/>
          <w:szCs w:val="17"/>
          <w:i w:val="1"/>
          <w:iCs w:val="1"/>
          <w:color w:val="auto"/>
        </w:rPr>
        <w:t xml:space="preserve">inter partes </w:t>
      </w:r>
      <w:r>
        <w:rPr>
          <w:rFonts w:ascii="Arial" w:cs="Arial" w:eastAsia="Arial" w:hAnsi="Arial"/>
          <w:sz w:val="17"/>
          <w:szCs w:val="17"/>
          <w:color w:val="auto"/>
        </w:rPr>
        <w:t>review and equivalent proceedings in foreign jurisdictions (for example, opposition proceedings, nullity proceedings or litigation or</w:t>
      </w:r>
      <w:r>
        <w:rPr>
          <w:rFonts w:ascii="Arial" w:cs="Arial" w:eastAsia="Arial" w:hAnsi="Arial"/>
          <w:sz w:val="17"/>
          <w:szCs w:val="17"/>
          <w:i w:val="1"/>
          <w:iCs w:val="1"/>
          <w:color w:val="auto"/>
        </w:rPr>
        <w:t xml:space="preserve"> </w:t>
      </w:r>
      <w:r>
        <w:rPr>
          <w:rFonts w:ascii="Arial" w:cs="Arial" w:eastAsia="Arial" w:hAnsi="Arial"/>
          <w:sz w:val="17"/>
          <w:szCs w:val="17"/>
          <w:color w:val="auto"/>
        </w:rPr>
        <w:t>invalidation trials or invalidation proceedings). Such proceedings could result in revocation of or amendment to our future patents in such a way that they no longer cover our product candidates or prevent third parties from competing with our product candidates. The outcome following legal assertions of invalidity and unenforceability is unpredictable. With respect to the validity of our patent applications, should they issue as patents,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w:t>
      </w:r>
    </w:p>
    <w:p>
      <w:pPr>
        <w:spacing w:after="0" w:line="184" w:lineRule="exact"/>
        <w:rPr>
          <w:sz w:val="20"/>
          <w:szCs w:val="20"/>
          <w:color w:val="auto"/>
        </w:rPr>
      </w:pPr>
    </w:p>
    <w:p>
      <w:pPr>
        <w:jc w:val="both"/>
        <w:ind w:left="120" w:firstLine="440"/>
        <w:spacing w:after="0" w:line="267" w:lineRule="auto"/>
        <w:rPr>
          <w:sz w:val="20"/>
          <w:szCs w:val="20"/>
          <w:color w:val="auto"/>
        </w:rPr>
      </w:pPr>
      <w:r>
        <w:rPr>
          <w:rFonts w:ascii="Arial" w:cs="Arial" w:eastAsia="Arial" w:hAnsi="Arial"/>
          <w:sz w:val="17"/>
          <w:szCs w:val="17"/>
          <w:color w:val="auto"/>
        </w:rPr>
        <w:t>Interference or derivation proceedings provoked by third parties or brought by us may be necessary to determine the priority of inventions or inventorship (and possibly also ownership) of inventions with respect to our patent applications or resulting patents, or patent applications or resulting patents of third parties. For example, we were notified in October 2020 that a third party claimed that one of its employees should be listed as an inventor on certain of our patent applications claiming SARS-COV-2 binding antibodies or their preparation; however, we believe such claim, if valid, would be limited to only a predecessor antibody to ADG20 and, in any event, is without merit. The entity that assigned to us the relevant patent applications is required to indemnify us with respect to any potential financial ramifications relating to this claim. However, an unfavorable outcome in this claim or any other inventorship or ownership dispute could result in the loss of our exclusive rights in our technology and the associated intellectual property rights, require us to cease using the related technology or force us to take a license under the patent rights of the prevailing party, if available. Furthermore, our business could be harmed if the prevailing party does not offer us a license on commercially reasonable terms. Furthermore, any successful claim of inventorship by a third party could result in the loss of priority for our patent applications, potentially resulting in subsequently filed third-party patent applications having priority over our patent applications and thereby precluding our ability to obtain patent protection for the inventions claimed in our patent applications. Our defense of litigation or interference proceedings may fail and, even if successful, may result in substantial costs and distract our management and other employees. We may not be able to prevent, alone or with our licensors, infringement, misappropriation or other violations of our intellectual property rights, particularly in countries where the laws may not protect those rights as fully as in the United States. For the patents and patent applications that we have licensed, we may have limited or no right to participate in the defense of any licensed patents against challenge by a third party. An adverse result in any litigation or defense proceedings could put one or more of our or our licensors’ patents at risk of being invalidated or interpreted narrowly, could put our patent applications at risk of not issuing and could have a material adverse impact on our business.</w:t>
      </w:r>
    </w:p>
    <w:p>
      <w:pPr>
        <w:spacing w:after="0" w:line="190"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There could also be public announcements of the results of</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hearings, motions, or other interim proceedings or developments. If securities analysts or investors perceive these results to be negative, it could have a material adverse effect on the price of our common stock. Any of the foregoing could materially adversely affect our business, results of operations and financial condition.</w:t>
      </w:r>
    </w:p>
    <w:p>
      <w:pPr>
        <w:spacing w:after="0" w:line="184" w:lineRule="exact"/>
        <w:rPr>
          <w:sz w:val="20"/>
          <w:szCs w:val="20"/>
          <w:color w:val="auto"/>
        </w:rPr>
      </w:pPr>
    </w:p>
    <w:p>
      <w:pPr>
        <w:ind w:left="560" w:right="200"/>
        <w:spacing w:after="0" w:line="277"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62"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For example, WuXi has provided only high-level information to us identifying the general nature of the licensed control elements in the expression vector used in the production cell line starting material for ADG20 manufacturing. Details of the expression technology have not been provided, nor has there been sufficient information provided to enable a freedom-to-operate assessment of the expression technology. We therefore cannot be sure that we have licensed all intellectual property rights that are relevant to or necessary for the commercialization of ADG20, and a third party may claim that our development or commercialization of ADG20 infringes its intellectual property rights. We could be required to acquire or obtain a license to such intellectual property from such third parties, and we may be unable to do so on commercially reasonable terms or at all. If we are unable to successfully obtain rights to required third-party intellectual property rights, we may be required to redesign our manufacturing process for ADG20, which may not be feasible on a technical or commercial basis in a timely manner, and we may have to delay or abandon development of ADG20, which could have a material adverse effect on our business.</w:t>
      </w:r>
    </w:p>
    <w:p>
      <w:pPr>
        <w:spacing w:after="0" w:line="179" w:lineRule="exact"/>
        <w:rPr>
          <w:sz w:val="20"/>
          <w:szCs w:val="20"/>
          <w:color w:val="auto"/>
        </w:rPr>
      </w:pPr>
    </w:p>
    <w:p>
      <w:pPr>
        <w:jc w:val="both"/>
        <w:ind w:left="120" w:right="20" w:firstLine="440"/>
        <w:spacing w:after="0" w:line="293" w:lineRule="auto"/>
        <w:rPr>
          <w:sz w:val="20"/>
          <w:szCs w:val="20"/>
          <w:color w:val="auto"/>
        </w:rPr>
      </w:pPr>
      <w:r>
        <w:rPr>
          <w:rFonts w:ascii="Arial" w:cs="Arial" w:eastAsia="Arial" w:hAnsi="Arial"/>
          <w:sz w:val="16"/>
          <w:szCs w:val="16"/>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 Our failure to identify and correctly interpret relevant third-party patents may negatively impact our ability to develop and market our products.</w:t>
      </w:r>
    </w:p>
    <w:p>
      <w:pPr>
        <w:spacing w:after="0" w:line="272" w:lineRule="exact"/>
        <w:rPr>
          <w:sz w:val="20"/>
          <w:szCs w:val="20"/>
          <w:color w:val="auto"/>
        </w:rPr>
      </w:pPr>
    </w:p>
    <w:p>
      <w:pPr>
        <w:ind w:left="560" w:right="200"/>
        <w:spacing w:after="0" w:line="277" w:lineRule="auto"/>
        <w:rPr>
          <w:sz w:val="20"/>
          <w:szCs w:val="20"/>
          <w:color w:val="auto"/>
        </w:rPr>
      </w:pPr>
      <w:r>
        <w:rPr>
          <w:rFonts w:ascii="Arial" w:cs="Arial" w:eastAsia="Arial" w:hAnsi="Arial"/>
          <w:sz w:val="18"/>
          <w:szCs w:val="18"/>
          <w:b w:val="1"/>
          <w:bCs w:val="1"/>
          <w:i w:val="1"/>
          <w:iCs w:val="1"/>
          <w:color w:val="auto"/>
        </w:rPr>
        <w:t>We may be unsuccessful in licensing or acquiring intellectual property from third parties that may be required to develop and commercialize our product candidates.</w:t>
      </w:r>
    </w:p>
    <w:p>
      <w:pPr>
        <w:spacing w:after="0" w:line="62" w:lineRule="exact"/>
        <w:rPr>
          <w:sz w:val="20"/>
          <w:szCs w:val="20"/>
          <w:color w:val="auto"/>
        </w:rPr>
      </w:pPr>
    </w:p>
    <w:p>
      <w:pPr>
        <w:jc w:val="both"/>
        <w:ind w:left="120" w:right="20" w:firstLine="440"/>
        <w:spacing w:after="0" w:line="268" w:lineRule="auto"/>
        <w:rPr>
          <w:sz w:val="20"/>
          <w:szCs w:val="20"/>
          <w:color w:val="auto"/>
        </w:rPr>
      </w:pPr>
      <w:r>
        <w:rPr>
          <w:rFonts w:ascii="Arial" w:cs="Arial" w:eastAsia="Arial" w:hAnsi="Arial"/>
          <w:sz w:val="17"/>
          <w:szCs w:val="17"/>
          <w:color w:val="auto"/>
        </w:rPr>
        <w:t>A third party may hold intellectual property, including patent rights that are important or necessary to the development and commercialization of our product candidates. It may be necessary for us to use the patented or proprietary technology of third parties to commercialize our product candidates, in which case we would be required to acquire or obtain a license to such intellectual property from these third parties, and we may be unable to do so on commercially reasonable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Even if we are able to in-license any such necessary intellectual property, it could be on a non-exclusive basis, thereby giving our competitors and other third parties access to the same intellectual property licensed to us, and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be required to redesign our product candidates, which may not be feasible on a technical or commercial basis, and we may have to delay or abandon development of the relevant program or product candidate, which could have a material adverse effect on our business.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w:t>
      </w:r>
    </w:p>
    <w:p>
      <w:pPr>
        <w:spacing w:after="0" w:line="62"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 xml:space="preserve">Our commercial success depends in part on our ability to develop, manufacture, market and sell our product candidates and use our proprietary technologies without infringing, misappropriating or otherwise violating the patents and proprietary rights of third parties. As our current and future product candidates progress toward commercialization, the possibility of a patent infringement claim against us increases. There is a substantial amount of litigation involving patents and other intellectual property rights in the biotechnology and pharmaceutical industries, including patent infringement lawsuits, interferences, derivation proceedings, post grant reviews,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reviews, and reexamination proceedings before the USPTO or oppositions and other comparable proceedings in foreign jurisdictions. Numerous United States and foreign issued patents and pending patent applications, which are owned by third parties, exist in the fields in which we are developing product candidates, and there may be third-party patents or patent applications with claims to materials, formulations, methods of manufacture or methods for treatment related to the use or manufacture of our product candidates and technologies. Third parties, including our competitors may initiate legal proceedings against us alleging that we are infringing, misappropriating or otherwise violating their patents or other intellectual property rights.</w:t>
      </w:r>
    </w:p>
    <w:p>
      <w:pPr>
        <w:spacing w:after="0" w:line="185"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 xml:space="preserve">We cannot provide any assurance that our current and future product candidates do not infringe, misappropriate or otherwise violate other parties’ patents or other proprietary rights, and competitors or other parties may assert that we infringe, misappropriate or otherwise violate their proprietary rights in any event. We may become party to, or threatened with, adversarial proceedings or litigation regarding intellectual property rights with respect to our current and future product candidates, including oppositions, interference proceedings, reexaminations,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derivation proceedings before the USPTO in the United States or any equivalent regulatory authority in other countries. Even if we believe such claims are without merit, a court of competent jurisdiction could hold that these third-party patents are valid, enforceable and infringed, which could have a negative impact on our ability to commercialize ADG20 or any future product candidates. In order to successfully challenge the validity of any United States patents asserted against us in federal court, we would need to overcome a presumption of validity. As this burden is high and requires us to present clear and convincing evidence as to the invalidity of any such United States patent claim, there is no assurance that a court of competent jurisdiction would agree with us and invalidate the claims of any such United States patent. Moreover, given the vast number of patents in our field of technology, we cannot be certain that we do not infringe existing patents or that we will not infringe patents that may be granted in the future.</w:t>
      </w:r>
    </w:p>
    <w:p>
      <w:pPr>
        <w:spacing w:after="0" w:line="172"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While we may decide to initiate proceedings to challenge the validity of these or other patents in the future, we may be unsuccessful, and courts or patent offices in the United States and abroad could uphold the validity of any such patent.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Regardless of when filed, we may fail to identify relevant third-party patents or patent applications, or we may incorrectly conclude that a third-party patent is invalid or not infringed by our product candidates or activities. If a patent holder believes that one of our product candidates infringes its patent, the patent holder may sue us even if we have received patent protection for our technology. In addition, third parties may obtain patents in the future and claim that our product candidates or technologies infringe upon these patents. Moreover, we may face patent infringement claims from non-practicing entities that have no relevant drug revenue and against whom our own patent portfolio may thus have no deterrent effect. If a patent infringement suit were threatened or brought against us, we could be forced to stop or delay research, development, manufacturing or sales of the drug or product candidate that is the subject of the actual or threatened suit.</w:t>
      </w:r>
    </w:p>
    <w:p>
      <w:pPr>
        <w:spacing w:after="0" w:line="18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If we are found to infringe, misappropriate or otherwise violate a third party’s valid intellectual property rights, we could be required to obtain a license from such third party to continue commercializing our product candidates. However, we may not be able to obtain any required license on commercially reasonable terms or at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all. For example, companies that perceive us to be a competitor may be unwilling to assign or license rights to us. Even if a license can be obtained on acceptable terms, the rights may be non-exclusive, which could give our competitors access to the same technology or intellectual property rights licensed to us. If we fail to obtain a required license, we may be unable to effectively market product candidates based on our technology, which could limit our ability to generate revenue or achieve profitability and possibly prevent us from generating revenue sufficient to sustain our operations. Alternatively, we may need to redesign our infringing products, which may be impossible or require substantial time and monetary expenditure. Under certain circumstances, we could be forced, including by court orders, to cease developing, manufacturing and commercializing our product candidates. In addition, in any such proceeding or litigation, we could be found liable for substantial monetary damages, potentially including treble damages and attorneys’ fees, if we are found to have willfully infringed the patent at issue. We may also be required to indemnify collaborators or contractors against such claims. A finding of infringement, misappropriation or other violation of third-party intellectual property rights could prevent us from commercializing our product candidates or force us to cease some of our business operations, which could harm our business. Any claims by third parties that we have misappropriated their confidential information or trade secrets could have a similar negative impact on our business.</w:t>
      </w:r>
    </w:p>
    <w:p>
      <w:pPr>
        <w:spacing w:after="0" w:line="172"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 In addition, the uncertainties associated with litigation could compromise our ability to raise the funds necessary to continue our clinical trials, continue our internal research programs or in-license needed technology.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an adverse effect on the price of our common shares. Such litigation or proceedings could substantially increase our operating losses and reduce the resources available for development activities or any future sales, marketing or distribution activities.</w:t>
      </w:r>
    </w:p>
    <w:p>
      <w:pPr>
        <w:spacing w:after="0" w:line="300" w:lineRule="exact"/>
        <w:rPr>
          <w:sz w:val="20"/>
          <w:szCs w:val="20"/>
          <w:color w:val="auto"/>
        </w:rPr>
      </w:pPr>
    </w:p>
    <w:p>
      <w:pPr>
        <w:ind w:left="560" w:right="56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62"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We employ individuals who were previously employed at other biotechnology or biopharmaceutical companies, including our competitors or potential competitors. Although we try to ensure that our employees, consultants and advisors do not use the proprietary information or know-how of others in their work for us, we may be subject to claims that we or our employees, consultants, or independent contractors have inadvertently or otherwise used or disclosed intellectual property, including confidential information of our employees’ former employers or other third parties. We may also be subject to claims that former employers or other third parties have an ownership interest in our future patents. Litigation may be necessary to defend against these claims. If we fail in defending any such claims, in addition to paying monetary damages, we may lose valuable intellectual property rights or personnel. There is no guarantee of success in defending these claims, and even if we are successful, litigation could result in substantial cost and be a distraction to our management and other employees.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We may be subject to claims challenging the inventorship or ownership of our future patents and other intellectual property.</w:t>
      </w:r>
    </w:p>
    <w:p>
      <w:pPr>
        <w:spacing w:after="0" w:line="129"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We may also be subject to claims that former employees, collaborators, or other third parties have an ownership interest in our patent applications, our future patents issued as a result of our pending or future applications, or other intellectual property. We may be subject to ownership disputes in the future arising, for example, from conflicting obligations of consultants or others who are involved in developing our product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candidates.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litigation may be necessary to enforce our rights or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89"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We rely on third parties to manufacture our product candidates, and we collaborate with additional third parties for the development of such product candidates. We therefore must, at times, share trade secrets with them. We may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w:t>
      </w:r>
    </w:p>
    <w:p>
      <w:pPr>
        <w:spacing w:after="0" w:line="168"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In addition, these agreements typically restrict the ability of our advisors, employees, third-party contractors and consultants to publish data potentially relating to our trade secrets. Despite our efforts to protect our trade secrets, we may not be able to prevent the unauthorized disclosure or use of our technical know-how or other trade secrets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290" w:lineRule="exact"/>
        <w:rPr>
          <w:sz w:val="20"/>
          <w:szCs w:val="20"/>
          <w:color w:val="auto"/>
        </w:rPr>
      </w:pPr>
    </w:p>
    <w:p>
      <w:pPr>
        <w:ind w:left="560" w:right="220"/>
        <w:spacing w:after="0" w:line="277" w:lineRule="auto"/>
        <w:rPr>
          <w:sz w:val="20"/>
          <w:szCs w:val="20"/>
          <w:color w:val="auto"/>
        </w:rPr>
      </w:pPr>
      <w:r>
        <w:rPr>
          <w:rFonts w:ascii="Arial" w:cs="Arial" w:eastAsia="Arial" w:hAnsi="Arial"/>
          <w:sz w:val="18"/>
          <w:szCs w:val="18"/>
          <w:b w:val="1"/>
          <w:bCs w:val="1"/>
          <w:i w:val="1"/>
          <w:iCs w:val="1"/>
          <w:color w:val="auto"/>
        </w:rPr>
        <w:t>We may enjoy only limited geographical protection with respect to certain patents and we may not be able to protect our intellectual property rights throughout the world.</w:t>
      </w:r>
    </w:p>
    <w:p>
      <w:pPr>
        <w:spacing w:after="0" w:line="6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Filing and prosecuting patent applications and defending patents covering our product candidates in all countries throughout the world would be prohibitively expensive. Competitors may use our technologies 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jurisdictions where we or our licensors have not obtained patent protection to develop their own products and, further, may export otherwise infringing products to territories where we or our licensors have patent protection, but enforcement rights are not as strong as those in the United States or Europe. These products may compete with our product candidates, and our future patents or other intellectual property rights may not be effective or sufficient to prevent them from competing.</w:t>
      </w:r>
    </w:p>
    <w:p>
      <w:pPr>
        <w:spacing w:after="0" w:line="187"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In addition, we or our licensors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It is also quite common that depending on the country, the scope of patent protection may vary for the same product candidate or technology.</w:t>
      </w:r>
    </w:p>
    <w:p>
      <w:pPr>
        <w:spacing w:after="0" w:line="15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192"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The laws of some jurisdictions do not protect intellectual property rights to the same extent as the laws or rules and regulations in the United States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rights, especially those relating to life sciences, which could make it difficult for us to stop the infringement, misappropriation or other violation of our future patents or marketing of competing products in violation of our proprietary rights generally. In addition, many countries limit the enforceability of patents against third parties, including government agencies or government contractors. In these countries, patents may provide limited or no benefit. Moreover, our and our licensors’ ability to protect and enforce our intellectual property rights may be adversely affected by unforeseen changes in foreign intellectual property laws.</w:t>
      </w:r>
    </w:p>
    <w:p>
      <w:pPr>
        <w:spacing w:after="0" w:line="192"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Proceedings to enforce our or our licensors’ patent rights in other jurisdictions, whether or not successful, could result in substantial costs and divert our efforts and attention from other aspects of our business, could put our future patents or the patents of our licensors at risk of being invalidated or interpreted narrowly and our patent applications or the patent applications of our licensors at risk of not issuing as patents, and could provoke third parties to assert claims against us. We and our licensors may not prevail in any lawsuits that we or our licensors initiate and the damages or other remedies awarded, if any, may not be commercially meaningful.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enforce our intellectual property rights around the world may be inadequate to obtain a significant commercial advantage from the intellectual property that we develop or license from third parties.</w:t>
      </w:r>
    </w:p>
    <w:p>
      <w:pPr>
        <w:spacing w:after="0" w:line="178"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or our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8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For example, our license agreement with Biocon pursuant to which we will provide Biocon materials and know-how to manufacture and commercialize an antibody treatment based on ADG20 in India and select emerging markets may also expose us to risks related to enforcement of our intellectual property rights.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32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76"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Periodic maintenance fees, renewal fees, annuity fees and various other government fees on patents and/or applications will be due to be paid to the USPTO and various government patent agencies outside of the United States over the lifetime of our owned and licensed patents and/or applications and any patent rights we may obtain in the future. Furthermore, the USPTO and various non-United States government patent agencies require compliance with several procedural, documentary, fee payment and other similar provisions during the patent application process. We employ reputable law firms and other professionals and rely on such third parties to help us comply with these requirements and effect payment of these fees with respect to the patent and patent applications that we own, and we rely upon our licensors to comply with these requirements and effect payment of these fees with respect to any patents and patent applications that we license. In many cases, an inadvertent lapse of a patent or patent application can be cured by payment of a late fee or by other means in accordance with the applicable rules. There are situations, however, in which non-compliance can result in abandonment or lapse of the patents or patent applications, resulting in partial or complete loss of patent rights in the relevant jurisdiction. In such an event, potential competitors might be able to enter the market, which could have a material adverse effect on our business.</w:t>
      </w:r>
    </w:p>
    <w:p>
      <w:pPr>
        <w:spacing w:after="0" w:line="276" w:lineRule="exact"/>
        <w:rPr>
          <w:sz w:val="20"/>
          <w:szCs w:val="20"/>
          <w:color w:val="auto"/>
        </w:rPr>
      </w:pPr>
    </w:p>
    <w:p>
      <w:pPr>
        <w:ind w:left="560" w:right="200"/>
        <w:spacing w:after="0" w:line="277" w:lineRule="auto"/>
        <w:rPr>
          <w:sz w:val="20"/>
          <w:szCs w:val="20"/>
          <w:color w:val="auto"/>
        </w:rPr>
      </w:pPr>
      <w:r>
        <w:rPr>
          <w:rFonts w:ascii="Arial" w:cs="Arial" w:eastAsia="Arial" w:hAnsi="Arial"/>
          <w:sz w:val="18"/>
          <w:szCs w:val="18"/>
          <w:b w:val="1"/>
          <w:bCs w:val="1"/>
          <w:i w:val="1"/>
          <w:iCs w:val="1"/>
          <w:color w:val="auto"/>
        </w:rPr>
        <w:t>Any trademarks we have obtained or may obtain may be infringed or otherwise violated, or successfully challenged, resulting in harm to our business.</w:t>
      </w:r>
    </w:p>
    <w:p>
      <w:pPr>
        <w:spacing w:after="0" w:line="62"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auto"/>
        </w:rPr>
        <w:t>We expect to rely on trademarks as one means to distinguish our product candidates, if approved for marketing, from the drugs of our competitors. Once we select new trademarks and apply to register them, our trademark applications may not be approved. Although we would be given an opportunity to respond to those rejections, we may be unable to overcome such rejections. Third parties may oppose or attempt to cancel our trademark applications or trademarks, or otherwise challenge our use of the trademarks. In the event that our trademarks are successfully challenged, we could be forced to rebrand our drugs, which could result in loss of brand recognition and could require us to devote resources to advertising and marketing new brands. Our competitors may infringe or otherwise violate our trademarks and we may not have adequate resources to enforce our trademarks. Over the long term, if we are unable to establish name recognition based on our trademarks, then we may not be able to compete effectively, and our competitive position, business, financial condition, results of operations and prospects may be significantly harmed. Moreover, any name we propose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Any of the foregoing events may have a material adverse effect on our business.</w:t>
      </w:r>
    </w:p>
    <w:p>
      <w:pPr>
        <w:spacing w:after="0" w:line="28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17"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52" w:lineRule="exact"/>
        <w:rPr>
          <w:sz w:val="20"/>
          <w:szCs w:val="20"/>
          <w:color w:val="auto"/>
        </w:rPr>
      </w:pPr>
    </w:p>
    <w:p>
      <w:pPr>
        <w:ind w:left="1080" w:right="2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or otherwise competitive with our product candidates but that are not covered by the claims of any of our patents, should they issue;</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in-license necessary for the manufacture, use, sale, offer for sale or importation of one or more of our product candidates may be terminated by the licensor;</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or our collaborators might not have been the first to make the inventions covered by our future issued patents or our pending patent applications;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or our collaborators might not have been the first to file patent applications covering certain of our inventions;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intellectual property rights;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issued patents that we own or in-license may be held invalid or unenforceable as a result of legal challenges by our competitors;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issued patents that we own or in-license may not provide coverage for all aspects of our product candidates in all countries;</w:t>
      </w:r>
    </w:p>
    <w:p>
      <w:pPr>
        <w:spacing w:after="0" w:line="130" w:lineRule="exact"/>
        <w:rPr>
          <w:rFonts w:ascii="Arial" w:cs="Arial" w:eastAsia="Arial" w:hAnsi="Arial"/>
          <w:sz w:val="18"/>
          <w:szCs w:val="18"/>
          <w:color w:val="auto"/>
        </w:rPr>
      </w:pPr>
    </w:p>
    <w:p>
      <w:pPr>
        <w:jc w:val="both"/>
        <w:ind w:left="1080" w:right="20" w:hanging="532"/>
        <w:spacing w:after="0" w:line="311"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spacing w:after="0" w:line="54" w:lineRule="exact"/>
        <w:rPr>
          <w:rFonts w:ascii="Arial" w:cs="Arial" w:eastAsia="Arial" w:hAnsi="Arial"/>
          <w:sz w:val="16"/>
          <w:szCs w:val="16"/>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Should any of these events occur, they could significantly harm our business, results of operations and prospects.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Legal and Regulatory Compliance Matters</w:t>
      </w:r>
    </w:p>
    <w:p>
      <w:pPr>
        <w:spacing w:after="0" w:line="121" w:lineRule="exact"/>
        <w:rPr>
          <w:sz w:val="20"/>
          <w:szCs w:val="20"/>
          <w:color w:val="auto"/>
        </w:rPr>
      </w:pPr>
    </w:p>
    <w:p>
      <w:pPr>
        <w:ind w:left="560" w:right="20"/>
        <w:spacing w:after="0" w:line="263" w:lineRule="auto"/>
        <w:rPr>
          <w:sz w:val="20"/>
          <w:szCs w:val="20"/>
          <w:color w:val="auto"/>
        </w:rPr>
      </w:pPr>
      <w:r>
        <w:rPr>
          <w:rFonts w:ascii="Arial" w:cs="Arial" w:eastAsia="Arial" w:hAnsi="Arial"/>
          <w:sz w:val="18"/>
          <w:szCs w:val="18"/>
          <w:b w:val="1"/>
          <w:bCs w:val="1"/>
          <w:i w:val="1"/>
          <w:iCs w:val="1"/>
          <w:color w:val="auto"/>
        </w:rPr>
        <w:t>Our relationships with customers, healthcare providers, including physicians, and third-party payors are subject, directly or indirectly, to federal and state healthcare fraud and abuse laws, false claims laws, and other healthcare laws and regulations. If we are unable to comply, or have not fully complied, with such laws, we could face substantial penalties.</w:t>
      </w:r>
    </w:p>
    <w:p>
      <w:pPr>
        <w:spacing w:after="0" w:line="76"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Healthcare providers, including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and other healthcare laws, including, without limitation, the federal Anti-Kickback Statute, the federal civil and criminal false claims laws and the law commonly referred to as the Physician Payments Sunshine Act and regulations promulgated under such laws. These laws will impact, among other things, our clinical research, proposed sales, marketing and educational programs, and other interactions with healthcare professionals. In addition, we may be subject to patient privacy laws by both the federal government and the states in which we conduct or may conduct our business. The laws that will affect our operations include, but are not limited to:</w:t>
      </w:r>
    </w:p>
    <w:p>
      <w:pPr>
        <w:spacing w:after="0" w:line="97" w:lineRule="exact"/>
        <w:rPr>
          <w:sz w:val="20"/>
          <w:szCs w:val="20"/>
          <w:color w:val="auto"/>
        </w:rPr>
      </w:pPr>
    </w:p>
    <w:p>
      <w:pPr>
        <w:jc w:val="both"/>
        <w:ind w:left="1080" w:hanging="532"/>
        <w:spacing w:after="0" w:line="254"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individuals or entities from knowingly and willfully soliciting, receiving, offering or paying any remuneration (including any kickback, bribe or rebate), directly or indirectly, overtly or covertly, in cash or in kind in return for, or to induce, either the referral of an individual, or the purchase, lease, order or arrangement for or recommendation of the purchase, lease, order or arrangement for any good, facility, item or service for which payment may be made, in whole or in part, under a federal healthcare program, such as the Medicare and Medicaid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277" w:lineRule="auto"/>
        <w:rPr>
          <w:sz w:val="20"/>
          <w:szCs w:val="20"/>
          <w:color w:val="auto"/>
        </w:rPr>
      </w:pPr>
      <w:r>
        <w:rPr>
          <w:rFonts w:ascii="Arial" w:cs="Arial" w:eastAsia="Arial" w:hAnsi="Arial"/>
          <w:sz w:val="18"/>
          <w:szCs w:val="18"/>
          <w:color w:val="auto"/>
        </w:rPr>
        <w:t>purchases or recommendations may be subject to scrutiny if they do not qualify for an exception or safe harbor. A person does not need to have actual knowledge of this statute or specific intent to violate it in order to have committed a violation;</w:t>
      </w:r>
    </w:p>
    <w:p>
      <w:pPr>
        <w:spacing w:after="0" w:line="76" w:lineRule="exact"/>
        <w:rPr>
          <w:sz w:val="20"/>
          <w:szCs w:val="20"/>
          <w:color w:val="auto"/>
        </w:rPr>
      </w:pPr>
    </w:p>
    <w:p>
      <w:pPr>
        <w:jc w:val="both"/>
        <w:ind w:left="1080" w:hanging="532"/>
        <w:spacing w:after="0" w:line="287"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federal civil and criminal false claims laws, including, without limitation, the federal False Claims Act, which can be enforced by private citizens through civil whistleblower or qui tam actions, and civil monetary penalty laws which prohibit, among other things, individuals or entities from knowingly presenting, or causing to be presented, claims for payment or approval from the federal government, including Medicare, Medicaid and other government payors, that are false or fraudulent or knowingly making, using or causing to be made or used a false record or statement material to a false or fraudulent claim or to avoid, decrease or conceal an obligation to pay money to the federal government. A claim includes “any request or demand” for money or property presented to the United States federal government.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products for unapproved, and thus non-reimbursable, uses. In addition, the government may assert that a claim, including items or services resulting from a violation of the federal Anti-Kickback Statute constitutes a false or fraudulent claim for purposes of the federal False Claims Act;</w:t>
      </w:r>
    </w:p>
    <w:p>
      <w:pPr>
        <w:spacing w:after="0" w:line="77" w:lineRule="exact"/>
        <w:rPr>
          <w:rFonts w:ascii="Arial" w:cs="Arial" w:eastAsia="Arial" w:hAnsi="Arial"/>
          <w:sz w:val="16"/>
          <w:szCs w:val="16"/>
          <w:color w:val="auto"/>
        </w:rPr>
      </w:pPr>
    </w:p>
    <w:p>
      <w:pPr>
        <w:jc w:val="both"/>
        <w:ind w:left="1080" w:hanging="532"/>
        <w:spacing w:after="0" w:line="255"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HIPAA, which created additional federal criminal statutes which prohibit, among other things, a person from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97" w:lineRule="exact"/>
        <w:rPr>
          <w:rFonts w:ascii="Arial" w:cs="Arial" w:eastAsia="Arial" w:hAnsi="Arial"/>
          <w:sz w:val="18"/>
          <w:szCs w:val="18"/>
          <w:color w:val="auto"/>
        </w:rPr>
      </w:pPr>
    </w:p>
    <w:p>
      <w:pPr>
        <w:jc w:val="both"/>
        <w:ind w:left="1080" w:hanging="532"/>
        <w:spacing w:after="0" w:line="291"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federal transparency laws, including the federal Physician Payments Sunshine Act, which requires certain manufacturers of drugs, medical devices, biologicals and medical supplies for which payment is available under Medicare, Medicaid or the State Children’s Health Insurance Program, with specific exceptions, to report annually to CMS, information related to: (i) payments or other “transfers of value’’ made to physicians (defined to include doctors, dentists, optometrists, podiatrists and chiropractors) and teaching hospitals, and (ii) ownership and investment interests held by physicians and their immediate family members. Effective January 1, 2022, these reporting obligations will extend to include transfers of value made during the previous year to physician assistants, nurse practitioners, clinical nurse specialists, anesthesiologist assistants, certified registered nurse anesthetists and certified nurse midwives; and</w:t>
      </w:r>
    </w:p>
    <w:p>
      <w:pPr>
        <w:spacing w:after="0" w:line="71" w:lineRule="exact"/>
        <w:rPr>
          <w:rFonts w:ascii="Arial" w:cs="Arial" w:eastAsia="Arial" w:hAnsi="Arial"/>
          <w:sz w:val="16"/>
          <w:szCs w:val="16"/>
          <w:color w:val="auto"/>
        </w:rPr>
      </w:pPr>
    </w:p>
    <w:p>
      <w:pPr>
        <w:jc w:val="both"/>
        <w:ind w:left="1080" w:hanging="532"/>
        <w:spacing w:after="0" w:line="275" w:lineRule="auto"/>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state laws that require manufacturers to report information related to payments and other transfers of value to physicians and other healthcare providers, marketing expenditures or drug pricing; state laws that require pharmaceutical companies to comply with the pharmaceutical industry’s voluntary compliance guidelines and the relevant compliance guidance promulgated by the federal government, or that otherwise restrict payments that may be made to healthcare providers; and state and local laws that require the registration of pharmaceutical sales representatives.</w:t>
      </w:r>
    </w:p>
    <w:p>
      <w:pPr>
        <w:spacing w:after="0" w:line="176"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Because of the breadth of these laws and the narrowness of the statutory exceptions and regulatory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without limitation, civil, criminal and administrative penalties, damages, fines, disgorgement, imprisonment, exclusion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from participating in federal and state funded healthcare programs, such as Medicare and Medicaid,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any of which could harm our business.</w:t>
      </w:r>
    </w:p>
    <w:p>
      <w:pPr>
        <w:spacing w:after="0" w:line="187"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303" w:lineRule="exact"/>
        <w:rPr>
          <w:sz w:val="20"/>
          <w:szCs w:val="20"/>
          <w:color w:val="auto"/>
        </w:rPr>
      </w:pPr>
    </w:p>
    <w:p>
      <w:pPr>
        <w:ind w:left="560" w:right="160"/>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for ADG20 or any future product candidates, they will remain subject to ongoing regulatory oversight, which may result in significant additional expense.</w:t>
      </w:r>
    </w:p>
    <w:p>
      <w:pPr>
        <w:spacing w:after="0" w:line="62"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Even if we obtain any regulatory approval for ADG20 or any future product candidates, they will be subject to ongoing regulatory requirements applicable to manufacturing, labeling, packaging, storage, advertising, promoting, sampling, record-keeping and submission of safety and other post-market information, among other things. Any regulatory approvals that we receive for ADG20 or any future product candidates may also be subject to a REMS, limitations on the approved indicated uses for which the drug may be marketed or to the conditions of approval, or requirements that we conduct potentially costly post-marketing testing and surveillance studies, including Phase 4 trials and surveillance to monitor the quality, safety and efficacy of the drug. An unsuccessful post-marketing study or failure to complete such a study could result in the withdrawal of marketing approval. We will further be required to immediately report any serious and unexpected adverse events and certain quality or production problems with our products to regulatory authorities along with other periodic reports.</w:t>
      </w:r>
    </w:p>
    <w:p>
      <w:pPr>
        <w:spacing w:after="0" w:line="178"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Any new legislation addressing drug safety issues could result in delays in product development or commercialization, or increased costs to assure compliance. We will also have to comply with requirements concerning advertising and promotion for our products. Promotional communications with respect to prescription drug products are subject to a variety of legal and regulatory restrictions and must be consistent with the information in the product’s approved label. As such, we will not be allowed to promote our products for indications or uses for which they do not have approval, commonly known as off-label promotion. The holder of an approved BLA must submit new or supplemental applications and obtain prior approval for certain changes to the approved product, product labeling, or manufacturing process. A company that is found to have improperly promoted off-label uses of their products may be subject to significant civil, criminal and administrative penalties.</w:t>
      </w:r>
    </w:p>
    <w:p>
      <w:pPr>
        <w:spacing w:after="0" w:line="17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In addition, drug manufacturers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drug, such as adverse events of unanticipated severity or frequency, or problems with the facility where the drug is manufactured or if a regulatory authority disagrees with the promotion, marketing or labeling of that drug, a regulatory authority may impose restrictions relative to that drug, the manufacturing facility or us, including requesting a recall or requiring withdrawal of the drug from the market or suspension of manufacturing.</w:t>
      </w:r>
    </w:p>
    <w:p>
      <w:pPr>
        <w:spacing w:after="0" w:line="3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If we fail to comply with applicable regulatory requirements following approval of ADG20 or any future product candidates, a regulatory authority may:</w:t>
      </w:r>
    </w:p>
    <w:p>
      <w:pPr>
        <w:spacing w:after="0" w:line="76"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issue an untitled letter or warning letter asserting that we are in violation of the law;</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refuse to approve a pending marketing application or supplement to an approved application or comparable foreign marketing application (or any supplements thereto) submitted by us or our strategic partners;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restrict the marketing or manufacturing of the drug;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seize or detain the drug or otherwise require the withdrawal of the drug from the market;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refuse to permit the import or export of products or product candidates;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ADG20 or any future product candidates and harm our business, financial condition, results of operations and prospects.</w:t>
      </w:r>
    </w:p>
    <w:p>
      <w:pPr>
        <w:spacing w:after="0" w:line="292" w:lineRule="exact"/>
        <w:rPr>
          <w:sz w:val="20"/>
          <w:szCs w:val="20"/>
          <w:color w:val="auto"/>
        </w:rPr>
      </w:pPr>
    </w:p>
    <w:p>
      <w:pPr>
        <w:jc w:val="both"/>
        <w:ind w:left="560" w:right="640"/>
        <w:spacing w:after="0" w:line="375" w:lineRule="auto"/>
        <w:rPr>
          <w:sz w:val="20"/>
          <w:szCs w:val="20"/>
          <w:color w:val="auto"/>
        </w:rPr>
      </w:pPr>
      <w:r>
        <w:rPr>
          <w:rFonts w:ascii="Arial" w:cs="Arial" w:eastAsia="Arial" w:hAnsi="Arial"/>
          <w:sz w:val="15"/>
          <w:szCs w:val="15"/>
          <w:b w:val="1"/>
          <w:bCs w:val="1"/>
          <w:i w:val="1"/>
          <w:iCs w:val="1"/>
          <w:color w:val="auto"/>
        </w:rPr>
        <w:t>Even if we obtain FDA or EMA approval any of our product candidates in the United States or European Union, we may never obtain approval for or commercialize any of them in any other jurisdiction, which would limit our ability to realize their full market potential.</w:t>
      </w:r>
    </w:p>
    <w:p>
      <w:pPr>
        <w:spacing w:after="0" w:line="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order to market any products in any particular jurisdiction, we must establish and comply with numerous and varying regulatory requirements on a country-by-country basis regarding safety and efficacy.</w:t>
      </w:r>
    </w:p>
    <w:p>
      <w:pPr>
        <w:spacing w:after="0" w:line="170"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Approval by the FDA in the United States or the EMA in the European Union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spacing w:after="0" w:line="187"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Healthcare legislative or regulatory reform measures may have a negative impact on our business and results of operations.</w:t>
      </w:r>
    </w:p>
    <w:p>
      <w:pPr>
        <w:spacing w:after="0" w:line="12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 March 2010, the ACA was passed, which substantially changed the way healthcare is financed by both the government and private insurers and significantly impacts the United States pharmaceutical industry. The ACA, among other things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healthcare programs.</w:t>
      </w:r>
    </w:p>
    <w:p>
      <w:pPr>
        <w:spacing w:after="0" w:line="178"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auto"/>
        </w:rPr>
        <w:t>There have been executive, judicial and Congressional challenges to certain aspects of the ACA. While Congress has not passed comprehensive repeal legislation, several bills affecting the implementation of certain taxes under the ACA have been signed into law. The Tax Cuts and Jobs Act of 2017, or the Tax Act, included a provision that repealed, effective January 1, 2019, the tax-based shared responsibility payment imposed by the ACA on certain individuals who fail to maintain qualifying health coverage for all or part of a year that is commonly referred to as the “individual mandate.” On December 14, 2018, a judge for the United States District Court for the Northern District of Texas ruled that the ACA is unconstitutional in its entirety because the “individual mandate” was repealed by Congress as part of the Tax Act. Additionally, on December 18, 2019, the United States Court of Appeals for the Fifth Circuit upheld the District Court ruling that the individual mandate was unconstitutional and remanded the case back to the District Court to determine whether the remaining provisions of the ACA are invalid as well. The United States Supreme Court is currently reviewing this case, although it is unclear when a decision will be made. On February 10, 2021, the Biden administration withdrew the federal government’s support for overturning the ACA. Although the U.S. Supreme Court has not yet ruled on the constitutionality of the ACA, on January 28, 2021, President Biden issued an executive order that initiated a special enrollment period for purposes of obtaining health insurance coverage through the ACA marketplace, which began on February 15, 2021 and will remain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 or our business.</w:t>
      </w:r>
    </w:p>
    <w:p>
      <w:pPr>
        <w:spacing w:after="0" w:line="176"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Other legislative changes have been proposed and adopted since the ACA was enacted. These changes include aggregate reductions to Medicare payments to providers of 2% per fiscal year pursuant to the Budget Control Act of 2011, which began in 2013, and due to subsequent legislative amendments to the statute, including the BBA, will remain in effect through 2030 unless additional Congressional action is taken. However, COVID-19 relief legislation suspended the 2% Medicare sequester from May 1, 2020 through December 31, 2021. The American Taxpayer Relief Act of 2012, among other things, further reduced Medicare payments to several providers, including hospitals, and increased the statute of limitations period for the government to recover overpayments to providers from three to five years. Additionally, on March 11, 2021, President Biden signed the American Rescue Plan Act of 2021 into law, which eliminates the statutory Medicaid drug rebate cap, currently set at 100% of a drug’s average manufacturer price, for single-source and innovator multiple-source drugs, beginning January 1, 2024. These laws may result in additional reductions in Medicare, Medicaid and other healthcare funding, which could have an adverse effect on customers for our product candidates, if approved, and, accordingly, our financial operations.</w:t>
      </w:r>
    </w:p>
    <w:p>
      <w:pPr>
        <w:spacing w:after="0" w:line="185"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Additionally,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5" w:lineRule="auto"/>
        <w:rPr>
          <w:sz w:val="20"/>
          <w:szCs w:val="20"/>
          <w:color w:val="auto"/>
        </w:rPr>
      </w:pPr>
      <w:r>
        <w:rPr>
          <w:rFonts w:ascii="Arial" w:cs="Arial" w:eastAsia="Arial" w:hAnsi="Arial"/>
          <w:sz w:val="16"/>
          <w:szCs w:val="16"/>
          <w:color w:val="auto"/>
        </w:rPr>
        <w:t>manufacturer patient programs, and reform government program reimbursement methodologies for products.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also released a final rule on September 24, 2020 providing guidance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safe harbor for certain fixed fee arrangements between pharmacy benefit managers and manufacturers, the implementation of which was also delayed pending review by the Biden administration until January 1, 2023. Further, in November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will apply in all U.S. states and territories for a seven-year period beginning January 1, 2021 and ending December 31, 2027. On December 28, 2020, the United States District Court for the Northern District of California issued a nationwide preliminary injunction against implementation of the interim final rule. The likelihood of implementation of any of the other Trump administration reform initiatives is uncertain, particularly in light of the recent U.S. presidential election.</w:t>
      </w:r>
    </w:p>
    <w:p>
      <w:pPr>
        <w:spacing w:after="0" w:line="176"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We expect that these and other healthcare reform measures that may be adopted in the future may result in more rigorous coverage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 It is also possible that additional governmental action is taken in response to the COVID-19 pandemic.</w:t>
      </w:r>
    </w:p>
    <w:p>
      <w:pPr>
        <w:spacing w:after="0" w:line="188"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In addition, FDA regulations and guidance may be revised or reinterpreted by the FDA in ways that may significantly affect our business and our products. For example, the results of the 2020 U.S. Presidential election may impact our business and industry. The Trump administration took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It is difficult to predict whether or how these requirements will be interpreted and implemented, or whether they will be rescinded and replaced under the Biden administration. The policies and priorities of the new administration are unknown and could materially impact the regulations governing our product candidates. Any new regulations or guidance, or revisions or reinterpretations of existing regulations or guidance, may impose additional costs or lengthen FDA review times for ADG20 or any future product candidates. We cannot determine how changes in regulations, statutes, policies or interpretations when and if issued, enacted or adopted, may affect our business in the future. Such changes could, among other things, require:</w:t>
      </w:r>
    </w:p>
    <w:p>
      <w:pPr>
        <w:spacing w:after="0" w:line="91"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additional clinical trials to be conducted prior to obtaining approval;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to manufacturing methods;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recalls, replacements or discontinuance of one or more of our products, if approved;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additional recordkeeping.</w:t>
      </w:r>
    </w:p>
    <w:p>
      <w:pPr>
        <w:spacing w:after="0" w:line="225"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Such changes would likely require substantial time and impose significant costs, or could reduce the potential commercial value of ADG20 or other product candidates, and could materially harm our business and our financial results. In addition, delays in receipt of or failure to receive regulatory clearances or approvals for any other products would harm our business, financial condition and results of operations.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Employee Matters and Managing Our Growth</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are highly dependent on the management, development, clinical, financial and business development expertise of our executive officers. Each of our executive officers may currently terminate their employment with us at any time. We do not maintain “key person” insurance for any of our executives or employees.</w:t>
      </w:r>
    </w:p>
    <w:p>
      <w:pPr>
        <w:spacing w:after="0" w:line="184"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Recruiting and retaining qualified scientific and clinical personnel and, if we progress the development of our product pipeline toward scaling up for commercialization, manufacturing and sales and marketing personnel, will also be critical to our success. The loss of the services of our executive officers or other key employees could impede the achievement of our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287" w:lineRule="exact"/>
        <w:rPr>
          <w:sz w:val="20"/>
          <w:szCs w:val="20"/>
          <w:color w:val="auto"/>
        </w:rPr>
      </w:pPr>
    </w:p>
    <w:p>
      <w:pPr>
        <w:ind w:left="560" w:right="40"/>
        <w:spacing w:after="0" w:line="263" w:lineRule="auto"/>
        <w:rPr>
          <w:sz w:val="20"/>
          <w:szCs w:val="20"/>
          <w:color w:val="auto"/>
        </w:rPr>
      </w:pPr>
      <w:r>
        <w:rPr>
          <w:rFonts w:ascii="Arial" w:cs="Arial" w:eastAsia="Arial" w:hAnsi="Arial"/>
          <w:sz w:val="18"/>
          <w:szCs w:val="18"/>
          <w:b w:val="1"/>
          <w:bCs w:val="1"/>
          <w:i w:val="1"/>
          <w:iCs w:val="1"/>
          <w:color w:val="auto"/>
        </w:rPr>
        <w:t>Certain of our directors and officers may have actual or potential conflicts of interest because of their positions with Adimab and/or other companies and may not be able to or may choose not to devote sufficient time and attention to our company, or may otherwise have conflicting incentives.</w:t>
      </w:r>
    </w:p>
    <w:p>
      <w:pPr>
        <w:spacing w:after="0" w:line="76"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Tillman U. Gerngross, Ph.D., our co-founder, Chief Executive Officer and a member of our board of directors, is a co-founder, the currently serving Chief Executive Officer and a member of the board of directors of Adimab, and also serves as an officer and/or Chairman of three additional private companies, Venture Partner at one additional private company and Chairman of one public company. Laura Walker, Ph.D., our co-founder and Chief Scientific Officer, serves as Senior Director of Antibody Sciences at Adimab. Terrance McGuire and Ajay Royan, members of our board of directors, serve as directors of Adimab. As a result, these directors and executive officers may not be able to devote their full time and attention to our company, which could impede the achievement of our research, development and commercialization objectives and seriously harm our ability to successfully implement our business strategy. Since joining us, all of our executive officers have each spent a significant portion of their time devoted to us. While none of the executives has a minimum time commitment to us, each retains flexibility to ensure that he or she can re-allocate his or her time based on the needs of each business. These executives’ time-allocation strategies may change over time based on the needs of each business or the executives’ individual incentives to provide services to us relative to other businesses. In addition, certain of these individuals own equity interests in Adimab, which represent a significant portion of these individuals’ net worth. These individuals’ respective positions at Adimab and the ownership of any Adimab equity or equity awards creates, or may create the appearance of, conflicts of interest, including when these individuals make decisions that could have different implications for Adimab than for us.</w:t>
      </w:r>
    </w:p>
    <w:p>
      <w:pPr>
        <w:spacing w:after="0" w:line="294" w:lineRule="exact"/>
        <w:rPr>
          <w:sz w:val="20"/>
          <w:szCs w:val="20"/>
          <w:color w:val="auto"/>
        </w:rPr>
      </w:pPr>
    </w:p>
    <w:p>
      <w:pPr>
        <w:ind w:left="560" w:right="40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influence over matters subject to stockholder approval.</w:t>
      </w:r>
    </w:p>
    <w:p>
      <w:pPr>
        <w:spacing w:after="0" w:line="6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Our executive officers, directors, five percent stockholders and their affiliates beneficially own approximately 80.6% of our voting stock as of August 2, 2021. Therefore, these stockholders, and in particular,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our largest stockholder, Adimab, will have the ability to influence us through their ownership positions. These stockholders may be able to determine all matters requiring stockholder approval. For example, these stockholders, acting together, may be able to control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w:t>
      </w:r>
    </w:p>
    <w:p>
      <w:pPr>
        <w:spacing w:after="0" w:line="265" w:lineRule="exact"/>
        <w:rPr>
          <w:sz w:val="20"/>
          <w:szCs w:val="20"/>
          <w:color w:val="auto"/>
        </w:rPr>
      </w:pPr>
    </w:p>
    <w:p>
      <w:pPr>
        <w:ind w:left="560" w:right="420"/>
        <w:spacing w:after="0" w:line="277" w:lineRule="auto"/>
        <w:rPr>
          <w:sz w:val="20"/>
          <w:szCs w:val="20"/>
          <w:color w:val="auto"/>
        </w:rPr>
      </w:pPr>
      <w:r>
        <w:rPr>
          <w:rFonts w:ascii="Arial" w:cs="Arial" w:eastAsia="Arial" w:hAnsi="Arial"/>
          <w:sz w:val="18"/>
          <w:szCs w:val="18"/>
          <w:b w:val="1"/>
          <w:bCs w:val="1"/>
          <w:i w:val="1"/>
          <w:iCs w:val="1"/>
          <w:color w:val="auto"/>
        </w:rPr>
        <w:t>Adimab owns a significant percentage of our common stock, will be able to exert significant influence over matters subject to stockholder approval and may have interests that conflict with those of our other stockholders.</w:t>
      </w:r>
    </w:p>
    <w:p>
      <w:pPr>
        <w:spacing w:after="0" w:line="62"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Adimab is currently our largest stockholder and beneficially owns approximately 30.8% of the voting power of our outstanding common stock as of August 2, 2021 on an as-converted basis. As such, Adimab has the ability to substantially influence us through this ownership position. For example, Adimab, acting together with a small number of our other large stockholders, will be able to control elections of directors, amendments of our organizational documents or approval of any merger, amalgamation, sale of assets or other major corporate transaction. Any transferees or successors of all or a significant portion of Adimab’s ownership in us will be able to exert a similar amount of influence over us through their ownership position.</w:t>
      </w:r>
    </w:p>
    <w:p>
      <w:pPr>
        <w:spacing w:after="0" w:line="161"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Furthermore, certain of our directors and officers may have actual or potential conflicts of interest with us because of their positions or affiliations with Adimab or their equity ownership in Adimab. Tillman Gerngross, co-founder and Chief Executive Officer and member of the board of directors of Adimab, Laura Walker, Senior Director of Antibody Sciences at Adimab, and Terrance McGuire and Ajay Royan, members of the board of directors of Adimab, serve as our executive officers and/or on our board of directors and retain their positions and affiliations with Adimab. Our other stockholders may not have visibility into the Adimab ownership positions or other affiliations of any of our directors or officers with Adimab or its affiliates, which may change at any time through acquisition, disposition, dilution or otherwise. Any change in our directors’ or officers’ ownership in or positions with Adimab or its affiliates could impact the interests of those holders. Adimab’s interests may not always coincide with our corporate interests or the interests of our other stockholders, and it may exercise its voting and other rights in a manner with which you may not agree or that may not be in the best interests of our other stockholders. So long as it continues to own a significant portion of our outstanding voting securities, Adimab will continue to have considerable influence in all matters that are subject to approval by our stockholders and will be able to strongly influence our other decisions.</w:t>
      </w:r>
    </w:p>
    <w:p>
      <w:pPr>
        <w:spacing w:after="0" w:line="276" w:lineRule="exact"/>
        <w:rPr>
          <w:sz w:val="20"/>
          <w:szCs w:val="20"/>
          <w:color w:val="auto"/>
        </w:rPr>
      </w:pPr>
    </w:p>
    <w:p>
      <w:pPr>
        <w:ind w:left="560" w:right="720"/>
        <w:spacing w:after="0" w:line="375" w:lineRule="auto"/>
        <w:rPr>
          <w:sz w:val="20"/>
          <w:szCs w:val="20"/>
          <w:color w:val="auto"/>
        </w:rPr>
      </w:pPr>
      <w:r>
        <w:rPr>
          <w:rFonts w:ascii="Arial" w:cs="Arial" w:eastAsia="Arial" w:hAnsi="Arial"/>
          <w:sz w:val="15"/>
          <w:szCs w:val="15"/>
          <w:b w:val="1"/>
          <w:bCs w:val="1"/>
          <w:i w:val="1"/>
          <w:iCs w:val="1"/>
          <w:color w:val="auto"/>
        </w:rPr>
        <w:t>We expect to expand our clinical development and regulatory capabilities and potentially implement sales, marketing and distribution capabilities, and as a result, we may encounter difficulties in managing our growth, which could disrupt our operations.</w:t>
      </w:r>
    </w:p>
    <w:p>
      <w:pPr>
        <w:spacing w:after="0" w:line="1"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As of August 2, 2021, we had 68 employees. As our development progresses, we expect to experience significant growth in the number of our employees and the scope of our operations, particularly in the areas of clinical product development, regulatory affairs, manufacturing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80"/>
        <w:spacing w:after="0" w:line="342" w:lineRule="auto"/>
        <w:rPr>
          <w:sz w:val="20"/>
          <w:szCs w:val="20"/>
          <w:color w:val="auto"/>
        </w:rPr>
      </w:pPr>
      <w:r>
        <w:rPr>
          <w:rFonts w:ascii="Arial" w:cs="Arial" w:eastAsia="Arial" w:hAnsi="Arial"/>
          <w:sz w:val="16"/>
          <w:szCs w:val="16"/>
          <w:b w:val="1"/>
          <w:bCs w:val="1"/>
          <w:i w:val="1"/>
          <w:iCs w:val="1"/>
          <w:color w:val="auto"/>
        </w:rPr>
        <w:t>Our employees, independent contractors, consultants, collaborators, principal investigators, CROs, suppliers and vendors may engage in misconduct or other improper activities, including non-compliance with regulatory standards and requirements.</w:t>
      </w:r>
    </w:p>
    <w:p>
      <w:pPr>
        <w:spacing w:after="0" w:line="16"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auto"/>
        </w:rPr>
        <w:t>We are exposed to the risk that our employees, independent contractors, consultants, collaborators, principal investigators, CROs, suppliers and vendors may engage in fraudulent conduct or other illegal activity. Misconduct by these parties could include intentional, reckless and/or negligent conduct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spacing w:after="0" w:line="200" w:lineRule="exact"/>
        <w:rPr>
          <w:sz w:val="20"/>
          <w:szCs w:val="20"/>
          <w:color w:val="auto"/>
        </w:rPr>
      </w:pP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Ownership of Our Common Stock and Our Status as a Public Company</w:t>
      </w:r>
    </w:p>
    <w:p>
      <w:pPr>
        <w:spacing w:after="0" w:line="121" w:lineRule="exact"/>
        <w:rPr>
          <w:sz w:val="20"/>
          <w:szCs w:val="20"/>
          <w:color w:val="auto"/>
        </w:rPr>
      </w:pPr>
    </w:p>
    <w:p>
      <w:pPr>
        <w:ind w:left="560" w:right="420"/>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stock may not develop and you may not be able to resell your shares of our common stock at or above the initial offering price, if at all.</w:t>
      </w:r>
    </w:p>
    <w:p>
      <w:pPr>
        <w:spacing w:after="0" w:line="62"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for our common stock will be determined through negotiations with the underwriters and may not be indicative of the price at which our common stock will trade after the closing of this offering. Although we have applied to have our common stock approved for listing on The Nasdaq Global Market, an active trading market for our shares may never develop or be sustained following this offering. If an active market for our common stock does not develop or is not sustained, it may be difficult for you to sell shares you purchased in this offering at an attractive price or at all.</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The trading price of the shares of our common stock may be volatile, and purchasers of our common stock could incur substantial losses.</w:t>
      </w:r>
    </w:p>
    <w:p>
      <w:pPr>
        <w:spacing w:after="0" w:line="140"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Our stock price may be volatile.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92" w:lineRule="exact"/>
        <w:rPr>
          <w:sz w:val="20"/>
          <w:szCs w:val="20"/>
          <w:color w:val="auto"/>
        </w:rPr>
      </w:pPr>
    </w:p>
    <w:p>
      <w:pPr>
        <w:ind w:left="1080" w:right="20" w:hanging="532"/>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timing, progress and results of our ongoing clinical trials of ADG20 or the commencement, enrollment or results of any future clinical trials we may conduct, or changes in the development status of our product candidates;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delay in our regulatory filings for ADG20 or any other product candidate we may develop, and any adverse development or perceived adverse development with respect to the applicable regulatory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77" w:lineRule="auto"/>
        <w:rPr>
          <w:sz w:val="20"/>
          <w:szCs w:val="20"/>
          <w:color w:val="auto"/>
        </w:rPr>
      </w:pPr>
      <w:r>
        <w:rPr>
          <w:rFonts w:ascii="Arial" w:cs="Arial" w:eastAsia="Arial" w:hAnsi="Arial"/>
          <w:sz w:val="18"/>
          <w:szCs w:val="18"/>
          <w:color w:val="auto"/>
        </w:rPr>
        <w:t>authority’s review of such filings, including without limitation the FDA’s issuance of a “refusal to file” letter or a request for additional information;</w:t>
      </w:r>
    </w:p>
    <w:p>
      <w:pPr>
        <w:spacing w:after="0" w:line="76"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delays in or termination of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adverse regulatory decisions, including failure to receive regulatory approval of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ADG20 or any other product candidate;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financial estimates by us or by any equity research analysts who might cover our stock;</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conditions or trends in our industry;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announcements by our competitors of new product candidates or technologies, or the results of clinical trials or regulatory decisions;</w:t>
      </w:r>
    </w:p>
    <w:p>
      <w:pPr>
        <w:spacing w:after="0" w:line="142" w:lineRule="exact"/>
        <w:rPr>
          <w:rFonts w:ascii="Arial" w:cs="Arial" w:eastAsia="Arial" w:hAnsi="Arial"/>
          <w:sz w:val="17"/>
          <w:szCs w:val="17"/>
          <w:color w:val="auto"/>
        </w:rPr>
      </w:pPr>
    </w:p>
    <w:p>
      <w:pPr>
        <w:ind w:left="1080" w:hanging="532"/>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stock market price and volume fluctuations of comparable companies and, in particular, those that operate in the biopharmaceutical industry;</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positive or negative recommendations or withdrawal of research coverage by securities analysts;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or divestitures;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relationships with our collaborators;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investors’ general perception of our company and our business;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general political and economic conditions;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225"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The stock market in general, and the Nasdaq Global Market and biotechnology companies in particular, have experienced extreme price and volume fluctuations that have often been unrelated or disproportionate to the operating performance of these companies, including very recently in connection with the ongoing COVID-19 pandemic, which has resulted in decreased stock prices for many companies notwithstanding the lack of a fundamental change in their underlying business models or prospects. Broad market and industry factors, including potentially worsening economic conditions and other adverse effects or developments relating to the ongoing COVID-19 pandemic, may negatively affect the market price of our common stock, regardless of our actual operating performance. The realization of any of the above risks or any of a broad range of other risks, including those described in this section, could have a significant and material adverse impact on the market price of our common stock.</w:t>
      </w:r>
    </w:p>
    <w:p>
      <w:pPr>
        <w:spacing w:after="0" w:line="3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addition,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If you purchase shares of our common stock in this offering, you will suffer immediate dilution of your investment.</w:t>
      </w:r>
    </w:p>
    <w:p>
      <w:pPr>
        <w:spacing w:after="0" w:line="117"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auto"/>
        </w:rPr>
        <w:t>The initial public offering price of our common stock is substantially higher than the pro forma as adjusted net tangible book value per share of our common stock after this offering. Therefore, if you purchase shares of our common stock in this offering, you will pay a price per share that substantially exceeds our pro forma as adjusted net tangible book value per share after this offering. Based on an assumed initial public offering price of $17.00 per share, which is the midpoint of the estimated price range set forth on the cover page of this prospectus, you will experience immediate dilution of $10.73 per share, representing the difference between our pro forma as adjusted net tangible book value per share as of March 31, 2021, after giving effect to this offering, and the assumed initial public offering price.</w:t>
      </w:r>
    </w:p>
    <w:p>
      <w:pPr>
        <w:spacing w:after="0" w:line="17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addition, as of March 31, 2021, we had outstanding stock options to purchase an aggregate of 5,366,070 shares of common stock at a weighted-average exercise price of $2.49 per share. To the extent any of these outstanding options are exercised, there will be further dilution to investors in this offering. See “Dilution.”</w:t>
      </w:r>
    </w:p>
    <w:p>
      <w:pPr>
        <w:spacing w:after="0" w:line="292" w:lineRule="exact"/>
        <w:rPr>
          <w:sz w:val="20"/>
          <w:szCs w:val="20"/>
          <w:color w:val="auto"/>
        </w:rPr>
      </w:pPr>
    </w:p>
    <w:p>
      <w:pPr>
        <w:jc w:val="both"/>
        <w:ind w:left="560" w:right="120"/>
        <w:spacing w:after="0" w:line="340" w:lineRule="auto"/>
        <w:rPr>
          <w:sz w:val="20"/>
          <w:szCs w:val="20"/>
          <w:color w:val="auto"/>
        </w:rPr>
      </w:pPr>
      <w:r>
        <w:rPr>
          <w:rFonts w:ascii="Arial" w:cs="Arial" w:eastAsia="Arial" w:hAnsi="Arial"/>
          <w:sz w:val="15"/>
          <w:szCs w:val="15"/>
          <w:b w:val="1"/>
          <w:bCs w:val="1"/>
          <w:i w:val="1"/>
          <w:iCs w:val="1"/>
          <w:color w:val="auto"/>
        </w:rPr>
        <w:t>We have identified a material weakness in our internal control over financial reporting. If we are unable to remediate this material weakness, or if we identify additional material weaknesses in the future or otherwise fail to maintain effective internal control over financial reporting, we may not be able to accurately or timely report our financial condition or results of operations, which may adversely affect our business.</w:t>
      </w:r>
    </w:p>
    <w:p>
      <w:pPr>
        <w:spacing w:after="0" w:line="23"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We identified a material weakness in our internal control over financial reporting that existed as of March 31, 2021.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165"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We did not design and maintain effective controls over the completeness and accuracy of research and development expenses, prepaid expenses, accounts payable and accrued expenses related to our contract manufacturing agreements during interim financial reporting periods. This material weakness resulted in adjustments to research and development expenses for the three months ended March 31, 2021 and prepaid expenses, accounts payable and accrued expenses as of March 31, 2021, all of which were recorded prior to the issuance of our interim consolidated financial statements. Additionally, this material weakness could result in misstatements of the aforementioned account balances or disclosures that would result in a material misstatement of our annual or interim consolidated financial statements that would not be prevented or detected.</w:t>
      </w:r>
    </w:p>
    <w:p>
      <w:pPr>
        <w:spacing w:after="0" w:line="16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order to remediate this material weakness, we intend to design and implement a control during interim periods related to the completeness and accuracy of the contract manufacturing accrual process.</w:t>
      </w:r>
    </w:p>
    <w:p>
      <w:pPr>
        <w:spacing w:after="0" w:line="170"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We cannot assure that the measures we have taken to date, and actions we may take in the future, will be sufficient to remediate the control deficiency that led to this material weakness in our internal control over financial reporting or that they will prevent or avoid potential future material weaknesses. In addition, neither our management nor an independent registered public accounting firm has performed an evaluation of our internal control over financial reporting in accordance with the provisions of the Sarbanes-Oxley Act because no such evaluation has been required. Had we or our independent registered public accounting firm performed an evaluation of our internal control over financial reporting in accordance with the provisions of the Sarbanes-Oxley Act, additional material weaknesses may have been identified. If we are unable to successfully remediate our existing or</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any future material weaknesses in our internal control over financial reporting, or we identify any additional material weaknesses, the accuracy and timing of our financial reporting may be adversely affected, potentially resulting in restatements of our consolidated financial statements; we may be unable to maintain compliance with securities law requirements regarding timely filing of periodic reports and applicable Nasdaq listing requirements; investors may lose confidence in our financial reporting; and our stock price may decline as a result.</w:t>
      </w:r>
    </w:p>
    <w:p>
      <w:pPr>
        <w:spacing w:after="0" w:line="279" w:lineRule="exact"/>
        <w:rPr>
          <w:sz w:val="20"/>
          <w:szCs w:val="20"/>
          <w:color w:val="auto"/>
        </w:rPr>
      </w:pPr>
    </w:p>
    <w:p>
      <w:pPr>
        <w:ind w:left="560" w:right="200"/>
        <w:spacing w:after="0" w:line="308" w:lineRule="auto"/>
        <w:rPr>
          <w:sz w:val="20"/>
          <w:szCs w:val="20"/>
          <w:color w:val="auto"/>
        </w:rPr>
      </w:pPr>
      <w:r>
        <w:rPr>
          <w:rFonts w:ascii="Arial" w:cs="Arial" w:eastAsia="Arial" w:hAnsi="Arial"/>
          <w:sz w:val="17"/>
          <w:szCs w:val="17"/>
          <w:b w:val="1"/>
          <w:bCs w:val="1"/>
          <w:i w:val="1"/>
          <w:iCs w:val="1"/>
          <w:color w:val="auto"/>
        </w:rPr>
        <w:t>If we are unable to design and maintain effective internal control over financial reporting in the future, investors may lose confidence in the accuracy and completeness of our financial reports and the market price of our common stock may decline.</w:t>
      </w:r>
    </w:p>
    <w:p>
      <w:pPr>
        <w:spacing w:after="0" w:line="38"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Ensuring that we have adequate internal control over financial reporting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In connection with this offering, we intend to begin the process of documenting, reviewing and improving our internal control over financial reporting for compliance with Section 404 of the Sarbanes-Oxley Act, which will require annual management assessment of the effectiveness of our internal control over financial reporting.</w:t>
      </w:r>
    </w:p>
    <w:p>
      <w:pPr>
        <w:spacing w:after="0" w:line="70"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Implementing any appropriate changes to our internal control over financial reporting may distract our officers and employees, entail substantial costs to modify our existing processes, and take significant time to complete. These changes may not, however, be effective in establishing and maintaining the adequacy of our internal controls, and any failure to maintain that adequacy, or consequent inability to produce accurate financial statements on a timely basis, could increase our operating costs and harm our business. If we fail to remediate our identified material weakness, or identify additional material weaknesses, in our internal control over financial reporting; if we are unable to comply with the requirements of Section 404 of the Sarbanes-Oxley Act in a timely manner; or if we are unable to assert that our internal control over financial reporting is effective, investors may lose confidence in the accuracy and completeness of our financial reports and the market price of our common stock could decline, and we could also become subject to investigations by the stock exchange on which our common stock is listed, the Securities and Exchange Commission, or SEC, or other regulatory authorities, which could require additional financial and management resources.</w:t>
      </w:r>
    </w:p>
    <w:p>
      <w:pPr>
        <w:spacing w:after="0" w:line="274" w:lineRule="exact"/>
        <w:rPr>
          <w:sz w:val="20"/>
          <w:szCs w:val="20"/>
          <w:color w:val="auto"/>
        </w:rPr>
      </w:pPr>
    </w:p>
    <w:p>
      <w:pPr>
        <w:ind w:left="560" w:right="56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62"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The trading market for our common stock will be influenced by the research and reports that equity research analysts publish about us and our business. As a newly public company, we have only limited research coverage by equity research analysts.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A significant portion of our total outstanding shares are restricted from immediate resale but may be sold into the market in the near future.</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This could cause the market price of our common stock to drop significantly, even if our business is doing well.</w:t>
      </w:r>
    </w:p>
    <w:p>
      <w:pPr>
        <w:spacing w:after="0" w:line="103"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35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Upon the closing of this offering, we will have outstanding 108,015,660 shares of common stock, after giving effect to the automatic conversion of our outstanding preferred stock into 84,722,420 shares of our common stock, and assuming no exercise of outstanding options to purchase shares of our common stock. Of these shares, the 17,700,000 shares sold in this offering will be freely tradable and substantially all of the additional shares of common stock will be available for sale in the public market beginning 180 days after the date of this prospectus following the expiration of lock-up agreements between some of our stockholders and the underwriters. Morgan Stanley &amp; Co. LLC and Jefferies LLC may release these stockholders from their lock-up agreements with the underwriters at any time and without notice, which would allow for earlier sales of shares in the public market.</w:t>
      </w:r>
    </w:p>
    <w:p>
      <w:pPr>
        <w:spacing w:after="0" w:line="164"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In addition, promptly following the closing of this offering, we intend to file one or more registration statements on Form S-8 under the Securities Act of 1933, as amended, or the Securities Act, registering the issuance of 36,417,895 shares of common stock subject to options or other equity awards issued or reserved for future issuance under our equity incentive plans. Shares registered under these registration statements on Form S-8 will be available for sale in the public market subject to vesting arrangements and exercise of options, the lock-up agreements described above and the restrictions of Rule 144 in the case of our affiliates.</w:t>
      </w:r>
    </w:p>
    <w:p>
      <w:pPr>
        <w:spacing w:after="0" w:line="188"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Additionally, after this offering, the holders of an aggregate of 84,722,420 shares of our common stock, or their transferees, will have rights, subject to some conditions, to require us to file one or more registration statements covering their shares or to include their shares in registration statements that we may file for ourselves or other stockholders. If we were to register the resale of these shares, they could be freely sold in the public market. If these additional shares are sold, or if it is perceived that they will be sold, in the public market, the trading price of our common stock could decline.</w:t>
      </w:r>
    </w:p>
    <w:p>
      <w:pPr>
        <w:spacing w:after="0" w:line="296" w:lineRule="exact"/>
        <w:rPr>
          <w:sz w:val="20"/>
          <w:szCs w:val="20"/>
          <w:color w:val="auto"/>
        </w:rPr>
      </w:pPr>
    </w:p>
    <w:p>
      <w:pPr>
        <w:ind w:left="560" w:right="180"/>
        <w:spacing w:after="0" w:line="375"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There are provisions in our certificate of incorporation and bylaws to be in effect upon the closing of this offering that may make it difficult for a third party to acquire, or attempt to acquire, control of our company, even if a change of control was considered favorable by you and other stockholders. For example, our board of directors will have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charter documents will also contain other provisions that could have an anti-takeover effect, including:</w:t>
      </w:r>
    </w:p>
    <w:p>
      <w:pPr>
        <w:spacing w:after="0" w:line="131"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only one of our three classes of directors will be elected each year;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stockholders will not be entitled to remove directors other than by a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vote and only for cause;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stockholders will not be permitted to take actions by written consent;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stockholders cannot call a special meeting of stockholders;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stockholders must give advance notice to nominate directors or submit proposals for consideration at stockholder meetings.</w:t>
      </w:r>
    </w:p>
    <w:p>
      <w:pPr>
        <w:spacing w:after="0" w:line="225"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transactions that may be in your best interests. These provisions may also prevent changes in our management or limit the price that investors are willing to pay for our stock.</w:t>
      </w:r>
    </w:p>
    <w:p>
      <w:pPr>
        <w:spacing w:after="0" w:line="278"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62"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Our executive officers, directors and current beneficial owners of 5% or more of our common stock and their respective affiliates beneficially own 80.6% of our outstanding common stock as of August 2, 2021. As a result, these persons, acting together, would be able to significantly influence all matters requiring stockholder approval, including the election and removal of directors, any merger, consolidation, sale of all or substantially all of our assets, or other significant corporate transactions.</w:t>
      </w:r>
    </w:p>
    <w:p>
      <w:pPr>
        <w:spacing w:after="0" w:line="187"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Some of these persons or entities may have interests different than yours. For example, because many of these stockholders purchased their shares at prices substantially below the current market price of our common stock and have held their shares for a longer period, they may be more interested in selling our company to an acquirer than other investors, or they may want us to pursue strategies that deviate from the interests of other stockholders.</w:t>
      </w:r>
    </w:p>
    <w:p>
      <w:pPr>
        <w:spacing w:after="0" w:line="257" w:lineRule="exact"/>
        <w:rPr>
          <w:sz w:val="20"/>
          <w:szCs w:val="20"/>
          <w:color w:val="auto"/>
        </w:rPr>
      </w:pPr>
    </w:p>
    <w:p>
      <w:pPr>
        <w:ind w:left="560" w:right="3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We are an “emerging growth company,” as defined in the Jumpstart Our Business Startups Act of 2012, as amended, or the JOBS Act, and may remain an emerging growth company until the last day of the fiscal year following the fifth anniversary of the completion of this offering. However, if certain events occur prior to the end of such five-year period, including if we become a “large accelerated filer,” our annual gross revenues exceed $1.07 billion or we issue more than $1.0 billion of non-convertible debt in the previous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00" w:lineRule="exact"/>
        <w:rPr>
          <w:sz w:val="20"/>
          <w:szCs w:val="20"/>
          <w:color w:val="auto"/>
        </w:rPr>
      </w:pPr>
    </w:p>
    <w:p>
      <w:pPr>
        <w:jc w:val="both"/>
        <w:ind w:left="1080" w:right="20" w:hanging="532"/>
        <w:spacing w:after="0" w:line="263"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an exemption from compliance with the auditor attestation requirement in the assessment of our internal control over financial reporting;</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 and</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exemption from compliance with the requirements of the Public Company Accounting Oversight Board regarding the communication of critical audit matters in the auditor’s report on the financial statements.</w:t>
      </w:r>
    </w:p>
    <w:p>
      <w:pPr>
        <w:spacing w:after="0" w:line="170"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We have taken advantage of the reduced reporting burdens in this prospectus. In particular, in this prospectus, we have provided only two years of audited financial statements and we have not included all of the executive compensation-related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0"/>
        <w:spacing w:after="0" w:line="277" w:lineRule="auto"/>
        <w:rPr>
          <w:sz w:val="20"/>
          <w:szCs w:val="20"/>
          <w:color w:val="auto"/>
        </w:rPr>
      </w:pPr>
      <w:r>
        <w:rPr>
          <w:rFonts w:ascii="Arial" w:cs="Arial" w:eastAsia="Arial" w:hAnsi="Arial"/>
          <w:sz w:val="18"/>
          <w:szCs w:val="18"/>
          <w:b w:val="1"/>
          <w:bCs w:val="1"/>
          <w:i w:val="1"/>
          <w:iCs w:val="1"/>
          <w:color w:val="auto"/>
        </w:rPr>
        <w:t>We are a “smaller reporting company” and the reduced disclosure requirements applicable to smaller reporting companies may make our common stock less attractive to investors.</w:t>
      </w:r>
    </w:p>
    <w:p>
      <w:pPr>
        <w:spacing w:after="0" w:line="62"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We are a “smaller reporting company.” We are therefore entitled to rely on certain reduced disclosure requirements for as long as we remain a smaller reporting company, such as an exemption from providing selected financial data and executive compensation information. In addition, for as long as we are a smaller reporting company with less than $100 million in annual revenue, we would be exempt from the requirement to obtain an external audit on the effectiveness of internal control over financial reporting provided in Section 404(b) of the Sarbanes-Oxley Act.</w:t>
      </w:r>
    </w:p>
    <w:p>
      <w:pPr>
        <w:spacing w:after="0" w:line="17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These exemptions and reduced disclosures in our SEC filings due to our status as a smaller reporting company may make it harder for investors to analyze our results of operations and financial prospects. We cannot predict if investors will find our common stock less attractive because we may rely on these exemptions. If some investors find our common stock less attractive as a result, there may be a less active trading market for our common stock and our stock prices may be more volatile.</w:t>
      </w:r>
    </w:p>
    <w:p>
      <w:pPr>
        <w:spacing w:after="0" w:line="295" w:lineRule="exact"/>
        <w:rPr>
          <w:sz w:val="20"/>
          <w:szCs w:val="20"/>
          <w:color w:val="auto"/>
        </w:rPr>
      </w:pPr>
    </w:p>
    <w:p>
      <w:pPr>
        <w:ind w:left="560" w:right="300"/>
        <w:spacing w:after="0" w:line="277" w:lineRule="auto"/>
        <w:rPr>
          <w:sz w:val="20"/>
          <w:szCs w:val="20"/>
          <w:color w:val="auto"/>
        </w:rPr>
      </w:pPr>
      <w:r>
        <w:rPr>
          <w:rFonts w:ascii="Arial" w:cs="Arial" w:eastAsia="Arial" w:hAnsi="Arial"/>
          <w:sz w:val="18"/>
          <w:szCs w:val="18"/>
          <w:b w:val="1"/>
          <w:bCs w:val="1"/>
          <w:i w:val="1"/>
          <w:iCs w:val="1"/>
          <w:color w:val="auto"/>
        </w:rPr>
        <w:t>We will have broad discretion in the use of proceeds from this offering and may invest or spend the proceeds in ways with which you do not agree and in ways that may not increase the value of your investment.</w:t>
      </w:r>
    </w:p>
    <w:p>
      <w:pPr>
        <w:spacing w:after="0" w:line="62"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auto"/>
        </w:rPr>
        <w:t>We will have broad discretion over the use of proceeds from this offering. You may not agree with our decisions, and our use of the proceeds may not yield any return on your investment. We expect to use the net proceeds to us from this offering, together with our existing cash and cash equivalents, to fund clinical development, manufacturing supply and initial commercialization costs for ADG20, and the remainder for working capital and other general corporate purposes, including development of additional programs in our pipeline. See “Use of Proceeds.” In addition, we may use a portion of the proceeds from this offering to pursue our strategy to in-license or acquire additional product candidates. Our failure to apply the net proceeds from this offering effectively could compromise our ability to pursue our growth strategy and we might not be able to yield a significant return, if any, on our investment of these net proceeds. You will not have the opportunity to influence our decisions on how to use our net proceeds from this offering.</w:t>
      </w:r>
    </w:p>
    <w:p>
      <w:pPr>
        <w:spacing w:after="0" w:line="274" w:lineRule="exact"/>
        <w:rPr>
          <w:sz w:val="20"/>
          <w:szCs w:val="20"/>
          <w:color w:val="auto"/>
        </w:rPr>
      </w:pPr>
    </w:p>
    <w:p>
      <w:pPr>
        <w:ind w:left="560" w:right="28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62"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As a result, capital appreciation, if any, of our common stock will be your sole source of gain for the foreseeable future. Investors seeking cash dividends should not purchase our common stock.</w:t>
      </w:r>
    </w:p>
    <w:p>
      <w:pPr>
        <w:spacing w:after="0" w:line="295" w:lineRule="exact"/>
        <w:rPr>
          <w:sz w:val="20"/>
          <w:szCs w:val="20"/>
          <w:color w:val="auto"/>
        </w:rPr>
      </w:pPr>
    </w:p>
    <w:p>
      <w:pPr>
        <w:ind w:left="560" w:right="60"/>
        <w:spacing w:after="0" w:line="311"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4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76"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25"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94"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These exclusive forum provisions may result in increased costs for investors to bring a claim. Further,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560" w:right="380"/>
        <w:spacing w:after="0" w:line="277" w:lineRule="auto"/>
        <w:rPr>
          <w:sz w:val="20"/>
          <w:szCs w:val="20"/>
          <w:color w:val="auto"/>
        </w:rPr>
      </w:pPr>
      <w:r>
        <w:rPr>
          <w:rFonts w:ascii="Arial" w:cs="Arial" w:eastAsia="Arial" w:hAnsi="Arial"/>
          <w:sz w:val="18"/>
          <w:szCs w:val="18"/>
          <w:b w:val="1"/>
          <w:bCs w:val="1"/>
          <w:i w:val="1"/>
          <w:iCs w:val="1"/>
          <w:color w:val="auto"/>
        </w:rPr>
        <w:t>We will incur increased costs and demands upon management as a result of becoming a public company, which could lower our profits or make it more difficult to run our business.</w:t>
      </w:r>
    </w:p>
    <w:p>
      <w:pPr>
        <w:spacing w:after="0" w:line="62"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and other expenses that we did not incur as a private company, including costs associated with public company reporting requirements. We also have incurred and will continue to incur costs associated with the Sarbanes-Oxley Act, and related rules implemented by the SEC and the Nasdaq Stock Market. The expenses generally incurred by public companies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on our board committees, or as our executive officers. Furthermore, if we are unable to satisfy our obligations as a public company, we could be subject to delisting of our common stock, fines, sanctions, other regulatory action and potentially civil litigation.</w:t>
      </w:r>
    </w:p>
    <w:p>
      <w:pPr>
        <w:spacing w:after="0" w:line="182"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In particular, pursuant to Section 404 of the Sarbanes-Oxley Act of 2002, or Section 404, in our second annual report on Form 10-K due to be filed with the SEC after becoming a public company, we will be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17"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We have incurred substantial losses since inception and do not expect to become profitable in the near future, if ever. To the extent that we continue to generate taxable losses, unused losses will carry forward to offset future taxable income, if any. As of December 31, 2020, we had U.S. federal net operating loss, or NOL, carryforwards of $24.4 million, which may be available to reduce future taxable income and have an indefinite carryforward period but are limited in their usage to an annual deduction equal to 80% of annual taxable income. In addition, as of December 31, 2020, we had state NOL carryforwards of $3.7 million, which may be available to reduce future taxable income, of which $0.3 million have an indefinite carryforward period while the remaining $3.4 million begin to expire in 2040. As of December 31, 2020, we also had U.S. federal and state research and development tax credit carryforwards of $0.1 million and $16,000, respectively, which may be available to reduce future tax liabilities and expire at various dates beginning in 2040 and 2035, respectively.</w:t>
      </w:r>
    </w:p>
    <w:p>
      <w:pPr>
        <w:spacing w:after="0" w:line="192"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Under the Tax Act, as modified by the Coronavirus Aid, Relief and Economic Security Act, or the CARES Act, federal NOLs incurred in taxable years beginning after December 31, 2017 and in future taxable years may carry forward indefinitely, but the deductibility of such federal NOLs incurred in taxable years beginning after December 31, 2020 are limited. It is uncertain how various states will respond to the Tax Act and CARES Act. 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The completion of this offering, together with private placements and other transactions that have occurred since our inception, may trigger such an ownership change pursuant to Section 382. We have not conducted a study to assess whether any such ownership changes have occurred. We may experience ownership changes as a result of subsequent shifts in our stock ownership, some of which may be outside of our control. If an ownership change occurs and our ability to use our NOL carryforwards is materially limited, it would harm our financial condition and results of operations by effectively increasing our future tax obligations.</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Our business activities will be subject to the Foreign Corrupt Practices Act, or FCPA, and similar anti-bribery and anti-corruption laws.</w:t>
      </w:r>
    </w:p>
    <w:p>
      <w:pPr>
        <w:spacing w:after="0" w:line="140"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As we expand our business activities outside of the United States, including our clinical trial efforts, we will be subject to the FCPA and similar anti-bribery or anti-corruption laws, regulations or rules of other countries in which we operate. The FCPA generally prohibits offering, promising, giving or authorizing others to give anything of value, either directly or indirectly, to a non-United States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non-United States governments. Additionally, in many other countries, the healthcare providers who prescribe pharmaceuticals are employed by their government, and the purchasers of pharmaceuticals are government entities; therefore, our dealings with these prescribers and purchasers will be subject to regulation under the FCPA. Recently the SEC and Department of Justice have increased their FCPA enforcement activities with respect to biotechnology and pharmaceutical companies. There is no certainty that all of our employees, agents, suppliers, manufacturers, contractors, or collaborators, or those of our affiliates, will comply with all applicable laws and regulations, particularly given</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auto"/>
        </w:rPr>
        <w:t>the high level of complexity of these laws.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spacing w:after="0" w:line="286" w:lineRule="exact"/>
        <w:rPr>
          <w:sz w:val="20"/>
          <w:szCs w:val="20"/>
          <w:color w:val="auto"/>
        </w:rPr>
      </w:pPr>
    </w:p>
    <w:p>
      <w:pPr>
        <w:ind w:left="560" w:right="140"/>
        <w:spacing w:after="0" w:line="259" w:lineRule="auto"/>
        <w:rPr>
          <w:sz w:val="20"/>
          <w:szCs w:val="20"/>
          <w:color w:val="auto"/>
        </w:rPr>
      </w:pPr>
      <w:r>
        <w:rPr>
          <w:rFonts w:ascii="Arial" w:cs="Arial" w:eastAsia="Arial" w:hAnsi="Arial"/>
          <w:sz w:val="18"/>
          <w:szCs w:val="18"/>
          <w:b w:val="1"/>
          <w:bCs w:val="1"/>
          <w:i w:val="1"/>
          <w:iCs w:val="1"/>
          <w:color w:val="auto"/>
        </w:rPr>
        <w:t>Disruptions at the FDA, the SEC and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9"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8"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Disruptions at the FDA and other agencies may also slow the time necessary for new drugs or biologics to be reviewed and/or approved by necessary government agencies, which would adversely affect our business. For example, over the last several years, including most recently from December 22, 2018 to January 25, 2019,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92" w:lineRule="exact"/>
        <w:rPr>
          <w:sz w:val="20"/>
          <w:szCs w:val="20"/>
          <w:color w:val="auto"/>
        </w:rPr>
      </w:pPr>
    </w:p>
    <w:p>
      <w:pPr>
        <w:jc w:val="both"/>
        <w:ind w:left="120" w:right="20" w:firstLine="440"/>
        <w:spacing w:after="0" w:line="289" w:lineRule="auto"/>
        <w:rPr>
          <w:sz w:val="20"/>
          <w:szCs w:val="20"/>
          <w:color w:val="auto"/>
        </w:rPr>
      </w:pPr>
      <w:r>
        <w:rPr>
          <w:rFonts w:ascii="Arial" w:cs="Arial" w:eastAsia="Arial" w:hAnsi="Arial"/>
          <w:sz w:val="16"/>
          <w:szCs w:val="16"/>
          <w:color w:val="auto"/>
        </w:rPr>
        <w:t>Separately, in response to the COVID-19 pandemic, on March 10, 2020 the FDA announced its intention to postpone most inspections of foreign manufacturing facilities and products and subsequently,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U.S. may adopt similar restrictions or other policy measures in response to the COVID-19 pandemic and may experience delays in their regulatory activities. If a prolonged government shutdown occurs, or if global health concerns continue to prevent the FDA or other regulatory authorities from conducting business as usual or conducting inspections, reviews or other regulatory activities, it could significantly impact the ability of the FDA to timely review and process our regulatory submissions, which could have a material adverse effect on our business.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Portions of our future clinical trials may be conducted outside of the United States and unfavorable economic conditions resulting in the weakening of the U.S. dollar would make those clinical trials more costly to operate. Furthermore, a severe or prolonged economic downturn, including a recession or depression resulting from the current COVID-19 pandemic or political disruption could result in a variety of risks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to our business, including weakened demand for our product candidates or any future product candidates, if approved, and our ability to raise additional capital when needed on acceptable terms, if at all. A weak or declining economy or political disruption, including any international trade disputes, could also strain our manufacturers or suppliers, possibly resulting in supply disruption, or cause our customers to delay making payments for our potential products. Any of the foregoing could seriously harm our business, and we cannot anticipate all of the ways in which the political or economic climate and financial market conditions could seriously harm our business.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This prospectus contains forward-looking statements that involve substantial risks and uncertainties. The forward-looking statements are contained principally in the sections titled “Prospectus Summary,” “Risk Factors,” “Management’s Discussion and Analysis of Financial Condition and Results of Operations,” “Business” and elsewhere in this prospectus. In some cases, you can identify forward-looking statements by terms such as “may,” “will,” “should,” “expect,” “plan,” “anticipate,” “could,” “intend,” “target,” “project,” “estimate,” “believe,” “predict,” “potential” or “continue” or the negative of these terms or other similar expressions intended to identify statements about the future. These statements speak only as of the date of this prospectus and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include, without limitation, statements about the following:</w:t>
      </w:r>
    </w:p>
    <w:p>
      <w:pPr>
        <w:spacing w:after="0" w:line="100" w:lineRule="exact"/>
        <w:rPr>
          <w:sz w:val="20"/>
          <w:szCs w:val="20"/>
          <w:color w:val="auto"/>
        </w:rPr>
      </w:pPr>
    </w:p>
    <w:p>
      <w:pPr>
        <w:jc w:val="both"/>
        <w:ind w:left="1080" w:right="20" w:hanging="532"/>
        <w:spacing w:after="0" w:line="286" w:lineRule="auto"/>
        <w:tabs>
          <w:tab w:leader="none" w:pos="10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timing, progress and results of our preclinical studies and clinical trials of ADG20 and any future product candidates, including statements regarding the timing of our planned IND submissions, initiation and completion of studies or trials and related preparatory work, the period during which the results of the trials will become available and our research and development programs;</w:t>
      </w:r>
    </w:p>
    <w:p>
      <w:pPr>
        <w:spacing w:after="0" w:line="70"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timing of any submission of filings for regulatory approval of, and our ability to obtain and maintain regulatory approvals for, our current and future product candidates;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manufacturing capabilities and strategy, including the scalability and commercial viability of our manufacturing methods and processes;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our ability to identify patients with the diseases treated by our product candidates and to enroll these patients in our clinical trials;</w:t>
      </w:r>
    </w:p>
    <w:p>
      <w:pPr>
        <w:spacing w:after="0" w:line="142"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market acceptance and opportunity for and clinical utility of our product candidates, if approved for commercial use;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expectations regarding the scope of any approved indication for ADG20 or any other product candidate;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leverage our platform to identify and develop future product candidates;</w:t>
      </w:r>
    </w:p>
    <w:p>
      <w:pPr>
        <w:spacing w:after="0" w:line="130"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estimates of our expenses, ongoing losses, future revenue, capital requirements and our need for or ability to obtain additional funding before we can expect to generate any revenue from product sales and the period over which we expect the net proceeds from this offering, together with our existing cash and cash equivalents, to be sufficient to fund our operations;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expected use of proceeds from this offering;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competitive position and the development of and projections relating to our competitors or our industry; and</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business disruptions affecting our preclinical studies or the initiation, patient enrollment, development and operation of our clinical trials, including a public health crisis, such as the outbreak of COVID-19.</w:t>
      </w:r>
    </w:p>
    <w:p>
      <w:pPr>
        <w:spacing w:after="0" w:line="170"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The foregoing list of forward-looking statements is not exhaustive. You should refer to the “Risk Factors” section of this prospectus for a discussion of important factors that may cause our actual results to differ materially from those expressed or implied by our forward-looking statements. Other sections of this prospectus may include additional factors that could harm our business and financial performance. Moreover, we operate in an evolving environment. New risk factors and uncertainties may emerge from time to time, and it is not possible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for management to predict all risk factors and uncertainties. As a result of these factors, we cannot assure you that the forward-looking statements in this prospectus will prove to be accurate. Except as required by applicable law, we do not plan to publicly update or revise any forward-looking statements contained herein, whether as a result of any new information, future events, changed circumstances or otherwise. You should, however, review the factors and risks and other information we describe in the reports we will file from time to time with the SEC after the date of this prospectus.</w:t>
      </w:r>
    </w:p>
    <w:p>
      <w:pPr>
        <w:spacing w:after="0" w:line="157"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Although we believe that we have a reasonable basis for each forward-looking statement contained in this prospectus, the events and circumstances reflected in our forward-looking statements may not be achieved or occur and actual results could differ materially from those projected in the forward-looking statements.</w:t>
      </w:r>
    </w:p>
    <w:p>
      <w:pPr>
        <w:spacing w:after="0" w:line="15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32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We are responsible for the disclosure contained in this prospectus. However, this prospectus contains industry, statistical and market data derived from our own internal estimates and research as well as from industry and general publications and research, surveys and studies conducted by third parties. The market and industry data used in this prospectus involve a number of assumptions and limitations, and any estimates underlying such market information and other factors, including those described in the section titled “Risk Factors,” could cause actual results to differ materially from those expressed in the third-party estimates and in our estimates.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We estimate that the net proceeds to us from our issuance and sale of 17,700,000 shares of our common stock in this offering will be approximately $276.0 million (or approximately $318.0 million if the underwriters exercise in full their option to purchase up to 2,655,000 additional shares), assuming an initial public offering price of $17.00 per share, which is the midpoint of the estimated price range set forth on the cover page of this prospectus, and after deducting estimated underwriting discounts and commissions and estimated offering expenses payable by us.</w:t>
      </w:r>
    </w:p>
    <w:p>
      <w:pPr>
        <w:spacing w:after="0" w:line="171"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Each $1.00 increase or decrease in the assumed initial public offering price of $17.00 per share, which is the midpoint of the estimated price range set forth on the cover page of this prospectus, would increase or decrease the net proceeds to us from this offering by $16.5 million, assuming the number of shares offered by us, as set forth on the cover page of this prospectus, remains the same and after deducting estimated underwriting discounts and commissions and estimated offering expenses payable by us. Each increase or decrease of 1,000,000 shares in the number of shares offered by us, as set forth on the cover page of this prospectus, would increase or decrease the net proceeds to us from this offering by $15.8 million, assuming no change in the assumed initial public offering price per share and after deducting estimated underwriting discounts and commissions and estimated offering expenses payable by us. We do not expect that a change in the initial public offering price or the number of shares by these amounts would have a material effect on our intended uses of the net proceeds from this offering, although it may impact the amount of time prior to which we may need to seek additional capital.</w:t>
      </w:r>
    </w:p>
    <w:p>
      <w:pPr>
        <w:spacing w:after="0" w:line="18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As of March 31, 2021, we had cash and cash equivalents of $91.2 million. In April 2021, we received gross proceeds of $335.5 million from the issuance and sale of our Series C preferred stock. We intend to use the net proceeds from this offering, together with our existing cash and cash equivalents, as follows:</w:t>
      </w:r>
    </w:p>
    <w:p>
      <w:pPr>
        <w:spacing w:after="0" w:line="89"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approximately $545.0 million to fund clinical development, manufacturing supply and initial commercialization costs for ADG20; and</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remainder for working capital and other general corporate purposes, including development of additional programs in our pipeline.</w:t>
      </w:r>
    </w:p>
    <w:p>
      <w:pPr>
        <w:spacing w:after="0" w:line="23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may also use a portion of the net proceeds from this offering to in-license, acquire or invest in complementary businesses, technologies, products or assets, although we have no current agreements, commitments or understandings to do so.</w:t>
      </w:r>
    </w:p>
    <w:p>
      <w:pPr>
        <w:spacing w:after="0" w:line="170"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We believe that the net proceeds from this offering, together with our existing cash and cash equivalents, which includes the proceeds from the issuance and sale of our Series C preferred stock in April 2021, will enable us to fund our operating expenses and capital expenditure requirements into the first quarter of 2023. Based on our current operational plans and assumptions, we expect the net proceeds from this offering, together with our existing cash and cash equivalents, will be sufficient to complete our ADG20 STAMP treatment trial and the post-exposure prophylaxis portion of the EVADE trial, make related regulatory filings and fund commercial launch. We have based this estimate on assumptions that may prove to be wrong, and we could exhaust our available capital resources sooner than we expect.</w:t>
      </w:r>
    </w:p>
    <w:p>
      <w:pPr>
        <w:spacing w:after="0" w:line="178"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This expected use of the net proceeds from this offering and our existing cash and cash equivalents represents our intentions based upon our current plans and business conditions, which could change in the future as our plans and business conditions evolve. As of the date of this prospectus, we cannot predict with certainty all of the particular uses for the net proceeds to be received upon the closing of this offering or the amounts that we will actually spend on the uses set forth above. The amounts and timing of our actual expenditures may vary significantly depending on numerous factors, including the progress of our development, the status of and results from preclinical studies or clinical trials we have ongoing or may commence in the future, any collaborations that we may enter into with third parties for our product candidates or strategic opportunities that become available to us, as well as any unforeseen cash needs.</w:t>
      </w:r>
    </w:p>
    <w:p>
      <w:pPr>
        <w:spacing w:after="0" w:line="195"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and investors will be relying on the judgment of our management regarding the application of those net proceeds. The timing and amount of our actual expenditures will be based on many factors, including cash flows from operations and the anticipated growth of our business. Pending their use, we plan to invest the net proceeds from this offering in short-term, interest bearing obligations, investment-grade instruments, certificates of deposit or direct or guaranteed obligations of the United States.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40"/>
          </w:cols>
          <w:pgMar w:left="32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We have never declared or paid, and do not anticipate declaring or paying in the foreseeable future, any cash dividends on our capital stock. We currently intend to retain all available funds and any future earnings to support our operations and finance the growth and development of our business.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cash and cash equivalents and our capitalization as of March 31, 2021:</w:t>
      </w:r>
    </w:p>
    <w:p>
      <w:pPr>
        <w:spacing w:after="0" w:line="131"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jc w:val="both"/>
        <w:ind w:left="1080" w:right="20" w:hanging="532"/>
        <w:spacing w:after="0" w:line="279" w:lineRule="auto"/>
        <w:tabs>
          <w:tab w:leader="none" w:pos="10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on a pro forma basis to give effect to (i) our issuance and sale in April 2021 of 4,296,550 shares of our Series C preferred stock for gross proceeds of $335.5 million, (ii) the automatic conversion of all outstanding shares of our preferred stock, including our Series C preferred stock, into an aggregate of 84,722,420 shares of common stock upon the closing of this offering and (iii) the filing and effectiveness of our amended and restated certificate of incorporation in connection with the completion of this offering; and</w:t>
      </w:r>
    </w:p>
    <w:p>
      <w:pPr>
        <w:spacing w:after="0" w:line="76" w:lineRule="exact"/>
        <w:rPr>
          <w:rFonts w:ascii="Arial" w:cs="Arial" w:eastAsia="Arial" w:hAnsi="Arial"/>
          <w:sz w:val="17"/>
          <w:szCs w:val="17"/>
          <w:color w:val="auto"/>
        </w:rPr>
      </w:pPr>
    </w:p>
    <w:p>
      <w:pPr>
        <w:jc w:val="both"/>
        <w:ind w:left="1080" w:right="20" w:hanging="532"/>
        <w:spacing w:after="0" w:line="311"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on a pro forma as adjusted basis to give further effect to our issuance and sale of 17,700,000 shares of our common stock in this offering at an assumed initial public offering price of $17.00 per share, which is the midpoint of the estimated price range set forth on the cover page of this prospectus, after deducting estimated underwriting discounts and commissions and estimated offering expenses payable by us.</w:t>
      </w:r>
    </w:p>
    <w:p>
      <w:pPr>
        <w:spacing w:after="0" w:line="14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You should read the information in this table together with our consolidated financial statements and the related notes appearing at the end of this prospectus and the “Selected Consolidated Financial Data” and “Management’s Discussion and Analysis of Financial Condition and Results of Operations” sections of this prospectus.</w:t>
      </w:r>
    </w:p>
    <w:p>
      <w:pPr>
        <w:spacing w:after="0" w:line="8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3"/>
              </w:rPr>
              <w:t>As of March 31, 2021</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Actual</w:t>
            </w:r>
          </w:p>
        </w:tc>
        <w:tc>
          <w:tcPr>
            <w:tcW w:w="320" w:type="dxa"/>
            <w:vAlign w:val="bottom"/>
          </w:tcPr>
          <w:p>
            <w:pPr>
              <w:spacing w:after="0"/>
              <w:rPr>
                <w:sz w:val="10"/>
                <w:szCs w:val="10"/>
                <w:color w:val="auto"/>
              </w:rPr>
            </w:pPr>
          </w:p>
        </w:tc>
        <w:tc>
          <w:tcPr>
            <w:tcW w:w="116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7"/>
              </w:rPr>
              <w:t>Pro Forma</w:t>
            </w:r>
          </w:p>
        </w:tc>
        <w:tc>
          <w:tcPr>
            <w:tcW w:w="7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Pro Forma</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19"/>
        </w:trPr>
        <w:tc>
          <w:tcPr>
            <w:tcW w:w="78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000" w:type="dxa"/>
            <w:vAlign w:val="bottom"/>
            <w:tcBorders>
              <w:top w:val="single" w:sz="8" w:color="auto"/>
            </w:tcBorders>
            <w:gridSpan w:val="9"/>
          </w:tcPr>
          <w:p>
            <w:pPr>
              <w:jc w:val="center"/>
              <w:ind w:right="10"/>
              <w:spacing w:after="0" w:line="119" w:lineRule="exact"/>
              <w:rPr>
                <w:sz w:val="20"/>
                <w:szCs w:val="20"/>
                <w:color w:val="auto"/>
              </w:rPr>
            </w:pPr>
            <w:r>
              <w:rPr>
                <w:rFonts w:ascii="Arial" w:cs="Arial" w:eastAsia="Arial" w:hAnsi="Arial"/>
                <w:sz w:val="13"/>
                <w:szCs w:val="13"/>
                <w:b w:val="1"/>
                <w:bCs w:val="1"/>
                <w:color w:val="auto"/>
                <w:w w:val="97"/>
              </w:rPr>
              <w:t>(in thousands, except share and per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3"/>
              </w:rPr>
              <w:t>share data)</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91,247</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426,746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702,833</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8"/>
                <w:szCs w:val="18"/>
                <w:color w:val="auto"/>
                <w:w w:val="95"/>
              </w:rPr>
              <w:t>Convertible preferred stock, $0.0001 par value; 12,647,934 shares authorized, issued and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800" w:type="dxa"/>
            <w:vAlign w:val="bottom"/>
          </w:tcPr>
          <w:p>
            <w:pPr>
              <w:ind w:left="180"/>
              <w:spacing w:after="0"/>
              <w:rPr>
                <w:sz w:val="20"/>
                <w:szCs w:val="20"/>
                <w:color w:val="auto"/>
              </w:rPr>
            </w:pPr>
            <w:r>
              <w:rPr>
                <w:rFonts w:ascii="Arial" w:cs="Arial" w:eastAsia="Arial" w:hAnsi="Arial"/>
                <w:sz w:val="18"/>
                <w:szCs w:val="18"/>
                <w:color w:val="auto"/>
              </w:rPr>
              <w:t>actual; no shares authorized, issued or outstanding, pro forma and pro forma as adjusted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169,548</w:t>
            </w:r>
          </w:p>
        </w:tc>
        <w:tc>
          <w:tcPr>
            <w:tcW w:w="10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800" w:type="dxa"/>
            <w:vAlign w:val="bottom"/>
          </w:tcPr>
          <w:p>
            <w:pPr>
              <w:ind w:left="360"/>
              <w:spacing w:after="0" w:line="201" w:lineRule="exact"/>
              <w:rPr>
                <w:sz w:val="20"/>
                <w:szCs w:val="20"/>
                <w:color w:val="auto"/>
              </w:rPr>
            </w:pPr>
            <w:r>
              <w:rPr>
                <w:rFonts w:ascii="Arial" w:cs="Arial" w:eastAsia="Arial" w:hAnsi="Arial"/>
                <w:sz w:val="18"/>
                <w:szCs w:val="18"/>
                <w:color w:val="auto"/>
                <w:w w:val="93"/>
              </w:rPr>
              <w:t>Preferred stock, $0.0001 par value; no shares authorized, issued or outstanding, actual; 10,000,000</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540"/>
              <w:spacing w:after="0"/>
              <w:rPr>
                <w:sz w:val="20"/>
                <w:szCs w:val="20"/>
                <w:color w:val="auto"/>
              </w:rPr>
            </w:pPr>
            <w:r>
              <w:rPr>
                <w:rFonts w:ascii="Arial" w:cs="Arial" w:eastAsia="Arial" w:hAnsi="Arial"/>
                <w:sz w:val="18"/>
                <w:szCs w:val="18"/>
                <w:color w:val="auto"/>
                <w:w w:val="97"/>
              </w:rPr>
              <w:t>shares authorized and no shares issued or outstanding, pro forma and pro forma as adjusted</w:t>
            </w:r>
          </w:p>
        </w:tc>
        <w:tc>
          <w:tcPr>
            <w:tcW w:w="100" w:type="dxa"/>
            <w:vAlign w:val="bottom"/>
          </w:tcPr>
          <w:p>
            <w:pPr>
              <w:spacing w:after="0"/>
              <w:rPr>
                <w:sz w:val="20"/>
                <w:szCs w:val="20"/>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8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Common stock, $0.0001 par value; 150,000,000 shares authorized, 28,193,240 shares issued and</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8"/>
              </w:rPr>
              <w:t>5,593,240 shares outstanding, actual; 1,000,000,000 shares authorized, 112,915,660 shares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issued and 90,315,660 shares outstanding, pro forma; 1,000,000,000 shares authorized,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130,615,660 shares issued and 108,015,660 shares outstanding, pro forma as adjusted</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Treasury stock, at cost; 22,600,000 shares</w:t>
            </w:r>
          </w:p>
        </w:tc>
        <w:tc>
          <w:tcPr>
            <w:tcW w:w="10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(85)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505,780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781,815</w:t>
            </w: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w w:val="88"/>
              </w:rPr>
              <w:t>(104,019)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(104,019)</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(104,019)</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 (deficit)</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8"/>
              </w:rPr>
              <w:t>(103,362)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401,685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677,722</w:t>
            </w:r>
          </w:p>
        </w:tc>
        <w:tc>
          <w:tcPr>
            <w:tcW w:w="0" w:type="dxa"/>
            <w:vAlign w:val="bottom"/>
          </w:tcPr>
          <w:p>
            <w:pPr>
              <w:spacing w:after="0"/>
              <w:rPr>
                <w:sz w:val="1"/>
                <w:szCs w:val="1"/>
                <w:color w:val="auto"/>
              </w:rPr>
            </w:pPr>
          </w:p>
        </w:tc>
      </w:tr>
      <w:tr>
        <w:trPr>
          <w:trHeight w:val="223"/>
        </w:trPr>
        <w:tc>
          <w:tcPr>
            <w:tcW w:w="7800" w:type="dxa"/>
            <w:vAlign w:val="bottom"/>
          </w:tcPr>
          <w:p>
            <w:pPr>
              <w:spacing w:after="0"/>
              <w:rPr>
                <w:sz w:val="20"/>
                <w:szCs w:val="20"/>
                <w:color w:val="auto"/>
              </w:rPr>
            </w:pPr>
            <w:r>
              <w:rPr>
                <w:rFonts w:ascii="Arial" w:cs="Arial" w:eastAsia="Arial" w:hAnsi="Arial"/>
                <w:sz w:val="18"/>
                <w:szCs w:val="18"/>
                <w:color w:val="auto"/>
              </w:rPr>
              <w:t>Total capitalization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66,186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401,685</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677,722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pro forma as adjusted information above is illustrative only, and our capitalization following the completion of this offering will depend on the actual initial public offering price and other terms of this offering determined at pricing. Each $1.00 increase or decrease in the assumed initial public offering price of $17.00 per</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share, which is the midpoint of the estimated price range set forth on the cover page of this prospectus, would increase or decrease the pro forma as adjusted amount of each of cash and cash equivalents, additional paid-in capital, total stockholders’ equity and total capitalization by $16.5 million, assuming the number of shares offered by us, as set forth on the cover page of this prospectus, remains the same and after deducting estimated underwriting discounts and commissions and estimated offering expenses payable by us. Each increase or decrease of 1,000,000 shares in the number of shares offered by us in this offering, as set forth on the cover page of this prospectus, would increase or decrease the pro forma as adjusted amount of each of cash and cash equivalents, additional paid-in capital, total stockholders’ equity and total capitalization by $15.8 million, assuming no change in the assumed initial public offering price per share and after deducting estimated underwriting discounts and commissions and estimated offering expenses payable by us.</w:t>
      </w:r>
    </w:p>
    <w:p>
      <w:pPr>
        <w:spacing w:after="0" w:line="192"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The number of shares of our common stock to be outstanding after this offering is based on 90,315,660 shares of our common stock outstanding as of March 31, 2021, assuming the conversion of all outstanding shares of our preferred stock, including 4,296,550 shares of Series C preferred stock issued in April 2021, into an aggregate of 84,722,420 shares of common stock upon the closing of this offering, and excludes:</w:t>
      </w:r>
    </w:p>
    <w:p>
      <w:pPr>
        <w:spacing w:after="0" w:line="71"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6,000 shares of our common stock issued subsequent to March 31, 2021;</w:t>
      </w:r>
    </w:p>
    <w:p>
      <w:pPr>
        <w:spacing w:after="0" w:line="130" w:lineRule="exact"/>
        <w:rPr>
          <w:rFonts w:ascii="Arial" w:cs="Arial" w:eastAsia="Arial" w:hAnsi="Arial"/>
          <w:sz w:val="18"/>
          <w:szCs w:val="18"/>
          <w:color w:val="auto"/>
        </w:rPr>
      </w:pPr>
    </w:p>
    <w:p>
      <w:pPr>
        <w:jc w:val="both"/>
        <w:ind w:left="1080" w:right="20" w:hanging="532"/>
        <w:spacing w:after="0" w:line="311" w:lineRule="auto"/>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5,366,070 shares of our common stock issuable upon the exercise of options outstanding as of March 31, 2021 under our 2020 Plan, at a weighted-average exercise price of $2.49 per share (which does not include options to purchase an aggregate of 11,427,020 shares of our common stock, at a weighted-average exercise price of $10.86 per share, that were granted subsequent to March 31, 2021);</w:t>
      </w:r>
    </w:p>
    <w:p>
      <w:pPr>
        <w:spacing w:after="0" w:line="54" w:lineRule="exact"/>
        <w:rPr>
          <w:rFonts w:ascii="Arial" w:cs="Arial" w:eastAsia="Arial" w:hAnsi="Arial"/>
          <w:sz w:val="16"/>
          <w:szCs w:val="16"/>
          <w:color w:val="auto"/>
        </w:rPr>
      </w:pPr>
    </w:p>
    <w:p>
      <w:pPr>
        <w:jc w:val="both"/>
        <w:ind w:left="1080" w:right="20" w:hanging="532"/>
        <w:spacing w:after="0" w:line="263"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11,860,995 shares of our common stock available for future issuance as of March 31, 2021 under the 2020 Plan, which such shares will cease to be available for issuance under the 2020 Plan at the time 2021 Plan becomes effective and will be added to, and become available for issuance under, the 2021 Plan;</w:t>
      </w:r>
    </w:p>
    <w:p>
      <w:pPr>
        <w:spacing w:after="0" w:line="89" w:lineRule="exact"/>
        <w:rPr>
          <w:rFonts w:ascii="Arial" w:cs="Arial" w:eastAsia="Arial" w:hAnsi="Arial"/>
          <w:sz w:val="18"/>
          <w:szCs w:val="18"/>
          <w:color w:val="auto"/>
        </w:rPr>
      </w:pPr>
    </w:p>
    <w:p>
      <w:pPr>
        <w:jc w:val="both"/>
        <w:ind w:left="1080" w:right="20" w:hanging="532"/>
        <w:spacing w:after="0" w:line="311" w:lineRule="auto"/>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6,434,485 additional shares of our common stock available for future issuance under our 2020 Plan, which was amended subsequent to March 31, 2021 to increase the shares available under the plan, which such shares will cease to be available for issuance under the 2020 Plan at the time our 2021 Plan becomes effective and will be added to, and become available for issuance under, the 2021 Plan;</w:t>
      </w:r>
    </w:p>
    <w:p>
      <w:pPr>
        <w:spacing w:after="0" w:line="54" w:lineRule="exact"/>
        <w:rPr>
          <w:rFonts w:ascii="Arial" w:cs="Arial" w:eastAsia="Arial" w:hAnsi="Arial"/>
          <w:sz w:val="16"/>
          <w:szCs w:val="16"/>
          <w:color w:val="auto"/>
        </w:rPr>
      </w:pPr>
    </w:p>
    <w:p>
      <w:pPr>
        <w:jc w:val="both"/>
        <w:ind w:left="1080" w:right="20" w:hanging="532"/>
        <w:spacing w:after="0" w:line="286" w:lineRule="auto"/>
        <w:tabs>
          <w:tab w:leader="none" w:pos="10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11,413,572 shares of our common stock that will become available for future issuance under the 2021 Plan, which will become effective immediately prior to and contingent upon the execution of the underwriting agreement related to this offering, as well as any automatic increases in the number of shares of common stock reserved for future issuance under the 2021 Plan; and</w:t>
      </w:r>
    </w:p>
    <w:p>
      <w:pPr>
        <w:spacing w:after="0" w:line="70" w:lineRule="exact"/>
        <w:rPr>
          <w:rFonts w:ascii="Arial" w:cs="Arial" w:eastAsia="Arial" w:hAnsi="Arial"/>
          <w:sz w:val="17"/>
          <w:szCs w:val="17"/>
          <w:color w:val="auto"/>
        </w:rPr>
      </w:pPr>
    </w:p>
    <w:p>
      <w:pPr>
        <w:jc w:val="both"/>
        <w:ind w:left="1080" w:right="20" w:hanging="532"/>
        <w:spacing w:after="0" w:line="259"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1,342,773 shares of our common stock that will become available for future issuance under our 2021 Employee Stock Purchase Plan, or the 2021 ESPP, which will become effective immediately prior to and contingent upon the execution of the underwriting agreement related to this offering, as well as any automatic increases in the number of shares of common stock reserved for future issuance under the 2021 ESPP.</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this offering.</w:t>
      </w:r>
    </w:p>
    <w:p>
      <w:pPr>
        <w:spacing w:after="0" w:line="184"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Our historical net tangible book value (deficit) as of March 31, 2021 was $(103.5) million, or $(18.50) per share of common stock. Our historical net tangible book value (deficit) is the amount of our total tangible assets less our total liabilities and the carrying value of our preferred stock, which is not included within stockholders’ equity (deficit). Historical net tangible book value (deficit) per share represents historical net tangible book value (deficit) divided by the 5,593,240 shares of our common stock outstanding as of March 31, 2021.</w:t>
      </w:r>
    </w:p>
    <w:p>
      <w:pPr>
        <w:spacing w:after="0" w:line="18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Our pro forma net tangible book value as of March 31, 2021 was $401.6 million, or $4.45 per share of common stock. Pro forma net tangible book value represents the amount of our total tangible assets less our total liabilities, after giving effect to (i) our issuance and sale in April 2021 of 4,296,550 shares of our Series C preferred stock for gross proceeds of $335.5 million and (ii) the automatic conversion of all outstanding shares of our preferred stock, including our Series C preferred stock, into an aggregate of 84,722,420 shares of common stock upon the closing of this offering. Pro forma net tangible book value per share represents pro forma net tangible book value divided by the number of shares outstanding as of March 31, 2021, after giving effect to the pro forma adjustments described above.</w:t>
      </w:r>
    </w:p>
    <w:p>
      <w:pPr>
        <w:spacing w:after="0" w:line="192"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After giving further effect to our issuance and sale of 17,700,000 shares of our common stock in this offering at an assumed initial public offering price of $17.00 per share, which is the midpoint of the estimated price range set forth on the cover page of this prospectus, and after deducting estimated underwriting discounts and commissions and estimated offering expenses payable by us, our pro forma as adjusted net tangible book value as of March 31, 2021 would have been $677.7 million, or $6.27 per share. This represents an immediate increase in pro forma as adjusted net tangible book value per share of $1.82 to existing stockholders and immediate dilution of $10.73 in pro forma as adjusted net tangible book value per share to new investors participating in this offering. Dilution per share to new investors is determined by subtracting pro forma as adjusted net tangible book value per share after this offering from the assumed initial public offering price per share paid by new investors. The following table illustrates this dilution on a per share basis: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5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$17.00</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Historical net tangible book value (deficit) per share as of March 31, 2021</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$(18.50)</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per share attributable to the pro forma adjustments described above</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22.95</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9440" w:type="dxa"/>
            <w:vAlign w:val="bottom"/>
          </w:tcPr>
          <w:p>
            <w:pPr>
              <w:ind w:left="360"/>
              <w:spacing w:after="0"/>
              <w:rPr>
                <w:sz w:val="20"/>
                <w:szCs w:val="20"/>
                <w:color w:val="auto"/>
              </w:rPr>
            </w:pPr>
            <w:r>
              <w:rPr>
                <w:rFonts w:ascii="Arial" w:cs="Arial" w:eastAsia="Arial" w:hAnsi="Arial"/>
                <w:sz w:val="18"/>
                <w:szCs w:val="18"/>
                <w:color w:val="auto"/>
              </w:rPr>
              <w:t>Pro forma net tangible book value per share as of March 31, 2021</w:t>
            </w:r>
          </w:p>
        </w:tc>
        <w:tc>
          <w:tcPr>
            <w:tcW w:w="1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Increase in pro forma as adjusted net tangible book value per share attributable to new investors participating in this offering</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1.82</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9440" w:type="dxa"/>
            <w:vAlign w:val="bottom"/>
          </w:tcPr>
          <w:p>
            <w:pPr>
              <w:spacing w:after="0"/>
              <w:rPr>
                <w:sz w:val="20"/>
                <w:szCs w:val="20"/>
                <w:color w:val="auto"/>
              </w:rPr>
            </w:pPr>
            <w:r>
              <w:rPr>
                <w:rFonts w:ascii="Arial" w:cs="Arial" w:eastAsia="Arial" w:hAnsi="Arial"/>
                <w:sz w:val="18"/>
                <w:szCs w:val="18"/>
                <w:color w:val="auto"/>
              </w:rPr>
              <w:t>Pro forma as adjusted net tangible book value per share immediately after this offering</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60" w:type="dxa"/>
            <w:vAlign w:val="bottom"/>
          </w:tcPr>
          <w:p>
            <w:pPr>
              <w:spacing w:after="0"/>
              <w:rPr>
                <w:sz w:val="20"/>
                <w:szCs w:val="20"/>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participating in this offering</w:t>
            </w:r>
          </w:p>
        </w:tc>
        <w:tc>
          <w:tcPr>
            <w:tcW w:w="15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10.73</w:t>
            </w:r>
          </w:p>
        </w:tc>
      </w:tr>
      <w:tr>
        <w:trPr>
          <w:trHeight w:val="20"/>
        </w:trPr>
        <w:tc>
          <w:tcPr>
            <w:tcW w:w="9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The dilution information discussed above is illustrative only and will depend on the actual initial public offering price and other terms of this offering determined at pricing. Each $1.00 increase or decrease in the assumed initial public offering price of $17.00 per share, which is the midpoint of the estimated price range set forth on the cover page of this prospectus, would increase or decrease our pro forma as adjusted net tangible book value per share after this offering by $0.15 and dilution per share to investors participating in this offering by $0.85, assuming that the number of shares offered by us, as set forth on the cover page of this prospectus, remains the same and after deducting estimated underwriting discounts and commissions and estimated offering expenses payable by us. Each increase of 1,000,000 shares in the number of shares offered by us, as set forth on the cover page of this prospectus, would increase our pro forma as adjusted net tangible book value per share</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40"/>
          </w:cols>
          <w:pgMar w:left="32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after this offering by $0.09 and decrease the dilution per share to new investors participating in this offering by $0.09, assuming no change in the assumed initial public offering price per share and after deducting estimated underwriting discounts and commissions and estimated offering expenses payable by us. Each decrease of 1,000,000 shares in the number of shares offered by us, as set forth on the cover page of this prospectus, would decrease our pro forma as adjusted net tangible book value per share after this offering by $0.09 and increase the dilution per share to new investors participating in this offering by $0.09, assuming no change in the assumed initial public offering price after deducting estimated underwriting discounts and commissions and estimated offering expenses payable by us.</w:t>
      </w:r>
    </w:p>
    <w:p>
      <w:pPr>
        <w:spacing w:after="0" w:line="192"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If the underwriters exercise in full their option to purchase additional shares of common stock, our pro forma as adjusted net tangible book value per share after this offering would be $6.50, representing an immediate increase in pro forma as adjusted net tangible book value per share of $2.05 to existing stockholders and immediate dilution in pro forma as adjusted net tangible book value per share of $10.50 to new investors participating in this offering, assuming an initial public offering price of $17.00 per share, which is the midpoint of the estimated price range set forth on the cover page of this prospectus, and after deducting estimated underwriting discounts and commissions and estimated offering expenses payable by us.</w:t>
      </w:r>
    </w:p>
    <w:p>
      <w:pPr>
        <w:spacing w:after="0" w:line="161"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The following table summarizes, as of March 31, 2021, the total number of shares of common stock purchased from us on an as converted to common stock basis, the total consideration and the average price per share (1) paid by existing stockholders and (2) to be paid by new investors participating in this offering at the assumed initial public offering price of $17.00 per share, which is the midpoint of the estimated price range set forth on the cover page of this prospectus, before deducting estimated underwriting discounts and commissions and estimated offering expenses payable by us. As the table shows, new investors participating in this offering will pay an average price per share substantially higher than our existing stockholders paid.</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00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Shares Purchased</w:t>
            </w:r>
          </w:p>
        </w:tc>
        <w:tc>
          <w:tcPr>
            <w:tcW w:w="3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3"/>
            <w:vMerge w:val="restart"/>
          </w:tcPr>
          <w:p>
            <w:pPr>
              <w:jc w:val="right"/>
              <w:ind w:right="335"/>
              <w:spacing w:after="0"/>
              <w:rPr>
                <w:sz w:val="20"/>
                <w:szCs w:val="20"/>
                <w:color w:val="auto"/>
              </w:rPr>
            </w:pPr>
            <w:r>
              <w:rPr>
                <w:rFonts w:ascii="Arial" w:cs="Arial" w:eastAsia="Arial" w:hAnsi="Arial"/>
                <w:sz w:val="14"/>
                <w:szCs w:val="14"/>
                <w:b w:val="1"/>
                <w:bCs w:val="1"/>
                <w:color w:val="auto"/>
              </w:rPr>
              <w:t>Total Consideration</w:t>
            </w:r>
          </w:p>
        </w:tc>
        <w:tc>
          <w:tcPr>
            <w:tcW w:w="3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82"/>
        </w:trPr>
        <w:tc>
          <w:tcPr>
            <w:tcW w:w="5340" w:type="dxa"/>
            <w:vAlign w:val="bottom"/>
          </w:tcPr>
          <w:p>
            <w:pPr>
              <w:spacing w:after="0"/>
              <w:rPr>
                <w:sz w:val="6"/>
                <w:szCs w:val="6"/>
                <w:color w:val="auto"/>
              </w:rPr>
            </w:pPr>
          </w:p>
        </w:tc>
        <w:tc>
          <w:tcPr>
            <w:tcW w:w="2000" w:type="dxa"/>
            <w:vAlign w:val="bottom"/>
            <w:tcBorders>
              <w:bottom w:val="single" w:sz="8" w:color="auto"/>
            </w:tcBorders>
            <w:gridSpan w:val="3"/>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2040" w:type="dxa"/>
            <w:vAlign w:val="bottom"/>
            <w:tcBorders>
              <w:bottom w:val="single" w:sz="8" w:color="auto"/>
            </w:tcBorders>
            <w:gridSpan w:val="3"/>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52"/>
        </w:trPr>
        <w:tc>
          <w:tcPr>
            <w:tcW w:w="5340" w:type="dxa"/>
            <w:vAlign w:val="bottom"/>
          </w:tcPr>
          <w:p>
            <w:pPr>
              <w:spacing w:after="0"/>
              <w:rPr>
                <w:sz w:val="4"/>
                <w:szCs w:val="4"/>
                <w:color w:val="auto"/>
              </w:rPr>
            </w:pPr>
          </w:p>
        </w:tc>
        <w:tc>
          <w:tcPr>
            <w:tcW w:w="96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Number</w:t>
            </w:r>
          </w:p>
        </w:tc>
        <w:tc>
          <w:tcPr>
            <w:tcW w:w="360" w:type="dxa"/>
            <w:vAlign w:val="bottom"/>
            <w:vMerge w:val="restart"/>
          </w:tcPr>
          <w:p>
            <w:pPr>
              <w:spacing w:after="0"/>
              <w:rPr>
                <w:sz w:val="4"/>
                <w:szCs w:val="4"/>
                <w:color w:val="auto"/>
              </w:rPr>
            </w:pPr>
          </w:p>
        </w:tc>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Percentage</w:t>
            </w:r>
          </w:p>
        </w:tc>
        <w:tc>
          <w:tcPr>
            <w:tcW w:w="320" w:type="dxa"/>
            <w:vAlign w:val="bottom"/>
            <w:vMerge w:val="restart"/>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Amount</w:t>
            </w:r>
          </w:p>
        </w:tc>
        <w:tc>
          <w:tcPr>
            <w:tcW w:w="340" w:type="dxa"/>
            <w:vAlign w:val="bottom"/>
            <w:vMerge w:val="restart"/>
          </w:tcPr>
          <w:p>
            <w:pPr>
              <w:spacing w:after="0"/>
              <w:rPr>
                <w:sz w:val="4"/>
                <w:szCs w:val="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Percentage</w:t>
            </w:r>
          </w:p>
        </w:tc>
        <w:tc>
          <w:tcPr>
            <w:tcW w:w="320" w:type="dxa"/>
            <w:vAlign w:val="bottom"/>
            <w:vMerge w:val="restart"/>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53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CCEEFF"/>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CEEFF"/>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7"/>
              </w:rPr>
              <w:t>Share</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90,315,660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83.6%</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$465,410,461</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Investors participating in this offering</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17,700,000</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16.4</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300,900,000</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39.3</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108,015,660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766,310,461</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Each $1.00 increase or decrease in the assumed initial public offering price of $17.00 per share, which is the midpoint of the estimated price range set forth on the cover page of this prospectus, would increase or decrease the total consideration paid by new investors participating in this offering by $17.7 million and, in the case of an increase, would increase the percentage of total consideration paid by new investors participating in this offering by 1.4 percentage points and, in the case of a decrease, would decrease the percentage of total consideration paid by new investors by 1.4 percentage points, assuming that the number of shares offered by us, as set forth on the cover page of this prospectus, remains the same. Each increase or decrease of 1,000,000 shares in the number of shares offered by us, as set forth on the cover page of this prospectus, would increase or decrease the total consideration paid by new investors participating in this offering by $17.0 million and, in the case of an increase, would increase the percentage of total consideration paid by new investors by 1.3 percentage points and, in the case of a decrease, would decrease the percentage of total consideration paid by new investors by 1.4 percentage points, assuming no change in the assumed initial public offering price per share.</w:t>
      </w:r>
    </w:p>
    <w:p>
      <w:pPr>
        <w:spacing w:after="0" w:line="166"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The table assumes no exercise of the underwriters’ option to purchase additional shares in this offering. If the underwriters exercise in full their option to purchase additional shares of our common stock, the number of shares of our common stock held by existing stockholders would be reduced to 81.6% of the total number of shares of our common stock outstanding after this offering, and the number of shares of common stock held by new investors participating in this offering would be increased to 18.4% of the total number of shares of our common stock outstanding after this offering.</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32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The number of shares of our common stock to be outstanding after this offering is based on 90,315,660 shares of our common stock outstanding as of March 31, 2021, assuming the conversion of all outstanding shares of our preferred stock, including 4,296,550 shares of Series C preferred stock issued in April 2021, into an aggregate of 84,722,420 shares of common stock upon the closing of this offering, and excludes:</w:t>
      </w:r>
    </w:p>
    <w:p>
      <w:pPr>
        <w:spacing w:after="0" w:line="71"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6,000 shares of our common stock issued subsequent to March 31, 2021;</w:t>
      </w:r>
    </w:p>
    <w:p>
      <w:pPr>
        <w:spacing w:after="0" w:line="130" w:lineRule="exact"/>
        <w:rPr>
          <w:rFonts w:ascii="Arial" w:cs="Arial" w:eastAsia="Arial" w:hAnsi="Arial"/>
          <w:sz w:val="18"/>
          <w:szCs w:val="18"/>
          <w:color w:val="auto"/>
        </w:rPr>
      </w:pPr>
    </w:p>
    <w:p>
      <w:pPr>
        <w:jc w:val="both"/>
        <w:ind w:left="1080" w:right="20" w:hanging="532"/>
        <w:spacing w:after="0" w:line="311"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5,366,070 shares of our common stock issuable upon the exercise of options outstanding as of March 31, 2021 under the 2020 Plan, at a weighted-average exercise price of $2.49 per share (which does not include options to purchase an aggregate of 11,427,020 shares of our common stock, at a weighted-average exercise price of $10.86 per share, that were granted subsequent to March 31, 2021);</w:t>
      </w:r>
    </w:p>
    <w:p>
      <w:pPr>
        <w:spacing w:after="0" w:line="54" w:lineRule="exact"/>
        <w:rPr>
          <w:rFonts w:ascii="Arial" w:cs="Arial" w:eastAsia="Arial" w:hAnsi="Arial"/>
          <w:sz w:val="16"/>
          <w:szCs w:val="16"/>
          <w:color w:val="auto"/>
        </w:rPr>
      </w:pPr>
    </w:p>
    <w:p>
      <w:pPr>
        <w:jc w:val="both"/>
        <w:ind w:left="1080" w:hanging="532"/>
        <w:spacing w:after="0" w:line="263"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11,860,995 shares of our common stock available for future issuance as of March 31, 2021 under the 2020 Plan, which such shares will cease to be available for issuance under the 2020 Plan at the time our 2021 Equity Incentive Plan, or the 2021 Plan, becomes effective and will be added to, and become available for issuance under, the 2021 Plan;</w:t>
      </w:r>
    </w:p>
    <w:p>
      <w:pPr>
        <w:spacing w:after="0" w:line="89" w:lineRule="exact"/>
        <w:rPr>
          <w:rFonts w:ascii="Arial" w:cs="Arial" w:eastAsia="Arial" w:hAnsi="Arial"/>
          <w:sz w:val="18"/>
          <w:szCs w:val="18"/>
          <w:color w:val="auto"/>
        </w:rPr>
      </w:pPr>
    </w:p>
    <w:p>
      <w:pPr>
        <w:jc w:val="both"/>
        <w:ind w:left="1080" w:right="20" w:hanging="532"/>
        <w:spacing w:after="0" w:line="311"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6,434,485 additional shares of our common stock available for future issuance under our 2020 Plan, which was amended subsequent to March 31, 2021 to increase the shares available under the plan, which such shares will cease to be available for issuance under the 2020 Plan at the time our 2021 Plan becomes effective and will be added to, and become available for issuance under, the 2021 Plan;</w:t>
      </w:r>
    </w:p>
    <w:p>
      <w:pPr>
        <w:spacing w:after="0" w:line="54" w:lineRule="exact"/>
        <w:rPr>
          <w:rFonts w:ascii="Arial" w:cs="Arial" w:eastAsia="Arial" w:hAnsi="Arial"/>
          <w:sz w:val="16"/>
          <w:szCs w:val="16"/>
          <w:color w:val="auto"/>
        </w:rPr>
      </w:pPr>
    </w:p>
    <w:p>
      <w:pPr>
        <w:jc w:val="both"/>
        <w:ind w:left="1080" w:right="20" w:hanging="532"/>
        <w:spacing w:after="0" w:line="286" w:lineRule="auto"/>
        <w:tabs>
          <w:tab w:leader="none" w:pos="10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11,413,572 shares of our common stock that will become available for future issuance under the 2021 Plan, which will become effective immediately prior to and contingent upon the execution of the underwriting agreement related to this offering, as well as any automatic increases in the number of shares of common stock reserved for future issuance under the 2021 Plan; and</w:t>
      </w:r>
    </w:p>
    <w:p>
      <w:pPr>
        <w:spacing w:after="0" w:line="70" w:lineRule="exact"/>
        <w:rPr>
          <w:rFonts w:ascii="Arial" w:cs="Arial" w:eastAsia="Arial" w:hAnsi="Arial"/>
          <w:sz w:val="17"/>
          <w:szCs w:val="17"/>
          <w:color w:val="auto"/>
        </w:rPr>
      </w:pPr>
    </w:p>
    <w:p>
      <w:pPr>
        <w:jc w:val="both"/>
        <w:ind w:left="1080" w:right="20" w:hanging="532"/>
        <w:spacing w:after="0" w:line="286" w:lineRule="auto"/>
        <w:tabs>
          <w:tab w:leader="none" w:pos="10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1,342,773 shares of our common stock that will become available for future issuance under the 2021 ESPP, which will become effective immediately prior to and contingent upon the execution of the underwriting agreement related to this offering, as well as any automatic increases in the number of shares of common stock reserved for future issuance under the 2021 ESPP.</w:t>
      </w:r>
    </w:p>
    <w:p>
      <w:pPr>
        <w:spacing w:after="0" w:line="165"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To the extent that outstanding stock options are exercised, new stock options or warrants are issued, or we issue additional shares of common stock, other equity securities or convertible debt securities in the future, there will be further dilution to our stockholders, including new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 including new investors participating in this offering.</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i w:val="1"/>
          <w:iCs w:val="1"/>
          <w:color w:val="auto"/>
        </w:rPr>
        <w:t>You should read the following selected consolidated financial data together with our consolidated financial statements and the related notes appearing at the end of this prospectus and the “Management’s Discussion and Analysis of Financial Condition and Results of Operations” section of this prospectus. We have derived the consolidated statement of operations data for the period from June 3, 2020 (inception) to December 31, 2020 and the consolidated balance sheet data as of December 31, 2020 from our audited consolidated financial statements appearing at the end of this prospectus. The consolidated statement of operations data for the three months ended March 31, 2021 and the consolidated balance sheet data as of March 31, 2021 have been derived from our unaudited consolidated financial statements appearing at the end of this prospectus and have been prepared on the same basis as the audited consolidated financial statements. In the opinion of management, the unaudited data reflect all adjustments, consisting only of normal recurring adjustments, necessary for a fair statement of the financial information in those statements. Our historical results are not necessarily indicative of the results that may be expected in any future period.</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Period from</w:t>
            </w:r>
          </w:p>
        </w:tc>
        <w:tc>
          <w:tcPr>
            <w:tcW w:w="360" w:type="dxa"/>
            <w:vAlign w:val="bottom"/>
          </w:tcPr>
          <w:p>
            <w:pPr>
              <w:spacing w:after="0"/>
              <w:rPr>
                <w:sz w:val="14"/>
                <w:szCs w:val="14"/>
                <w:color w:val="auto"/>
              </w:rPr>
            </w:pPr>
          </w:p>
        </w:tc>
        <w:tc>
          <w:tcPr>
            <w:tcW w:w="10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8"/>
              </w:rPr>
              <w:t>Three Months</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June 3, 2020</w:t>
            </w:r>
          </w:p>
        </w:tc>
        <w:tc>
          <w:tcPr>
            <w:tcW w:w="3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3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0" w:type="dxa"/>
            <w:vAlign w:val="bottom"/>
            <w:tcBorders>
              <w:top w:val="single" w:sz="8" w:color="auto"/>
            </w:tcBorders>
            <w:gridSpan w:val="5"/>
          </w:tcPr>
          <w:p>
            <w:pPr>
              <w:jc w:val="right"/>
              <w:ind w:right="251"/>
              <w:spacing w:after="0" w:line="142" w:lineRule="exact"/>
              <w:rPr>
                <w:sz w:val="20"/>
                <w:szCs w:val="20"/>
                <w:color w:val="auto"/>
              </w:rPr>
            </w:pPr>
            <w:r>
              <w:rPr>
                <w:rFonts w:ascii="Arial" w:cs="Arial" w:eastAsia="Arial" w:hAnsi="Arial"/>
                <w:sz w:val="14"/>
                <w:szCs w:val="14"/>
                <w:b w:val="1"/>
                <w:bCs w:val="1"/>
                <w:color w:val="auto"/>
                <w:w w:val="98"/>
              </w:rPr>
              <w:t>(in thousands, except per share data)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21,992</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34,032</w:t>
            </w:r>
          </w:p>
        </w:tc>
        <w:tc>
          <w:tcPr>
            <w:tcW w:w="0" w:type="dxa"/>
            <w:vAlign w:val="bottom"/>
          </w:tcPr>
          <w:p>
            <w:pPr>
              <w:spacing w:after="0"/>
              <w:rPr>
                <w:sz w:val="1"/>
                <w:szCs w:val="1"/>
                <w:color w:val="auto"/>
              </w:rPr>
            </w:pPr>
          </w:p>
        </w:tc>
      </w:tr>
      <w:tr>
        <w:trPr>
          <w:trHeight w:val="216"/>
        </w:trPr>
        <w:tc>
          <w:tcPr>
            <w:tcW w:w="7520" w:type="dxa"/>
            <w:vAlign w:val="bottom"/>
            <w:gridSpan w:val="2"/>
          </w:tcPr>
          <w:p>
            <w:pPr>
              <w:ind w:left="360"/>
              <w:spacing w:after="0"/>
              <w:rPr>
                <w:sz w:val="20"/>
                <w:szCs w:val="20"/>
                <w:color w:val="auto"/>
              </w:rPr>
            </w:pPr>
            <w:r>
              <w:rPr>
                <w:rFonts w:ascii="Arial" w:cs="Arial" w:eastAsia="Arial" w:hAnsi="Arial"/>
                <w:sz w:val="18"/>
                <w:szCs w:val="18"/>
                <w:color w:val="auto"/>
              </w:rPr>
              <w:t>Acquired in-process research and development</w:t>
            </w:r>
            <w:r>
              <w:rPr>
                <w:rFonts w:ascii="Arial" w:cs="Arial" w:eastAsia="Arial" w:hAnsi="Arial"/>
                <w:sz w:val="15"/>
                <w:szCs w:val="15"/>
                <w:color w:val="auto"/>
              </w:rPr>
              <w:t>(2)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40,125</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3,210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3,677</w:t>
            </w:r>
          </w:p>
        </w:tc>
        <w:tc>
          <w:tcPr>
            <w:tcW w:w="0" w:type="dxa"/>
            <w:vAlign w:val="bottom"/>
          </w:tcPr>
          <w:p>
            <w:pPr>
              <w:spacing w:after="0"/>
              <w:rPr>
                <w:sz w:val="1"/>
                <w:szCs w:val="1"/>
                <w:color w:val="auto"/>
              </w:rPr>
            </w:pPr>
          </w:p>
        </w:tc>
      </w:tr>
      <w:tr>
        <w:trPr>
          <w:trHeight w:val="230"/>
        </w:trPr>
        <w:tc>
          <w:tcPr>
            <w:tcW w:w="7520" w:type="dxa"/>
            <w:vAlign w:val="bottom"/>
            <w:gridSpan w:val="2"/>
          </w:tcPr>
          <w:p>
            <w:pPr>
              <w:ind w:left="720"/>
              <w:spacing w:after="0"/>
              <w:rPr>
                <w:sz w:val="20"/>
                <w:szCs w:val="20"/>
                <w:color w:val="auto"/>
              </w:rPr>
            </w:pPr>
            <w:r>
              <w:rPr>
                <w:rFonts w:ascii="Arial" w:cs="Arial" w:eastAsia="Arial" w:hAnsi="Arial"/>
                <w:sz w:val="18"/>
                <w:szCs w:val="18"/>
                <w:color w:val="auto"/>
              </w:rPr>
              <w:t>Total operating expenses</w:t>
            </w: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65,327</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(65,327)</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(38,709)</w:t>
            </w:r>
          </w:p>
        </w:tc>
        <w:tc>
          <w:tcPr>
            <w:tcW w:w="0" w:type="dxa"/>
            <w:vAlign w:val="bottom"/>
          </w:tcPr>
          <w:p>
            <w:pPr>
              <w:spacing w:after="0"/>
              <w:rPr>
                <w:sz w:val="1"/>
                <w:szCs w:val="1"/>
                <w:color w:val="auto"/>
              </w:rPr>
            </w:pPr>
          </w:p>
        </w:tc>
      </w:tr>
      <w:tr>
        <w:trPr>
          <w:trHeight w:val="223"/>
        </w:trPr>
        <w:tc>
          <w:tcPr>
            <w:tcW w:w="752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7520" w:type="dxa"/>
            <w:vAlign w:val="bottom"/>
            <w:gridSpan w:val="2"/>
          </w:tcPr>
          <w:p>
            <w:pPr>
              <w:ind w:left="720"/>
              <w:spacing w:after="0"/>
              <w:rPr>
                <w:sz w:val="20"/>
                <w:szCs w:val="20"/>
                <w:color w:val="auto"/>
              </w:rPr>
            </w:pPr>
            <w:r>
              <w:rPr>
                <w:rFonts w:ascii="Arial" w:cs="Arial" w:eastAsia="Arial" w:hAnsi="Arial"/>
                <w:sz w:val="18"/>
                <w:szCs w:val="18"/>
                <w:color w:val="auto"/>
              </w:rPr>
              <w:t>Total other income</w:t>
            </w: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(65,319)</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(38,700)</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 diluted</w:t>
            </w:r>
            <w:r>
              <w:rPr>
                <w:rFonts w:ascii="Arial" w:cs="Arial" w:eastAsia="Arial" w:hAnsi="Arial"/>
                <w:sz w:val="15"/>
                <w:szCs w:val="15"/>
                <w:color w:val="auto"/>
              </w:rPr>
              <w:t>(3)</w:t>
            </w: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outstanding, basic and diluted</w:t>
            </w:r>
            <w:r>
              <w:rPr>
                <w:rFonts w:ascii="Arial" w:cs="Arial" w:eastAsia="Arial" w:hAnsi="Arial"/>
                <w:sz w:val="15"/>
                <w:szCs w:val="15"/>
                <w:color w:val="auto"/>
              </w:rPr>
              <w:t>(3)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color w:val="auto"/>
                <w:w w:val="96"/>
              </w:rPr>
              <w:t>Pro forma net loss per share attributable to common stockholders, basic and diluted (unaudited)</w:t>
            </w:r>
            <w:r>
              <w:rPr>
                <w:rFonts w:ascii="Arial" w:cs="Arial" w:eastAsia="Arial" w:hAnsi="Arial"/>
                <w:sz w:val="15"/>
                <w:szCs w:val="15"/>
                <w:color w:val="auto"/>
                <w:w w:val="96"/>
              </w:rPr>
              <w:t>(4)</w:t>
            </w: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weighted-average common shares outstanding, basic and diluted (unaudited)</w:t>
            </w:r>
            <w:r>
              <w:rPr>
                <w:rFonts w:ascii="Arial" w:cs="Arial" w:eastAsia="Arial" w:hAnsi="Arial"/>
                <w:sz w:val="15"/>
                <w:szCs w:val="15"/>
                <w:color w:val="auto"/>
              </w:rPr>
              <w:t>(4)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52,167</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63,240</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6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20" w:hanging="424"/>
        <w:spacing w:after="0" w:line="274" w:lineRule="auto"/>
        <w:tabs>
          <w:tab w:leader="none" w:pos="5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Includes related-party amounts of $0.6 million for the period from June 3, 2020 (inception) to December 31, 2020 and $0.2 million for the three months ended March 31, 2021. See Note 6 to our consolidated financial statements appearing at the end of this prospectus.</w:t>
      </w:r>
    </w:p>
    <w:p>
      <w:pPr>
        <w:ind w:left="540" w:hanging="424"/>
        <w:spacing w:after="0" w:line="265" w:lineRule="auto"/>
        <w:tabs>
          <w:tab w:leader="none" w:pos="5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Includes related-party amounts of $39.9 million for the period from June 3, 2020 (inception) to December 31, 2020 and $1.0 million for the three months ended March 31, 2021. See Note 6 to our consolidated financial statements appearing at the end of this prospectus.</w:t>
      </w:r>
    </w:p>
    <w:p>
      <w:pPr>
        <w:ind w:left="540" w:right="20" w:hanging="424"/>
        <w:spacing w:after="0" w:line="250"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See Note 13 to our consolidated financial statements appearing at the end of this prospectus for details on the calculation of basic and diluted net loss per share attributable to common stockholders.</w:t>
      </w:r>
    </w:p>
    <w:p>
      <w:pPr>
        <w:jc w:val="both"/>
        <w:ind w:left="540" w:right="20" w:hanging="424"/>
        <w:spacing w:after="0" w:line="255"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 forma basic and diluted net loss per share attributable to common stockholders has been prepared to give effect to adjustments to our capital structure arising in connection with the completion of this offering and is calculated by dividing the pro forma net loss attributable to common stockholders by the pro forma</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right="20"/>
        <w:spacing w:after="0" w:line="254" w:lineRule="auto"/>
        <w:rPr>
          <w:sz w:val="20"/>
          <w:szCs w:val="20"/>
          <w:color w:val="auto"/>
        </w:rPr>
      </w:pPr>
      <w:r>
        <w:rPr>
          <w:rFonts w:ascii="Arial" w:cs="Arial" w:eastAsia="Arial" w:hAnsi="Arial"/>
          <w:sz w:val="18"/>
          <w:szCs w:val="18"/>
          <w:color w:val="auto"/>
        </w:rPr>
        <w:t>weighted-average common shares outstanding for the period. Pro forma net loss attributable to common stockholders is the same as the amount of net loss attributable to common stockholders for each period presented. Pro forma weighted-average common shares outstanding is computed by adjusting the weighted-average common shares outstanding to give pro forma effect to the automatic conversion of all shares of our preferred stock outstanding as of December 31, 2020 and March 31, 2021 into shares of common stock as if this offering had occurred on the later of June 3, 2020 (inception) or the issuance date of the preferred stock. Pro forma basic and diluted net loss per share attributable to common stockholders does not include the effect of the shares of Series C preferred stock we issued and sold in April 2021 and the shares expected to be sold in this offering.</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jc w:val="right"/>
              <w:ind w:right="1175"/>
              <w:spacing w:after="0"/>
              <w:rPr>
                <w:sz w:val="20"/>
                <w:szCs w:val="20"/>
                <w:color w:val="auto"/>
              </w:rPr>
            </w:pPr>
            <w:r>
              <w:rPr>
                <w:rFonts w:ascii="Arial" w:cs="Arial" w:eastAsia="Arial" w:hAnsi="Arial"/>
                <w:sz w:val="14"/>
                <w:szCs w:val="14"/>
                <w:b w:val="1"/>
                <w:bCs w:val="1"/>
                <w:color w:val="auto"/>
              </w:rPr>
              <w:t>As of</w:t>
            </w:r>
          </w:p>
        </w:tc>
        <w:tc>
          <w:tcPr>
            <w:tcW w:w="26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As of</w:t>
            </w:r>
          </w:p>
        </w:tc>
      </w:tr>
      <w:tr>
        <w:trPr>
          <w:trHeight w:val="171"/>
        </w:trPr>
        <w:tc>
          <w:tcPr>
            <w:tcW w:w="7880" w:type="dxa"/>
            <w:vAlign w:val="bottom"/>
          </w:tcPr>
          <w:p>
            <w:pPr>
              <w:spacing w:after="0"/>
              <w:rPr>
                <w:sz w:val="14"/>
                <w:szCs w:val="14"/>
                <w:color w:val="auto"/>
              </w:rPr>
            </w:pPr>
          </w:p>
        </w:tc>
        <w:tc>
          <w:tcPr>
            <w:tcW w:w="200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 2021</w:t>
            </w:r>
          </w:p>
        </w:tc>
      </w:tr>
      <w:tr>
        <w:trPr>
          <w:trHeight w:val="142"/>
        </w:trPr>
        <w:tc>
          <w:tcPr>
            <w:tcW w:w="78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755"/>
              <w:spacing w:after="0"/>
              <w:rPr>
                <w:sz w:val="20"/>
                <w:szCs w:val="20"/>
                <w:color w:val="auto"/>
              </w:rPr>
            </w:pPr>
            <w:r>
              <w:rPr>
                <w:rFonts w:ascii="Arial" w:cs="Arial" w:eastAsia="Arial" w:hAnsi="Arial"/>
                <w:sz w:val="18"/>
                <w:szCs w:val="18"/>
                <w:color w:val="auto"/>
              </w:rPr>
              <w:t>114,988</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91,247</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auto"/>
              </w:rPr>
              <w:t>104,310</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66,197</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18"/>
                <w:szCs w:val="18"/>
                <w:color w:val="auto"/>
              </w:rPr>
            </w:pPr>
          </w:p>
        </w:tc>
        <w:tc>
          <w:tcPr>
            <w:tcW w:w="1740" w:type="dxa"/>
            <w:vAlign w:val="bottom"/>
          </w:tcPr>
          <w:p>
            <w:pPr>
              <w:jc w:val="right"/>
              <w:ind w:right="755"/>
              <w:spacing w:after="0"/>
              <w:rPr>
                <w:sz w:val="20"/>
                <w:szCs w:val="20"/>
                <w:color w:val="auto"/>
              </w:rPr>
            </w:pPr>
            <w:r>
              <w:rPr>
                <w:rFonts w:ascii="Arial" w:cs="Arial" w:eastAsia="Arial" w:hAnsi="Arial"/>
                <w:sz w:val="18"/>
                <w:szCs w:val="18"/>
                <w:color w:val="auto"/>
              </w:rPr>
              <w:t>117,382</w:t>
            </w:r>
          </w:p>
        </w:tc>
        <w:tc>
          <w:tcPr>
            <w:tcW w:w="2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94,874</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auto"/>
              </w:rPr>
              <w:t>169,548</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169,548</w:t>
            </w: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260" w:type="dxa"/>
            <w:vAlign w:val="bottom"/>
          </w:tcPr>
          <w:p>
            <w:pPr>
              <w:spacing w:after="0"/>
              <w:rPr>
                <w:sz w:val="20"/>
                <w:szCs w:val="20"/>
                <w:color w:val="auto"/>
              </w:rPr>
            </w:pPr>
          </w:p>
        </w:tc>
        <w:tc>
          <w:tcPr>
            <w:tcW w:w="1740" w:type="dxa"/>
            <w:vAlign w:val="bottom"/>
          </w:tcPr>
          <w:p>
            <w:pPr>
              <w:jc w:val="right"/>
              <w:ind w:right="695"/>
              <w:spacing w:after="0"/>
              <w:rPr>
                <w:sz w:val="20"/>
                <w:szCs w:val="20"/>
                <w:color w:val="auto"/>
              </w:rPr>
            </w:pPr>
            <w:r>
              <w:rPr>
                <w:rFonts w:ascii="Arial" w:cs="Arial" w:eastAsia="Arial" w:hAnsi="Arial"/>
                <w:sz w:val="18"/>
                <w:szCs w:val="18"/>
                <w:color w:val="auto"/>
              </w:rPr>
              <w:t>(65,249)</w:t>
            </w:r>
          </w:p>
        </w:tc>
        <w:tc>
          <w:tcPr>
            <w:tcW w:w="26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(103,362)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the “Selected Consolidated Financial Data” section of this prospectus and our consolidated financial statements and related notes appearing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We are a clinical-stage biopharmaceutical company focused on the discovery, development and commercialization of antibody-based solutions for infectious diseases with pandemic potential. We are developing our lead product candidate, ADG20, for the treatment and prevention of coronavirus disease 2019, or COVID-19, the disease caused by the virus SARS-CoV-2 and its variants. COVID-19 has caused the current global pandemic that remains a significant global health crisis and has resulted in millions of deaths and lasting health problems in many survivors. We believe that COVID-19 will become an endemic disease requiring a variety of effective, safe and convenient treatment and prevention options for years to come. We aim to address COVID-19 and future potential viral outbreaks by building a portfolio of antibodies with broadly neutralizing activity against multiple members of the coronavirus family or additional viruses with pandemic potential. Our portfolio of antibodies was discovered by Adimab, LLC, or Adimab, an industry leader in translating target hypotheses into therapeutically relevant antibodies with their proprietary platform, which has resulted in more than 385 antibody discovery programs.</w:t>
      </w:r>
    </w:p>
    <w:p>
      <w:pPr>
        <w:spacing w:after="0" w:line="181"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ADG20 is designed to be a potent, long-acting and broadly neutralizing antibody for both the treatment and prevention of COVID-19 as either a single or combination agent. Unlike other antibody-based therapies specifically targeting SARS-CoV-2, ADG20 has demonstrated an ability in non-clinical studies to neutralize SARS-CoV-2, including variants of concern, as well as a broad range of SARS-like viruses with neutralization potency at IC</w:t>
      </w:r>
      <w:r>
        <w:rPr>
          <w:rFonts w:ascii="Arial" w:cs="Arial" w:eastAsia="Arial" w:hAnsi="Arial"/>
          <w:sz w:val="14"/>
          <w:szCs w:val="14"/>
          <w:color w:val="auto"/>
        </w:rPr>
        <w:t>50</w:t>
      </w:r>
      <w:r>
        <w:rPr>
          <w:rFonts w:ascii="Arial" w:cs="Arial" w:eastAsia="Arial" w:hAnsi="Arial"/>
          <w:sz w:val="17"/>
          <w:szCs w:val="17"/>
          <w:color w:val="auto"/>
        </w:rPr>
        <w:t xml:space="preserve"> (half maximal inhibitory concentrations) of approximately 0.01 mcg/mL or less in live-virus cellular assays. We believe this demonstrated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neutralization activity will translate into the ability to conveniently deliver ADG20 as a single intramuscular, or IM, injection. We believe these and other attributes of ADG20 differentiate it from other antibodies that are either available under Emergency Use Authorization, or EUA, or in development to address COVID-19. We have completed enrollment in our first-in-human Phase 1 clinical trial of ADG20. Interim data demonstrated that ADG20 was well tolerated and displayed a pharmacokinetic profile consistent with an extended half-life monoclonal antibody, or mAb. Serum virus neutralizing antibody titers measured the day following administration of ADG20 were similar to or exceeded peak serum neutralizing antibody titers generated after two doses of mRNA or adenovirus-based COVID-19 vaccines. Based on these data, we are conducting two separate Phase 2/3 clinical trials: our STAMP trial to evaluate ADG20 for the treatment of COVID-19 and our EVADE trial to evaluate ADG20 for the prevention of COVID-19. Additionally, our portfolio includes multiple broadly neutralizing antibodies, including ADG10, for potential use with ADG20 as a combination therapy for the treatment and prevention of COVID-19 and future coronavirus outbreaks.</w:t>
      </w:r>
    </w:p>
    <w:p>
      <w:pPr>
        <w:spacing w:after="0" w:line="186"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We were formed in June 2020. In July 2020, we entered into an assignment and license agreement, or the Adimab Assignment Agreement, with Adimab, pursuant to which we acquired certain rights to Adimab’s antibodies relating to COVID-19 and severe acute respiratory syndrome, or SARS, as well as related provisional patent applications, know-how and data generated with respect to the associated antibodies. In addition, Adimab granted to us a non-exclusive, worldwide license to certain of Adimab’s platform patents and technology for use in research and development. In connection with the rights and license acquired, we issued 5,000,000 shares of our Series A preferred stock to Adimab.</w:t>
      </w:r>
    </w:p>
    <w:p>
      <w:pPr>
        <w:spacing w:after="0" w:line="176"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Since our inception, we have devoted substantially all of our resources to organizing and staffing, building an intellectual property portfolio, business planning, conducting research and development, establishing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40"/>
          </w:cols>
          <w:pgMar w:left="32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arrangements with third parties for the manufacture of our product candidates and raising capital. We rely heavily on external consultants and contract research organizations, or CROs, to conduct our non-clinical, preclinical and clinical activities. Additionally, we are currently dependent on WuXi Biologics (Hong Kong) Limited, or WuXi, a contract development and manufacturing organization, or CDMO, for the manufacture of our product candidates for clinical and commercial use. We expect to continue to rely on third parties for clinical trials and the manufacture of our product candidates. Since our inception, we have financed our operations with proceeds from sales of our preferred stock. Through March 31, 2021, we had received net proceeds of $129.5 million from the sales of our preferred stock. In addition, in April 2021, we received gross proceeds of $335.5 million from sales of our Series C preferred stock. To date, we have not generated any revenue from any sources, including product sales. In February 2021, we advanced ADG20 into a Phase 1 clinical trial. We have not yet commenced significant development activities with respect to other product candidates. Our ability to generate product revenue sufficient to achieve profitability will depend heavily on the successful development and eventual commercialization of one or more of our product candidates, if approved.</w:t>
      </w:r>
    </w:p>
    <w:p>
      <w:pPr>
        <w:spacing w:after="0" w:line="185"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Since our inception, we have incurred significant losses, including net losses of $65.3 million for the period from June 3, 2020 (inception) to December 31, 2020 and of $38.7 million for the three months ended March 31, 2021. As of March 31, 2021, we had an accumulated deficit of $104.0 million. We expect to continue to incur significant expenses and recognize substantial losses in the foreseeable future as we expand and progress our research and development activities as well as the associated manufacturing activities and commercialization efforts. In addition, our losses from operations may fluctuate significantly from period to period depending on the timing of our clinical trials and our expenditures on other research and development activities, including any associated manufacturing activities, and potential commercialization efforts. We anticipate that our expenses will increase significantly in connection with our ongoing activities, as we:</w:t>
      </w:r>
    </w:p>
    <w:p>
      <w:pPr>
        <w:spacing w:after="0" w:line="83" w:lineRule="exact"/>
        <w:rPr>
          <w:sz w:val="20"/>
          <w:szCs w:val="20"/>
          <w:color w:val="auto"/>
        </w:rPr>
      </w:pPr>
    </w:p>
    <w:p>
      <w:pPr>
        <w:ind w:left="1080" w:hanging="532"/>
        <w:spacing w:after="0" w:line="342" w:lineRule="auto"/>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continue to conduct our ongoing clinical trials of ADG20, including advancement into late-stage global clinical trials, as well as initiate and complete additional clinical trials of future product candidates or current product candidates in new indications or patient populations;</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continue to advance the preclinical development of our other product candidates and our preclinical and discovery programs;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seek regulatory approval for any product candidates that successfully complete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pursue marketing approvals or EUA and reimbursement for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acquire or in-license other product candidates, intellectual property and/or technologies;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develop, establish and validate our commercial-scale cGMP manufacturing process;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manufacture material under current good manufacturing practices, or cGMP, for clinical trials and potential commercial sales at our contracted manufacturing facilities;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 portfolio;</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comply with regulatory requirements established by the applicable regulatory authorities;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develop, establish and validate our commercial-scale cGMP manufacturing process;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and scale up manufacturing capabilities to commercialize any product candidates for which we may obtain regulatory approval or EUA;</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hire and retain additional personnel, including research, clinical, development, manufacturing, quality control, quality assurance, regulatory and scientific personnel;</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add operational, financial, corporate development, management information systems and administrative personnel, including personnel to support our product development and planned future commercialization efforts;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We do not anticipate generating revenue from product sales, including government supply contracts, unless and until we successfully complete clinical development and obtain marketing approvals or EUA for one or more of our product candidates. We are currently establishing our commercial infrastructure to support the anticipated marketing and distribution of our product candidates. Subject to receiving marketing approval or EUA, we expect to enter into arrangements with third parties for the sale, marketing and distribution of our product candidates. Accordingly, if we obtain marketing approval or EUA for any of our product candidates, we will incur significant additional commercialization expenses related to product manufacturing, marketing, sales and distribution.</w:t>
      </w:r>
    </w:p>
    <w:p>
      <w:pPr>
        <w:spacing w:after="0" w:line="192"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government or private-party grants, debt financings, collaborations with other companies and strategic alliances.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78"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or when, or if, we will be able to achieve or maintain profitability. We may never obtain regulatory approval for any of our product candidates.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8"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We believe that the net proceeds from this offering, together with our existing cash and cash equivalents, will be sufficient to fund our operating expenses and capital expenditure requirements into the first quarter of 2023. We have based this estimate on assumptions that may prove to be wrong, and we could exhaust our available capital resources sooner than we expect. See “—Liquidity and Capital Resources.”</w:t>
      </w:r>
    </w:p>
    <w:p>
      <w:pPr>
        <w:spacing w:after="0" w:line="165"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Without giving effect to the anticipated net proceeds from this offering, as of May 21, 2021, we expect that our existing cash and cash equivalents, including the $335.5 million of gross proceeds we received from sales of our Series C preferred stock in April 2021, will be sufficient to fund our operating expenses and capital expenditure requirements through March 31, 2022. Beyond that point, we will need to raise additional capital to finance our operations, which cannot be assured. We concluded as of May 21, 2021, the issuance date of our consolidated financial statements for the period from June 3, 2020 (inception) to December 31, 2020 and of our interim consolidated financial statements for the three months ended March 31, 2021, that this circumstance raised substantial doubt about our ability to continue as a going concern within one year of the issuance date of those consolidated financial statements. See Note 1 to our consolidated financial statements appearing at the end of this prospectus for additional information on our assessment.</w:t>
      </w:r>
    </w:p>
    <w:p>
      <w:pPr>
        <w:spacing w:after="0" w:line="192"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Similarly, in its report on our consolidated financial statements for the period from June 3, 2020 (inception) to December 31, 2020, our independent registered public accounting firm included an explanatory paragraph stating that our recurring losses from operations since inception, expectation of generating operating losses in the foreseeable future and need for additional capital to finance our future operations raise substantial doubt about our ability to continue as a going concern.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Impact of COVID-19 on Our Operations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March 2020, the World Health Organization declared the outbreak of COVID-19 a global pandemic. The evolving and constantly changing impact of the pandemic will directly affect the potential commercial prospects of ADG20 for the treatment and prevention of COVID-19. The severity of the COVID-19 pandemic and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continued emergence of variants of concern, the availability, administration and acceptance of vaccines and monoclonal antibodies and the potential development of “herd immunity” by the global population will affect the design and enrollment of our clinical trials, the potential regulatory authorization or approval of our product candidates and the commercialization of our product candidates, if approved.</w:t>
      </w:r>
    </w:p>
    <w:p>
      <w:pPr>
        <w:spacing w:after="0" w:line="184"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auto"/>
        </w:rPr>
        <w:t>In addition, our business and operations may be more broadly adversely affected by the COVID-19 pandemic. The COVID-19 outbreak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global COVID-19 pandemic continues to evolve rapidly, and we will continue to monitor it closely. The ultimate extent of the impact of the COVID-19 pandemic on our business, financial condition, operations and product development timelines and plans remains highly uncertain and will depend on future developments, including the duration and spread of the outbreak and its impact on our clinical trial design and enrollment, trial sites, CROs, CDMOs and other third parties with which we do business, as well as its impact on regulatory authorities and our key scientific and management personnel. To date, we have not experienced significant delays or disruptions in our development activities as a result of the COVID-19 pandemic but may in the future as the outbreak progresses and some of our CROs, CDMOs and other service providers continue to be impacted. We will continue to monitor developments as we address the disruptions, delays and uncertainties relating to the COVID-19 pandemic. These developments and the impact of the COVID-19 pandemic on the financial markets and the overall economy are highly uncertain and cannot be predicted. If the financial markets and/or the overall economy are impacted for an extended period, our results and operations may be materially adversely affected and may affect our ability to raise capital.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To date, we have not generated any revenue from product sales, including government supply contracts, or any other sources. If our development efforts for our product candidates are successful and result in regulatory approval or collaboration or license agreements with third parties, we may generate revenue in the future from product sales or payments from collaboration or license agreements that we may enter into with third parties, or any combination thereof.</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The nature of our business and primary focus of our activities generate a significant amount of research and development costs. Research and development expenses represent costs incurred by us for:</w:t>
      </w:r>
    </w:p>
    <w:p>
      <w:pPr>
        <w:spacing w:after="0" w:line="76" w:lineRule="exact"/>
        <w:rPr>
          <w:sz w:val="20"/>
          <w:szCs w:val="20"/>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non-clinical and preclinical development of our product candidates, including our discovery efforts;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procurement of our product candidates from third-party manufacturers;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global clinical development of our product candidates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Such costs consist of:</w:t>
      </w:r>
    </w:p>
    <w:p>
      <w:pPr>
        <w:spacing w:after="0" w:line="131" w:lineRule="exact"/>
        <w:rPr>
          <w:sz w:val="20"/>
          <w:szCs w:val="20"/>
          <w:color w:val="auto"/>
        </w:rPr>
      </w:pPr>
    </w:p>
    <w:p>
      <w:pPr>
        <w:ind w:left="1080" w:right="20" w:hanging="532"/>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personnel-related expenses, including salaries, bonuses, benefits and other compensation-related costs, including stock-based compensation expense, for employees engaged in research and development functions;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such as consultants, contractors and CROs, that conduct the non-clinical and preclinical studies and clinical trials of our product candidates and research programs;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32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costs of procuring manufactured product candidates for use in non-clinical studies, preclinical studies and clinical trials from third-party CDMOs;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costs of outside consultants and advisors, including their fees and stock-based compensation;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payments made under third-party licensing agreements;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other expenses incurred as a result of research and development activities.</w:t>
      </w:r>
    </w:p>
    <w:p>
      <w:pPr>
        <w:spacing w:after="0" w:line="225"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149"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Our primary focus since inception has been the development of ADG20. Our research and development costs consist primarily of external costs, such as fees paid to CDMOs, CROs and consultants in connection with our non-clinical studies, preclinical studies and clinical trials. To date, external research and development costs for any individual product candidate have been tracked commencing upon product candidate nomination. We do not allocate employee-related costs, costs associated with our discovery efforts and other internal or indirect costs to specific research and development programs or product candidates because these resources are used and these costs are deployed across multiple programs under development and, as such, are not separately classified.</w:t>
      </w:r>
    </w:p>
    <w:p>
      <w:pPr>
        <w:spacing w:after="0" w:line="192"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Research and development activities are central to our business model. Product candidates in later stages of clinical development generally have higher and more variable development costs than those in earlier stages of clinical development, primarily due to the increased size and duration of later-stage clinical trials. We expect that our research and development expenses will increase substantially in the near term as we advance ADG20 through clinical development on a global basis, pursue regulatory approval of ADG20, continue to discover and develop additional product candidates and incur expenses associated with hiring additional personnel to support our research and development efforts, including the associated manufacturing activities.</w:t>
      </w:r>
    </w:p>
    <w:p>
      <w:pPr>
        <w:spacing w:after="0" w:line="161"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At this time, we cannot reasonably estimate or know the nature, timing and estimated costs of the efforts that will be necessary to complete the development of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spacing w:after="0" w:line="54"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filing acceptable investigational new drug applications with the U.S. Food and Drug Administration or comparable foreign applications that allow commencement of our planned clinical trials or future clinical trials for our product candidates;</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 manufacture the product candidates and complete associated regulatory activities;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ability to establish and maintain agreements with third-party manufacturers for clinical supply for our clinical trials and successfully develop, obtain regulatory approval or EUA for our product candidates;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successful enrollment and timely completion of clinical trials, including our ability to generate positive data from any such clinical trials;</w:t>
      </w:r>
    </w:p>
    <w:p>
      <w:pPr>
        <w:spacing w:after="0" w:line="142"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costs associated with the development of any additional development programs and product candidates we identify in-house or acquire through collaborations;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40"/>
          </w:cols>
          <w:pgMar w:left="32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prevalence and severity of adverse events experienced with ADG20 or any other product candidates;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terms and timing of any collaboration, license or other arrangement, including the terms and timing of any milestone payments thereunder;</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ability to obtain and maintain patent, trademark and trade secret protection and regulatory exclusivity for our product candidates, if and when approved, and otherwise protecting our rights in our intellectual property portfolio;</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receipt of timely marketing approvals from applicable regulatory authorities;</w:t>
      </w:r>
    </w:p>
    <w:p>
      <w:pPr>
        <w:spacing w:after="0" w:line="130"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ability to maintain compliance with regulatory requirements, including good clinical practices, current good laboratory practices and cGMPs, and to comply effectively with other rules, regulations and procedures applicable to the development and sale of pharmaceutical products;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potential significant and changing government regulation, regulatory guidance and requirements and evolving treatment guidelines; and</w:t>
      </w:r>
    </w:p>
    <w:p>
      <w:pPr>
        <w:spacing w:after="0" w:line="153" w:lineRule="exact"/>
        <w:rPr>
          <w:rFonts w:ascii="Arial" w:cs="Arial" w:eastAsia="Arial" w:hAnsi="Arial"/>
          <w:sz w:val="16"/>
          <w:szCs w:val="16"/>
          <w:color w:val="auto"/>
        </w:rPr>
      </w:pPr>
    </w:p>
    <w:p>
      <w:pPr>
        <w:ind w:left="1080" w:right="20" w:hanging="532"/>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impact of any business interruptions to our operations or those of third parties with which we work, particularly in light of the current COVID-19 pandemic.</w:t>
      </w:r>
    </w:p>
    <w:p>
      <w:pPr>
        <w:spacing w:after="0" w:line="170"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A change in the outcome of any of these variables with respect to the development of any of our product candidates could significantly change the costs and timing associated with the development of that product candidate. We may elect to discontinue, delay or modify clinical trials of some product candidates or focus on others. In addition, we may never succeed in obtaining regulatory approval or EUA for any of our product candidates.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Acquired In-Process Research and Development Expenses</w:t>
      </w:r>
    </w:p>
    <w:p>
      <w:pPr>
        <w:spacing w:after="0" w:line="117"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Acquired in-process research and development, or IPR&amp;D, expenses consist primarily of the upfront costs we incurred in July 2020, as well as any costs of contingent milestone payments and royalties we incurred in subsequent periods, to acquire rights to Adimab’s antibodies relating to COVID-19 and SARS and related intellectual property and a license to certain of Adimab’s platform patents and technology, or the IPR&amp;D assets, for use in the research and development of our product candidates. We expensed the cost of the IPR&amp;D assets because they had no alternative future use as of the acquisition date. We will recognize additional acquired IPR&amp;D expenses in the future if and when we become obligated to make contingent milestone and royalty payments to Adimab under the terms of the agreement by which we acquired the IPR&amp;D assets.</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Selling, general and administrative expenses consist primarily of salaries, bonuses, benefits, third-party fees and other related costs, including stock-based compensation, for our personnel and external contractors involved in our executive, finance, legal, business development and other administrative functions as well as our commercial function. Selling, general and administrative expenses also include costs incurred for outside services associated with such functions, including legal fees relating to patent and corporate matters; professional fees for accounting, auditing, tax and administrative consulting services; insurance costs; market research costs; and other selling, general and administrative expenses. These costs relate to the operation of the business, unrelated to the research and development function, or any individual program.</w:t>
      </w:r>
    </w:p>
    <w:p>
      <w:pPr>
        <w:spacing w:after="0" w:line="178"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We anticipate that our selling, general and administrative expenses will increase significantly in the future as our business expands and we increase our headcount to support the expected growth in our research and development activities and the potential commercialization of our product candidates. In particular, we expect to incur additional commercialization expenses prior to any regulatory approval or EUA of our product candidates as we continue to expand our commercial function to support potential future product launches. We also</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40"/>
          </w:cols>
          <w:pgMar w:left="32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anticipate that we will incur increased expenses associated with operating as a public company, including increased costs of accounting, audit, legal, regulatory and tax-related services, director and officer insurance premiums, and investor and public relations costs. We also expect to incur additional intellectual property-related expenses as we file additional patent applications to protect innovations arising from our research and development activities.</w:t>
      </w:r>
    </w:p>
    <w:p>
      <w:pPr>
        <w:spacing w:after="0" w:line="18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Through March 31, 2021, we have operated as a virtual company. Therefore, we do not incur material operating expenses for the rent, maintenance and insurance of facilities or for depreciation of fixed assets. We plan to enter into a lease for office space in the near term, which would increase our operating costs.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Interest income consists of interest earned from our cash and cash equivalents. We expect our interest income will increase slightly as we invest the cash received from our sales of Series C preferred stock in April 2021 and the net proceeds from this offering.</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Since our inception, we have not recorded any income tax benefits for the net losses we have incurred or for the research and development tax credits generated in each period as we believe, based upon the weight of available evidence, that it is more likely than not that all of our net operating loss, or NOL, carryforwards and tax credit carryforwards will not be realized.</w:t>
      </w:r>
    </w:p>
    <w:p>
      <w:pPr>
        <w:spacing w:after="0" w:line="184"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As of December 31, 2020, we had U.S. federal NOL carryforwards of $24.4 million, which may be available to reduce future taxable income and have an indefinite carryforward period but are limited in their usage to an annual deduction equal to 80% of annual taxable income. In addition, as of December 31, 2020, we had state NOL carryforwards of $3.7 million, which may be available to reduce future taxable income, of which $0.3 million have an indefinite carryforward period while the remaining $3.4 million begin to expire in 2040. As of December 31, 2020, we also had U.S. federal and state research and development tax credit carryforwards of $0.1 million and $16,000, respectively, which may be available to reduce future tax liabilities and expire at various dates beginning in 2040 and 2035, respectively. We have recorded a full valuation allowance against our net deferred tax assets at each balance sheet date.</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following table summarizes our results of operations for the period from June 3, 2020 (inception) to December 31, 2020 and for the three months ended March 31, 2021:</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4"/>
              </w:rPr>
              <w:t>Period from</w:t>
            </w:r>
          </w:p>
        </w:tc>
        <w:tc>
          <w:tcPr>
            <w:tcW w:w="20" w:type="dxa"/>
            <w:vAlign w:val="bottom"/>
          </w:tcPr>
          <w:p>
            <w:pPr>
              <w:spacing w:after="0"/>
              <w:rPr>
                <w:sz w:val="14"/>
                <w:szCs w:val="14"/>
                <w:color w:val="auto"/>
              </w:rPr>
            </w:pPr>
          </w:p>
        </w:tc>
        <w:tc>
          <w:tcPr>
            <w:tcW w:w="1080" w:type="dxa"/>
            <w:vAlign w:val="bottom"/>
            <w:gridSpan w:val="3"/>
            <w:vMerge w:val="restart"/>
          </w:tcPr>
          <w:p>
            <w:pPr>
              <w:jc w:val="right"/>
              <w:ind w:right="81"/>
              <w:spacing w:after="0"/>
              <w:rPr>
                <w:sz w:val="20"/>
                <w:szCs w:val="20"/>
                <w:color w:val="auto"/>
              </w:rPr>
            </w:pPr>
            <w:r>
              <w:rPr>
                <w:rFonts w:ascii="Arial" w:cs="Arial" w:eastAsia="Arial" w:hAnsi="Arial"/>
                <w:sz w:val="14"/>
                <w:szCs w:val="14"/>
                <w:b w:val="1"/>
                <w:bCs w:val="1"/>
                <w:color w:val="auto"/>
                <w:w w:val="98"/>
              </w:rPr>
              <w:t>Three Months</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1"/>
              </w:rPr>
              <w:t>June 3, 2020</w:t>
            </w:r>
          </w:p>
        </w:tc>
        <w:tc>
          <w:tcPr>
            <w:tcW w:w="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321"/>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94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91"/>
              </w:rPr>
              <w:t>December 31, 2020</w:t>
            </w:r>
          </w:p>
        </w:tc>
        <w:tc>
          <w:tcPr>
            <w:tcW w:w="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2"/>
          </w:tcPr>
          <w:p>
            <w:pPr>
              <w:ind w:left="90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780"/>
              <w:spacing w:after="0"/>
              <w:rPr>
                <w:sz w:val="20"/>
                <w:szCs w:val="20"/>
                <w:color w:val="auto"/>
              </w:rPr>
            </w:pPr>
            <w:r>
              <w:rPr>
                <w:rFonts w:ascii="Arial" w:cs="Arial" w:eastAsia="Arial" w:hAnsi="Arial"/>
                <w:sz w:val="18"/>
                <w:szCs w:val="18"/>
                <w:color w:val="auto"/>
              </w:rPr>
              <w:t>21,992</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1"/>
              <w:spacing w:after="0"/>
              <w:rPr>
                <w:sz w:val="20"/>
                <w:szCs w:val="20"/>
                <w:color w:val="auto"/>
              </w:rPr>
            </w:pPr>
            <w:r>
              <w:rPr>
                <w:rFonts w:ascii="Arial" w:cs="Arial" w:eastAsia="Arial" w:hAnsi="Arial"/>
                <w:sz w:val="18"/>
                <w:szCs w:val="18"/>
                <w:color w:val="auto"/>
              </w:rPr>
              <w:t>34,032</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Acquired in-process research and development</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40,125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3,210</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41"/>
              <w:spacing w:after="0"/>
              <w:rPr>
                <w:sz w:val="20"/>
                <w:szCs w:val="20"/>
                <w:color w:val="auto"/>
              </w:rPr>
            </w:pPr>
            <w:r>
              <w:rPr>
                <w:rFonts w:ascii="Arial" w:cs="Arial" w:eastAsia="Arial" w:hAnsi="Arial"/>
                <w:sz w:val="18"/>
                <w:szCs w:val="18"/>
                <w:color w:val="auto"/>
              </w:rPr>
              <w:t>3,677</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65,327</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38,709</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Loss from operations</w:t>
            </w:r>
          </w:p>
        </w:tc>
        <w:tc>
          <w:tcPr>
            <w:tcW w:w="3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(65,327)</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4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income</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Net loss</w:t>
            </w:r>
          </w:p>
        </w:tc>
        <w:tc>
          <w:tcPr>
            <w:tcW w:w="3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(65,319)</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(38,700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420" w:type="dxa"/>
            <w:vAlign w:val="bottom"/>
            <w:vMerge w:val="restart"/>
          </w:tcPr>
          <w:p>
            <w:pPr>
              <w:jc w:val="right"/>
              <w:ind w:right="2250"/>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6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The description of material changes from period to period required by Item 303 of Regulation S-K cannot be presented as no company-related activities were performed by any party before our company was formed on June 3, 2020 and there are no comparative earlier periods for purposes of this analysis. Accordingly, the following discussion presents the components of our expenses for the periods presented.</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3"/>
          </w:tcPr>
          <w:p>
            <w:pPr>
              <w:jc w:val="center"/>
              <w:ind w:right="940"/>
              <w:spacing w:after="0"/>
              <w:rPr>
                <w:sz w:val="20"/>
                <w:szCs w:val="20"/>
                <w:color w:val="auto"/>
              </w:rPr>
            </w:pPr>
            <w:r>
              <w:rPr>
                <w:rFonts w:ascii="Arial" w:cs="Arial" w:eastAsia="Arial" w:hAnsi="Arial"/>
                <w:sz w:val="14"/>
                <w:szCs w:val="14"/>
                <w:b w:val="1"/>
                <w:bCs w:val="1"/>
                <w:color w:val="auto"/>
                <w:w w:val="94"/>
              </w:rPr>
              <w:t>Period from</w:t>
            </w:r>
          </w:p>
        </w:tc>
        <w:tc>
          <w:tcPr>
            <w:tcW w:w="40" w:type="dxa"/>
            <w:vAlign w:val="bottom"/>
          </w:tcPr>
          <w:p>
            <w:pPr>
              <w:spacing w:after="0"/>
              <w:rPr>
                <w:sz w:val="14"/>
                <w:szCs w:val="14"/>
                <w:color w:val="auto"/>
              </w:rPr>
            </w:pPr>
          </w:p>
        </w:tc>
        <w:tc>
          <w:tcPr>
            <w:tcW w:w="10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8"/>
        </w:trPr>
        <w:tc>
          <w:tcPr>
            <w:tcW w:w="7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3"/>
          </w:tcPr>
          <w:p>
            <w:pPr>
              <w:jc w:val="center"/>
              <w:ind w:right="940"/>
              <w:spacing w:after="0" w:line="149" w:lineRule="exact"/>
              <w:rPr>
                <w:sz w:val="20"/>
                <w:szCs w:val="20"/>
                <w:color w:val="auto"/>
              </w:rPr>
            </w:pPr>
            <w:r>
              <w:rPr>
                <w:rFonts w:ascii="Arial" w:cs="Arial" w:eastAsia="Arial" w:hAnsi="Arial"/>
                <w:sz w:val="14"/>
                <w:szCs w:val="14"/>
                <w:b w:val="1"/>
                <w:bCs w:val="1"/>
                <w:color w:val="auto"/>
                <w:w w:val="93"/>
              </w:rPr>
              <w:t>June 3, 2020</w:t>
            </w:r>
          </w:p>
        </w:tc>
        <w:tc>
          <w:tcPr>
            <w:tcW w:w="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3"/>
          </w:tcPr>
          <w:p>
            <w:pPr>
              <w:jc w:val="center"/>
              <w:ind w:right="94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7980" w:type="dxa"/>
            <w:vAlign w:val="bottom"/>
          </w:tcPr>
          <w:p>
            <w:pPr>
              <w:spacing w:after="0"/>
              <w:rPr>
                <w:sz w:val="14"/>
                <w:szCs w:val="14"/>
                <w:color w:val="auto"/>
              </w:rPr>
            </w:pPr>
          </w:p>
        </w:tc>
        <w:tc>
          <w:tcPr>
            <w:tcW w:w="1980" w:type="dxa"/>
            <w:vAlign w:val="bottom"/>
            <w:gridSpan w:val="4"/>
          </w:tcPr>
          <w:p>
            <w:pPr>
              <w:jc w:val="center"/>
              <w:ind w:right="820"/>
              <w:spacing w:after="0"/>
              <w:rPr>
                <w:sz w:val="20"/>
                <w:szCs w:val="20"/>
                <w:color w:val="auto"/>
              </w:rPr>
            </w:pPr>
            <w:r>
              <w:rPr>
                <w:rFonts w:ascii="Arial" w:cs="Arial" w:eastAsia="Arial" w:hAnsi="Arial"/>
                <w:sz w:val="14"/>
                <w:szCs w:val="14"/>
                <w:b w:val="1"/>
                <w:bCs w:val="1"/>
                <w:color w:val="auto"/>
                <w:w w:val="91"/>
              </w:rPr>
              <w:t>December 31, 2020</w:t>
            </w:r>
          </w:p>
        </w:tc>
        <w:tc>
          <w:tcPr>
            <w:tcW w:w="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42"/>
        </w:trPr>
        <w:tc>
          <w:tcPr>
            <w:tcW w:w="79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3"/>
          </w:tcPr>
          <w:p>
            <w:pPr>
              <w:ind w:left="92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Direct, external research and development expenses by program:</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360"/>
              <w:spacing w:after="0"/>
              <w:rPr>
                <w:sz w:val="20"/>
                <w:szCs w:val="20"/>
                <w:color w:val="auto"/>
              </w:rPr>
            </w:pPr>
            <w:r>
              <w:rPr>
                <w:rFonts w:ascii="Arial" w:cs="Arial" w:eastAsia="Arial" w:hAnsi="Arial"/>
                <w:sz w:val="18"/>
                <w:szCs w:val="18"/>
                <w:color w:val="auto"/>
              </w:rPr>
              <w:t>ADG20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18,523</w:t>
            </w:r>
          </w:p>
        </w:tc>
        <w:tc>
          <w:tcPr>
            <w:tcW w:w="800" w:type="dxa"/>
            <w:vAlign w:val="bottom"/>
          </w:tcPr>
          <w:p>
            <w:pPr>
              <w:spacing w:after="0"/>
              <w:rPr>
                <w:sz w:val="18"/>
                <w:szCs w:val="18"/>
                <w:color w:val="auto"/>
              </w:rPr>
            </w:pP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30,652</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Unallocated research and development expenses: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360"/>
              <w:spacing w:after="0"/>
              <w:rPr>
                <w:sz w:val="20"/>
                <w:szCs w:val="20"/>
                <w:color w:val="auto"/>
              </w:rPr>
            </w:pPr>
            <w:r>
              <w:rPr>
                <w:rFonts w:ascii="Arial" w:cs="Arial" w:eastAsia="Arial" w:hAnsi="Arial"/>
                <w:sz w:val="18"/>
                <w:szCs w:val="18"/>
                <w:color w:val="auto"/>
              </w:rPr>
              <w:t>Personnel related (including stock-based compensation)</w:t>
            </w: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1,743</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External discovery-related costs and other</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1,726</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23"/>
        </w:trPr>
        <w:tc>
          <w:tcPr>
            <w:tcW w:w="7980" w:type="dxa"/>
            <w:vAlign w:val="bottom"/>
          </w:tcPr>
          <w:p>
            <w:pPr>
              <w:ind w:left="720"/>
              <w:spacing w:after="0"/>
              <w:rPr>
                <w:sz w:val="20"/>
                <w:szCs w:val="20"/>
                <w:color w:val="auto"/>
              </w:rPr>
            </w:pPr>
            <w:r>
              <w:rPr>
                <w:rFonts w:ascii="Arial" w:cs="Arial" w:eastAsia="Arial" w:hAnsi="Arial"/>
                <w:sz w:val="18"/>
                <w:szCs w:val="18"/>
                <w:color w:val="auto"/>
              </w:rPr>
              <w:t>Total research and development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21,992</w:t>
            </w:r>
          </w:p>
        </w:tc>
        <w:tc>
          <w:tcPr>
            <w:tcW w:w="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Research and development expenses were $22.0 million for the period from June 3, 2020 (inception) to December 31, 2020 and consisted primarily of the following:</w:t>
      </w:r>
    </w:p>
    <w:p>
      <w:pPr>
        <w:spacing w:after="0" w:line="76" w:lineRule="exact"/>
        <w:rPr>
          <w:sz w:val="20"/>
          <w:szCs w:val="20"/>
          <w:color w:val="auto"/>
        </w:rPr>
      </w:pPr>
    </w:p>
    <w:p>
      <w:pPr>
        <w:ind w:left="1080" w:right="20" w:hanging="532"/>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$14.8 million of contract manufacturing expenses related to the production of materials for use in our preclinical studies and clinical trials for the ADG20 program, procured primarily from WuXi, our sole-source supplier of drug substance;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$1.4 million of clinical trial expenses related to start-up activities for our clinical trials for the ADG20 program;</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$1.0 million of other external research and development costs associated with the ADG20 program, including with respect to consulting services, insurance costs and software expenditures;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$1.3 million of non-clinical studies expenses associated with the ADG20 program;</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$1.7 million of personnel-related costs, including salaries, bonuses and other compensation-related costs, including stock-based compensation of $0.1 million;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$1.7 million of external discovery-related and other costs.</w:t>
      </w:r>
    </w:p>
    <w:p>
      <w:pPr>
        <w:spacing w:after="0" w:line="225"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The contract manufacturing, clinical and other external research and development costs for our ADG20 program were incurred in connection with our first-in-human Phase 1 clinical trial to evaluate ADG20 and our Phase 2/3 STAMP trial of ADG20 for the treatment of COVID-19.</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Research and development expenses were $34.0 million for the three months ended March 31, 2021 and consisted primarily of the following:</w:t>
      </w:r>
    </w:p>
    <w:p>
      <w:pPr>
        <w:spacing w:after="0" w:line="154" w:lineRule="exact"/>
        <w:rPr>
          <w:sz w:val="20"/>
          <w:szCs w:val="20"/>
          <w:color w:val="auto"/>
        </w:rPr>
      </w:pPr>
    </w:p>
    <w:p>
      <w:pPr>
        <w:ind w:left="1080" w:right="2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$20.4 million of contract manufacturing expenses related to the production of materials for use in our preclinical studies and clinical trials for the ADG20 program, procured primarily from WuXi, our sole-source supplier of drug substance;</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$7.5 million of clinical trial expenses related to start-up activities for our clinical trials for the ADG20 program, including site initiation and patient enrollment;</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$1.8 million of other external research and development costs associated with the ADG20 program, including with respect to consulting services, insurance costs and software expenditures;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$0.9 million of non-clinical studies expenses associated with the ADG20 program;</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40"/>
          </w:cols>
          <w:pgMar w:left="32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$2.3 million of personnel-related costs, including salaries, bonuses and other compensation-related costs, including stock-based compensation of $0.3 million;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$1.1 million of external discovery-related and other costs.</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contract manufacturing, clinical and other external research and development costs for our ADG20 program were incurred in connection with our first-in-human Phase 1 clinical trial to evaluate ADG20, which was initiated in February 2021, and our Phase 2/3 STAMP trial of ADG20 for the treatment of COVID-19, which was initiated in March 2021.</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Acquired In-Process Research and Development Expenses</w:t>
      </w:r>
    </w:p>
    <w:p>
      <w:pPr>
        <w:spacing w:after="0" w:line="117"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Acquired IPR&amp;D expenses of $40.1 million for the period from June 3, 2020 (inception) to December 31, 2020 consisted primarily of the $39.9 million of costs we incurred in July 2020 to acquire rights to Adimab’s antibodies relating to COVID-19 and SARS and related intellectual property and a license to certain of Adimab’s platform patents and technology for use in the research and development of our product candidates. We expensed the cost of the IPR&amp;D assets acquired because they had no alternative future use as of the acquisition date. The $39.9 million of costs to acquire the IPR&amp;D assets was determined as a result of our allocation of the $40.0 million aggregate fair value of the 5,000,000 shares of the Series A preferred stock that we issued to Adimab on the acquisition date in exchange for (i) the IPR&amp;D assets acquired from Adimab and (ii) 4,250,000 shares of our common stock that we repurchased from Adimab on that same date. We allocated the $40.0 million fair value of the 5,000,000 shares of Series A preferred to the IPR&amp;D assets and to the repurchased common stock based on their relative fair values on the acquisition date. We determined the fair value of the 5,000,000 shares of Series A preferred stock based on the $8.00 price per share paid for the stock by new investors in our Series A preferred stock financing, which closed on the same date as the date on which we acquired the intellectual property rights and license from Adimab.</w:t>
      </w:r>
    </w:p>
    <w:p>
      <w:pPr>
        <w:spacing w:after="0" w:line="168"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Acquired IPR&amp;D expenses of $1.0 million for the three months ended March 31, 2021 consisted of the cost we incurred in the period under the Adimab Assignment Agreement for a milestone payment that became due to Adimab in February 2021 upon the dosing of the first patient in a Phase 1 clinical trial evaluating ADG20. The amount of this contingent payment was recognized as an IPR&amp;D expense based on the nature of the associated assets acquired from Adimab on the date of the milestone achievement.</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94"/>
              </w:rPr>
              <w:t>Period from</w:t>
            </w:r>
          </w:p>
        </w:tc>
        <w:tc>
          <w:tcPr>
            <w:tcW w:w="60" w:type="dxa"/>
            <w:vAlign w:val="bottom"/>
          </w:tcPr>
          <w:p>
            <w:pPr>
              <w:spacing w:after="0"/>
              <w:rPr>
                <w:sz w:val="14"/>
                <w:szCs w:val="14"/>
                <w:color w:val="auto"/>
              </w:rPr>
            </w:pPr>
          </w:p>
        </w:tc>
        <w:tc>
          <w:tcPr>
            <w:tcW w:w="10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8"/>
        </w:trPr>
        <w:tc>
          <w:tcPr>
            <w:tcW w:w="7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auto"/>
                <w:w w:val="91"/>
              </w:rPr>
              <w:t>June 3, 2020</w:t>
            </w:r>
          </w:p>
        </w:tc>
        <w:tc>
          <w:tcPr>
            <w:tcW w:w="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7900" w:type="dxa"/>
            <w:vAlign w:val="bottom"/>
          </w:tcPr>
          <w:p>
            <w:pPr>
              <w:spacing w:after="0"/>
              <w:rPr>
                <w:sz w:val="14"/>
                <w:szCs w:val="14"/>
                <w:color w:val="auto"/>
              </w:rPr>
            </w:pPr>
          </w:p>
        </w:tc>
        <w:tc>
          <w:tcPr>
            <w:tcW w:w="2040" w:type="dxa"/>
            <w:vAlign w:val="bottom"/>
            <w:gridSpan w:val="4"/>
          </w:tcPr>
          <w:p>
            <w:pPr>
              <w:jc w:val="center"/>
              <w:ind w:right="880"/>
              <w:spacing w:after="0"/>
              <w:rPr>
                <w:sz w:val="20"/>
                <w:szCs w:val="20"/>
                <w:color w:val="auto"/>
              </w:rPr>
            </w:pPr>
            <w:r>
              <w:rPr>
                <w:rFonts w:ascii="Arial" w:cs="Arial" w:eastAsia="Arial" w:hAnsi="Arial"/>
                <w:sz w:val="14"/>
                <w:szCs w:val="14"/>
                <w:b w:val="1"/>
                <w:bCs w:val="1"/>
                <w:color w:val="auto"/>
                <w:w w:val="91"/>
              </w:rPr>
              <w:t>December 31, 2020</w:t>
            </w:r>
          </w:p>
        </w:tc>
        <w:tc>
          <w:tcPr>
            <w:tcW w:w="6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42"/>
        </w:trPr>
        <w:tc>
          <w:tcPr>
            <w:tcW w:w="79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3"/>
          </w:tcPr>
          <w:p>
            <w:pPr>
              <w:ind w:left="96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Personnel related (including stock-based compensation)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1,239</w:t>
            </w:r>
          </w:p>
        </w:tc>
        <w:tc>
          <w:tcPr>
            <w:tcW w:w="8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Professional and consultant fees</w:t>
            </w: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1,849</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122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3"/>
        </w:trPr>
        <w:tc>
          <w:tcPr>
            <w:tcW w:w="7900" w:type="dxa"/>
            <w:vAlign w:val="bottom"/>
          </w:tcPr>
          <w:p>
            <w:pPr>
              <w:ind w:left="360"/>
              <w:spacing w:after="0"/>
              <w:rPr>
                <w:sz w:val="20"/>
                <w:szCs w:val="20"/>
                <w:color w:val="auto"/>
              </w:rPr>
            </w:pPr>
            <w:r>
              <w:rPr>
                <w:rFonts w:ascii="Arial" w:cs="Arial" w:eastAsia="Arial" w:hAnsi="Arial"/>
                <w:sz w:val="18"/>
                <w:szCs w:val="18"/>
                <w:color w:val="auto"/>
              </w:rPr>
              <w:t>Total selling, general and administrative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3,210</w:t>
            </w:r>
          </w:p>
        </w:tc>
        <w:tc>
          <w:tcPr>
            <w:tcW w:w="2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Selling, general and administrative expenses were $3.2 million for the period from June 3, 2020 (inception) to December 31, 2020 and consisted primarily of:</w:t>
      </w:r>
    </w:p>
    <w:p>
      <w:pPr>
        <w:spacing w:after="0" w:line="76" w:lineRule="exact"/>
        <w:rPr>
          <w:sz w:val="20"/>
          <w:szCs w:val="20"/>
          <w:color w:val="auto"/>
        </w:rPr>
      </w:pPr>
    </w:p>
    <w:p>
      <w:pPr>
        <w:ind w:left="1080" w:hanging="532"/>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$1.2 million of personnel-related costs, including salaries, bonuses and other compensation-related costs, including stock-based compensation of $30,000;</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$1.2 million of professional service fees, including corporate legal costs as well as costs related to intellectual property, legal and compliance costs;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40"/>
          </w:cols>
          <w:pgMar w:left="32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$0.6 million of market research costs relating to developing our potential commercialization plans and brand-related matters; and</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$0.1 million related to non-capital software and hardware and other office-related expenses.</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Selling, general and administrative expenses were $3.7 million for the three months ended March 31, 2021 and consisted primarily of the following:</w:t>
      </w:r>
    </w:p>
    <w:p>
      <w:pPr>
        <w:spacing w:after="0" w:line="76" w:lineRule="exact"/>
        <w:rPr>
          <w:sz w:val="20"/>
          <w:szCs w:val="20"/>
          <w:color w:val="auto"/>
        </w:rPr>
      </w:pPr>
    </w:p>
    <w:p>
      <w:pPr>
        <w:ind w:left="1080" w:hanging="532"/>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$1.5 million of personnel-related costs, including salaries, bonuses and other compensation-related costs, including stock-based compensation of $0.3 million;</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$1.1 million of professional service fees, including corporate legal costs as well as costs related to intellectual property, legal and compliance costs;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$0.9 million of market research costs relating to developing our potential commercialization plans and consumer brand-related matters; and</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$0.2 million related to non-capital software and hardware and other office-related expenses.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Interest income for the period from June 3, 2020 (inception) to December 31, 2020 and for the three months ended March 31, 2021 was $8,000 and $9,000, respectively, consisting of interest earned on our cash and cash equivalents.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Since our inception in June 2020, we have not generated any revenue from any sources, including from product sales, and have incurred significant operating losses and negative cash flows from operations. We expect to incur significant expenses and operating losses for the foreseeable future as we advance the clinical development of our product candidates. To date, we have funded our operations with proceeds from sales of our preferred stock. Through March 31, 2021, we had received net proceeds of $129.5 million from sales of our preferred stock. As of March 31, 2021, we had cash and cash equivalents of $91.2 million. In addition, in April 2021, we received gross proceeds of $335.5 million from sales of our Series C preferred stock.</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sources and uses of cash for each of the periods presented: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4"/>
              </w:rPr>
              <w:t>Period from</w:t>
            </w:r>
          </w:p>
        </w:tc>
        <w:tc>
          <w:tcPr>
            <w:tcW w:w="20" w:type="dxa"/>
            <w:vAlign w:val="bottom"/>
          </w:tcPr>
          <w:p>
            <w:pPr>
              <w:spacing w:after="0"/>
              <w:rPr>
                <w:sz w:val="14"/>
                <w:szCs w:val="14"/>
                <w:color w:val="auto"/>
              </w:rPr>
            </w:pPr>
          </w:p>
        </w:tc>
        <w:tc>
          <w:tcPr>
            <w:tcW w:w="10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8"/>
              </w:rPr>
              <w:t>Three Months</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1"/>
              </w:rPr>
              <w:t>June 3, 2020</w:t>
            </w:r>
          </w:p>
        </w:tc>
        <w:tc>
          <w:tcPr>
            <w:tcW w:w="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94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91"/>
              </w:rPr>
              <w:t>December 31, 2020</w:t>
            </w:r>
          </w:p>
        </w:tc>
        <w:tc>
          <w:tcPr>
            <w:tcW w:w="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(14,571)</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(23,741)</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129,559</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increase in cash and cash equivalents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114,988</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(23,741)</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During the period from June 3, 2020 (inception) to December 31, 2020, operating activities used $14.6 million of cash, primarily due to our net loss of $65.3 million, partially offset by non-cash charges of</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auto"/>
        </w:rPr>
        <w:t>$40.1 million and net cash provided by changes in our operating assets and liabilities of $10.7 million. Net cash provided by changes in our operating assets and liabilities consisted of an $8.2 million increase in accounts payable and a $4.9 million increase in accrued expenses, both partially offset by a $2.4 million increase in prepaid expenses and other current assets. The increases in accounts payable and accrued expenses were primarily due to amounts owed to vendors in connection with our research and development activities, including increased external costs associated with clinical trials and manufacturing, as well as increases in accrued employee bonuses. The increase in prepaid expenses and other current assets was primarily due to prepayments for external research and development activities.</w:t>
      </w:r>
    </w:p>
    <w:p>
      <w:pPr>
        <w:spacing w:after="0" w:line="178"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auto"/>
        </w:rPr>
        <w:t>During the three months ended March 31, 2021, operating activities used $23.7 million of cash, primarily resulting from our net loss of $38.7 million, partially offset by non-cash charges of $0.6 million and net cash provided by changes in our operating assets and liabilities of $14.4 million. Net cash provided by changes in our operating assets and liabilities for the three months ended March 31, 2021 consisted primarily of a $12.4 million increase in accrued expenses and a $3.2 million increase in accounts payable, both partially offset by a $1.2 million increase in prepaid expenses and other current assets. The increases in accounts payable, accrued expenses and prepaid expenses were primarily due to increased external costs associated with our research and development activities, including clinical trials and manufacturing.</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We had no cash used in or provided by investing activities for the period from June 3, 2020 (inception) to December 31, 2020 or for the three months ended March 31, 2021.</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During the period from June 3, 2020 (inception) to December 31, 2020, net cash provided by financing activities was $129.6 million, primarily related to net proceeds of $49.7 million from the issuance of our Series A preferred stock in July 2020 and net proceeds of $79.8 million from the issuance of our Series B preferred stock in October and November 2020.</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had no cash used in or provided by financing activities for the three months ended March 31, 2021.</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expect our expenses to increase substantially in connection with our ongoing activities, particularly as we advance the non-clinical and preclinical studies and the current and future clinical trials of our product candidates. Our funding requirements and timing and amount of our operating expenditures will depend on many factors, including:</w:t>
      </w:r>
    </w:p>
    <w:p>
      <w:pPr>
        <w:spacing w:after="0" w:line="89" w:lineRule="exact"/>
        <w:rPr>
          <w:sz w:val="20"/>
          <w:szCs w:val="20"/>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rate of progress in the development of AGD20 and our other product candidates;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scope, progress, results and costs of non-clinical studies, preclinical development, laboratory testing and clinical trials for ADG20 and future product candidates and associated development programs;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extent to which we develop, in-license or acquire other product candidates and technologies in our pipeline;</w:t>
      </w:r>
    </w:p>
    <w:p>
      <w:pPr>
        <w:spacing w:after="0" w:line="130"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scope, progress, results and costs as well as timing of process development and manufacturing scale-up and validation activities associated with ADG20 and our future product candidates and other programs as we advance them through preclinical and clinical development;</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number and development requirements of product candidates that we may pursue;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40"/>
          </w:cols>
          <w:pgMar w:left="32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capabilities and establish a commercial infrastructure;</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timing and costs of securing sufficient capacity for commercial supply of our product candidates, or the raw material components thereof;</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 or EUA;</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costs necessary to obtain regulatory approvals, if any, for products in the United States and other jurisdictions, and the costs of post-marketing studies that could be required by regulatory authorities in jurisdictions where approval is obtained;</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continuation of our existing licensing and collaboration arrangements and entry into new collaborations and licensing arrangements, if at all;</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need and ability to hire additional research, clinical, development, scientific and manufacturing personnel;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costs we incur in maintaining business operations;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need to implement additional internal systems and infrastructure;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effect of competing technological, product and market developments;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costs of operating as a public company; and</w:t>
      </w:r>
    </w:p>
    <w:p>
      <w:pPr>
        <w:spacing w:after="0" w:line="130"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progression of the COVID-19 pandemic and emergence of potential outbreaks of other coronaviruses, including the impact of any business interruptions to our operations or to those of our contract manufacturers, suppliers or other vendors resulting from the COVID-19 pandemic or other similar public health crises.</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believe that the net proceeds from this offering, together with our existing cash and cash equivalents, will enable us to fund our operating expenses and capital expenditure requirements into the first quarter of 2023. We have based this estimate on assumptions that may prove to be wrong, and we could exhaust our available capital resources sooner than we expect.</w:t>
      </w:r>
    </w:p>
    <w:p>
      <w:pPr>
        <w:spacing w:after="0" w:line="184"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Until such time, if ever, as we can generate substantial product revenue, we expect to finance our operations through a combination of equity offerings, government or private-party grants, debt financings, collaborations, strategic alliances and licensing arrangements. To the extent that we raise additional capital through the sale of equity or convertible debt securities, your ownership interest will be diluted, and the terms of such securities may include liquidation or other preferences and anti-dilution protections that adversely affect your rights as a common stockholder. Additional debt financing and preferred equity financing, if available, may involve agreements that include covenants limiting or restricting our ability to take specific actions, such as incurring debt, making acquisitions or capital expenditures or declaring dividends, which could adversely constrain our ability to conduct our business, and may require the issuance of warrants, which could potentially dilute your ownership interest. 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through other sources, when needed,</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40"/>
          </w:cols>
          <w:pgMar w:left="32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may be required to delay, limit, reduce or terminate our product development programs or any future commercialization efforts or grant rights to develop and market product candidates to third parties that we would otherwise prefer to develop and market ourselves.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contractual obligations as of December 31, 2020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Payments Due by Period</w:t>
            </w: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5"/>
              </w:rPr>
              <w:t>Less than</w:t>
            </w:r>
          </w:p>
        </w:tc>
        <w:tc>
          <w:tcPr>
            <w:tcW w:w="560" w:type="dxa"/>
            <w:vAlign w:val="bottom"/>
          </w:tcPr>
          <w:p>
            <w:pPr>
              <w:spacing w:after="0"/>
              <w:rPr>
                <w:sz w:val="10"/>
                <w:szCs w:val="10"/>
                <w:color w:val="auto"/>
              </w:rPr>
            </w:pPr>
          </w:p>
        </w:tc>
        <w:tc>
          <w:tcPr>
            <w:tcW w:w="112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rPr>
              <w:t>1 to 3</w:t>
            </w:r>
          </w:p>
        </w:tc>
        <w:tc>
          <w:tcPr>
            <w:tcW w:w="140" w:type="dxa"/>
            <w:vAlign w:val="bottom"/>
          </w:tcPr>
          <w:p>
            <w:pPr>
              <w:spacing w:after="0"/>
              <w:rPr>
                <w:sz w:val="10"/>
                <w:szCs w:val="10"/>
                <w:color w:val="auto"/>
              </w:rPr>
            </w:pPr>
          </w:p>
        </w:tc>
        <w:tc>
          <w:tcPr>
            <w:tcW w:w="64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w w:val="94"/>
              </w:rPr>
              <w:t>4 to 5</w:t>
            </w:r>
          </w:p>
        </w:tc>
        <w:tc>
          <w:tcPr>
            <w:tcW w:w="280" w:type="dxa"/>
            <w:vAlign w:val="bottom"/>
          </w:tcPr>
          <w:p>
            <w:pPr>
              <w:spacing w:after="0"/>
              <w:rPr>
                <w:sz w:val="10"/>
                <w:szCs w:val="10"/>
                <w:color w:val="auto"/>
              </w:rPr>
            </w:pP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600" w:type="dxa"/>
            <w:vAlign w:val="bottom"/>
          </w:tcPr>
          <w:p>
            <w:pPr>
              <w:jc w:val="right"/>
              <w:ind w:right="18"/>
              <w:spacing w:after="0"/>
              <w:rPr>
                <w:sz w:val="20"/>
                <w:szCs w:val="20"/>
                <w:color w:val="auto"/>
              </w:rPr>
            </w:pPr>
            <w:r>
              <w:rPr>
                <w:rFonts w:ascii="Arial" w:cs="Arial" w:eastAsia="Arial" w:hAnsi="Arial"/>
                <w:sz w:val="14"/>
                <w:szCs w:val="14"/>
                <w:b w:val="1"/>
                <w:bCs w:val="1"/>
                <w:color w:val="auto"/>
              </w:rPr>
              <w:t>1 Year</w:t>
            </w:r>
          </w:p>
        </w:tc>
        <w:tc>
          <w:tcPr>
            <w:tcW w:w="560" w:type="dxa"/>
            <w:vAlign w:val="bottom"/>
          </w:tcPr>
          <w:p>
            <w:pPr>
              <w:spacing w:after="0"/>
              <w:rPr>
                <w:sz w:val="14"/>
                <w:szCs w:val="14"/>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3"/>
              </w:rPr>
              <w:t>Years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Manufacturing agreement</w:t>
            </w:r>
            <w:r>
              <w:rPr>
                <w:rFonts w:ascii="Arial" w:cs="Arial" w:eastAsia="Arial" w:hAnsi="Arial"/>
                <w:sz w:val="15"/>
                <w:szCs w:val="15"/>
                <w:color w:val="auto"/>
              </w:rPr>
              <w:t>(1)</w:t>
            </w:r>
          </w:p>
        </w:tc>
        <w:tc>
          <w:tcPr>
            <w:tcW w:w="18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$142,865</w:t>
            </w:r>
          </w:p>
        </w:tc>
        <w:tc>
          <w:tcPr>
            <w:tcW w:w="5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$21,799</w:t>
            </w:r>
          </w:p>
        </w:tc>
        <w:tc>
          <w:tcPr>
            <w:tcW w:w="5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$121,066</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License agreement</w:t>
            </w:r>
          </w:p>
        </w:tc>
        <w:tc>
          <w:tcPr>
            <w:tcW w:w="18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w:t>
            </w:r>
          </w:p>
        </w:tc>
        <w:tc>
          <w:tcPr>
            <w:tcW w:w="5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150</w:t>
            </w:r>
          </w:p>
        </w:tc>
        <w:tc>
          <w:tcPr>
            <w:tcW w:w="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r>
              <w:rPr>
                <w:rFonts w:ascii="Arial" w:cs="Arial" w:eastAsia="Arial" w:hAnsi="Arial"/>
                <w:sz w:val="15"/>
                <w:szCs w:val="15"/>
                <w:color w:val="auto"/>
              </w:rPr>
              <w:t>(2)</w:t>
            </w:r>
          </w:p>
        </w:tc>
        <w:tc>
          <w:tcPr>
            <w:tcW w:w="18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143,015</w:t>
            </w: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21,949</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121,066</w:t>
            </w:r>
          </w:p>
        </w:tc>
        <w:tc>
          <w:tcPr>
            <w:tcW w:w="4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26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20" w:hanging="424"/>
        <w:spacing w:after="0" w:line="258" w:lineRule="auto"/>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Amounts represent minimum purchase commitments under an arrangement with our CDMO for commercial supply. The table reflects obligations that are non-cancelable as of December 31, 2020, based on the expected due dates for such purchases.</w:t>
      </w:r>
    </w:p>
    <w:p>
      <w:pPr>
        <w:spacing w:after="0" w:line="1" w:lineRule="exact"/>
        <w:rPr>
          <w:rFonts w:ascii="Arial" w:cs="Arial" w:eastAsia="Arial" w:hAnsi="Arial"/>
          <w:sz w:val="18"/>
          <w:szCs w:val="18"/>
          <w:color w:val="auto"/>
        </w:rPr>
      </w:pPr>
    </w:p>
    <w:p>
      <w:pPr>
        <w:ind w:left="540" w:right="20" w:hanging="424"/>
        <w:spacing w:after="0" w:line="260" w:lineRule="auto"/>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Through December 31, 2020, we have operated as a virtual company. Therefore, we do not maintain a corporate headquarters or have material leasing arrangements.</w:t>
      </w:r>
    </w:p>
    <w:p>
      <w:pPr>
        <w:spacing w:after="0" w:line="18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have a manufacturing agreement with WuXi, which outlines the terms and conditions under which it will manufacture ADG20 drug substance for commercial use. Our requirements for manufacture of ADG20 for the years ending December 31, 2021 and 2022, the payments for which will extend into 2023, are governed by a binding, forecasted schedule and are presented in the preceding table.</w:t>
      </w:r>
    </w:p>
    <w:p>
      <w:pPr>
        <w:spacing w:after="0" w:line="184"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Under a separate cell line license agreement with WuXi, as of December 31, 2020, we were obligated to pay a license fee of $0.2 million to WuXi, which was an accrued expense as of December 31, 2020 and March 31, 2021. Under the agreement, we are obligated to pay royalties in the range of 0.3% to 0.5% to WuXi based on our net sales of any products covered by the license. However, if we use WuXi to manufacture all of our commercial supplies, no royalties would be owed by us to WuXi for net sales of licensed products. We have an option to buy out our royalty obligations by making a one-time payment of $15.0 million to WuXi. These royalty payments are not included in the preceding table as the amount and timing of such payments are not known.</w:t>
      </w:r>
    </w:p>
    <w:p>
      <w:pPr>
        <w:spacing w:after="0" w:line="192"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Under the Adimab Assignment Agreement, we are obligated to pay Adimab up to $16.5 million upon the achievement of specified development and regulatory milestones for the first product licensed under the agreement that achieves specified development and regulatory events and up to $8.1 million upon the achievement of specified development and regulatory milestones for the second product licensed under the agreement that achieves such development and regulatory events. In February 2021, we achieved the first specified milestone under the agreement upon dosing of the first patient in a Phase 1 clinical trial evaluating ADG20, which obligated us to make a $1.0 million payment to Adimab. We made the payment in March 2021. In April 2021, we achieved the second specified milestone under the agreement upon dosing of the first patient in a Phase 2 clinical trial evaluating ADG20 for the prevention of COVID-19, which obligated us to make a $2.5 million payment to Adimab. We made the payment in June 2021. The next potential milestone payment that we may be obligated to make is a $4.0 million milestone payment for the first dosing of the first subject in the first Phase 3 clinical trial of a product licensed under the agreement. In addition, we are obligated to pay Adimab royalties of a mid single-digit percentage based on our net sales of any products covered by the rights assigned. Further, we are obligated to pay Adimab royalties of a specified percentage in the range of 45% to 55% of any compulsory sublicense consideration received by us in lieu of certain royalty payments. These milestone and royalty payments are not included in the preceding table as the amount and timing of such payments are not known. For additional information, see “Business—Licensing, Collaborations and Partnerships—Assignment and License Agreement with Adimab” and “Certain Relationships and Related Party Transactions” appearing elsewhere in this prospectus.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40"/>
          </w:cols>
          <w:pgMar w:left="32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In May 2021, we entered into a collaboration agreement with Adimab, or the Adimab Collaboration Agreement, for the discovery and optimization of proprietary antibodies as potential therapeutic product candidates. Under the Adimab Collaboration Agreement, we and Adimab will collaborate on research programs for a specified number of targets selected by us within a specified time period. Under the agreement, we are obligated to pay Adimab a quarterly fee of $1.3 million, which obligation may be cancelled at our option at any time. For each agreed upon research program that is commenced, we are obligated to pay Adimab quarterly for its services performed during a given research program at a specified full-time equivalent rate; a discovery delivery fee of $0.2 million; and an optimization completion fee of $0.2 million. For each option exercised by us to commercialize a specific research program, we are obligated to pay Adimab an exercise fee of $1.0 million. Under the Adimab Collaboration Agreement, we are obligated to pay Adimab up to $18.0 million upon the achievement of specified development and regulatory milestones for each product under the agreement that achieves such milestones. We are also obligated to pay Adimab royalties of a mid single-digit percentage based on annual aggregate worldwide net sales of products, subject to reductions for third-party licenses. In addition, we are obligated to pay Adimab for Adimab’s performance of certain validation work with respect to certain antigens acquired from a third party. In consideration for this work, we are obligated to pay Adimab royalties of a low single-digit percentage based on annual aggregate worldwide net sales of products that contain such antigens for the same royalty term as antibody-based products, but we are not obligated to make any milestone payments for such antigen products. These milestone and royalty payments are not included in the preceding table as the amount and timing of such payments are not known. For additional information, see “Business— Licensing, Collaborations and Partnerships—Collaboration Agreement with Adimab” and “Certain Relationships and Related Party Transactions” appearing elsewhere in this prospectus.</w:t>
      </w:r>
    </w:p>
    <w:p>
      <w:pPr>
        <w:spacing w:after="0" w:line="180"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We enter into other contracts in the normal course of business with CROs, contract manufacturing organizations and other third parties for preclinical research studies and testing, clinical trials, manufacturing and other services. These contracts do not contain any minimum purchase commitments and provide for termination by us upon prior written notice. Payments due upon cancellation consist only of payments for services provided and expenses incurred up to the date of cancellation, including non-cancelable obligations of our service providers and, in some cases, wind-down costs. The exact amounts of such obligations are dependent on the timing of termination and the terms of the associated agreement. Accordingly, these payments are not included in the preceding table as the amount and timing of such payments are not known.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generally accepted accounting principles in the United States, or GAAP. The preparation of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known trends and events, and various other factors that we believe are reasonable under the circumstances, the results of which form the basis for making judgments about the carrying value of assets and liabilities and recorded amounts of expenses that are not readily apparent from other sources. We evaluate our estimates and assumptions on an ongoing basis. Our actual results may differ from these estimates under different assumptions or conditions.</w:t>
      </w:r>
    </w:p>
    <w:p>
      <w:pPr>
        <w:spacing w:after="0" w:line="17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While our significant accounting policies are described in more detail in Note 2 to our consolidated financial statements appearing at the end of this prospectus, we believe the following accounting policies used in the preparation of our consolidated financial statements require the most significant judgments and estimates.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accrued research and development expenses. This process involves estimating the level of service performed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40"/>
          </w:cols>
          <w:pgMar w:left="32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consolidated financial statements based on facts and circumstances known to us at that time. At each end period, we corroborate the accuracy of these estimates with the service providers and make adjustments, if necessary. Examples of estimated accrued research and development expenses include those related to fees paid to:</w:t>
      </w:r>
    </w:p>
    <w:p>
      <w:pPr>
        <w:spacing w:after="0" w:line="67"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CROs in connection with performing non-clinical studies, preclinical studies and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CDMOs related to the production of our product candidates for non-clinical studies, preclinical studies and clinical trials;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other providers and vendors in connection with research and development activities.</w:t>
      </w:r>
    </w:p>
    <w:p>
      <w:pPr>
        <w:spacing w:after="0" w:line="225"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We record the expense and accrual related to contract research and manufacturing based on our estimates of the services received and efforts expended considering a number of factors, including our knowledge of the progress towards completion of the research, development and manufacturing activities; invoicing to date under the contracts; communication from the CROs, CDMOs and other companies of any actual costs incurred during the period that have not yet been invoiced; and the costs included in the contracts and purchase orders.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Asset Acquisitions and Acquired In-Process Research and Development Expenses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measure and recognize asset acquisitions that are not deemed to be business combinations based on the cost to acquire the asset or group of assets, which includes transaction costs. Goodwill is not recognized in asset acquisitions. In an asset acquisition, the cost allocated to acquire IPR&amp;D with no alternative future use is recognized as expense on the acquisition date.</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Contingent consideration in asset acquisitions payable in the form of cash is recognized in the period the triggering event is determined to be probable of occurrence and the related amount is reasonably estimable. Such amounts are expensed or capitalized based on the nature of the associated asset at the date the related contingency is resolved.</w:t>
      </w:r>
    </w:p>
    <w:p>
      <w:pPr>
        <w:spacing w:after="0" w:line="184"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We concluded that the agreement under which we acquired rights to Adimab’s antibodies relating to COVID-19 and SARS and related intellectual property and a license to certain of Adimab’s platform patents and technology in June 2020 represented an asset acquisition of IPR&amp;D assets with no alternative future use. We further concluded that the arrangement did not qualify as a business combination because substantially all of the fair value of the assets acquired was concentrated in a single asset.</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grant stock-based awards to employees, directors and non-employees in the form of stock options to purchase shares of our common stock. We measure stock options with service-based vesting granted to employees, directors and non-employees based on the fair value on the date of grant using the Black-Scholes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auto"/>
        </w:rPr>
        <w:t>option-pricing model. We have issued awards with only service-based vesting conditions. The Black-Scholes option-pricing model uses as inputs the fair value of our common stock and assumptions we make for the volatility of our common stock, the expected term of our stock options, the risk-free interest rate for a period that approximates the expected term of our stock options, and our expected dividend yield. We have issued awards with only service-based vesting conditions through March 31, 2021. Compensation expense for awards granted to employees and directors for their service on the board of directors is recognized on a straight-line basis over the requisite service period of the respective award, which is generally the vesting period of the award. Compensation expense for awards granted to non-employees is recognized in the same period and manner as if we had paid cash for the goods or services provided, which is generally the vesting period of the award. We account for forfeitures of stock-based awards as they occur.</w:t>
      </w:r>
    </w:p>
    <w:p>
      <w:pPr>
        <w:spacing w:after="0" w:line="166"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In future periods, we expect stock-based compensation expense to increase due to our existing unrecognized stock-based compensation expense and to additional stock-based awards we expect to grant to continue to attract new hires and retain our existing employees.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Determination of Fair Value of Common Stock</w:t>
      </w:r>
    </w:p>
    <w:p>
      <w:pPr>
        <w:spacing w:after="0" w:line="117"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auto"/>
        </w:rPr>
        <w:t>As there has been no public market for our common stock prior to this offering, the estimated fair value of our common stock underlying our stock-based awards has been determined by our board of directors as of each option grant date with input from management,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These third-party valuations were prepared in accordance with the guidance outlined in the American Institute of Certified Public Accountants’ Accounting and Valuation Guide</w:t>
      </w:r>
      <w:r>
        <w:rPr>
          <w:rFonts w:ascii="Arial" w:cs="Arial" w:eastAsia="Arial" w:hAnsi="Arial"/>
          <w:sz w:val="16"/>
          <w:szCs w:val="16"/>
          <w:i w:val="1"/>
          <w:iCs w:val="1"/>
          <w:color w:val="auto"/>
        </w:rPr>
        <w:t>, Valuation of Privately-Held Company Equity Securities Issued as Compensation.</w:t>
      </w:r>
      <w:r>
        <w:rPr>
          <w:rFonts w:ascii="Arial" w:cs="Arial" w:eastAsia="Arial" w:hAnsi="Arial"/>
          <w:sz w:val="16"/>
          <w:szCs w:val="16"/>
          <w:color w:val="auto"/>
        </w:rPr>
        <w:t xml:space="preserve"> Our common stock valuations were prepared using either a current value method, or CVM, an option pricing method, or OPM, or a hybrid method. To estimate our enterprise value, the CVM used an asset approach and the OPM and hybrid methods used a market approach. Under the CVM, once the fair value of the enterprise is established based on the balance sheet, the value is allocated to the various series of preferred and common stock based on their respective liquidation preferences or conversion values, whichever is greater.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The hybrid method is a probability-weighted expected return method, or PWERM, where the equity value in one or more of the scenarios is calculated using an OPM.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A discount for lack of marketability of the common stock is then applied to arrive at an indication of value for the common stock.</w:t>
      </w:r>
    </w:p>
    <w:p>
      <w:pPr>
        <w:spacing w:after="0" w:line="169"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These third-party valuations were performed at various dates, which resulted in valuations of our common stock of $0.00 per share as of June 19, 2020, $0.78 per share as of July 9, 2020, $4.61 per share as of October 31, 2020, $8.36 as of March 15, 2021, $10.14 as of May 1, 2021 and $12.81 as of June 23, 2021. In addition to considering the results of these third-party valuations, our board of directors considered various objective and subjective factors to determine the fair value of common stock as of each grant date, including:</w:t>
      </w:r>
    </w:p>
    <w:p>
      <w:pPr>
        <w:spacing w:after="0" w:line="92" w:lineRule="exact"/>
        <w:rPr>
          <w:sz w:val="20"/>
          <w:szCs w:val="20"/>
          <w:color w:val="auto"/>
        </w:rPr>
      </w:pPr>
    </w:p>
    <w:p>
      <w:pPr>
        <w:ind w:left="1080" w:right="20" w:hanging="532"/>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prices at which we sold our preferred stock and the superior rights and preferences of our preferred stock relative to those of our common stock at the time of each grant;</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progress of our research and development programs, including the status of preclinical studies and clinical trials for our product candidates;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stage of development and our business strategy;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external market conditions affecting the biotechnology industry and trends within the biotechnology industry;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competitive landscape for similar products for the treatment and prevention of COVID-19;</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financial position, including cash on hand, and our historical and forecasted performance and operating results;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lack of an active public market for our common stock and our preferred stock;</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IPO, or a sale of our company, given prevailing market conditions;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analysis of IPOs and the market performance of similar companies in the biopharmaceutical industry.</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assumptions underlying these valuations represented management’s best estimate, which involved inherent uncertainties and the application of management’s judgment. As a result, if we had used significantly different assumptions or estimates, the fair value of our common stock and our stock-based compensation expense could be materially different.</w:t>
      </w:r>
    </w:p>
    <w:p>
      <w:pPr>
        <w:spacing w:after="0" w:line="184"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Once a public trading market for our common stock has been established in connection with the completion of this offering, it will no longer be necessary for our board of directors to estimate the fair value of our common stock in connection with our accounting for granted stock options and other such awards we may grant, as the fair value of our common stock will be based on the quoted market price of our common stock.</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Option Grants</w:t>
      </w:r>
    </w:p>
    <w:p>
      <w:pPr>
        <w:spacing w:after="0" w:line="117" w:lineRule="exact"/>
        <w:rPr>
          <w:sz w:val="20"/>
          <w:szCs w:val="20"/>
          <w:color w:val="auto"/>
        </w:rPr>
      </w:pPr>
    </w:p>
    <w:p>
      <w:pPr>
        <w:jc w:val="both"/>
        <w:ind w:left="120" w:right="20" w:firstLine="440"/>
        <w:spacing w:after="0" w:line="342" w:lineRule="auto"/>
        <w:rPr>
          <w:sz w:val="20"/>
          <w:szCs w:val="20"/>
          <w:color w:val="auto"/>
        </w:rPr>
      </w:pPr>
      <w:r>
        <w:rPr>
          <w:rFonts w:ascii="Arial" w:cs="Arial" w:eastAsia="Arial" w:hAnsi="Arial"/>
          <w:sz w:val="16"/>
          <w:szCs w:val="16"/>
          <w:color w:val="auto"/>
        </w:rPr>
        <w:t>The following table summarizes by grant date the number of shares subject to options granted since June 3, 2020 (inception), the per share exercise price of the options, the per share fair value of our common stock on each grant date and the per share estimated fair value of the options: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6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Number of</w:t>
            </w:r>
          </w:p>
        </w:tc>
        <w:tc>
          <w:tcPr>
            <w:tcW w:w="30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Per Share</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1"/>
              </w:rPr>
              <w:t>Per Share</w:t>
            </w: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2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8"/>
              </w:rPr>
              <w:t>Shares Subject</w:t>
            </w:r>
          </w:p>
        </w:tc>
        <w:tc>
          <w:tcPr>
            <w:tcW w:w="300" w:type="dxa"/>
            <w:vAlign w:val="bottom"/>
          </w:tcPr>
          <w:p>
            <w:pPr>
              <w:spacing w:after="0"/>
              <w:rPr>
                <w:sz w:val="12"/>
                <w:szCs w:val="12"/>
                <w:color w:val="auto"/>
              </w:rPr>
            </w:pP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Exercise</w:t>
            </w:r>
          </w:p>
        </w:tc>
        <w:tc>
          <w:tcPr>
            <w:tcW w:w="300" w:type="dxa"/>
            <w:vAlign w:val="bottom"/>
          </w:tcPr>
          <w:p>
            <w:pPr>
              <w:spacing w:after="0"/>
              <w:rPr>
                <w:sz w:val="12"/>
                <w:szCs w:val="12"/>
                <w:color w:val="auto"/>
              </w:rPr>
            </w:pPr>
          </w:p>
        </w:tc>
        <w:tc>
          <w:tcPr>
            <w:tcW w:w="172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5"/>
              </w:rPr>
              <w:t>Fair Value of</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5"/>
              </w:rPr>
              <w:t>Estimated Fair</w:t>
            </w:r>
          </w:p>
        </w:tc>
        <w:tc>
          <w:tcPr>
            <w:tcW w:w="0" w:type="dxa"/>
            <w:vAlign w:val="bottom"/>
          </w:tcPr>
          <w:p>
            <w:pPr>
              <w:spacing w:after="0"/>
              <w:rPr>
                <w:sz w:val="1"/>
                <w:szCs w:val="1"/>
                <w:color w:val="auto"/>
              </w:rPr>
            </w:pPr>
          </w:p>
        </w:tc>
      </w:tr>
      <w:tr>
        <w:trPr>
          <w:trHeight w:val="148"/>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rPr>
              <w:t>Grant Date</w:t>
            </w:r>
          </w:p>
        </w:tc>
        <w:tc>
          <w:tcPr>
            <w:tcW w:w="400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to Options</w:t>
            </w:r>
          </w:p>
        </w:tc>
        <w:tc>
          <w:tcPr>
            <w:tcW w:w="300" w:type="dxa"/>
            <w:vAlign w:val="bottom"/>
          </w:tcPr>
          <w:p>
            <w:pPr>
              <w:spacing w:after="0"/>
              <w:rPr>
                <w:sz w:val="12"/>
                <w:szCs w:val="12"/>
                <w:color w:val="auto"/>
              </w:rPr>
            </w:pPr>
          </w:p>
        </w:tc>
        <w:tc>
          <w:tcPr>
            <w:tcW w:w="9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300" w:type="dxa"/>
            <w:vAlign w:val="bottom"/>
          </w:tcPr>
          <w:p>
            <w:pPr>
              <w:spacing w:after="0"/>
              <w:rPr>
                <w:sz w:val="12"/>
                <w:szCs w:val="12"/>
                <w:color w:val="auto"/>
              </w:rPr>
            </w:pPr>
          </w:p>
        </w:tc>
        <w:tc>
          <w:tcPr>
            <w:tcW w:w="1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 Stock</w:t>
            </w:r>
          </w:p>
        </w:tc>
        <w:tc>
          <w:tcPr>
            <w:tcW w:w="10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78"/>
        </w:trPr>
        <w:tc>
          <w:tcPr>
            <w:tcW w:w="1560" w:type="dxa"/>
            <w:vAlign w:val="bottom"/>
            <w:tcBorders>
              <w:bottom w:val="single" w:sz="8" w:color="auto"/>
            </w:tcBorders>
            <w:vMerge w:val="continue"/>
          </w:tcPr>
          <w:p>
            <w:pPr>
              <w:spacing w:after="0"/>
              <w:rPr>
                <w:sz w:val="15"/>
                <w:szCs w:val="15"/>
                <w:color w:val="auto"/>
              </w:rPr>
            </w:pPr>
          </w:p>
        </w:tc>
        <w:tc>
          <w:tcPr>
            <w:tcW w:w="4000" w:type="dxa"/>
            <w:vAlign w:val="bottom"/>
          </w:tcPr>
          <w:p>
            <w:pPr>
              <w:spacing w:after="0"/>
              <w:rPr>
                <w:sz w:val="15"/>
                <w:szCs w:val="15"/>
                <w:color w:val="auto"/>
              </w:rPr>
            </w:pPr>
          </w:p>
        </w:tc>
        <w:tc>
          <w:tcPr>
            <w:tcW w:w="12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6"/>
              </w:rPr>
              <w:t>Granted</w:t>
            </w:r>
          </w:p>
        </w:tc>
        <w:tc>
          <w:tcPr>
            <w:tcW w:w="300" w:type="dxa"/>
            <w:vAlign w:val="bottom"/>
          </w:tcPr>
          <w:p>
            <w:pPr>
              <w:spacing w:after="0"/>
              <w:rPr>
                <w:sz w:val="15"/>
                <w:szCs w:val="15"/>
                <w:color w:val="auto"/>
              </w:rPr>
            </w:pPr>
          </w:p>
        </w:tc>
        <w:tc>
          <w:tcPr>
            <w:tcW w:w="92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Options</w:t>
            </w:r>
          </w:p>
        </w:tc>
        <w:tc>
          <w:tcPr>
            <w:tcW w:w="300" w:type="dxa"/>
            <w:vAlign w:val="bottom"/>
          </w:tcPr>
          <w:p>
            <w:pPr>
              <w:spacing w:after="0"/>
              <w:rPr>
                <w:sz w:val="15"/>
                <w:szCs w:val="15"/>
                <w:color w:val="auto"/>
              </w:rPr>
            </w:pPr>
          </w:p>
        </w:tc>
        <w:tc>
          <w:tcPr>
            <w:tcW w:w="1720" w:type="dxa"/>
            <w:vAlign w:val="bottom"/>
            <w:gridSpan w:val="3"/>
          </w:tcPr>
          <w:p>
            <w:pPr>
              <w:jc w:val="center"/>
              <w:ind w:right="760"/>
              <w:spacing w:after="0" w:line="158" w:lineRule="exact"/>
              <w:rPr>
                <w:sz w:val="20"/>
                <w:szCs w:val="20"/>
                <w:color w:val="auto"/>
              </w:rPr>
            </w:pPr>
            <w:r>
              <w:rPr>
                <w:rFonts w:ascii="Arial" w:cs="Arial" w:eastAsia="Arial" w:hAnsi="Arial"/>
                <w:sz w:val="14"/>
                <w:szCs w:val="14"/>
                <w:b w:val="1"/>
                <w:bCs w:val="1"/>
                <w:color w:val="auto"/>
                <w:w w:val="95"/>
              </w:rPr>
              <w:t>on Grant Date</w:t>
            </w:r>
          </w:p>
        </w:tc>
        <w:tc>
          <w:tcPr>
            <w:tcW w:w="10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4"/>
              </w:rPr>
              <w:t>Options</w:t>
            </w: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June 19, 2020</w:t>
            </w:r>
          </w:p>
        </w:tc>
        <w:tc>
          <w:tcPr>
            <w:tcW w:w="40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6,943,240</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$0.01</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420"/>
              <w:spacing w:after="0" w:line="203" w:lineRule="exact"/>
              <w:rPr>
                <w:sz w:val="20"/>
                <w:szCs w:val="20"/>
                <w:color w:val="auto"/>
              </w:rPr>
            </w:pPr>
            <w:r>
              <w:rPr>
                <w:rFonts w:ascii="Arial" w:cs="Arial" w:eastAsia="Arial" w:hAnsi="Arial"/>
                <w:sz w:val="18"/>
                <w:szCs w:val="18"/>
                <w:color w:val="auto"/>
                <w:w w:val="84"/>
              </w:rPr>
              <w:t>$0.01</w:t>
            </w:r>
          </w:p>
        </w:tc>
        <w:tc>
          <w:tcPr>
            <w:tcW w:w="7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$0.01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w w:val="94"/>
              </w:rPr>
              <w:t>September 28, 2020</w:t>
            </w:r>
          </w:p>
        </w:tc>
        <w:tc>
          <w:tcPr>
            <w:tcW w:w="5220" w:type="dxa"/>
            <w:vAlign w:val="bottom"/>
            <w:gridSpan w:val="3"/>
          </w:tcPr>
          <w:p>
            <w:pPr>
              <w:jc w:val="right"/>
              <w:ind w:right="300"/>
              <w:spacing w:after="0"/>
              <w:rPr>
                <w:sz w:val="20"/>
                <w:szCs w:val="20"/>
                <w:color w:val="auto"/>
              </w:rPr>
            </w:pPr>
            <w:r>
              <w:rPr>
                <w:rFonts w:ascii="Arial" w:cs="Arial" w:eastAsia="Arial" w:hAnsi="Arial"/>
                <w:sz w:val="18"/>
                <w:szCs w:val="18"/>
                <w:color w:val="auto"/>
              </w:rPr>
              <w:t>2,968,070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$0.78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ind w:left="420"/>
              <w:spacing w:after="0"/>
              <w:rPr>
                <w:sz w:val="20"/>
                <w:szCs w:val="20"/>
                <w:color w:val="auto"/>
              </w:rPr>
            </w:pPr>
            <w:r>
              <w:rPr>
                <w:rFonts w:ascii="Arial" w:cs="Arial" w:eastAsia="Arial" w:hAnsi="Arial"/>
                <w:sz w:val="18"/>
                <w:szCs w:val="18"/>
                <w:color w:val="auto"/>
              </w:rPr>
              <w:t>$1.00</w:t>
            </w:r>
            <w:r>
              <w:rPr>
                <w:rFonts w:ascii="Arial" w:cs="Arial" w:eastAsia="Arial" w:hAnsi="Arial"/>
                <w:sz w:val="15"/>
                <w:szCs w:val="15"/>
                <w:color w:val="auto"/>
              </w:rPr>
              <w:t>(1)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January 13, 2021</w:t>
            </w:r>
          </w:p>
        </w:tc>
        <w:tc>
          <w:tcPr>
            <w:tcW w:w="5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2,513,000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$4.61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April 13, 2021</w:t>
            </w:r>
          </w:p>
        </w:tc>
        <w:tc>
          <w:tcPr>
            <w:tcW w:w="5220" w:type="dxa"/>
            <w:vAlign w:val="bottom"/>
            <w:gridSpan w:val="3"/>
          </w:tcPr>
          <w:p>
            <w:pPr>
              <w:jc w:val="right"/>
              <w:ind w:right="300"/>
              <w:spacing w:after="0"/>
              <w:rPr>
                <w:sz w:val="20"/>
                <w:szCs w:val="20"/>
                <w:color w:val="auto"/>
              </w:rPr>
            </w:pPr>
            <w:r>
              <w:rPr>
                <w:rFonts w:ascii="Arial" w:cs="Arial" w:eastAsia="Arial" w:hAnsi="Arial"/>
                <w:sz w:val="18"/>
                <w:szCs w:val="18"/>
                <w:color w:val="auto"/>
              </w:rPr>
              <w:t>1,198,750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$8.36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ind w:left="420"/>
              <w:spacing w:after="0"/>
              <w:rPr>
                <w:sz w:val="20"/>
                <w:szCs w:val="20"/>
                <w:color w:val="auto"/>
              </w:rPr>
            </w:pPr>
            <w:r>
              <w:rPr>
                <w:rFonts w:ascii="Arial" w:cs="Arial" w:eastAsia="Arial" w:hAnsi="Arial"/>
                <w:sz w:val="18"/>
                <w:szCs w:val="18"/>
                <w:color w:val="auto"/>
              </w:rPr>
              <w:t>$8.36</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May 7, 2021</w:t>
            </w:r>
          </w:p>
        </w:tc>
        <w:tc>
          <w:tcPr>
            <w:tcW w:w="5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6,341,740</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10.14</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10.14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June 30, 2021</w:t>
            </w:r>
          </w:p>
        </w:tc>
        <w:tc>
          <w:tcPr>
            <w:tcW w:w="5220" w:type="dxa"/>
            <w:vAlign w:val="bottom"/>
            <w:gridSpan w:val="3"/>
          </w:tcPr>
          <w:p>
            <w:pPr>
              <w:jc w:val="right"/>
              <w:ind w:right="300"/>
              <w:spacing w:after="0"/>
              <w:rPr>
                <w:sz w:val="20"/>
                <w:szCs w:val="20"/>
                <w:color w:val="auto"/>
              </w:rPr>
            </w:pPr>
            <w:r>
              <w:rPr>
                <w:rFonts w:ascii="Arial" w:cs="Arial" w:eastAsia="Arial" w:hAnsi="Arial"/>
                <w:sz w:val="18"/>
                <w:szCs w:val="18"/>
                <w:color w:val="auto"/>
              </w:rPr>
              <w:t>2,025,070</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12.81</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20"/>
              <w:spacing w:after="0"/>
              <w:rPr>
                <w:sz w:val="20"/>
                <w:szCs w:val="20"/>
                <w:color w:val="auto"/>
              </w:rPr>
            </w:pPr>
            <w:r>
              <w:rPr>
                <w:rFonts w:ascii="Arial" w:cs="Arial" w:eastAsia="Arial" w:hAnsi="Arial"/>
                <w:sz w:val="18"/>
                <w:szCs w:val="18"/>
                <w:color w:val="auto"/>
              </w:rPr>
              <w:t>12.81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July 4, 2021</w:t>
            </w:r>
          </w:p>
        </w:tc>
        <w:tc>
          <w:tcPr>
            <w:tcW w:w="5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1,861,460</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12.81</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12.81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jc w:val="both"/>
        <w:ind w:left="540" w:hanging="424"/>
        <w:spacing w:after="0" w:line="259" w:lineRule="auto"/>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At the time of the option grant on September 28, 2020, our board of directors determined that the fair value of our common stock of $0.78 per share reasonably reflected the fair value of our common stock as of the grant date, based on a contemporaneous valuation obtained. However, as described below, the fair value of our common stock at the date of this grant was adjusted in connection with a retrospective fair value assessment for accounting purposes.</w:t>
      </w:r>
    </w:p>
    <w:p>
      <w:pPr>
        <w:spacing w:after="0" w:line="18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In the course of preparing for this offering, in April 2021, we performed a retrospective fair value assessment and concluded that the fair value of our common stock underlying stock options that we granted on September 28, 2020 was $1.00 per share for accounting purposes. This reassessed value was based, in part, upon a third-party valuation of our common stock prepared on a retrospective basis as of September 28, 2020. The third-party retrospective valuation was prepared using an OPM, which used a market approach to determine our</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enterprise value. We applied the fair value of our common stock from our retrospective fair value assessment to determine the fair value of these awards and calculate stock-based compensation expense for accounting purposes.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Securities and Exchange Commission.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results of operations and cash flows is disclosed in Note 2 to our consolidated financial statements appearing at the end of this prospectus.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We identified a material weakness in our internal control over financial reporting that existed as of March 31, 2021. See “Risk Factors—We have identified a material weakness in our internal control over financial reporting. If we are unable to remediate this material weakness, or if we identify additional material weaknesses in the future or otherwise fail to maintain effective internal control over financial reporting, we may not be able to accurately or timely report our financial condition or results of operations, which may adversely affect our business.”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The Jumpstart Our Business Startups Act of 2012 permits an “emerging growth company” such as us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We may choose to early adopt any new or revised accounting standards whenever such early adoption is permitted for private companies.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As of December 31, 2020, we had cash and cash equivalents of $115.0 million, which consisted of cash and a money market fund. As of March 31, 2021, we had cash and cash equivalents of $91.2 million, which consisted of cash and a money market fund. Interest income is sensitive to changes in the general level of interest rates; however, due to the nature of these investments, an immediate 10% change in interest rates would not have a material impact on the fair value of our investment portfolio. As of December 31, 2020 and March 31, 2021, we had no debt outstanding. Therefore, we are not exposed to interest rate risk with respect to debt.</w:t>
      </w:r>
    </w:p>
    <w:p>
      <w:pPr>
        <w:spacing w:after="0" w:line="188"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are not currently exposed to significant market risk related to changes in foreign currency exchange rates. Our operations may be subject to fluctuations in foreign currency exchange rates in the future.</w:t>
      </w:r>
    </w:p>
    <w:p>
      <w:pPr>
        <w:spacing w:after="0" w:line="170"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Our operations may be subject to inflation in the future.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40"/>
          </w:cols>
          <w:pgMar w:left="32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We are a clinical-stage biopharmaceutical company focused on the discovery, development and commercialization of antibody-based solutions for infectious diseases with pandemic potential. We are developing our lead product candidate, ADG20, for the treatment and prevention of coronavirus disease 2019, or COVID-19, the disease caused by the virus SARS-CoV-2 and its variants. COVID-19 has caused the current global pandemic that remains a significant global health crisis and has resulted in millions of deaths and lasting health problems in many survivors. We believe that COVID-19 will become an endemic disease requiring a variety of effective, safe and convenient treatment and prevention options for years to come. We aim to address COVID-19 and future potential viral outbreaks by building a portfolio of antibodies with broadly neutralizing activity against multiple members of the coronavirus family or additional viruses with pandemic potential. Our portfolio of antibodies was discovered by Adimab, LLC, or Adimab, an industry leader in translating target hypotheses into therapeutically relevant antibodies with their proprietary platform, which has resulted in more than 385 antibody discovery programs, over 40 of which have advanced into clinical trials.</w:t>
      </w:r>
    </w:p>
    <w:p>
      <w:pPr>
        <w:spacing w:after="0" w:line="181"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ADG20 is designed to be a potent, long-acting and broadly neutralizing antibody for both the treatment and prevention of COVID-19 as either a single or combination agent. Unlike other antibody-based therapies specifically targeting SARS-CoV-2, ADG20 has demonstrated in non-clinical studies an ability to neutralize SARS-CoV-2, including variants of concern, as well as a broad range of SARS-like viruses with neutralization potency at IC</w:t>
      </w:r>
      <w:r>
        <w:rPr>
          <w:rFonts w:ascii="Arial" w:cs="Arial" w:eastAsia="Arial" w:hAnsi="Arial"/>
          <w:sz w:val="14"/>
          <w:szCs w:val="14"/>
          <w:color w:val="auto"/>
        </w:rPr>
        <w:t>50</w:t>
      </w:r>
      <w:r>
        <w:rPr>
          <w:rFonts w:ascii="Arial" w:cs="Arial" w:eastAsia="Arial" w:hAnsi="Arial"/>
          <w:sz w:val="17"/>
          <w:szCs w:val="17"/>
          <w:color w:val="auto"/>
        </w:rPr>
        <w:t xml:space="preserve"> (half maximal inhibitory concentrations) of approximately 0.01 mcg/mL or less in live-virus cellular assays. We believe this demonstrated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neutralization activity will translate into the ability to conveniently deliver ADG20 as a single intramuscular, or IM, injection. We believe these and other attributes of ADG20 differentiate it from other antibodies that are either available under Emergency Use Authorization, or EUA, or in development to address COVID-19. We have completed enrollment in our first-in-human Phase 1 clinical trial of ADG20. Interim data demonstrated that ADG20 was well tolerated and displayed a pharmacokinetic profile consistent with an extended half-life monoclonal antibody, or mAb. Serum virus neutralizing antibody titers measured the day following administration of ADG20 were similar to or exceeded peak serum neutralizing antibody titers generated after two doses of mRNA or adenovirus-based COVID-19 vaccines. Based on these data, we are conducting two separate Phase 2/3 clinical trials: our STAMP trial to evaluate ADG20 for the treatment of COVID-19 and our EVADE trial to evaluate ADG20 for the prevention of COVID-19. Additionally, our portfolio includes multiple broadly neutralizing antibodies, including ADG10, for potential use with ADG20 as a combination therapy for the treatment and prevention of COVID-19 and future coronavirus outbreaks.</w:t>
      </w:r>
    </w:p>
    <w:p>
      <w:pPr>
        <w:spacing w:after="0" w:line="186"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auto"/>
        </w:rPr>
        <w:t>Over the past 20 years, three pathogenic novel coronaviruses have spilled over into the human population from animal reservoirs to cause outbreaks of deadly pneumonia, including COVID-19, severe acute respiratory syndrome, or SARS, and Middle East respiratory syndrome, or MERS. Most recently, SARS-CoV-2 has given rise to a global pandemic that swept rapidly throughout the world in 2020. Of significant current concern is the emergence of a number of SARS-CoV-2 variants with increased transmissibility and/or the ability to evade neutralizing antibodies. In addition to the emergence of these variants, there are multiple factors that we believe contribute to the likelihood of COVID-19 becoming an endemic threat, including:</w:t>
      </w:r>
    </w:p>
    <w:p>
      <w:pPr>
        <w:spacing w:after="0" w:line="2" w:lineRule="exact"/>
        <w:rPr>
          <w:sz w:val="20"/>
          <w:szCs w:val="20"/>
          <w:color w:val="auto"/>
        </w:rPr>
      </w:pPr>
    </w:p>
    <w:p>
      <w:pPr>
        <w:jc w:val="both"/>
        <w:ind w:left="120" w:hanging="4"/>
        <w:spacing w:after="0" w:line="252" w:lineRule="auto"/>
        <w:tabs>
          <w:tab w:leader="none" w:pos="376" w:val="left"/>
        </w:tabs>
        <w:numPr>
          <w:ilvl w:val="0"/>
          <w:numId w:val="81"/>
        </w:numPr>
        <w:rPr>
          <w:rFonts w:ascii="Arial" w:cs="Arial" w:eastAsia="Arial" w:hAnsi="Arial"/>
          <w:sz w:val="18"/>
          <w:szCs w:val="18"/>
          <w:color w:val="auto"/>
        </w:rPr>
      </w:pPr>
      <w:r>
        <w:rPr>
          <w:rFonts w:ascii="Arial" w:cs="Arial" w:eastAsia="Arial" w:hAnsi="Arial"/>
          <w:sz w:val="18"/>
          <w:szCs w:val="18"/>
          <w:color w:val="auto"/>
        </w:rPr>
        <w:t>uneven global rollout of vaccinations; (2) ongoing vaccine hesitancy; (3) unknown duration of immunity and efficacy against current and future viral variants conferred by currently available vaccines; (4) uncertain impact of vaccines on transmission; and (5) variable implementation of virus mitigation behaviors, such as wearing masks and social distancing. As a result, our epidemiological modeling has suggested that as much as 50% of the global population may be susceptible to SARS-CoV-2 infection within three years. We also believe that future pandemics similar to the COVID-19 pandemic are likely because, in many parts of the world, humans live in close proximity to animal species harboring SARS-like viruses that are capable of infecting humans.</w:t>
      </w:r>
    </w:p>
    <w:p>
      <w:pPr>
        <w:spacing w:after="0" w:line="19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Our vision is to discover, develop and commercialize antibody-based solutions not only for the current COVID-19 pandemic, but also to address future potential coronavirus outbreaks. To enable this vision, our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40"/>
          </w:cols>
          <w:pgMar w:left="32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discovery efforts are focused on broadly neutralizing antibodies that target conserved epitopes across multiple members of the coronavirus family. We optimize our candidate molecules to improve breadth, potency, half-life and developability. Key elements that differentiate our approach include:</w:t>
      </w:r>
    </w:p>
    <w:p>
      <w:pPr>
        <w:jc w:val="both"/>
        <w:ind w:left="120" w:right="20" w:hanging="4"/>
        <w:spacing w:after="0" w:line="253" w:lineRule="auto"/>
        <w:tabs>
          <w:tab w:leader="none" w:pos="419"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recognition of the importance of broadly neutralizing antibodies; (2) industry-leading B-cell mining, protein engineering and developability screening capabilities through our partnership with Adimab; and (3) development of antibodies with reduced risk of clinical resistance. We believe that a mAb therapy that provides potent and broad neutralizing activity, convenient outpatient administration and both rapid and durable protection will have the potential to address the limitations of currently available treatment and prevention options for COVID-19 as well as future diseases that may arise from SARS-like viruses with pandemic potential.</w:t>
      </w:r>
    </w:p>
    <w:p>
      <w:pPr>
        <w:spacing w:after="0" w:line="19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Our founding scientists designed and engineered ADG20 with the goal of creating a highly active and broad mAb-based therapeutic candidate for both the treatment and prevention of COVID-19. They focused on isolating an antibody capable of broadly neutralizing the entire viral class of SARS-like viruses, known as sarbecoviruses, as opposed to only neutralizing SARS-CoV-2.</w:t>
      </w:r>
    </w:p>
    <w:p>
      <w:pPr>
        <w:spacing w:after="0" w:line="184"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We have completed enrollment in our first-in-human Phase 1 clinical trial in healthy volunteers. Interim data demonstrated that ADG20 was well tolerated and displayed a pharmacokinetic profile consistent with an extended half-life mAb. In addition, the serum virus neutralizing antibody titers measured the day following administration of ADG20 were similar to or exceeded peak serum neutralizing antibody titers generated after two doses of mRNA or adenovirus-based COVID-19 vaccines. For the treatment of mild to moderate COVID-19 in patients at high risk of disease progression, we are conducting our STAMP trial, a combined Phase 2/3 global clinical trial designed to provide a path to applying for EUA and/or filing a BLA for marketing approval in 2022, and commercial launch thereafter, if ADG20 is approved. We may not meet our time frames for submission for an EUA or a BLA, and if we do meet such timelines, there is no guarantee the FDA would approve our submission, or on the time frame we have indicated. For the prevention of COVID-19, we are conducting our EVADE trial, a combined Phase 2/3 clinical trial in both post-exposure and pre-exposure populations. If these clinical trials are successful, we believe ADG20 has the potential to be approved for both the treatment and prevention of COVID-19 in the United States, potentially preceded by an EUA for the treatment of mild to moderate COVID-19 in patients at high risk of disease progression. Importantly, given the global impact of COVID-19, we also plan to seek approvals outside the United States as well. In addition, we are developing a clinical plan to support the use of ADG20 in the pediatric population for both the treatment and prevention of COVID-19.</w:t>
      </w:r>
    </w:p>
    <w:p>
      <w:pPr>
        <w:spacing w:after="0" w:line="168"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We are also evaluating additional broadly neutralizing antibodies, such as ADG10, for potential use in combination with ADG20 for COVID-19. We believe the incorporation of a second broadly neutralizing antibody that targets a distinct viral epitope from the epitope targeted by ADG20 will ensure long-lasting product activity against COVID-19 as new variants of SARS-CoV-2 emerge, as well as against future potential outbreaks of disease that may arise from additional SARS-like viruses with pandemic potential. In addition, we plan to leverage the robust antibody discovery and development capabilities that have enabled our expedited advancement of ADG20 into clinical trials to develop therapeutic or preventative options for other respiratory viral infections, such as additional coronaviruses and seasonal and pandemic influenza. In addition to building a portfolio of broadly neutralizing antibodies, we are leveraging our knowledge around broadly neutralizing antibody responses to inform the rational design of coronavirus vaccine antigens.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History and Team</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We were founded in June 2020 to develop of a portfolio of anti-coronavirus antibodies discovered by Adimab for both the treatment and prevention of COVID-19 and future coronavirus outbreaks. Our founding scientists discovered ADG20, our lead product candidate, while working at Adimab, an industry leader in translating target hypotheses into therapeutically relevant antibodies. The Adimab platform has been used in more than 385 antibody discovery and optimization programs, more than 40 of which have advanced into clinical trials, including five programs in pivotal clinical trials. In order to maximize ADG20’s potential and to ensure its development and commercialization with appropriate infectious disease resources and development expertise, we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40"/>
          </w:cols>
          <w:pgMar w:left="32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were launched as a new biotechnology company. Since our founding, we have assembled a team of industry veterans with substantial experience in discovering, developing and commercializing novel treatments for infectious diseases, including extensive experience discovering and optimizing mAbs. Many of our team members have held senior positions at companies such as Cubist Pharmaceuticals, Inc., Vir Biotechnology Inc., Adimab, Biogen and Ironwood Pharmaceuticals, among others.</w:t>
      </w:r>
    </w:p>
    <w:p>
      <w:pPr>
        <w:spacing w:after="0" w:line="18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Since our inception, we have raised approximately $470 million of capital from leading institutional healthcare investors and our partners. Our leadership team has more than 100 years of combined development and commercialization experience with small and large molecules in infectious disease, as well as decades of domain expertise in B-cell immunology of viral diseases.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Our goal is to develop and commercialize differentiated antibody-based solutions with broadly neutralizing activity for the treatment and prevention of diseases caused by SARS-CoV-2, its variants and additional SARS-like viruses with pandemic potential. In order to achieve this goal, our strategy involves executing on the following key elements:</w:t>
      </w:r>
    </w:p>
    <w:p>
      <w:pPr>
        <w:spacing w:after="0" w:line="85" w:lineRule="exact"/>
        <w:rPr>
          <w:sz w:val="20"/>
          <w:szCs w:val="20"/>
          <w:color w:val="auto"/>
        </w:rPr>
      </w:pPr>
    </w:p>
    <w:p>
      <w:pPr>
        <w:jc w:val="both"/>
        <w:ind w:left="1080" w:hanging="532"/>
        <w:spacing w:after="0" w:line="277" w:lineRule="auto"/>
        <w:tabs>
          <w:tab w:leader="none" w:pos="1080" w:val="left"/>
        </w:tabs>
        <w:numPr>
          <w:ilvl w:val="0"/>
          <w:numId w:val="83"/>
        </w:numPr>
        <w:rPr>
          <w:rFonts w:ascii="Arial" w:cs="Arial" w:eastAsia="Arial" w:hAnsi="Arial"/>
          <w:sz w:val="17"/>
          <w:szCs w:val="17"/>
          <w:color w:val="auto"/>
        </w:rPr>
      </w:pPr>
      <w:r>
        <w:rPr>
          <w:rFonts w:ascii="Arial" w:cs="Arial" w:eastAsia="Arial" w:hAnsi="Arial"/>
          <w:sz w:val="17"/>
          <w:szCs w:val="17"/>
          <w:b w:val="1"/>
          <w:bCs w:val="1"/>
          <w:color w:val="auto"/>
        </w:rPr>
        <w:t xml:space="preserve">Leverage our team’s collective expertise in development, manufacturing and commercialization to efficiently bring ADG20 to patients. </w:t>
      </w:r>
      <w:r>
        <w:rPr>
          <w:rFonts w:ascii="Arial" w:cs="Arial" w:eastAsia="Arial" w:hAnsi="Arial"/>
          <w:sz w:val="17"/>
          <w:szCs w:val="17"/>
          <w:color w:val="auto"/>
        </w:rPr>
        <w:t>Since our inception, we have assembled a team with deep and specific expertise in discovering, developing, manufacturing and</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commercializing novel treatments for infectious diseases, including extensive experience with developing mAb therapies. Based on our team’s successful track record, collectively, we believe we will be able to execute on the clinical, regulatory, manufacturing and commercialization plan for ADG20, as well as any future programs, in an efficient manner.</w:t>
      </w:r>
    </w:p>
    <w:p>
      <w:pPr>
        <w:spacing w:after="0" w:line="73" w:lineRule="exact"/>
        <w:rPr>
          <w:rFonts w:ascii="Arial" w:cs="Arial" w:eastAsia="Arial" w:hAnsi="Arial"/>
          <w:sz w:val="17"/>
          <w:szCs w:val="17"/>
          <w:color w:val="auto"/>
        </w:rPr>
      </w:pPr>
    </w:p>
    <w:p>
      <w:pPr>
        <w:jc w:val="both"/>
        <w:ind w:left="1080" w:hanging="532"/>
        <w:spacing w:after="0" w:line="285"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b w:val="1"/>
          <w:bCs w:val="1"/>
          <w:color w:val="auto"/>
        </w:rPr>
        <w:t>Complete development and obtain global approval for our lead product candidate, ADG20, for both the treatment and prevention of COVID-19</w:t>
      </w:r>
      <w:r>
        <w:rPr>
          <w:rFonts w:ascii="Arial" w:cs="Arial" w:eastAsia="Arial" w:hAnsi="Arial"/>
          <w:sz w:val="16"/>
          <w:szCs w:val="16"/>
          <w:color w:val="auto"/>
        </w:rPr>
        <w:t>. Our clinical development plan for ADG20 includes two global clinical trials to demonstrate the efficacy and safety of</w:t>
      </w:r>
      <w:r>
        <w:rPr>
          <w:rFonts w:ascii="Arial" w:cs="Arial" w:eastAsia="Arial" w:hAnsi="Arial"/>
          <w:sz w:val="16"/>
          <w:szCs w:val="16"/>
          <w:b w:val="1"/>
          <w:bCs w:val="1"/>
          <w:color w:val="auto"/>
        </w:rPr>
        <w:t xml:space="preserve"> </w:t>
      </w:r>
      <w:r>
        <w:rPr>
          <w:rFonts w:ascii="Arial" w:cs="Arial" w:eastAsia="Arial" w:hAnsi="Arial"/>
          <w:sz w:val="16"/>
          <w:szCs w:val="16"/>
          <w:color w:val="auto"/>
        </w:rPr>
        <w:t>ADG20 for treatment and prevention of COVID-19, respectively. We have completed enrollment in our first-in-human Phase 1 clinical trial in healthy volunteers. Interim data demonstrated that ADG20 was well tolerated and displayed a pharmacokinetic profile consistent with an extended half-life mAb. In addition, the serum virus neutralizing antibody titers measured the day following administration of ADG20 were similar to or exceeded peak serum neutralizing antibody titers generated after two doses of mRNA or adenovirus-based COVID-19 vaccines. For the treatment of mild to moderate COVID-19 in patients at high risk of disease progression, we are conducting our Phase 2/3 STAMP trial, which is designed to provide a path to applying for emergency use authorization and/or filing a BLA for marketing approval in 2022, and commercial launch thereafter, if ADG20 is approved. We may not meet our time frames for submission for an EUA or a BLA, and if we do meet such timelines, there is no guarantee the FDA would approve our submission, or on the time frame we have indicated. This clinical trial includes an interim analysis for efficacy, which has the potential to support an EUA. The clinical data from the interim analysis will be further supplemented with nonclinical virological data demonstrating broad neutralizing activity against a comprehensive panel of known SARS-CoV-2 variants, including variants that are partially or fully resistant to certain currently available mAb therapies and vaccines. Similarly, we are conducting our Phase 2/3 global clinical trial, EVADE, to evaluate ADG20 in the prevention of symptomatic COVID-19 in two separate populations: (1) individuals with known exposure to a person with laboratory-confirmed SARS-CoV-2 infection, also known as post-exposure prophylaxis, and (2) individuals who are at increased risk for SARS-CoV-2 infection, also known as pre-exposure prophylaxis, including those at increased risk of poor vaccine response. If our STAMP and EVADE trials are successful, we believe ADG20 has the potential to be approved for both the treatment and prevention of COVID-19 in the United States, potentially preceded by an EUA for the treatment of mild to moderate COVID-19 in patients at high risk of disease progression. Importantly, given the global impact of COVID-19, we also plan to seek approvals outside the United States.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080" w:hanging="532"/>
        <w:spacing w:after="0" w:line="288" w:lineRule="auto"/>
        <w:tabs>
          <w:tab w:leader="none" w:pos="1080" w:val="left"/>
        </w:tabs>
        <w:numPr>
          <w:ilvl w:val="0"/>
          <w:numId w:val="84"/>
        </w:numPr>
        <w:rPr>
          <w:rFonts w:ascii="Arial" w:cs="Arial" w:eastAsia="Arial" w:hAnsi="Arial"/>
          <w:sz w:val="16"/>
          <w:szCs w:val="16"/>
          <w:color w:val="auto"/>
        </w:rPr>
      </w:pPr>
      <w:r>
        <w:rPr>
          <w:rFonts w:ascii="Arial" w:cs="Arial" w:eastAsia="Arial" w:hAnsi="Arial"/>
          <w:sz w:val="16"/>
          <w:szCs w:val="16"/>
          <w:b w:val="1"/>
          <w:bCs w:val="1"/>
          <w:color w:val="auto"/>
        </w:rPr>
        <w:t xml:space="preserve">Successfully commercialize ADG20, if approved. </w:t>
      </w:r>
      <w:r>
        <w:rPr>
          <w:rFonts w:ascii="Arial" w:cs="Arial" w:eastAsia="Arial" w:hAnsi="Arial"/>
          <w:sz w:val="16"/>
          <w:szCs w:val="16"/>
          <w:color w:val="auto"/>
        </w:rPr>
        <w:t>We believe ADG20 will have several attractive clinical and commercial attributes,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(1) potent and broad neutralizing activity across sarbecoviruses, including against SARS-CoV-2 and known, circulating variants of concern; (2) rapid onset of protection; (3) differentiated durability; (4) convenient, single-dose IM injection for use in the outpatient setting; (5) ability to both complement and supplement currently available COVID-19 vaccines, including for immunocompromised individuals; (6) high titer, high yield manufacturing process; (7) standard refrigeration requirements to facilitate worldwide distribution and storage; and (8) long shelf life to enable stockpiling. Our plan for the commercialization of ADG20 involves direct sales to governments, including relevant health agencies and national health systems, and in the United States, health insurers, integrated delivery networks and large employers. We intend to establish our own commercial organization in the United States and Europe, where we believe a focused commercial infrastructure will be able to successfully commercialize ADG20. In other markets, such as Latin America, Asia-Pacific, including China, and Middle Eastern and African countries, we intend to commercialize ADG20 through partnerships. For example, in July 2021, we entered into a license agreement with Biocon to combat the ongoing COVID-19 crisis in southern Asia.</w:t>
      </w:r>
    </w:p>
    <w:p>
      <w:pPr>
        <w:spacing w:after="0" w:line="68" w:lineRule="exact"/>
        <w:rPr>
          <w:rFonts w:ascii="Arial" w:cs="Arial" w:eastAsia="Arial" w:hAnsi="Arial"/>
          <w:sz w:val="16"/>
          <w:szCs w:val="16"/>
          <w:color w:val="auto"/>
        </w:rPr>
      </w:pPr>
    </w:p>
    <w:p>
      <w:pPr>
        <w:jc w:val="both"/>
        <w:ind w:left="1080" w:hanging="532"/>
        <w:spacing w:after="0" w:line="254"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 xml:space="preserve">Continue to secure additional manufacturing capacity with trusted CDMO partners to enable a worldwide commercial launch. </w:t>
      </w:r>
      <w:r>
        <w:rPr>
          <w:rFonts w:ascii="Arial" w:cs="Arial" w:eastAsia="Arial" w:hAnsi="Arial"/>
          <w:sz w:val="18"/>
          <w:szCs w:val="18"/>
          <w:color w:val="auto"/>
        </w:rPr>
        <w:t>Due to ongoing worldwide manufacturing capacity constraints, we have identified and secured the necessary manufacturing capabilities and capacity to enable the development and commercialization of ADG20. In partnership with WuXi Biologics (Hong Kong) Limited, or WuXi, we have developed a high titer, high yield manufacturing process and a formulation that enables IM delivery and have manufactured all the required doses for our STAMP and EVADE clinical trials. We have also selected WuXi as our initial commercial manufacturing partner and believe we have secured sufficient capacity for our initial commercial launch, if ADG20 is approved. We are continuing to evaluate access to additional capacity at both WuXi and other CDMOs to ensure we can meet expected long-term commercial demand.</w:t>
      </w:r>
    </w:p>
    <w:p>
      <w:pPr>
        <w:spacing w:after="0" w:line="97" w:lineRule="exact"/>
        <w:rPr>
          <w:rFonts w:ascii="Arial" w:cs="Arial" w:eastAsia="Arial" w:hAnsi="Arial"/>
          <w:sz w:val="18"/>
          <w:szCs w:val="18"/>
          <w:color w:val="auto"/>
        </w:rPr>
      </w:pPr>
    </w:p>
    <w:p>
      <w:pPr>
        <w:jc w:val="both"/>
        <w:ind w:left="1080" w:right="20" w:hanging="532"/>
        <w:spacing w:after="0" w:line="274" w:lineRule="auto"/>
        <w:tabs>
          <w:tab w:leader="none" w:pos="1080" w:val="left"/>
        </w:tabs>
        <w:numPr>
          <w:ilvl w:val="0"/>
          <w:numId w:val="84"/>
        </w:numPr>
        <w:rPr>
          <w:rFonts w:ascii="Arial" w:cs="Arial" w:eastAsia="Arial" w:hAnsi="Arial"/>
          <w:sz w:val="17"/>
          <w:szCs w:val="17"/>
          <w:color w:val="auto"/>
        </w:rPr>
      </w:pPr>
      <w:r>
        <w:rPr>
          <w:rFonts w:ascii="Arial" w:cs="Arial" w:eastAsia="Arial" w:hAnsi="Arial"/>
          <w:sz w:val="17"/>
          <w:szCs w:val="17"/>
          <w:b w:val="1"/>
          <w:bCs w:val="1"/>
          <w:color w:val="auto"/>
        </w:rPr>
        <w:t xml:space="preserve">Develop additional antibodies for use in potential combination with ADG20 to address future potential variants of SARS-CoV-2 and other sarbecovirus outbreaks. </w:t>
      </w:r>
      <w:r>
        <w:rPr>
          <w:rFonts w:ascii="Arial" w:cs="Arial" w:eastAsia="Arial" w:hAnsi="Arial"/>
          <w:sz w:val="17"/>
          <w:szCs w:val="17"/>
          <w:color w:val="auto"/>
        </w:rPr>
        <w:t>The current COVID-19 pandemic has been exacerbated by the global emergence and spread of</w:t>
      </w:r>
      <w:r>
        <w:rPr>
          <w:rFonts w:ascii="Arial" w:cs="Arial" w:eastAsia="Arial" w:hAnsi="Arial"/>
          <w:sz w:val="17"/>
          <w:szCs w:val="17"/>
          <w:b w:val="1"/>
          <w:bCs w:val="1"/>
          <w:color w:val="auto"/>
        </w:rPr>
        <w:t xml:space="preserve"> </w:t>
      </w:r>
      <w:r>
        <w:rPr>
          <w:rFonts w:ascii="Arial" w:cs="Arial" w:eastAsia="Arial" w:hAnsi="Arial"/>
          <w:sz w:val="17"/>
          <w:szCs w:val="17"/>
          <w:color w:val="auto"/>
        </w:rPr>
        <w:t>SARS-CoV-2 variants with varying levels of resistance to existing therapies, highlighting the need for proactive planning to allow for a rapid and effective response against future coronavirus outbreaks. We are building a portfolio of broadly neutralizing antibodies that target viral epitopes distinct from that targeted by ADG20. We believe combinations of these antibodies, including with ADG20, have the potential to further enhance the breadth and effectiveness of our products.</w:t>
      </w:r>
    </w:p>
    <w:p>
      <w:pPr>
        <w:spacing w:after="0" w:line="78" w:lineRule="exact"/>
        <w:rPr>
          <w:rFonts w:ascii="Arial" w:cs="Arial" w:eastAsia="Arial" w:hAnsi="Arial"/>
          <w:sz w:val="17"/>
          <w:szCs w:val="17"/>
          <w:color w:val="auto"/>
        </w:rPr>
      </w:pPr>
    </w:p>
    <w:p>
      <w:pPr>
        <w:jc w:val="both"/>
        <w:ind w:left="1080" w:hanging="532"/>
        <w:spacing w:after="0" w:line="277" w:lineRule="auto"/>
        <w:tabs>
          <w:tab w:leader="none" w:pos="1080" w:val="left"/>
        </w:tabs>
        <w:numPr>
          <w:ilvl w:val="0"/>
          <w:numId w:val="84"/>
        </w:numPr>
        <w:rPr>
          <w:rFonts w:ascii="Arial" w:cs="Arial" w:eastAsia="Arial" w:hAnsi="Arial"/>
          <w:sz w:val="17"/>
          <w:szCs w:val="17"/>
          <w:color w:val="auto"/>
        </w:rPr>
      </w:pPr>
      <w:r>
        <w:rPr>
          <w:rFonts w:ascii="Arial" w:cs="Arial" w:eastAsia="Arial" w:hAnsi="Arial"/>
          <w:sz w:val="17"/>
          <w:szCs w:val="17"/>
          <w:b w:val="1"/>
          <w:bCs w:val="1"/>
          <w:color w:val="auto"/>
        </w:rPr>
        <w:t xml:space="preserve">Leverage relationships with Adimab and academic institutions to discover additional antibody-based solutions to address coronaviruses and influenza infections. </w:t>
      </w:r>
      <w:r>
        <w:rPr>
          <w:rFonts w:ascii="Arial" w:cs="Arial" w:eastAsia="Arial" w:hAnsi="Arial"/>
          <w:sz w:val="17"/>
          <w:szCs w:val="17"/>
          <w:color w:val="auto"/>
        </w:rPr>
        <w:t>Our ongoing relationship with Adimab provides us with access to Adimab’s unique B-cell</w:t>
      </w:r>
      <w:r>
        <w:rPr>
          <w:rFonts w:ascii="Arial" w:cs="Arial" w:eastAsia="Arial" w:hAnsi="Arial"/>
          <w:sz w:val="17"/>
          <w:szCs w:val="17"/>
          <w:b w:val="1"/>
          <w:bCs w:val="1"/>
          <w:color w:val="auto"/>
        </w:rPr>
        <w:t xml:space="preserve"> </w:t>
      </w:r>
      <w:r>
        <w:rPr>
          <w:rFonts w:ascii="Arial" w:cs="Arial" w:eastAsia="Arial" w:hAnsi="Arial"/>
          <w:sz w:val="17"/>
          <w:szCs w:val="17"/>
          <w:color w:val="auto"/>
        </w:rPr>
        <w:t>mining and protein engineering capabilities. We believe this relationship will allow us to further expand our portfolio with additional uniquely differentiated antibodies for coronaviruses as well as influenza. In addition, we collaborate with academic institutions for the discovery of vaccine immunogens that elicit broadly protective immune responses against influenza and coronaviruses.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 on Coronaviruses</w:t>
      </w:r>
    </w:p>
    <w:p>
      <w:pPr>
        <w:spacing w:after="0" w:line="121"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Coronaviruses comprise a large family of viruses that are grouped into four genera: alphacoronavirus, betacoronavirus, gammacoronavirus and deltacoronavirus. Over the past 20 years, three pathogenic novel betacoronaviruses have spilled over into the human population from animal reservoirs to cause outbreaks of deadly pneumonia, including COVID-19, SARS and MERS. In many parts of the world, humans live in close proximity to animal species harboring sarbecoviruses, a lineage of betacoronaviruses that are capable of using human angiotensin-converting enzyme 2, or hACE2, receptors, and enabling infection in humans. In particular, bats are known to host such viruses, and large bat populations exist alongside humans in certain regions across the world, including eastern Europe, East Africa and southern China. Furthermore, bats are capable of carrying multiple sarbecoviruses, allowing for genetic recombination and the emergence of viral variants with higher</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40"/>
          </w:cols>
          <w:pgMar w:left="32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propensity for transmission to humans. Current estimates suggest that between 6% and 23% of bats harbor viruses with such transmission potential. Not surprisingly, humans living in close proximity to bat populations have been infected by SARS-like coronaviruses. For example, approximately 0.5% to 3% of the rural population in southern China have antibody responses to these viruses, demonstrating past infection. This highlights the zoonotic nature of the sarbecovirus lineage, which includes both SARS-CoV-1 and SARS-CoV-2. Continued human intrusion into previously undeveloped habitats and increased exposure to these viral reservoirs are likely to result in more frequent occurrences of viral spillover, with potentially catastrophic consequences.</w:t>
      </w:r>
    </w:p>
    <w:p>
      <w:pPr>
        <w:spacing w:after="0" w:line="192"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COVID-19, the disease caused by SARS-CoV-2 and its variants, has given rise to a global pandemic that swept rapidly throughout the world in 2020. The genome of SARS-CoV-2 encodes a spike, or S, protein, which is the surface protein common to all members of the coronavirus family and mediates attachment and entry into host cells. The S protein is the major antigen target for the host immune response, and neutralizing antibodies to this protein are associated with protection from infection and disease. For this reason, S protein is the primary target for currently available vaccines and therapeutic mAbs.</w:t>
      </w:r>
    </w:p>
    <w:p>
      <w:pPr>
        <w:spacing w:after="0" w:line="188"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COVID-19 remains a significant global health crisis and case numbers continue to rise. According to estimates as of May 20, 2021 from the Johns Hopkins University, there have been approximately 165 million cases of laboratory-confirmed COVID-19 and 3.4 million COVID-19-related deaths worldwide, with over 33 million laboratory-confirmed cases of COVID-19 and more than 587,000 COVID-19-related deaths in the United States. Disease modeling conducted by several different organizations have further suggested that these estimates significantly undercount the true number of infections and deaths related to COVID-19.</w:t>
      </w:r>
    </w:p>
    <w:p>
      <w:pPr>
        <w:spacing w:after="0" w:line="188"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Of significant current concern is the emergence of a number of SARS-CoV-2 variants with increased transmissibility and/or the ability to evade neutralizing antibodies. These variants include Alpha (B.1.1.7), which was first detected in the United Kingdom; Beta (B.1.351), which was first detected in South Africa; Gamma (P.1), which was first detected in Brazil and shares phenotypic characteristics with B.1.351, and Delta (B.1.617.2), which was first detected in India. Since their initial detection, all of these variants have spread rapidly worldwide, with confirmed cases in the United States, Canada and several European countries, indicating that these variants may be more contagious than the original SARS-CoV-2. As of the two weeks ended July 17, 2021, the Delta (B.1.617.2) variant accounted for approximately 80% of all new COVID-19 cases in the United States and was rapidly increasing. Emergence of the Delta variant in the United States has been accompanied by an increase in COVID-19 cases and hospitalizations. In addition to these well-known variants, additional novel variants have emerged in the United States, including Epsilon (B.1.429/427) and Iota (B.1.526), which were first detected in California and New York, respectively.</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40"/>
          </w:cols>
          <w:pgMar w:left="32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auto"/>
        </w:rPr>
        <w:t>A subset of these variants, notably Beta (B.1.351), Gamma (P.1) and Delta (B.1.617.2), have caused reinfections and breakthrough infections in individuals with pre-existing antibody responses due to prior infection or vaccination, indicating that pre-existing antibodies do not necessarily fully protect against these variants. For example, in the Brazilian city of Manaus, despite a high rate of prior infection as indicated by an estimated seroprevalence of 76% in October 2020, a second wave of COVID-19 cases began in November 2020, which resulted in a significant increase in hospitalizations and deaths. As illustrated in the timeline below, this second COVID-19 wave closely coincided with the emergence of the Gamma (P.1) variant in the city. More recently, we have seen the global emergence and spread of the Delta variant with increases in case loads and hospitalizations, even in countries, such as the United Kingdom and the United States, with relatively high vaccination rates.</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Infection Rates in Manaus, Brazil Demonstrate a Surge in Infections Following the Emergence of the P.1 Variant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171450</wp:posOffset>
            </wp:positionV>
            <wp:extent cx="4723130" cy="39001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723130" cy="390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In addition to the emergence of these variants, there are multiple factors that we believe contribute to the likelihood of COVID-19 becoming an endemic threat, including: (1) uneven global rollout of vaccinations; (2) ongoing vaccine hesitancy; (3) unknown duration of immunity and efficacy against current and future viral variants conferred by currently available vaccines; (4) uncertain impact of vaccines on transmission; and (5) variable implementation of virus mitigation behaviors, such as wearing masks and social distancing.</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Current Approaches for Treatment and Prevention of COVID-19 and Their Limitations</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In response to the ongoing pandemic, multiple agents have been discovered, developed and authorized at an unprecedented speed to address COVID-19.</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40"/>
          </w:cols>
          <w:pgMar w:left="32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Vaccines for Prevention of COVID-19</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Several vaccines have been authorized for the prevention of COVID-19 under public health emergency guidelines both in the United States and abroad. These include mRNA-based vaccines, such as Moderna’s mRNA-1273 and Pfizer/BioNTech’s BNT162b2, and adenovirus-based vaccines, such as AstraZeneca’s Vaxzevria/Covishield, or AZD1222, and Janssen’s JNJ-78436735. While available COVID-19 vaccines have demonstrated meaningful efficacy in preventing COVID-19, we believe additional solutions for the prevention of COVID-19 are required given considerable uncertainty related to multiple factors, including:</w:t>
      </w:r>
    </w:p>
    <w:p>
      <w:pPr>
        <w:spacing w:after="0" w:line="93" w:lineRule="exact"/>
        <w:rPr>
          <w:sz w:val="20"/>
          <w:szCs w:val="20"/>
          <w:color w:val="auto"/>
        </w:rPr>
      </w:pPr>
    </w:p>
    <w:p>
      <w:pPr>
        <w:jc w:val="both"/>
        <w:ind w:left="1080" w:hanging="532"/>
        <w:spacing w:after="0" w:line="273" w:lineRule="auto"/>
        <w:tabs>
          <w:tab w:leader="none" w:pos="1080" w:val="left"/>
        </w:tabs>
        <w:numPr>
          <w:ilvl w:val="0"/>
          <w:numId w:val="8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Efficacy against viral variants. </w:t>
      </w:r>
      <w:r>
        <w:rPr>
          <w:rFonts w:ascii="Arial" w:cs="Arial" w:eastAsia="Arial" w:hAnsi="Arial"/>
          <w:sz w:val="17"/>
          <w:szCs w:val="17"/>
          <w:color w:val="auto"/>
        </w:rPr>
        <w:t>While COVID-19 vaccines have demonstrated meaningful efficacy in preventing infection by the original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strain of COVID-19, emerging evidence shows lower levels of protection against certain variants. A recent Israeli study demonstrated that a disproportionate number of breakthrough infections in Pfizer/BioNTech vaccine recipients are caused by the Beta (B.1.351) variant, and more recent real-world use data from Israel suggests lower vaccine effectiveness against the Delta variant. Clinical trials have also shown reduced efficacy against viral variants. For example, a trial conducted in South Africa showed 10.4% efficacy for the AstraZeneca vaccine Vaxzevria against mild to moderate infections caused by the Beta (B.1.351) variant.</w:t>
      </w:r>
    </w:p>
    <w:p>
      <w:pPr>
        <w:spacing w:after="0" w:line="83" w:lineRule="exact"/>
        <w:rPr>
          <w:rFonts w:ascii="Arial" w:cs="Arial" w:eastAsia="Arial" w:hAnsi="Arial"/>
          <w:sz w:val="17"/>
          <w:szCs w:val="17"/>
          <w:color w:val="auto"/>
        </w:rPr>
      </w:pPr>
    </w:p>
    <w:p>
      <w:pPr>
        <w:jc w:val="both"/>
        <w:ind w:left="1080" w:right="20" w:hanging="532"/>
        <w:spacing w:after="0" w:line="279" w:lineRule="auto"/>
        <w:tabs>
          <w:tab w:leader="none" w:pos="1080" w:val="left"/>
        </w:tabs>
        <w:numPr>
          <w:ilvl w:val="0"/>
          <w:numId w:val="8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Delayed onset of protection. </w:t>
      </w:r>
      <w:r>
        <w:rPr>
          <w:rFonts w:ascii="Arial" w:cs="Arial" w:eastAsia="Arial" w:hAnsi="Arial"/>
          <w:sz w:val="17"/>
          <w:szCs w:val="17"/>
          <w:color w:val="auto"/>
        </w:rPr>
        <w:t>The peak neutralizing antibody response conferred by currently available vaccines is usually 10 to 14 days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after the final dose of the vaccine, resulting in a period of time during which an individual can be infected with SARS-CoV-2 and develop COVID-19, despite having received the vaccine. Furthermore, given that certain vaccines require two doses, three to four weeks apart, the total time from the first vaccine dose to peak neutralizing antibody response can be several weeks.</w:t>
      </w:r>
    </w:p>
    <w:p>
      <w:pPr>
        <w:spacing w:after="0" w:line="76" w:lineRule="exact"/>
        <w:rPr>
          <w:rFonts w:ascii="Arial" w:cs="Arial" w:eastAsia="Arial" w:hAnsi="Arial"/>
          <w:sz w:val="17"/>
          <w:szCs w:val="17"/>
          <w:color w:val="auto"/>
        </w:rPr>
      </w:pPr>
    </w:p>
    <w:p>
      <w:pPr>
        <w:jc w:val="both"/>
        <w:ind w:left="1080" w:hanging="532"/>
        <w:spacing w:after="0" w:line="259"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of protection in immunocompromised individuals. </w:t>
      </w:r>
      <w:r>
        <w:rPr>
          <w:rFonts w:ascii="Arial" w:cs="Arial" w:eastAsia="Arial" w:hAnsi="Arial"/>
          <w:sz w:val="18"/>
          <w:szCs w:val="18"/>
          <w:color w:val="auto"/>
        </w:rPr>
        <w:t>Since vaccines leverage an individual’s existing immune system to generate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protection, vaccines may have little to no effectiveness against infection and disease in those who have compromised immune systems. Preliminary data shows that these individuals mount poor antibody responses to mRNA vaccines, demonstrating the unmet medical need for effective preventative options for immunocompromised populations.</w:t>
      </w:r>
    </w:p>
    <w:p>
      <w:pPr>
        <w:spacing w:after="0" w:line="92"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Perceived tolerability and safety. </w:t>
      </w:r>
      <w:r>
        <w:rPr>
          <w:rFonts w:ascii="Arial" w:cs="Arial" w:eastAsia="Arial" w:hAnsi="Arial"/>
          <w:sz w:val="18"/>
          <w:szCs w:val="18"/>
          <w:color w:val="auto"/>
        </w:rPr>
        <w:t>While currently available vaccines have demonstrated acceptable safety and tolerability profiles, there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 to be negative perceptions of vaccine safety that have been exacerbated by government holds on certain vaccines, as well as widespread publicity regarding rare, but potentially severe, side effects.</w:t>
      </w:r>
    </w:p>
    <w:p>
      <w:pPr>
        <w:spacing w:after="0" w:line="89" w:lineRule="exact"/>
        <w:rPr>
          <w:rFonts w:ascii="Arial" w:cs="Arial" w:eastAsia="Arial" w:hAnsi="Arial"/>
          <w:sz w:val="18"/>
          <w:szCs w:val="18"/>
          <w:color w:val="auto"/>
        </w:rPr>
      </w:pPr>
    </w:p>
    <w:p>
      <w:pPr>
        <w:jc w:val="both"/>
        <w:ind w:left="1080" w:hanging="532"/>
        <w:spacing w:after="0" w:line="25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Vaccine hesitancy. </w:t>
      </w:r>
      <w:r>
        <w:rPr>
          <w:rFonts w:ascii="Arial" w:cs="Arial" w:eastAsia="Arial" w:hAnsi="Arial"/>
          <w:sz w:val="18"/>
          <w:szCs w:val="18"/>
          <w:color w:val="auto"/>
        </w:rPr>
        <w:t>Due to a constellation of perceived safety, side effect and quality concerns, according to an April 2021 survey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conducted by CBS News, approximately 40% of Americans are reluctant to receive a COVID vaccine, including 22% who outright refuse to receive a vaccine. As a result, as of June 20, 2021, 45% of the U.S. population had been fully vaccinated. Globally, vaccine hesitancy is consistent with the U.S. figures. In a Gallup poll conducted in April 2021, in 79 out of 117 countries surveyed, the number of people who said they were willing to be vaccinated was below 70%.</w:t>
      </w:r>
    </w:p>
    <w:p>
      <w:pPr>
        <w:spacing w:after="0" w:line="93"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Durability of response, including the potential need for booster shots. </w:t>
      </w:r>
      <w:r>
        <w:rPr>
          <w:rFonts w:ascii="Arial" w:cs="Arial" w:eastAsia="Arial" w:hAnsi="Arial"/>
          <w:sz w:val="18"/>
          <w:szCs w:val="18"/>
          <w:color w:val="auto"/>
        </w:rPr>
        <w:t>The length of protection conferred by currently available vaccines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uncertain, and recent announcements from the makers of some of these vaccines indicate that periodic administration of booster vaccines will likely be required, similar to the influenza vaccine.</w:t>
      </w:r>
    </w:p>
    <w:p>
      <w:pPr>
        <w:spacing w:after="0" w:line="89" w:lineRule="exact"/>
        <w:rPr>
          <w:rFonts w:ascii="Arial" w:cs="Arial" w:eastAsia="Arial" w:hAnsi="Arial"/>
          <w:sz w:val="18"/>
          <w:szCs w:val="18"/>
          <w:color w:val="auto"/>
        </w:rPr>
      </w:pPr>
    </w:p>
    <w:p>
      <w:pPr>
        <w:jc w:val="both"/>
        <w:ind w:left="1080" w:hanging="532"/>
        <w:spacing w:after="0" w:line="255"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Ability to achieve herd immunity. </w:t>
      </w:r>
      <w:r>
        <w:rPr>
          <w:rFonts w:ascii="Arial" w:cs="Arial" w:eastAsia="Arial" w:hAnsi="Arial"/>
          <w:sz w:val="18"/>
          <w:szCs w:val="18"/>
          <w:color w:val="auto"/>
        </w:rPr>
        <w:t>Many countries, including developed nations, have low vaccination rates due to multiple factors, such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limited vaccine availability as well as vaccine hesitancy. For example, only 33% of available vaccine doses had been purchased by low-and middle-income countries, which constitute over 80% of the global population. As of June 20, 2021, less than 10% of the world’s population had been fully vaccinated. As long as significant numbers of people globally are not vaccinated, COVID-19 and disease caused by SARS-CoV-2 variants can continue to circulate. In addition, vaccination of the pediatric population is believed to be critical to achieving herd immunity.</w:t>
      </w:r>
    </w:p>
    <w:p>
      <w:pPr>
        <w:spacing w:after="0" w:line="97"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Availability and adoption in children. </w:t>
      </w:r>
      <w:r>
        <w:rPr>
          <w:rFonts w:ascii="Arial" w:cs="Arial" w:eastAsia="Arial" w:hAnsi="Arial"/>
          <w:sz w:val="18"/>
          <w:szCs w:val="18"/>
          <w:color w:val="auto"/>
        </w:rPr>
        <w:t>While children generally do not develop the severe consequences of COVID-19 seen in adults,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studies have shown that they are still capable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40"/>
          </w:cols>
          <w:pgMar w:left="32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100"/>
        <w:spacing w:after="0" w:line="254" w:lineRule="auto"/>
        <w:rPr>
          <w:sz w:val="20"/>
          <w:szCs w:val="20"/>
          <w:color w:val="auto"/>
        </w:rPr>
      </w:pPr>
      <w:r>
        <w:rPr>
          <w:rFonts w:ascii="Arial" w:cs="Arial" w:eastAsia="Arial" w:hAnsi="Arial"/>
          <w:sz w:val="18"/>
          <w:szCs w:val="18"/>
          <w:color w:val="auto"/>
        </w:rPr>
        <w:t>transmitting SARS-CoV-2. Given that approximately 25% of the global population is under the age of 15, herd immunity is unlikely to be achieved until effective options for prevention are widely adopted in this population. Although an EUA was recently granted for use of the Pfizer/BioNTech vaccine in adolescents aged 12 to 15 years, the timing of vaccine availability for younger school-age children remains fluid. Further, data collected in April 2021 by the Kaiser Family Foundation suggest that only about a third of parents plan to vaccinate their children when vaccines first become available to them. The anticipated delay in widespread childhood vaccination, coupled with the rise in new variants relatively resistant to vaccine-induced immunity, have the potential to further impact the achievement of herd immunity.</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mAbs for Treatment of COVID-19</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Recent approvals of mAbs for the treatment of Ebola Virus Disease and multi-drug resistant human immunodeficiency virus, or HIV, infection demonstrate their promise for the treatment of viral infections. Some SARS-CoV-2 mAb therapies, either as a monotherapy or a combination cocktail, have been granted an EUA in the United States and India and are available for use as unauthorized products in certain EU member states for the treatment of mild to moderate COVID-19 in patients at high risk of disease progression. These available mAbs include bamlanivimab, bamlanivimab/etesevimab, casirivimab/imdevimab, regdanvimab, and sotrovimab.</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Limitations of Currently Available mAbs</w:t>
      </w:r>
    </w:p>
    <w:p>
      <w:pPr>
        <w:spacing w:after="0" w:line="117"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 xml:space="preserve">The recent emergence of SARS-CoV-2 variants has attenuated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neutralization activity of certain currently available mAbs. For example, the U.S. Food and Drug Administration, or the FDA, recently revoked the EUA for bamlanivimab due to its lack of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activity against key variants of concern as a single agent and distribution of a second agent, bamlanvimab/etesevimab, was paused in the United States due to data showing that the combined frequency of two variants resistant to this product, the Gamma (P.1) and Beta (B.1.351) variants, exceeded 11% in the United States. Consistent with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data showing more pronounced loss of neutralization activity for casirivimab and bamlanivimab/etesevimab against the Gamma variant compared to the Alpha variant, preliminary real-world use data from Italy suggest lower clinical efficacy for casirivimab/imdevimab and bamlanivimab/etesevimab against infections due to the Gamma variant. In addition, the use of currently available mAbs for the treatment of COVID-19 has been limited by the inconvenience of their intravenous, or IV, administration, which requires specialized facilities that are properly equipped to accommodate IV infusions in actively infected patients and may lead to a delay in administration. Publications regarding real-world use of these agents under EUA show that large numbers of otherwise eligible patients who were referred for therapy ultimately did not receive it. In Europe, IV administration in outpatient settings by community nurses or general practitioners remains very limited due to lack of appropriate infrastructure and sites of care. Additional factors that have limited use of mAbs include lack of awareness and education on appropriate use as well as perceived difficulty accessing treatment. We anticipate that these same limitations will apply to any IV-administered mAbs that may be authorized or approved for the prevention of COVID-19. Furthermore, in the setting of prevention, mAbs without sufficiently long half-lives will likely require frequent and periodic administration in order to achieve long-lasting protection.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Approach to COVID-19 and Development of Coronavirus mAbs</w:t>
      </w:r>
    </w:p>
    <w:p>
      <w:pPr>
        <w:spacing w:after="0" w:line="121"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Our vision is to discover, develop and commercialize antibody-based solutions not only for the current COVID-19 pandemic but also to address future potential coronavirus outbreaks. To enable this vision, our discovery efforts are focused on broadly neutralizing antibodies that target conserved epitopes across multiple members of the coronavirus family. We believe that a mAb therapy with the following characteristics will have the potential to address the limitations of currently available treatment and prevention options for COVID-19 as well as future diseases that may arise from SARS-like viruses with pandemic potential:</w:t>
      </w:r>
    </w:p>
    <w:p>
      <w:pPr>
        <w:spacing w:after="0" w:line="93" w:lineRule="exact"/>
        <w:rPr>
          <w:sz w:val="20"/>
          <w:szCs w:val="20"/>
          <w:color w:val="auto"/>
        </w:rPr>
      </w:pPr>
    </w:p>
    <w:p>
      <w:pPr>
        <w:ind w:left="1080" w:hanging="532"/>
        <w:spacing w:after="0"/>
        <w:tabs>
          <w:tab w:leader="none" w:pos="10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High potency and broad neutralizing activity to address SARS-CoV-2, including variants of concern, and additional SARS-like viruses;</w:t>
      </w:r>
    </w:p>
    <w:p>
      <w:pPr>
        <w:spacing w:after="0" w:line="142" w:lineRule="exact"/>
        <w:rPr>
          <w:rFonts w:ascii="Arial" w:cs="Arial" w:eastAsia="Arial" w:hAnsi="Arial"/>
          <w:sz w:val="17"/>
          <w:szCs w:val="17"/>
          <w:color w:val="auto"/>
        </w:rPr>
      </w:pPr>
    </w:p>
    <w:p>
      <w:pPr>
        <w:ind w:left="1080" w:hanging="532"/>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Multiple mechanisms of action, including direct virus neutralization by blocking viral entry into the host cell and elimination of infected host cells through innate immune effector activity to clear infection;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40"/>
          </w:cols>
          <w:pgMar w:left="32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Convenient outpatient administration as a single-dose IM injection;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Ability to provide both rapid and durable protection with potential protection against COVID-19 for up to one year.</w:t>
      </w:r>
    </w:p>
    <w:p>
      <w:pPr>
        <w:spacing w:after="0" w:line="225"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To develop mAb therapies with these characteristics, we optimize both the antigen-binding fragment, or Fab, and constant fragment, or Fc, regions of candidate molecules to improve breadth, potency, half-life and developability. The Fab region binds to the viral antigen and is a key determinant of specificity and potency. The Fc portion binds to host cell receptors to activate the innate immune system to eliminate infected host cells and is a key determinant of serum half-life. Key elements that differentiate our approach include:</w:t>
      </w:r>
    </w:p>
    <w:p>
      <w:pPr>
        <w:spacing w:after="0" w:line="88" w:lineRule="exact"/>
        <w:rPr>
          <w:sz w:val="20"/>
          <w:szCs w:val="20"/>
          <w:color w:val="auto"/>
        </w:rPr>
      </w:pPr>
    </w:p>
    <w:p>
      <w:pPr>
        <w:jc w:val="both"/>
        <w:ind w:left="1080" w:right="20" w:hanging="532"/>
        <w:spacing w:after="0" w:line="281" w:lineRule="auto"/>
        <w:tabs>
          <w:tab w:leader="none" w:pos="1080" w:val="left"/>
        </w:tabs>
        <w:numPr>
          <w:ilvl w:val="0"/>
          <w:numId w:val="88"/>
        </w:numPr>
        <w:rPr>
          <w:rFonts w:ascii="Arial" w:cs="Arial" w:eastAsia="Arial" w:hAnsi="Arial"/>
          <w:sz w:val="17"/>
          <w:szCs w:val="17"/>
          <w:color w:val="auto"/>
        </w:rPr>
      </w:pPr>
      <w:r>
        <w:rPr>
          <w:rFonts w:ascii="Arial" w:cs="Arial" w:eastAsia="Arial" w:hAnsi="Arial"/>
          <w:sz w:val="17"/>
          <w:szCs w:val="17"/>
          <w:b w:val="1"/>
          <w:bCs w:val="1"/>
          <w:color w:val="auto"/>
        </w:rPr>
        <w:t xml:space="preserve">Recognition of the importance of broadly neutralizing antibodies: </w:t>
      </w:r>
      <w:r>
        <w:rPr>
          <w:rFonts w:ascii="Arial" w:cs="Arial" w:eastAsia="Arial" w:hAnsi="Arial"/>
          <w:sz w:val="17"/>
          <w:szCs w:val="17"/>
          <w:color w:val="auto"/>
        </w:rPr>
        <w:t>From the outset, we chose to focus on mAbs capable of broadly</w:t>
      </w:r>
      <w:r>
        <w:rPr>
          <w:rFonts w:ascii="Arial" w:cs="Arial" w:eastAsia="Arial" w:hAnsi="Arial"/>
          <w:sz w:val="17"/>
          <w:szCs w:val="17"/>
          <w:b w:val="1"/>
          <w:bCs w:val="1"/>
          <w:color w:val="auto"/>
        </w:rPr>
        <w:t xml:space="preserve"> </w:t>
      </w:r>
      <w:r>
        <w:rPr>
          <w:rFonts w:ascii="Arial" w:cs="Arial" w:eastAsia="Arial" w:hAnsi="Arial"/>
          <w:sz w:val="17"/>
          <w:szCs w:val="17"/>
          <w:color w:val="auto"/>
        </w:rPr>
        <w:t>neutralizing not only SARS-CoV-2 and its variants, but also the entire viral class of sarbecoviruses that target the hACE2 receptor. Our rationale was driven by the recognition that COVID-19 is a continuation of previous human coronavirus outbreaks, including SARS and MERS, and the likelihood that future variants and other viral outbreaks will continue to emerge.</w:t>
      </w:r>
    </w:p>
    <w:p>
      <w:pPr>
        <w:spacing w:after="0" w:line="70" w:lineRule="exact"/>
        <w:rPr>
          <w:rFonts w:ascii="Arial" w:cs="Arial" w:eastAsia="Arial" w:hAnsi="Arial"/>
          <w:sz w:val="17"/>
          <w:szCs w:val="17"/>
          <w:color w:val="auto"/>
        </w:rPr>
      </w:pPr>
    </w:p>
    <w:p>
      <w:pPr>
        <w:jc w:val="both"/>
        <w:ind w:left="1080" w:hanging="532"/>
        <w:spacing w:after="0" w:line="294" w:lineRule="auto"/>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b w:val="1"/>
          <w:bCs w:val="1"/>
          <w:color w:val="auto"/>
        </w:rPr>
        <w:t xml:space="preserve">Industry-leading B-cell mining, protein engineering and developability screening capabilities through our partnership with Adimab: </w:t>
      </w:r>
      <w:r>
        <w:rPr>
          <w:rFonts w:ascii="Arial" w:cs="Arial" w:eastAsia="Arial" w:hAnsi="Arial"/>
          <w:sz w:val="16"/>
          <w:szCs w:val="16"/>
          <w:color w:val="auto"/>
        </w:rPr>
        <w:t>We leverage nature’s solutions using Adimab’s deep B-cell mining capabilities to isolate broadly neutralizing antibodies from a</w:t>
      </w:r>
      <w:r>
        <w:rPr>
          <w:rFonts w:ascii="Arial" w:cs="Arial" w:eastAsia="Arial" w:hAnsi="Arial"/>
          <w:sz w:val="16"/>
          <w:szCs w:val="16"/>
          <w:b w:val="1"/>
          <w:bCs w:val="1"/>
          <w:color w:val="auto"/>
        </w:rPr>
        <w:t xml:space="preserve"> </w:t>
      </w:r>
      <w:r>
        <w:rPr>
          <w:rFonts w:ascii="Arial" w:cs="Arial" w:eastAsia="Arial" w:hAnsi="Arial"/>
          <w:sz w:val="16"/>
          <w:szCs w:val="16"/>
          <w:color w:val="auto"/>
        </w:rPr>
        <w:t>disease survivor of an earlier SARS infection. We then utilize Adimab’s leading protein engineering capabilities to improve the potency, breadth and half-life of the antibody candidates we advance into preclinical development. We specifically engineer our antibodies to extend their half-lives without affecting Fc-mediated innate immune effector activity. In addition, we have access to Adimab’s extensive suite of developability assays that allow for selection of lead candidates most likely to be readily manufactured and formulated for use in humans.</w:t>
      </w:r>
    </w:p>
    <w:p>
      <w:pPr>
        <w:spacing w:after="0" w:line="65" w:lineRule="exact"/>
        <w:rPr>
          <w:rFonts w:ascii="Arial" w:cs="Arial" w:eastAsia="Arial" w:hAnsi="Arial"/>
          <w:sz w:val="16"/>
          <w:szCs w:val="16"/>
          <w:color w:val="auto"/>
        </w:rPr>
      </w:pPr>
    </w:p>
    <w:p>
      <w:pPr>
        <w:jc w:val="both"/>
        <w:ind w:left="1080" w:hanging="532"/>
        <w:spacing w:after="0" w:line="269" w:lineRule="auto"/>
        <w:tabs>
          <w:tab w:leader="none" w:pos="1080" w:val="left"/>
        </w:tabs>
        <w:numPr>
          <w:ilvl w:val="0"/>
          <w:numId w:val="88"/>
        </w:numPr>
        <w:rPr>
          <w:rFonts w:ascii="Arial" w:cs="Arial" w:eastAsia="Arial" w:hAnsi="Arial"/>
          <w:sz w:val="17"/>
          <w:szCs w:val="17"/>
          <w:color w:val="auto"/>
        </w:rPr>
      </w:pPr>
      <w:r>
        <w:rPr>
          <w:rFonts w:ascii="Arial" w:cs="Arial" w:eastAsia="Arial" w:hAnsi="Arial"/>
          <w:sz w:val="17"/>
          <w:szCs w:val="17"/>
          <w:b w:val="1"/>
          <w:bCs w:val="1"/>
          <w:color w:val="auto"/>
        </w:rPr>
        <w:t xml:space="preserve">Reduced risk of clinical resistance: </w:t>
      </w:r>
      <w:r>
        <w:rPr>
          <w:rFonts w:ascii="Arial" w:cs="Arial" w:eastAsia="Arial" w:hAnsi="Arial"/>
          <w:sz w:val="17"/>
          <w:szCs w:val="17"/>
          <w:color w:val="auto"/>
        </w:rPr>
        <w:t>We are developing antibodies that target conserved residues in the receptor-binding domain, or RBD,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the viral S protein. Importantly, these residues are distinct from those recognized by more narrowly targeted SARS-CoV-2-specific antibodies that are currently available or in development. In addition, the residues that our antibodies target are not readily targeted by antibodies induced by natural infection, which are referred to as public antibodies. These two factors suggest that the residues our antibodies target are less likely to mutate, which we believe will reduce the risk of resistance to our antibodies. In contrast, many of the SARS-CoV-2-specific antibodies that are currently available or in development target residues that are both variable and commonly recognized by public antibodies. The combination of variable residues and immune selection pressure exerted by antibodies elicited by vaccination and natural infection has led to the emergence of SARS-CoV-2 variants with reduced susceptibility to some of the mAbs currently available under EUA. In contrast, our broadly neutralizing antibodies, including ADG20, have maintained neutralizing activity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vitro </w:t>
      </w:r>
      <w:r>
        <w:rPr>
          <w:rFonts w:ascii="Arial" w:cs="Arial" w:eastAsia="Arial" w:hAnsi="Arial"/>
          <w:sz w:val="17"/>
          <w:szCs w:val="17"/>
          <w:color w:val="auto"/>
        </w:rPr>
        <w:t>against these known and emerging variants. Furthermore, the frequency of circulating variants with mutations in the residues targeted</w:t>
      </w:r>
      <w:r>
        <w:rPr>
          <w:rFonts w:ascii="Arial" w:cs="Arial" w:eastAsia="Arial" w:hAnsi="Arial"/>
          <w:sz w:val="17"/>
          <w:szCs w:val="17"/>
          <w:i w:val="1"/>
          <w:iCs w:val="1"/>
          <w:color w:val="auto"/>
        </w:rPr>
        <w:t xml:space="preserve"> </w:t>
      </w:r>
      <w:r>
        <w:rPr>
          <w:rFonts w:ascii="Arial" w:cs="Arial" w:eastAsia="Arial" w:hAnsi="Arial"/>
          <w:sz w:val="17"/>
          <w:szCs w:val="17"/>
          <w:color w:val="auto"/>
        </w:rPr>
        <w:t>by our antibodies has been extremely low.</w:t>
      </w:r>
    </w:p>
    <w:p>
      <w:pPr>
        <w:spacing w:after="0" w:line="29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Discovery of ADG20</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Our founding scientists designed and engineered ADG20 with the goal of creating a highly active and broad mAb-based therapeutic candidate for both the treatment and prevention of COVID-19. They focused on isolating an antibody capable of broadly neutralizing the entire viral class of SARS-like viruses from the sarbecovirus lineage, including diverse family members such as SARS-CoV-1, WIV1, SHC014 and SARS-CoV-2, as opposed to only neutralizing SARS-CoV-2.</w:t>
      </w:r>
    </w:p>
    <w:p>
      <w:pPr>
        <w:spacing w:after="0" w:line="187"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To achieve this objective, a blood sample was obtained from a survivor of the 2003 SARS outbreak who had never been exposed to SARS-CoV-2. After purification, the B-cells were sorted based on reactivity to SARS-CoV-2, enabling us to isolate and identify 200 antibodies that bound to the SARS-CoV-2 S protein. These antibodies were then evaluated for their breadth of neutralization against SARS-CoV-1, SARS-CoV-2 and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40"/>
          </w:cols>
          <w:pgMar w:left="32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WIV1. Out of the 200 antibodies, seven demonstrated broad neutralization potency, as shown in the graphic below.</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Seven Antibodies Isolated from a SARS Survivor Demonstrated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Significant Breadth of Viral Neutralization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160020</wp:posOffset>
            </wp:positionV>
            <wp:extent cx="4877435" cy="33686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877435"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Rather than immediately advancing one of these seven candidates into clinical development, we opted to improve the binding affinities, and thus neutralizing activities, of three of these antibodies using the Adimab protein engineering platform. Affinity maturation allowed us to increase the SARS-CoV-2 S protein binding affinity and neutralization potency of ADI-55688 by as much as 500- and 77-fold, respectively, as shown in the graphic below. Based on this enhanced profile, we selected to evaluate ADG2, the ADI-55688 progeny with the most improved binding affinity and neutralization potency, in additional preclinical studies.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40"/>
          </w:cols>
          <w:pgMar w:left="32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Protein Engineering Substantially Improved Binding to and Neutralization of SARS-CoV-2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171450</wp:posOffset>
            </wp:positionV>
            <wp:extent cx="4783455" cy="22028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783455"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 xml:space="preserve">To determine whether ADG2 retained its broad neutralization capability, we evaluated its activity against additional members of the sarbecovirus lineage. Clade 1 of this lineage is of particular concern as it includes members that can infect human cells using the hACE2 receptor. Of the Clade 1 viruses, authentic virus neutralization assays, which represent the relevant assays to evaluate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neutralization activity, are only available for SARS-CoV-1, SARS-CoV-2, WIV1 and SHC014. Among the Clade 1 viruses, SHC014 is the most genetically divergent from SARS-CoV-2, and therefore, the ability to neutralize both SARS-CoV-2 and SHC014 suggests an ability to neutralize the majority of viruses in the clade.</w:t>
      </w:r>
    </w:p>
    <w:p>
      <w:pPr>
        <w:spacing w:after="0" w:line="161"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We compared the activity of ADG2 with other currently available or clinical-stage mAbs against a subset of Clade 1 sarbecoviruses in authentic virus neutralization assays using transfected HeLa cells that express the hACE2 receptor and non-human primate Vero cells. ADG2 demonstrated high potency, defined as an IC</w:t>
      </w:r>
      <w:r>
        <w:rPr>
          <w:rFonts w:ascii="Arial" w:cs="Arial" w:eastAsia="Arial" w:hAnsi="Arial"/>
          <w:sz w:val="15"/>
          <w:szCs w:val="15"/>
          <w:color w:val="auto"/>
        </w:rPr>
        <w:t>50</w:t>
      </w:r>
      <w:r>
        <w:rPr>
          <w:rFonts w:ascii="Arial" w:cs="Arial" w:eastAsia="Arial" w:hAnsi="Arial"/>
          <w:sz w:val="18"/>
          <w:szCs w:val="18"/>
          <w:color w:val="auto"/>
        </w:rPr>
        <w:t xml:space="preserve"> value of 0.01 mcg/mL or less, against SARS-CoV-2 in the two different assays, whereas the potency of certain other antibodies was observed to vary. Importantly, ADG2 exhibited highly potent activity against the other Clade 1 viruses tested, including SARS-CoV-1, WIV1 and SHC014, whereas the other antibodies demonstrated either limited potency or were non-neutralizing, or N.N., at the highest concentration tested, as shown in the graphic below.</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40"/>
          </w:cols>
          <w:pgMar w:left="32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ADG2 Shows Broad Neutralization Activity Across Diverse SARS-Related Coronaviruses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171450</wp:posOffset>
            </wp:positionV>
            <wp:extent cx="4894580" cy="29229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894580"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further engineered ADG2 with an Fc region modification designed to extend the half-life to enable the potential for a single-dose administration to provide durable protection against COVID-19 for up to 12 months, which resulted in our lead product candidate, ADG20.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ADG20: Our Solution for the Treatment and Prevention of COVID-19</w:t>
      </w:r>
    </w:p>
    <w:p>
      <w:pPr>
        <w:spacing w:after="0" w:line="121"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ADG20, our lead product candidate, is designed to be a potent, broadly neutralizing antibody for both the treatment and prevention of COVID-19, including disease caused by variants, as either a single or combination agent. Unlike other antibody-based therapies specifically targeting SARS-CoV-2, ADG20 has demonstrated in non-clinical studies an ability to neutralize SARS-CoV-2, including variants of concern, as well as a broad range of sarbecoviruses with neutralization potency at IC</w:t>
      </w:r>
      <w:r>
        <w:rPr>
          <w:rFonts w:ascii="Arial" w:cs="Arial" w:eastAsia="Arial" w:hAnsi="Arial"/>
          <w:sz w:val="14"/>
          <w:szCs w:val="14"/>
          <w:color w:val="auto"/>
        </w:rPr>
        <w:t>50</w:t>
      </w:r>
      <w:r>
        <w:rPr>
          <w:rFonts w:ascii="Arial" w:cs="Arial" w:eastAsia="Arial" w:hAnsi="Arial"/>
          <w:sz w:val="17"/>
          <w:szCs w:val="17"/>
          <w:color w:val="auto"/>
        </w:rPr>
        <w:t xml:space="preserve"> of approximately 0.01 mcg/mL or less in live-virus cellular assays. In addition, ADG20 can be conveniently administered as a single-dose IM injection. We believe these and other attributes of ADG20 differentiate it from other antibodies that are either available under EUA or in development to address COVID-19.</w:t>
      </w:r>
    </w:p>
    <w:p>
      <w:pPr>
        <w:spacing w:after="0" w:line="178"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Our clinical development plan for ADG20 includes two global clinical trials designed to demonstrate the safety and efficacy of ADG20 for the treatment and prevention of COVID-19, respectively. We have completed enrollment in our first-in-human Phase 1 clinical trial in healthy volunteers, which demonstrated that a single-dose of ADG20 was well tolerated at doses up to 500 mg IV and 600 mg IM and that the initial pharmacokinetic profile was consistent with an extended half-life mAb. In addition, the serum virus neutralizing antibody titers measured the day following administration of ADG20 were similar to or exceeded peak serum neutralizing antibody titers generated after two doses of mRNA or adenovirus-based COVID-19 vaccines. We are conducting two separate Phase 2/3 clinical trials to evaluate ADG20 for the treatment of COVID-19, which we refer to as our STAMP trial, and for the prevention of symptomatic COVID-19, which we refer to as our EVADE trial. For the treatment of mild to moderate COVID-19 in patients at high risk of disease progression, our STAMP trial is designed to provide a path to applying for EUA and/or filing a BLA for marketing approval in 2022, and commercial launch thereafter, if ADG20 is approved. We may not meet our time frames for submission for an EUA or a BLA, and if we do meet such timelines, there is no guarantee the FDA would approve our submission,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40"/>
          </w:cols>
          <w:pgMar w:left="32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or on the time frame we have indicated. Our EVADE trial is designed to evaluate the prevention of COVID-19 in both post-exposure and pre-exposure populations. We are also developing a clinical development strategy to support the use of ADG20 in the pediatric population.</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Key Advantages of ADG20</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ADG20 will have the following key clinical and commercial advantages:</w:t>
      </w:r>
    </w:p>
    <w:p>
      <w:pPr>
        <w:spacing w:after="0" w:line="131" w:lineRule="exact"/>
        <w:rPr>
          <w:sz w:val="20"/>
          <w:szCs w:val="20"/>
          <w:color w:val="auto"/>
        </w:rPr>
      </w:pPr>
    </w:p>
    <w:p>
      <w:pPr>
        <w:jc w:val="both"/>
        <w:ind w:left="1080" w:right="20" w:hanging="532"/>
        <w:spacing w:after="0" w:line="263"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Broadly neutralizing activity across sarbecoviruses. </w:t>
      </w:r>
      <w:r>
        <w:rPr>
          <w:rFonts w:ascii="Arial" w:cs="Arial" w:eastAsia="Arial" w:hAnsi="Arial"/>
          <w:sz w:val="18"/>
          <w:szCs w:val="18"/>
          <w:color w:val="auto"/>
        </w:rPr>
        <w:t>From the outset, we selected and engineered the mAb that became ADG20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specifically for its ability to broadly neutralize not only SARS-CoV-2 and its variants, but also additional members of the sarbecovirus lineage.</w:t>
      </w:r>
    </w:p>
    <w:p>
      <w:pPr>
        <w:spacing w:after="0" w:line="89"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Rapid onset of protection. </w:t>
      </w:r>
      <w:r>
        <w:rPr>
          <w:rFonts w:ascii="Arial" w:cs="Arial" w:eastAsia="Arial" w:hAnsi="Arial"/>
          <w:sz w:val="18"/>
          <w:szCs w:val="18"/>
          <w:color w:val="auto"/>
        </w:rPr>
        <w:t>Currently available COVID-19 vaccines can take several weeks, and often require multiple doses, to induce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peak neutralizing antibody response. As a mAb, ADG20 has the potential to confer more rapid protection post-dose against COVID-19 and its complications.</w:t>
      </w:r>
    </w:p>
    <w:p>
      <w:pPr>
        <w:spacing w:after="0" w:line="89"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Differentiated durability. </w:t>
      </w:r>
      <w:r>
        <w:rPr>
          <w:rFonts w:ascii="Arial" w:cs="Arial" w:eastAsia="Arial" w:hAnsi="Arial"/>
          <w:sz w:val="18"/>
          <w:szCs w:val="18"/>
          <w:color w:val="auto"/>
        </w:rPr>
        <w:t>ADG20 has the potential to provide durable protection by virtue of its potency and half-life extension.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Physiologically based pharmacokinetic modeling has suggested that a single-dose 300 mg IM injection of ADG20 may result in durable serum levels that we believe may provide protection for up to 12 months.</w:t>
      </w:r>
    </w:p>
    <w:p>
      <w:pPr>
        <w:spacing w:after="0" w:line="89" w:lineRule="exact"/>
        <w:rPr>
          <w:rFonts w:ascii="Arial" w:cs="Arial" w:eastAsia="Arial" w:hAnsi="Arial"/>
          <w:sz w:val="18"/>
          <w:szCs w:val="18"/>
          <w:color w:val="auto"/>
        </w:rPr>
      </w:pPr>
    </w:p>
    <w:p>
      <w:pPr>
        <w:jc w:val="both"/>
        <w:ind w:left="1080" w:hanging="532"/>
        <w:spacing w:after="0" w:line="279" w:lineRule="auto"/>
        <w:tabs>
          <w:tab w:leader="none" w:pos="1080" w:val="left"/>
        </w:tabs>
        <w:numPr>
          <w:ilvl w:val="0"/>
          <w:numId w:val="8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Convenient, single-dose IM injection for use in the outpatient setting. </w:t>
      </w:r>
      <w:r>
        <w:rPr>
          <w:rFonts w:ascii="Arial" w:cs="Arial" w:eastAsia="Arial" w:hAnsi="Arial"/>
          <w:sz w:val="17"/>
          <w:szCs w:val="17"/>
          <w:color w:val="auto"/>
        </w:rPr>
        <w:t>Currently available COVID-19 mAbs are administered via IV</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infusions that require specialized facilities that are properly equipped to accommodate IV infusions in actively infected patients, which may lead to a delay in administration. In contrast, the low viscosity, high concentration formulation and high potency of ADG20 allow it to be delivered as a convenient, single-dose IM injection in traditional outpatient settings.</w:t>
      </w:r>
    </w:p>
    <w:p>
      <w:pPr>
        <w:spacing w:after="0" w:line="76" w:lineRule="exact"/>
        <w:rPr>
          <w:rFonts w:ascii="Arial" w:cs="Arial" w:eastAsia="Arial" w:hAnsi="Arial"/>
          <w:sz w:val="17"/>
          <w:szCs w:val="17"/>
          <w:color w:val="auto"/>
        </w:rPr>
      </w:pPr>
    </w:p>
    <w:p>
      <w:pPr>
        <w:jc w:val="both"/>
        <w:ind w:left="1080" w:hanging="532"/>
        <w:spacing w:after="0" w:line="275" w:lineRule="auto"/>
        <w:tabs>
          <w:tab w:leader="none" w:pos="1080" w:val="left"/>
        </w:tabs>
        <w:numPr>
          <w:ilvl w:val="0"/>
          <w:numId w:val="8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Ability to both complement and supplement currently available COVID-19 vaccines, including for immunocompromised individuals. </w:t>
      </w:r>
      <w:r>
        <w:rPr>
          <w:rFonts w:ascii="Arial" w:cs="Arial" w:eastAsia="Arial" w:hAnsi="Arial"/>
          <w:sz w:val="17"/>
          <w:szCs w:val="17"/>
          <w:color w:val="auto"/>
        </w:rPr>
        <w:t>ADG20 is designed to provide convenient, rapid and durable protection against COVID-19 and its complications, including for vulnerable individuals unlikely to mount a protective immune response to vaccines, such as the immunocompromised population. ADG20 has the potential to be used as either a complement (i.e., an alternative) or supplement (i.e., add-on) to vaccines, as well as a means to provide protection following an exposure to an individual with laboratory-confirmed COVID-19.</w:t>
      </w:r>
    </w:p>
    <w:p>
      <w:pPr>
        <w:spacing w:after="0" w:line="81"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 titer, high yield manufacturing process. </w:t>
      </w:r>
      <w:r>
        <w:rPr>
          <w:rFonts w:ascii="Arial" w:cs="Arial" w:eastAsia="Arial" w:hAnsi="Arial"/>
          <w:sz w:val="18"/>
          <w:szCs w:val="18"/>
          <w:color w:val="auto"/>
        </w:rPr>
        <w:t>We have developed a proprietary process to manufacture ADG20 at a large scale that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suitable for broad commercialization and enables a relatively low cost of goods.</w:t>
      </w:r>
    </w:p>
    <w:p>
      <w:pPr>
        <w:spacing w:after="0" w:line="71" w:lineRule="exact"/>
        <w:rPr>
          <w:rFonts w:ascii="Arial" w:cs="Arial" w:eastAsia="Arial" w:hAnsi="Arial"/>
          <w:sz w:val="18"/>
          <w:szCs w:val="18"/>
          <w:color w:val="auto"/>
        </w:rPr>
      </w:pPr>
    </w:p>
    <w:p>
      <w:pPr>
        <w:jc w:val="both"/>
        <w:ind w:left="1080" w:hanging="532"/>
        <w:spacing w:after="0" w:line="274" w:lineRule="auto"/>
        <w:tabs>
          <w:tab w:leader="none" w:pos="1080" w:val="left"/>
        </w:tabs>
        <w:numPr>
          <w:ilvl w:val="0"/>
          <w:numId w:val="89"/>
        </w:numPr>
        <w:rPr>
          <w:rFonts w:ascii="Arial" w:cs="Arial" w:eastAsia="Arial" w:hAnsi="Arial"/>
          <w:sz w:val="17"/>
          <w:szCs w:val="17"/>
          <w:color w:val="auto"/>
        </w:rPr>
      </w:pPr>
      <w:r>
        <w:rPr>
          <w:rFonts w:ascii="Arial" w:cs="Arial" w:eastAsia="Arial" w:hAnsi="Arial"/>
          <w:sz w:val="17"/>
          <w:szCs w:val="17"/>
          <w:b w:val="1"/>
          <w:bCs w:val="1"/>
          <w:i w:val="1"/>
          <w:iCs w:val="1"/>
          <w:color w:val="auto"/>
        </w:rPr>
        <w:t>Potential for affordability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antibody therapy with a low cost of goods that is administered as a single IM injection with potential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durability for up to 12 months has the potential to offer payors, providers and patients an affordable option to treat and prevent COVID-19. Recent initiatives by the Centers for Medicare &amp; Medicaid Services to decrease out-of-pocket costs to patients and increase reimbursement for COVID-19 antibody therapies to providers underscore the importance of ensuring affordable access to COVID-19 antibodies. We believe ADG20’s potential for affordability may allow for greater pricing flexibility to encourage broader access to ADG20 and appropriate use by government and private payors, physicians and patients.</w:t>
      </w:r>
    </w:p>
    <w:p>
      <w:pPr>
        <w:spacing w:after="0" w:line="82" w:lineRule="exact"/>
        <w:rPr>
          <w:rFonts w:ascii="Arial" w:cs="Arial" w:eastAsia="Arial" w:hAnsi="Arial"/>
          <w:sz w:val="17"/>
          <w:szCs w:val="17"/>
          <w:color w:val="auto"/>
        </w:rPr>
      </w:pPr>
    </w:p>
    <w:p>
      <w:pPr>
        <w:jc w:val="both"/>
        <w:ind w:left="1080" w:right="20" w:hanging="532"/>
        <w:spacing w:after="0" w:line="263"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Standard refrigeration requirements to facilitate worldwide distribution and storage. </w:t>
      </w:r>
      <w:r>
        <w:rPr>
          <w:rFonts w:ascii="Arial" w:cs="Arial" w:eastAsia="Arial" w:hAnsi="Arial"/>
          <w:sz w:val="18"/>
          <w:szCs w:val="18"/>
          <w:color w:val="auto"/>
        </w:rPr>
        <w:t>ADG20 may be conveniently stored under standard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refrigerated conditions during distribution and prior to administration. We are in the process of confirming the long-term stability of ADG20 in sterile liquid form under refrigerated conditions.</w:t>
      </w:r>
    </w:p>
    <w:p>
      <w:pPr>
        <w:spacing w:after="0" w:line="89"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Long shelf life to enable stockpiling. </w:t>
      </w:r>
      <w:r>
        <w:rPr>
          <w:rFonts w:ascii="Arial" w:cs="Arial" w:eastAsia="Arial" w:hAnsi="Arial"/>
          <w:sz w:val="18"/>
          <w:szCs w:val="18"/>
          <w:color w:val="auto"/>
        </w:rPr>
        <w:t>ADG20 has the potential to be developed as a lyophilized formulation to further extend the shelf life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drug product under refrigerated conditions. Through a combination of the lyophilized form and the long-term frozen storage of the drug substance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40"/>
          </w:cols>
          <w:pgMar w:left="32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277" w:lineRule="auto"/>
        <w:rPr>
          <w:sz w:val="20"/>
          <w:szCs w:val="20"/>
          <w:color w:val="auto"/>
        </w:rPr>
      </w:pPr>
      <w:r>
        <w:rPr>
          <w:rFonts w:ascii="Arial" w:cs="Arial" w:eastAsia="Arial" w:hAnsi="Arial"/>
          <w:sz w:val="18"/>
          <w:szCs w:val="18"/>
          <w:color w:val="auto"/>
        </w:rPr>
        <w:t>intermediate, we believe the shelf life of ADG20 can be further extended to enable stockpiling initiatives to address future potential coronavirus pandemics.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Mechanism of Action</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ADG20 has the potential to impact viral replication and subsequent disease through multiple mechanisms of action, including direct blocking of viral entry into the host cell, or neutralization, and elimination of infected host cells through Fc-mediated innate immune effector activity. The majority of antibodies, including ADG20, that neutralize SARS-CoV-2 target the S protein, and more specifically, target the surface that overlaps with the hACE2 receptor binding site.</w:t>
      </w:r>
    </w:p>
    <w:p>
      <w:pPr>
        <w:spacing w:after="0" w:line="18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Public antibodies that are commonly elicited by natural SARS-CoV-2 infection have been categorized into three classes based on their shared epitopes and escape mutations. These public antibodies target variable amino acid residues that are likely not important for viral fitness, and thus are susceptible to mutation. A subset of the mutations, including those at the E484K, L452R and K417N/T residues that are present in multiple variants of concern, confers resistance to class 1 and class 2 antibodies, which likely emerged in response to immune pressure exerted on these amino acid residues by the commonly induced public antibodies.</w:t>
      </w:r>
    </w:p>
    <w:p>
      <w:pPr>
        <w:spacing w:after="0" w:line="188"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Class 1 antibodies, such as etesevimab, or LY-CoV016, and casirivimab, or REGN10933, are impacted by escape mutations at amino acid residue K417N/T, which are found in the Beta (B.1.351) and Gamma (P.1) variants. Class 2 antibodies, such as bamlanivimab, or LY-CoV555, and tixagevimab, or COV2-2196, are impacted by escape mutations at amino acid residue E484, which are found in Beta (B.1.351), Gamma (P.1), Iota (B.1.526) and Kappa (B.1.617.1) variants. Class 3 antibodies, such as imdevimab, or REGN10987, bind largely to variable residues and are thus associated with multiple potential routes of escape. As of May 5, 2021, variants containing mutations at key Class 3 residues have been detected in global sequence databases at frequencies exceeding 5.5%.</w:t>
      </w:r>
    </w:p>
    <w:p>
      <w:pPr>
        <w:spacing w:after="0" w:line="192"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The graphic below shows the amino acid sequences for RBDs of Clade 1 sarbecoviruses with SARS-CoV-2 in the top row. The graphic also shows the specific amino acid residues targeted by Class 1-3 antibodies and ADG20. When the amino acid residue at a certain position is the same or biochemically similar across viruses, it is considered to be conserved. These conserved residues are highlighted in the graphic below in green and yellow. When the amino acid residue at a certain position changes across viruses, it is considered variable. These variable residues are highlighted in the graphic below in red. Antibodies targeting residues that are conserved are more likely to be broadly neutralizing whereas those that target variable residues are more likely to lose effectiveness against viruses that have a different residue at that position.</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Class 1-3 Antibodies Target Variable Residues Associated with Viral Escape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18084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86045"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40"/>
          </w:cols>
          <w:pgMar w:left="32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 xml:space="preserve">In contrast to Class 1-3 antibodies, ADG20 employs a unique binding strategy. The amino acid residues that ADG20 engages are conserved, as highlighted in green and yellow above, which provides it with broadly neutralizing capabilities and suggests that these residues may be important to viral fitness, and thus less likely to mutate in the context of an infection. </w:t>
      </w:r>
      <w:r>
        <w:rPr>
          <w:rFonts w:ascii="Arial" w:cs="Arial" w:eastAsia="Arial" w:hAnsi="Arial"/>
          <w:sz w:val="16"/>
          <w:szCs w:val="16"/>
          <w:i w:val="1"/>
          <w:iCs w:val="1"/>
          <w:color w:val="auto"/>
        </w:rPr>
        <w:t>In vitro</w:t>
      </w:r>
      <w:r>
        <w:rPr>
          <w:rFonts w:ascii="Arial" w:cs="Arial" w:eastAsia="Arial" w:hAnsi="Arial"/>
          <w:sz w:val="16"/>
          <w:szCs w:val="16"/>
          <w:color w:val="auto"/>
        </w:rPr>
        <w:t>, serial viral passaging of virus in the presence of ADG20 leads to the emergence of mutations at position G504. As of June 15, 2021, mutations at this position were present at extremely low frequency (0.004%) among circulating SARS-CoV-2 isolates. In contrast, Class 1-3 antibodies that lack neutralization breadth typically select for multiple mutations in serial viral passage experiments, many of which are present at high frequency among circulating SARS-CoV-2 isolates, such as E484K and K417N. In addition, the binding site engaged by ADG20 is not readily targeted by public antibodies, which significantly limits immune pressure at these residues. A comparison of ADG20’s binding to the RBD of the SARS-CoV-2 S protein with that of Class 1-3 antibodies is illustrated in the molecular model presented below.</w:t>
      </w:r>
    </w:p>
    <w:p>
      <w:pPr>
        <w:spacing w:after="0" w:line="3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ADG20 Targets a Unique Site on the RBD of the SARS-CoV-2 S Protein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171450</wp:posOffset>
            </wp:positionV>
            <wp:extent cx="4732020" cy="41573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732020" cy="4157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 xml:space="preserve">In addition to neutralizing activity, ADG20 displays Fc-mediated innate immune effector activity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including antibody-dependent cellular cytotoxicity, or ADCC, antibody-dependent cellular phagocytosis, or ADCP, and antibody-dependent complement deposition, or ADCD. We believe this mechanism of action may help to clear infected host cells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and contribute to the control of SARS-CoV-2 infection.</w:t>
      </w: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40"/>
          </w:cols>
          <w:pgMar w:left="32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Preclinical Data</w:t>
      </w:r>
    </w:p>
    <w:p>
      <w:pPr>
        <w:spacing w:after="0" w:line="117"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 xml:space="preserve">ADG20 has been evaluated in a series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to demonstrate its potency and breadth as well as safety and efficacy in various animal models.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binding studies have demonstrated that ADG20 binds with high affinity to a diverse set of RBD subdomain 1, or RBD SD1, molecules from naturally circulating SARS-CoV-2 variants and related sarbecoviruses. Additional binding studies have indicated that the Fc modifications of ADG20 confer enhanced affinity to non-human primate and human neonatal Fc receptors, or FcRn, at low pH, which has translated into a prolonged serum half-life in non-human primates due to enhanced recycling via FcRn. 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ADG20 has demonstrated neutralizing activity against SARS-CoV-2 and the emerging variants that have been associated with lower efficacy rates of certain vaccines and are resistant or partially resistant to a subset of currently available or clinical-stage mAbs. In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ADG20 demonstrated an ability to prevent and treat SARS-CoV-2 infection and associated disease as well as a prolonged serum half-life. Prophylactic administration of ADG2 or ADG20 provided protection against SARS-CoV-2 infection in three different animal models, and treatment with ADG2 reduced disease burden in animals infected with SARS-CoV-2.</w:t>
      </w:r>
    </w:p>
    <w:p>
      <w:pPr>
        <w:spacing w:after="0" w:line="30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 Vitro Studies Demonstrated Potency and Broad Neutralization of SARS-CoV-2 and All Known Variants</w:t>
      </w:r>
    </w:p>
    <w:p>
      <w:pPr>
        <w:spacing w:after="0" w:line="117" w:lineRule="exact"/>
        <w:rPr>
          <w:sz w:val="20"/>
          <w:szCs w:val="20"/>
          <w:color w:val="auto"/>
        </w:rPr>
      </w:pPr>
    </w:p>
    <w:p>
      <w:pPr>
        <w:jc w:val="both"/>
        <w:ind w:left="120" w:right="20" w:firstLine="440"/>
        <w:spacing w:after="0" w:line="270" w:lineRule="auto"/>
        <w:rPr>
          <w:sz w:val="20"/>
          <w:szCs w:val="20"/>
          <w:color w:val="auto"/>
        </w:rPr>
      </w:pPr>
      <w:r>
        <w:rPr>
          <w:rFonts w:ascii="Arial" w:cs="Arial" w:eastAsia="Arial" w:hAnsi="Arial"/>
          <w:sz w:val="17"/>
          <w:szCs w:val="17"/>
          <w:color w:val="auto"/>
        </w:rPr>
        <w:t xml:space="preserve">In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analysis conducted by an independent laboratory using authentic SARS-CoV-2 assays, we evaluated the potency and neutralizing activity of ADG20 against the Victoria virus strain, which is similar to the original Wuhan-Hu-1 virus strain, and the Alpha (B.1.1.7), Beta (B.1.351) and Gamma (P.1) and Delta (B.1.617.2) variants. ADG20 demonstrated robust viral neutralization activity against the original Victoria virus as well as all four variants. As shown in the table below, ADG20 displayed IC</w:t>
      </w:r>
      <w:r>
        <w:rPr>
          <w:rFonts w:ascii="Arial" w:cs="Arial" w:eastAsia="Arial" w:hAnsi="Arial"/>
          <w:sz w:val="14"/>
          <w:szCs w:val="14"/>
          <w:color w:val="auto"/>
        </w:rPr>
        <w:t>50</w:t>
      </w:r>
      <w:r>
        <w:rPr>
          <w:rFonts w:ascii="Arial" w:cs="Arial" w:eastAsia="Arial" w:hAnsi="Arial"/>
          <w:sz w:val="17"/>
          <w:szCs w:val="17"/>
          <w:color w:val="auto"/>
        </w:rPr>
        <w:t xml:space="preserve"> values of 0.01 mcg/mL or less and 99-100% maximum neutralization plateaus, demonstrating near complete neutralization of the total viral population for all five virus strains. In contrast, a subset of SARS-CoV-2-specific antibodies displayed substantial loss of neutralization activity against a subset of variants, with IC</w:t>
      </w:r>
      <w:r>
        <w:rPr>
          <w:rFonts w:ascii="Arial" w:cs="Arial" w:eastAsia="Arial" w:hAnsi="Arial"/>
          <w:sz w:val="14"/>
          <w:szCs w:val="14"/>
          <w:color w:val="auto"/>
        </w:rPr>
        <w:t>50</w:t>
      </w:r>
      <w:r>
        <w:rPr>
          <w:rFonts w:ascii="Arial" w:cs="Arial" w:eastAsia="Arial" w:hAnsi="Arial"/>
          <w:sz w:val="17"/>
          <w:szCs w:val="17"/>
          <w:color w:val="auto"/>
        </w:rPr>
        <w:t xml:space="preserve"> values exceeding 1 mcg/mL. The other antibodies in the table below were selected for inclusion because they represent mAb therapies that are either in late-stage development or have been granted an EUA in the United States and India or are available for use as unauthorized products in certain EU member states for the treatment of mild to moderate COVID-19 in patients at high risk of disease progression.</w:t>
      </w:r>
    </w:p>
    <w:p>
      <w:pPr>
        <w:spacing w:after="0" w:line="39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ADG20 Displays Neutralizing Activity Against SARS-CoV-2 and Variants of Concern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514"/>
              <w:spacing w:after="0"/>
              <w:rPr>
                <w:sz w:val="20"/>
                <w:szCs w:val="20"/>
                <w:color w:val="auto"/>
              </w:rPr>
            </w:pPr>
            <w:r>
              <w:rPr>
                <w:rFonts w:ascii="Arial" w:cs="Arial" w:eastAsia="Arial" w:hAnsi="Arial"/>
                <w:sz w:val="14"/>
                <w:szCs w:val="14"/>
                <w:b w:val="1"/>
                <w:bCs w:val="1"/>
                <w:color w:val="auto"/>
                <w:w w:val="99"/>
              </w:rPr>
              <w:t>IC</w:t>
            </w:r>
            <w:r>
              <w:rPr>
                <w:rFonts w:ascii="Arial" w:cs="Arial" w:eastAsia="Arial" w:hAnsi="Arial"/>
                <w:sz w:val="12"/>
                <w:szCs w:val="12"/>
                <w:b w:val="1"/>
                <w:bCs w:val="1"/>
                <w:color w:val="auto"/>
                <w:w w:val="99"/>
              </w:rPr>
              <w:t>50</w:t>
            </w:r>
            <w:r>
              <w:rPr>
                <w:rFonts w:ascii="Arial" w:cs="Arial" w:eastAsia="Arial" w:hAnsi="Arial"/>
                <w:sz w:val="14"/>
                <w:szCs w:val="14"/>
                <w:b w:val="1"/>
                <w:bCs w:val="1"/>
                <w:color w:val="auto"/>
                <w:w w:val="99"/>
              </w:rPr>
              <w:t xml:space="preserve"> (mcg/mL)</w:t>
            </w:r>
          </w:p>
        </w:tc>
        <w:tc>
          <w:tcPr>
            <w:tcW w:w="8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ind w:right="134"/>
              <w:spacing w:after="0"/>
              <w:rPr>
                <w:sz w:val="20"/>
                <w:szCs w:val="20"/>
                <w:color w:val="auto"/>
              </w:rPr>
            </w:pPr>
            <w:r>
              <w:rPr>
                <w:rFonts w:ascii="Arial" w:cs="Arial" w:eastAsia="Arial" w:hAnsi="Arial"/>
                <w:sz w:val="14"/>
                <w:szCs w:val="14"/>
                <w:b w:val="1"/>
                <w:bCs w:val="1"/>
                <w:color w:val="auto"/>
              </w:rPr>
              <w:t>Neutralization Plateau (%)</w:t>
            </w:r>
          </w:p>
        </w:tc>
        <w:tc>
          <w:tcPr>
            <w:tcW w:w="760" w:type="dxa"/>
            <w:vAlign w:val="bottom"/>
            <w:tcBorders>
              <w:bottom w:val="single" w:sz="8" w:color="auto"/>
            </w:tcBorders>
          </w:tcPr>
          <w:p>
            <w:pPr>
              <w:spacing w:after="0"/>
              <w:rPr>
                <w:sz w:val="14"/>
                <w:szCs w:val="14"/>
                <w:color w:val="auto"/>
              </w:rPr>
            </w:pPr>
          </w:p>
        </w:tc>
      </w:tr>
      <w:tr>
        <w:trPr>
          <w:trHeight w:val="119"/>
        </w:trPr>
        <w:tc>
          <w:tcPr>
            <w:tcW w:w="3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20" w:type="dxa"/>
            <w:vAlign w:val="bottom"/>
          </w:tcPr>
          <w:p>
            <w:pPr>
              <w:ind w:left="160"/>
              <w:spacing w:after="0" w:line="119" w:lineRule="exact"/>
              <w:rPr>
                <w:sz w:val="20"/>
                <w:szCs w:val="20"/>
                <w:color w:val="auto"/>
              </w:rPr>
            </w:pPr>
            <w:r>
              <w:rPr>
                <w:rFonts w:ascii="Arial" w:cs="Arial" w:eastAsia="Arial" w:hAnsi="Arial"/>
                <w:sz w:val="13"/>
                <w:szCs w:val="13"/>
                <w:b w:val="1"/>
                <w:bCs w:val="1"/>
                <w:color w:val="auto"/>
              </w:rPr>
              <w:t>Alpha</w:t>
            </w:r>
          </w:p>
        </w:tc>
        <w:tc>
          <w:tcPr>
            <w:tcW w:w="800" w:type="dxa"/>
            <w:vAlign w:val="bottom"/>
          </w:tcPr>
          <w:p>
            <w:pPr>
              <w:jc w:val="right"/>
              <w:ind w:right="135"/>
              <w:spacing w:after="0" w:line="119" w:lineRule="exact"/>
              <w:rPr>
                <w:sz w:val="20"/>
                <w:szCs w:val="20"/>
                <w:color w:val="auto"/>
              </w:rPr>
            </w:pPr>
            <w:r>
              <w:rPr>
                <w:rFonts w:ascii="Arial" w:cs="Arial" w:eastAsia="Arial" w:hAnsi="Arial"/>
                <w:sz w:val="13"/>
                <w:szCs w:val="13"/>
                <w:b w:val="1"/>
                <w:bCs w:val="1"/>
                <w:color w:val="auto"/>
              </w:rPr>
              <w:t>Beta</w:t>
            </w:r>
          </w:p>
        </w:tc>
        <w:tc>
          <w:tcPr>
            <w:tcW w:w="760" w:type="dxa"/>
            <w:vAlign w:val="bottom"/>
          </w:tcPr>
          <w:p>
            <w:pPr>
              <w:jc w:val="right"/>
              <w:ind w:right="34"/>
              <w:spacing w:after="0" w:line="119" w:lineRule="exact"/>
              <w:rPr>
                <w:sz w:val="20"/>
                <w:szCs w:val="20"/>
                <w:color w:val="auto"/>
              </w:rPr>
            </w:pPr>
            <w:r>
              <w:rPr>
                <w:rFonts w:ascii="Arial" w:cs="Arial" w:eastAsia="Arial" w:hAnsi="Arial"/>
                <w:sz w:val="13"/>
                <w:szCs w:val="13"/>
                <w:b w:val="1"/>
                <w:bCs w:val="1"/>
                <w:color w:val="auto"/>
              </w:rPr>
              <w:t>Gamma</w:t>
            </w:r>
          </w:p>
        </w:tc>
        <w:tc>
          <w:tcPr>
            <w:tcW w:w="820" w:type="dxa"/>
            <w:vAlign w:val="bottom"/>
          </w:tcPr>
          <w:p>
            <w:pPr>
              <w:jc w:val="right"/>
              <w:ind w:right="154"/>
              <w:spacing w:after="0" w:line="119" w:lineRule="exact"/>
              <w:rPr>
                <w:sz w:val="20"/>
                <w:szCs w:val="20"/>
                <w:color w:val="auto"/>
              </w:rPr>
            </w:pPr>
            <w:r>
              <w:rPr>
                <w:rFonts w:ascii="Arial" w:cs="Arial" w:eastAsia="Arial" w:hAnsi="Arial"/>
                <w:sz w:val="13"/>
                <w:szCs w:val="13"/>
                <w:b w:val="1"/>
                <w:bCs w:val="1"/>
                <w:color w:val="auto"/>
              </w:rPr>
              <w:t>Delta</w:t>
            </w:r>
          </w:p>
        </w:tc>
        <w:tc>
          <w:tcPr>
            <w:tcW w:w="760" w:type="dxa"/>
            <w:vAlign w:val="bottom"/>
          </w:tcPr>
          <w:p>
            <w:pPr>
              <w:spacing w:after="0"/>
              <w:rPr>
                <w:sz w:val="10"/>
                <w:szCs w:val="10"/>
                <w:color w:val="auto"/>
              </w:rPr>
            </w:pPr>
          </w:p>
        </w:tc>
        <w:tc>
          <w:tcPr>
            <w:tcW w:w="700" w:type="dxa"/>
            <w:vAlign w:val="bottom"/>
          </w:tcPr>
          <w:p>
            <w:pPr>
              <w:jc w:val="right"/>
              <w:ind w:right="75"/>
              <w:spacing w:after="0" w:line="119" w:lineRule="exact"/>
              <w:rPr>
                <w:sz w:val="20"/>
                <w:szCs w:val="20"/>
                <w:color w:val="auto"/>
              </w:rPr>
            </w:pPr>
            <w:r>
              <w:rPr>
                <w:rFonts w:ascii="Arial" w:cs="Arial" w:eastAsia="Arial" w:hAnsi="Arial"/>
                <w:sz w:val="13"/>
                <w:szCs w:val="13"/>
                <w:b w:val="1"/>
                <w:bCs w:val="1"/>
                <w:color w:val="auto"/>
              </w:rPr>
              <w:t>Alpha</w:t>
            </w:r>
          </w:p>
        </w:tc>
        <w:tc>
          <w:tcPr>
            <w:tcW w:w="700" w:type="dxa"/>
            <w:vAlign w:val="bottom"/>
          </w:tcPr>
          <w:p>
            <w:pPr>
              <w:jc w:val="right"/>
              <w:ind w:right="134"/>
              <w:spacing w:after="0" w:line="119" w:lineRule="exact"/>
              <w:rPr>
                <w:sz w:val="20"/>
                <w:szCs w:val="20"/>
                <w:color w:val="auto"/>
              </w:rPr>
            </w:pPr>
            <w:r>
              <w:rPr>
                <w:rFonts w:ascii="Arial" w:cs="Arial" w:eastAsia="Arial" w:hAnsi="Arial"/>
                <w:sz w:val="13"/>
                <w:szCs w:val="13"/>
                <w:b w:val="1"/>
                <w:bCs w:val="1"/>
                <w:color w:val="auto"/>
              </w:rPr>
              <w:t>Beta</w:t>
            </w:r>
          </w:p>
        </w:tc>
        <w:tc>
          <w:tcPr>
            <w:tcW w:w="760" w:type="dxa"/>
            <w:vAlign w:val="bottom"/>
          </w:tcPr>
          <w:p>
            <w:pPr>
              <w:jc w:val="right"/>
              <w:ind w:right="34"/>
              <w:spacing w:after="0" w:line="119" w:lineRule="exact"/>
              <w:rPr>
                <w:sz w:val="20"/>
                <w:szCs w:val="20"/>
                <w:color w:val="auto"/>
              </w:rPr>
            </w:pPr>
            <w:r>
              <w:rPr>
                <w:rFonts w:ascii="Arial" w:cs="Arial" w:eastAsia="Arial" w:hAnsi="Arial"/>
                <w:sz w:val="13"/>
                <w:szCs w:val="13"/>
                <w:b w:val="1"/>
                <w:bCs w:val="1"/>
                <w:color w:val="auto"/>
              </w:rPr>
              <w:t>Gamma</w:t>
            </w:r>
          </w:p>
        </w:tc>
        <w:tc>
          <w:tcPr>
            <w:tcW w:w="760" w:type="dxa"/>
            <w:vAlign w:val="bottom"/>
          </w:tcPr>
          <w:p>
            <w:pPr>
              <w:jc w:val="right"/>
              <w:ind w:right="94"/>
              <w:spacing w:after="0" w:line="119" w:lineRule="exact"/>
              <w:rPr>
                <w:sz w:val="20"/>
                <w:szCs w:val="20"/>
                <w:color w:val="auto"/>
              </w:rPr>
            </w:pPr>
            <w:r>
              <w:rPr>
                <w:rFonts w:ascii="Arial" w:cs="Arial" w:eastAsia="Arial" w:hAnsi="Arial"/>
                <w:sz w:val="13"/>
                <w:szCs w:val="13"/>
                <w:b w:val="1"/>
                <w:bCs w:val="1"/>
                <w:color w:val="auto"/>
              </w:rPr>
              <w:t>Delta</w:t>
            </w:r>
          </w:p>
        </w:tc>
      </w:tr>
      <w:tr>
        <w:trPr>
          <w:trHeight w:val="185"/>
        </w:trPr>
        <w:tc>
          <w:tcPr>
            <w:tcW w:w="35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Victoria</w:t>
            </w:r>
          </w:p>
        </w:tc>
        <w:tc>
          <w:tcPr>
            <w:tcW w:w="6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B.1.1.7</w:t>
            </w: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B.1.351</w:t>
            </w: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P.1</w:t>
            </w: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B.1.617.2</w:t>
            </w: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Victoria</w:t>
            </w:r>
          </w:p>
        </w:tc>
        <w:tc>
          <w:tcPr>
            <w:tcW w:w="7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B.1.1.7</w:t>
            </w: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B.1.351</w:t>
            </w: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P.1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B.1.617.2</w:t>
            </w:r>
          </w:p>
        </w:tc>
      </w:tr>
      <w:tr>
        <w:trPr>
          <w:trHeight w:val="210"/>
        </w:trPr>
        <w:tc>
          <w:tcPr>
            <w:tcW w:w="3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ADG20</w:t>
            </w:r>
          </w:p>
        </w:tc>
        <w:tc>
          <w:tcPr>
            <w:tcW w:w="8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0.004</w:t>
            </w:r>
          </w:p>
        </w:tc>
        <w:tc>
          <w:tcPr>
            <w:tcW w:w="6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3"/>
              </w:rPr>
              <w:t>0.006</w:t>
            </w: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0.010</w:t>
            </w: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0.009</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0.006</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100</w:t>
            </w:r>
          </w:p>
        </w:tc>
        <w:tc>
          <w:tcPr>
            <w:tcW w:w="7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100</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0"/>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AZD1061</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0.013</w:t>
            </w:r>
          </w:p>
        </w:tc>
        <w:tc>
          <w:tcPr>
            <w:tcW w:w="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3"/>
              </w:rPr>
              <w:t>0.012</w:t>
            </w: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0.014</w:t>
            </w: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0.007</w:t>
            </w: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0.038</w:t>
            </w: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100</w:t>
            </w:r>
          </w:p>
        </w:tc>
        <w:tc>
          <w:tcPr>
            <w:tcW w:w="7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100</w:t>
            </w: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100</w:t>
            </w: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r>
      <w:tr>
        <w:trPr>
          <w:trHeight w:val="209"/>
        </w:trPr>
        <w:tc>
          <w:tcPr>
            <w:tcW w:w="3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AZD8895</w:t>
            </w:r>
          </w:p>
        </w:tc>
        <w:tc>
          <w:tcPr>
            <w:tcW w:w="8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0.005</w:t>
            </w:r>
          </w:p>
        </w:tc>
        <w:tc>
          <w:tcPr>
            <w:tcW w:w="6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3"/>
              </w:rPr>
              <w:t>0.011</w:t>
            </w: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0.046</w:t>
            </w: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0.046</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0.003</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100</w:t>
            </w:r>
          </w:p>
        </w:tc>
        <w:tc>
          <w:tcPr>
            <w:tcW w:w="7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100</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0"/>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REGN10987</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0.032</w:t>
            </w:r>
          </w:p>
        </w:tc>
        <w:tc>
          <w:tcPr>
            <w:tcW w:w="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3"/>
              </w:rPr>
              <w:t>0.028</w:t>
            </w: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0.007</w:t>
            </w: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0.013</w:t>
            </w: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0.017</w:t>
            </w: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97</w:t>
            </w:r>
          </w:p>
        </w:tc>
        <w:tc>
          <w:tcPr>
            <w:tcW w:w="7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95</w:t>
            </w: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97</w:t>
            </w: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10"/>
        </w:trPr>
        <w:tc>
          <w:tcPr>
            <w:tcW w:w="3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REGN10933</w:t>
            </w:r>
          </w:p>
        </w:tc>
        <w:tc>
          <w:tcPr>
            <w:tcW w:w="8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0.004</w:t>
            </w:r>
          </w:p>
        </w:tc>
        <w:tc>
          <w:tcPr>
            <w:tcW w:w="6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3"/>
              </w:rPr>
              <w:t>0.014</w:t>
            </w: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3.284</w:t>
            </w: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6.177</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0.003</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100</w:t>
            </w:r>
          </w:p>
        </w:tc>
        <w:tc>
          <w:tcPr>
            <w:tcW w:w="7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100</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N/A</w:t>
            </w: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N/A</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0"/>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LY-CoV555</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0.006</w:t>
            </w:r>
          </w:p>
        </w:tc>
        <w:tc>
          <w:tcPr>
            <w:tcW w:w="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3"/>
              </w:rPr>
              <w:t>0.009</w:t>
            </w: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&gt;10</w:t>
            </w: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&gt;10</w:t>
            </w: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8.311</w:t>
            </w: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100</w:t>
            </w:r>
          </w:p>
        </w:tc>
        <w:tc>
          <w:tcPr>
            <w:tcW w:w="7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100</w:t>
            </w: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N/A</w:t>
            </w: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N/A</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09"/>
        </w:trPr>
        <w:tc>
          <w:tcPr>
            <w:tcW w:w="3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LY-CoV016</w:t>
            </w:r>
          </w:p>
        </w:tc>
        <w:tc>
          <w:tcPr>
            <w:tcW w:w="8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0.034</w:t>
            </w:r>
          </w:p>
        </w:tc>
        <w:tc>
          <w:tcPr>
            <w:tcW w:w="6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3"/>
              </w:rPr>
              <w:t>3.225</w:t>
            </w: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&gt;10</w:t>
            </w: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&gt;10</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0.012</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100</w:t>
            </w:r>
          </w:p>
        </w:tc>
        <w:tc>
          <w:tcPr>
            <w:tcW w:w="7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N/A</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N/A</w:t>
            </w: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N/A</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0"/>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S309</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0.040</w:t>
            </w:r>
          </w:p>
        </w:tc>
        <w:tc>
          <w:tcPr>
            <w:tcW w:w="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3"/>
              </w:rPr>
              <w:t>0.078</w:t>
            </w: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0.082</w:t>
            </w: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0.076</w:t>
            </w: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0.113</w:t>
            </w: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80</w:t>
            </w:r>
          </w:p>
        </w:tc>
        <w:tc>
          <w:tcPr>
            <w:tcW w:w="7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89</w:t>
            </w: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95</w:t>
            </w: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r>
    </w:tbl>
    <w:p>
      <w:pPr>
        <w:spacing w:after="0" w:line="202"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In addition, the neutralization potency and breadth of ADG20 was evaluated by an independent U.S. government laboratory against a panel of 64 SARS-CoV-2 pseudovirus variants, including the Epsilon (B.1.427/429), Iota (B.1.526) and Kappa (B.1.617.1) variants. We utilized the non-clinical and pre-clinical services program offered by the National Institute of Allergy and Infectious Diseases to generate this data. Variants tested included spike proteins incorporating single or double amino acid substitutions and spike proteins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40"/>
          </w:cols>
          <w:pgMar w:left="32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encoding the full sets of mutations observed in emerging variants of concern and variants of interest. As shown in the graphic below, ADG20 maintained neutralization activity across all variants tested to date, with IC</w:t>
      </w:r>
      <w:r>
        <w:rPr>
          <w:rFonts w:ascii="Arial" w:cs="Arial" w:eastAsia="Arial" w:hAnsi="Arial"/>
          <w:sz w:val="15"/>
          <w:szCs w:val="15"/>
          <w:color w:val="auto"/>
        </w:rPr>
        <w:t>50</w:t>
      </w:r>
      <w:r>
        <w:rPr>
          <w:rFonts w:ascii="Arial" w:cs="Arial" w:eastAsia="Arial" w:hAnsi="Arial"/>
          <w:sz w:val="18"/>
          <w:szCs w:val="18"/>
          <w:color w:val="auto"/>
        </w:rPr>
        <w:t xml:space="preserve"> values within approximately 0.4- to 5.1-fold relative to the reference D614G strain. The D614G strain is a variant of the original Wuhan-Hu-1 strain that emerged in the early phases of the pandemic and rapidly outcompeted the original strain to become the globally dominant variant by mid-2020. Moreover, emerging variants, such as Alpha (B.1.1.7) and Beta (B.1.351), all harbor the D614G mutation, making it a suitable reference for comparison.</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ADG20 Displayed Neutralization Activity Against a Broad Panel of SARS-CoV-2 Variants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21259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8604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 Vivo Studies of ADG2 and ADG20 Demonstrated Efficacy in Treatment and Prevention of SARS-CoV-2 Infection</w:t>
      </w:r>
    </w:p>
    <w:p>
      <w:pPr>
        <w:spacing w:after="0" w:line="117"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 xml:space="preserve">To determine whether ADG2, the parent molecule of ADG20, could prevent SARS-CoV-1 and SARS-CoV-2 infection and associated disease in mice, we conducted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preclinical study where Balb/c mice were administered 200 µg of ADG2 or placebo, or sham, via intraperitoneal injection and then challenged 12 hours later with either mouse-adapted, or MA, SARS-CoV-1 or SARS-CoV-2 via the intranasal route. Body weight, respiratory function and lung histopathology were evaluated. In this preclinical study, ADG2 administered prophylactically protected healthy adult mice from weight loss, respiratory distress and pulmonary hemorrhage associated with infection due to MA SARS-CoV-1 or SARS-CoV-2, as shown below. Prophylactic treatment with ADG2 also prevented viral replication in the lungs post-infection. In contrast, prophylactic sham treatment resulted in deteriorations across all four parameters.</w:t>
      </w:r>
    </w:p>
    <w:p>
      <w:pPr>
        <w:spacing w:after="0" w:line="299"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ADG2 Provides Complete Protection Against Severe SARS-CoV-2 and SARS-CoV-1 Disease in a Mouse Model</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SARS-CoV-2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14573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8604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40"/>
          </w:cols>
          <w:pgMar w:left="32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SARS-CoV-1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14655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86045" cy="146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 xml:space="preserve">To determine whether a low dose of ADG2 could provide therapeutic benefit against SARS-CoV-2-associated disease in mice, we conducted an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preclinical study where Balb/c mice were challenged intranasally with MA SARS-CoV-2 and then treated with either 200 µg of ADG2 or placebo</w:t>
      </w:r>
      <w:r>
        <w:rPr>
          <w:rFonts w:ascii="Arial" w:cs="Arial" w:eastAsia="Arial" w:hAnsi="Arial"/>
          <w:sz w:val="18"/>
          <w:szCs w:val="18"/>
          <w:i w:val="1"/>
          <w:iCs w:val="1"/>
          <w:color w:val="auto"/>
        </w:rPr>
        <w:t xml:space="preserve"> </w:t>
      </w:r>
      <w:r>
        <w:rPr>
          <w:rFonts w:ascii="Arial" w:cs="Arial" w:eastAsia="Arial" w:hAnsi="Arial"/>
          <w:sz w:val="18"/>
          <w:szCs w:val="18"/>
          <w:color w:val="auto"/>
        </w:rPr>
        <w:t>via intraperitoneal injection 12 hours following challenge. Compared to placebo, ADG2 resulted in less weight loss and was associated with improved respiratory function and histological signs of hemorrhage. In addition, treatment with ADG2 also resulted in a significant reduction in lung viral loads at four days post-infection relative to treatment with placebo.</w:t>
      </w:r>
    </w:p>
    <w:p>
      <w:pPr>
        <w:spacing w:after="0" w:line="188"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 xml:space="preserve">In conjunction with the United States Army Medical Research Institute for Infectious Diseases, or USAMRIID, we conducted two preclinical studies to investigate the efficacy of ADG20 in the prevention of SARS-CoV-2 infection in hamsters and non-human primates, or NHPs. A dose ranging study of ADG20 in hamsters was conducted to investigate the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efficacy of ADG20 in preventing SARS-CoV-2 infection and to evaluate the potential for antibody-dependent enhancement, or ADE, of infection at sub-neutralizing, or sub-efficacious, concentrations of ADG20. The preclinical study included six cohorts, with four cohorts administered differing doses of ADG20 and two cohorts administered a control antibody. The antibodies were administered 24 hours prior to an intranasal viral challenge and viral load was measured in lungs harvested on days three or six post-challenge. This preclinical study demonstrated that ADG20 inhibits viral replication in a dose-dependent manner with no evidence of ADE of viral replication at sub-efficacious serum concentrations.</w:t>
      </w:r>
    </w:p>
    <w:p>
      <w:pPr>
        <w:spacing w:after="0" w:line="192"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We also conducted a preclinical study with USAMRIID to investigate the efficacy of ADG20 in the prevention of SARS-CoV-2 infection in NHPs. Three cohorts were dosed with 5 mg/kg of ADG20, 25 mg/kg of ADG20 or an irrelevant control antibody through IV infusion three days prior to combined intranasal and intratracheal challenge with SARS-CoV-2/WA-1, a strain similar to the original Wuhan-Hu-1 strain. Swabs of the nasopharyngeal cavities were taken daily on days one through six post-challenge to assess viral load by both viral plaque assay, which measures levels of infectious virus, and RT-PCR of subgenomic viral RNA, which measures active viral replication. Viral replication in the lungs was also evaluated by subgenomic RT-PCR on bronchioalveolar lavage, or BAL, fluid collected on days one, three and five. As shown in the graphic below, persistent viral replication was detected through day six in the nasopharyngeal cavities of all control-treated animals. In contrast, complete protection against viral replication was observed in all respiratory compartments at the 25 mg/kg dose level. Substantial protection was also observed at the 5 mg/kg dose level, as demonstrated by reduced viral loads and accelerated viral clearance compared to control-treated animals.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40"/>
          </w:cols>
          <w:pgMar w:left="32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ADG20 Provides Prophylactic Protection in an NHP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54178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86045" cy="5417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Clinical Development</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As shown in the graphic below, we believe that intervention with an antiviral neutralizing antibody before exposure to SARS-CoV-2, post-exposure but prior to the onset of symptoms or early in the course of symptomatic disease when viral replication is high but before the onset of significant immune pathology is likely to provide the greatest benefit to patients. This belief is supported by recent clinical experience with</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40"/>
          </w:cols>
          <w:pgMar w:left="32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SARS-CoV-2 mAbs as well as prior experience with the use of neutralizing antibodies for the treatment and prevention of other respiratory virus infections such as influenza and respiratory syncytial virus, or RSV. For these reasons, our clinical development strategy is focused on prevention and early treatment of COVID-19 with the goal of preventing severe disease and its sequelae.</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ADG20 for Treatment and Prevention of 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wp:posOffset>
            </wp:positionV>
            <wp:extent cx="5186045" cy="18084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86045"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As shown below, our clinical development plan for ADG20 includes a series of clinical trials to demonstrate the potential of ADG20 for both the treatment and prevention of COVID-19 in adults and adolescents. We have completed enrollment in our first-in-human Phase 1 clinical trial in healthy volunteers, which demonstrated that ADG20 was well tolerated and displayed a pharmacokinetic profile consistent with an extended half-life mAb. In addition, serum virus neutralizing antibody titers measured the day following administration of ADG20 were similar to or exceeded peak serum neutralizing antibody titers generated after two doses of mRNA or adenovirus-based COVID-19 vaccines. For the treatment of mild to moderate COVID-19 in patients at high risk of disease progression, we are conducting our combined Phase 2/3 STAMP trial that is designed to provide a path to applying for EUA and/or filing a BLA for marketing approval in 2022, and commercial launch thereafter, if ADG20 is approved. We may not meet our time frames for submission for an EUA or a BLA, and if we do meet such timelines, there is no guarantee the FDA would approve our submission, or on the time frame we have indicated. For the prevention of symptomatic COVID-19, we are conducting our combined Phase 2/3 EVADE clinical trial in both post-exposure and pre-exposure populations. If our STAMP and EVADE trials are successful, we believe ADG20 has the potential to be approved for both the treatment and prevention of COVID-19 in the United States, potentially preceded by an EUA for the treatment of mild to moderate COVID-19 in patients at high risk of disease progression. Importantly, given the global impact of COVID-19, we also plan to seek approvals outside the United States. In addition, we are developing a clinical plan to support the use of ADG20 in the pediatric population for both the treatment and prevention of COVID-19.</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40"/>
          </w:cols>
          <w:pgMar w:left="32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Clinical Development Program for ADG20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28632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86045"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First-in-Human Phase 1 Dose Escalation Clinical Trial</w:t>
      </w:r>
    </w:p>
    <w:p>
      <w:pPr>
        <w:spacing w:after="0" w:line="11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In February 2021, we initiated a Phase 1 single ascending-dose escalation clinical trial of ADG20, which is designed to evaluate the safety, tolerability and pharmacokinetic properties of ADG20, along with serum virus neutralizing antibody titers. We have completed enrollment of 30 healthy volunteers across three cohorts, with ten participants per cohort randomized 8 to 2 to ADG20 or placebo, respectively. Each participant received a single IM or IV administration of either 300 mg IM, 500 mg IV or 600 mg IM of ADG20 or placebo. As of June 14, 2021, no serious adverse events, study drug-related adverse events, hypersensitivity reactions, infusion-related reactions or injection site reactions were reported in any study participant. All reported adverse events were mild in severity and resolved.</w:t>
      </w:r>
    </w:p>
    <w:p>
      <w:pPr>
        <w:spacing w:after="0" w:line="192"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 xml:space="preserve">The preliminary pharmacokinetic profile approximately 3 months following administration of a single 300 mg IM dose is shown in the illustration below. The observed data are consistent with the pharmacokinetic profile predicted by a physiologically based pharmacokinetic model used to guide dose selection and project a prolonged serum half-life of approximately 60 to 100 days. Based on the model predicted pharmacokinetic profile, the median ADG20 serum concentration at 52 weeks, or approximately 12 months, is projected to exceed the ADG20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IC</w:t>
      </w:r>
      <w:r>
        <w:rPr>
          <w:rFonts w:ascii="Arial" w:cs="Arial" w:eastAsia="Arial" w:hAnsi="Arial"/>
          <w:sz w:val="13"/>
          <w:szCs w:val="13"/>
          <w:color w:val="auto"/>
        </w:rPr>
        <w:t>90</w:t>
      </w:r>
      <w:r>
        <w:rPr>
          <w:rFonts w:ascii="Arial" w:cs="Arial" w:eastAsia="Arial" w:hAnsi="Arial"/>
          <w:sz w:val="16"/>
          <w:szCs w:val="16"/>
          <w:color w:val="auto"/>
        </w:rPr>
        <w:t xml:space="preserve"> by approximately 100-fold, supporting the potential for a single IM injection to provide protection from COVID-19 for up to 12 months. Preliminary observed ADG20 pharmacokinetic profiles were dose proportional across the other dose levels tested and were also well predicted by the model.</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40"/>
          </w:cols>
          <w:pgMar w:left="32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Preliminary Pharmacokinetic Profile of a Single 300 mg IM Dose of ADG20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171450</wp:posOffset>
            </wp:positionV>
            <wp:extent cx="4732020" cy="29914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732020"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Serum virus neutralizing antibody titers are believed to be a key correlate of protection against COVID-19. Using an authentic virus neutralization assay, we compared serum virus neutralizing antibody titers on days 2, 7 and 21 following a single 300 mg IM dose of ADG20 to titers achieved 7 to 31 days, corresponding to peak titers, following administration of two doses of the AZD1222 or mRNA-1273 vaccine. As illustrated in the graphic below, by day 2 or the day following administration of a single 300 mg IM dose of ADG20, measured serum neutralizing antibody titers against the D614G strain were similar to peak serum neutralizing antibody titers induced by the mRNA-1273 COVID-19 vaccine and significantly exceeded peak titers generated by the AZD1222 vaccine. By day 7, serum neutralizing antibody titers for ADG20 were significantly higher than peak titers generated by either vaccine and were maintained out to day 21. Using the quantitative pharmacology model, median ADG20 serum neutralizing antibody titers at six months are projected to remain within the range measured at peak for the mRNA-1273 vaccine recipients. At 52 weeks, or approximately 12 months, post-dosing median titers were projected to remain above a threshold associated with protection from SARS-CoV-2 infection in non-human primates administered purified IgG from previously infected animals. These data further support the potential for a single 300 mg IM injection of ADG20 to provide protection against COVID-19 for up to 12 months.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40"/>
          </w:cols>
          <w:pgMar w:left="32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Preliminary Serum Virus Neutralizing Titers After of a Single 300 mg IM Dose of ADG20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171450</wp:posOffset>
            </wp:positionV>
            <wp:extent cx="3968750" cy="29229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968750"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LOD=limit of detection; *</w:t>
      </w:r>
      <w:r>
        <w:rPr>
          <w:rFonts w:ascii="Arial" w:cs="Arial" w:eastAsia="Arial" w:hAnsi="Arial"/>
          <w:sz w:val="14"/>
          <w:szCs w:val="14"/>
          <w:i w:val="1"/>
          <w:iCs w:val="1"/>
          <w:color w:val="auto"/>
        </w:rPr>
        <w:t>P</w:t>
      </w:r>
      <w:r>
        <w:rPr>
          <w:rFonts w:ascii="Arial" w:cs="Arial" w:eastAsia="Arial" w:hAnsi="Arial"/>
          <w:sz w:val="14"/>
          <w:szCs w:val="14"/>
          <w:color w:val="auto"/>
        </w:rPr>
        <w:t xml:space="preserve"> £ 0.05; **</w:t>
      </w:r>
      <w:r>
        <w:rPr>
          <w:rFonts w:ascii="Arial" w:cs="Arial" w:eastAsia="Arial" w:hAnsi="Arial"/>
          <w:sz w:val="14"/>
          <w:szCs w:val="14"/>
          <w:i w:val="1"/>
          <w:iCs w:val="1"/>
          <w:color w:val="auto"/>
        </w:rPr>
        <w:t>P</w:t>
      </w:r>
      <w:r>
        <w:rPr>
          <w:rFonts w:ascii="Arial" w:cs="Arial" w:eastAsia="Arial" w:hAnsi="Arial"/>
          <w:sz w:val="14"/>
          <w:szCs w:val="14"/>
          <w:color w:val="auto"/>
        </w:rPr>
        <w:t xml:space="preserve"> £ 0.01; ***</w:t>
      </w:r>
      <w:r>
        <w:rPr>
          <w:rFonts w:ascii="Arial" w:cs="Arial" w:eastAsia="Arial" w:hAnsi="Arial"/>
          <w:sz w:val="14"/>
          <w:szCs w:val="14"/>
          <w:i w:val="1"/>
          <w:iCs w:val="1"/>
          <w:color w:val="auto"/>
        </w:rPr>
        <w:t>P</w:t>
      </w:r>
      <w:r>
        <w:rPr>
          <w:rFonts w:ascii="Arial" w:cs="Arial" w:eastAsia="Arial" w:hAnsi="Arial"/>
          <w:sz w:val="14"/>
          <w:szCs w:val="14"/>
          <w:color w:val="auto"/>
        </w:rPr>
        <w:t xml:space="preserve"> £ 0.001; ****</w:t>
      </w:r>
      <w:r>
        <w:rPr>
          <w:rFonts w:ascii="Arial" w:cs="Arial" w:eastAsia="Arial" w:hAnsi="Arial"/>
          <w:sz w:val="14"/>
          <w:szCs w:val="14"/>
          <w:i w:val="1"/>
          <w:iCs w:val="1"/>
          <w:color w:val="auto"/>
        </w:rPr>
        <w:t>P</w:t>
      </w:r>
      <w:r>
        <w:rPr>
          <w:rFonts w:ascii="Arial" w:cs="Arial" w:eastAsia="Arial" w:hAnsi="Arial"/>
          <w:sz w:val="14"/>
          <w:szCs w:val="14"/>
          <w:color w:val="auto"/>
        </w:rPr>
        <w:t xml:space="preserve"> £ 0.0001</w:t>
      </w:r>
    </w:p>
    <w:p>
      <w:pPr>
        <w:spacing w:after="0" w:line="31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Combined Phase 2/3 STAMP Trial of ADG20 for the Treatment of COVID-19</w:t>
      </w:r>
    </w:p>
    <w:p>
      <w:pPr>
        <w:spacing w:after="0" w:line="117" w:lineRule="exact"/>
        <w:rPr>
          <w:sz w:val="20"/>
          <w:szCs w:val="20"/>
          <w:color w:val="auto"/>
        </w:rPr>
      </w:pPr>
    </w:p>
    <w:p>
      <w:pPr>
        <w:jc w:val="both"/>
        <w:ind w:left="120" w:right="20" w:firstLine="440"/>
        <w:spacing w:after="0" w:line="270" w:lineRule="auto"/>
        <w:rPr>
          <w:sz w:val="20"/>
          <w:szCs w:val="20"/>
          <w:color w:val="auto"/>
        </w:rPr>
      </w:pPr>
      <w:r>
        <w:rPr>
          <w:rFonts w:ascii="Arial" w:cs="Arial" w:eastAsia="Arial" w:hAnsi="Arial"/>
          <w:sz w:val="17"/>
          <w:szCs w:val="17"/>
          <w:color w:val="auto"/>
        </w:rPr>
        <w:t>Emerging evidence has shown that for high-risk patients, intervention with a mAb therapy early in the course of infection can prevent disease progression, hospitalization and death. Based on this evidence, we are conducting our STAMP trial, a combined Phase 2/3 clinical trial of ADG20 for the treatment of COVID-19 in ambulatory adult patients with mild to moderate disease who are at high risk of disease progression. Our STAMP trial is designed to be a double-blind, randomized, placebo-controlled clinical trial comparing the efficacy of a single IM dose of ADG20 to placebo, with a target enrollment of approximately 1,100 patients, all of which will be enrolled outside of the United States. After evaluation of safety data from the Phase 2 portion of the trial, we may expand enrollment to adolescents and pregnant women in the Phase 3 portion. In addition, an independent data monitoring committee, or iDMC, meeting is anticipated in the fourth quarter of 2021 to evaluate futility at the Phase 2 to Phase 3 transition. The primary objectives of this clinical trial are to assess the safety and efficacy of ADG20 compared to placebo in the prevention of COVID-19-related hospitalization or death through Day 29.</w:t>
      </w:r>
    </w:p>
    <w:p>
      <w:pPr>
        <w:spacing w:after="0" w:line="181"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We designed our STAMP trial to have a pre-specified interim analysis to support the potential to demonstrate early evidence of efficacy and to submit an EUA. If the interim analysis is positive and the public health emergency is still in effect, we plan to submit an EUA to the FDA. We anticipate that the interim analysis and subsequent EUA submission may occur as early as the first quarter of 2022. Our EUA submission will be based on clinical and virology endpoints and will be supplemented with non-clinical virological data demonstrating ADG20 activity against known SARS-CoV-2 variants of concern. Our EUA plan is supported by recently issued FDA guidance. If the Phase 3 data are positive, either at the interim analysis or at the completion of the trial, we expect to submit a biologics license application, or BLA, to the FDA as early as the second half of 2022 for full approval of ADG20 for the treatment of mild to moderate COVID-19 in patients at high risk of progressing to severe COVID-19 and/or hospitalization. Our BLA for the treatment indication will be further supported by clinical data from the EVADE trial.</w:t>
      </w:r>
    </w:p>
    <w:p>
      <w:pPr>
        <w:spacing w:after="0" w:line="178"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order to demonstrate clinical efficacy of ADG20 in patients where other mAb therapies are expected to have more limited success, we are prioritizing enrollment of the STAMP trial in countries with high rates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40"/>
          </w:cols>
          <w:pgMar w:left="32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SARS-CoV-2 variants that have been associated with lower efficacy rates of certain vaccines and are resistant or partially resistant to a subset of currently available or clinical-stage mAbs.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Combined Phase 2/3 EVADE Trial of ADG20 for the Prevention of COVID-19</w:t>
      </w:r>
    </w:p>
    <w:p>
      <w:pPr>
        <w:spacing w:after="0" w:line="117"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We have initiated our combined Phase 2/3 EVADE clinical trial of ADG20 to evaluate the safety and efficacy of ADG20 in the prevention of symptomatic COVID-19 in two separate populations: (1) individuals with known exposure to a person with laboratory-confirmed SARS-CoV-2 infection, which we refer to as post-exposure prophylaxis, and (2) individuals who are at increased risk for SARS-CoV-2 infection, which we refer to as pre-exposure prophylaxis. The eligible trial population also includes individuals at risk of generating poor vaccine response, such as those who are immunocompromised. Our EVADE trial is designed as a randomized, double-blind, placebo-controlled clinical trial to evaluate the efficacy of a single IM dose of ADG20 in preventing COVID-19, with a target enrollment of approximately 6,400 individuals in the United States and other countries. The primary endpoint is the proportion of participants with laboratory-confirmed symptomatic COVID-19 through Day 28 for the post-exposure cohort and through six months for the pre-exposure cohort. In addition, we will follow participants for 12 months to assess the proportion of participants who develop symptomatic COVID-19 through this time period in both cohorts. For those participants who do get infected with SARS-CoV-2, we will evaluate the impact of ADG20 on viral load as a surrogate for transmission potential. After evaluation of data from the first 200 adult participants across both cohorts in the Phase 2 portion of the trial, we may expand enrollment to adolescents and pregnant women in the Phase 3 portion.</w:t>
      </w:r>
    </w:p>
    <w:p>
      <w:pPr>
        <w:spacing w:after="0" w:line="172"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We initiated enrollment in our EVADE trial on April 27, 2021 and have completed enrollment of the planned 200 Phase 2 participants. The Phase 3 portion of the EVADE trial is ongoing with a planned iDMC meeting in the third quarter of 2021 to provide recommendations regarding inclusion of adolescents and pregnant and lactating women in the Phase 3 portion of the trial. As of July 28, 2021, over 400 participants have been randomized to the EVADE study. To date, two treatment-emergent serious adverse events have been reported. Both events were considered unrelated to study drug upon Investigator and Sponsor review. Because these events were assessed as unrelated to study drug, they remain blinded and are not subject to expedited reporting to the FDA.</w:t>
      </w:r>
    </w:p>
    <w:p>
      <w:pPr>
        <w:spacing w:after="0" w:line="192"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Phase 3 data for the post-exposure cohort of EVADE are anticipated as early as the first half of 2022. If the Phase 3 data are positive in the post-exposure cohort, we plan to submit a BLA to the FDA as early as the second half of 2022 for both the treatment and post-exposure prophylaxis indications. An interim analysis of futility for the pre-exposure cohort is planned for the first half of 2022 with topline data anticipated as early as the second half of 2022. Assuming favorable results, we are planning to file a supplemental BLA in the first half of 2023 for this indication. Similar to our STAMP trial, we are prioritizing enrollment in countries, including the United States, with high rates of SARS-CoV-2 variants, including variants that have been associated with lower efficacy rates of certain vaccines and are resistant or partially resistant to a subset of currently available or clinical-stage mAbs. We may not meet our time frames for submission, and if we do meet such timelines, there is no guarantee the FDA would approve our submission, or on the time frame we have indicated.</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Pediatric Clinical Development Plan</w:t>
      </w:r>
    </w:p>
    <w:p>
      <w:pPr>
        <w:spacing w:after="0" w:line="117"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Although children are at lower risk of developing severe COVID-19 compared to adults, a subset of children experience poor outcomes, including severe acute disease, such as the multisystem inflammatory syndrome, or MIS-C, and long-term sequelae of disease, also known as long COVID. Safe and effective therapies are needed to prevent severe disease and hospitalization in high-risk children as well as complications of COVID-19 such as MIS-C and long COVID. In addition, children of all ages are infectious and capable of transmission, regardless of symptom status, and the contribution of children to ongoing disease transmission is likely underappreciated. The secondary impacts of the COVID-19 pandemic on children due to widespread school closure, including a burgeoning mental health crisis, food insecurity and loss of gains in literacy, further attest to the need for safe and effective agents to prevent COVID-19 in children to support widespread school re-opening. Prevention efforts in children are also important for protection of high-risk adults who have contact with children and may</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40"/>
          </w:cols>
          <w:pgMar w:left="32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not be fully protected by vaccination, as well as for the achievement of global herd immunity given that 25% of the world’s population are under the age of 14.</w:t>
      </w:r>
    </w:p>
    <w:p>
      <w:pPr>
        <w:spacing w:after="0" w:line="170"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Similar to our strategy for the adult and adolescent populations, we anticipate generating data to support the use of ADG20 for both the treatment and prevention of COVID-19 in the pediatric population. We believe ADG20 has the potential to provide a treatment option for children at high risk of severe disease, a viable prevention option for children with household or other high-risk exposures and an alternative to vaccines for certain high-risk children. Based on decades of experience using Synagis, an antibody administered to high-risk infants and toddlers for the prevention of severe lower respiratory tract disease due to RSV, we believe the pediatric use of ADG20 could become well-accepted for certain subsets of the pediatric population.</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Commercial Opportunity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Market Opportunity</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believe that three core assumptions underpin the robust commercial opportunity inherent in ADG20 as both a treatment and preventative option for COVID-19:</w:t>
      </w:r>
    </w:p>
    <w:p>
      <w:pPr>
        <w:spacing w:after="0" w:line="72" w:lineRule="exact"/>
        <w:rPr>
          <w:sz w:val="20"/>
          <w:szCs w:val="20"/>
          <w:color w:val="auto"/>
        </w:rPr>
      </w:pPr>
    </w:p>
    <w:p>
      <w:pPr>
        <w:jc w:val="both"/>
        <w:ind w:left="1080" w:hanging="532"/>
        <w:spacing w:after="0" w:line="270" w:lineRule="auto"/>
        <w:tabs>
          <w:tab w:leader="none" w:pos="1080" w:val="left"/>
        </w:tabs>
        <w:numPr>
          <w:ilvl w:val="0"/>
          <w:numId w:val="90"/>
        </w:numPr>
        <w:rPr>
          <w:rFonts w:ascii="Arial" w:cs="Arial" w:eastAsia="Arial" w:hAnsi="Arial"/>
          <w:sz w:val="17"/>
          <w:szCs w:val="17"/>
          <w:color w:val="auto"/>
        </w:rPr>
      </w:pPr>
      <w:r>
        <w:rPr>
          <w:rFonts w:ascii="Arial" w:cs="Arial" w:eastAsia="Arial" w:hAnsi="Arial"/>
          <w:sz w:val="17"/>
          <w:szCs w:val="17"/>
          <w:b w:val="1"/>
          <w:bCs w:val="1"/>
          <w:color w:val="auto"/>
        </w:rPr>
        <w:t xml:space="preserve">Vaccines alone are not expected to adequately address the COVID-19 pandemic. </w:t>
      </w:r>
      <w:r>
        <w:rPr>
          <w:rFonts w:ascii="Arial" w:cs="Arial" w:eastAsia="Arial" w:hAnsi="Arial"/>
          <w:sz w:val="17"/>
          <w:szCs w:val="17"/>
          <w:color w:val="auto"/>
        </w:rPr>
        <w:t>We believe high levels of vaccine hesitancy may</w:t>
      </w:r>
      <w:r>
        <w:rPr>
          <w:rFonts w:ascii="Arial" w:cs="Arial" w:eastAsia="Arial" w:hAnsi="Arial"/>
          <w:sz w:val="17"/>
          <w:szCs w:val="17"/>
          <w:b w:val="1"/>
          <w:bCs w:val="1"/>
          <w:color w:val="auto"/>
        </w:rPr>
        <w:t xml:space="preserve"> </w:t>
      </w:r>
      <w:r>
        <w:rPr>
          <w:rFonts w:ascii="Arial" w:cs="Arial" w:eastAsia="Arial" w:hAnsi="Arial"/>
          <w:sz w:val="17"/>
          <w:szCs w:val="17"/>
          <w:color w:val="auto"/>
        </w:rPr>
        <w:t>leave as many as 100 million people in the United States and 2 billion people worldwide susceptible to COVID-19, assuming that less than 70% of the population will take a full course of a vaccine. We also believe there is a significant portion of the population that will choose not to receive the second vaccine dose or a potential future booster, which will make the duration of their protection uncertain. We also believe the challenges around the distribution and storage of certain vaccines will make widespread administration difficult in less developed or remote parts of the world. As a result, our epidemiological modeling has suggested that as much as 50% of the global population may be susceptible to infection within three years based on current assumptions of viral transmissibility as well as vaccine adoption, availability and length of protection, even when assuming that vaccine boosters are readily available. We believe these predictive assessments are indicative of the significant opportunity that may be available for a mAb therapy like ADG20 that has the potential to offer both treatment and preventative benefit.</w:t>
      </w:r>
    </w:p>
    <w:p>
      <w:pPr>
        <w:spacing w:after="0" w:line="82" w:lineRule="exact"/>
        <w:rPr>
          <w:rFonts w:ascii="Arial" w:cs="Arial" w:eastAsia="Arial" w:hAnsi="Arial"/>
          <w:sz w:val="17"/>
          <w:szCs w:val="17"/>
          <w:color w:val="auto"/>
        </w:rPr>
      </w:pPr>
    </w:p>
    <w:p>
      <w:pPr>
        <w:jc w:val="both"/>
        <w:ind w:left="1080" w:hanging="532"/>
        <w:spacing w:after="0" w:line="254"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 xml:space="preserve">ADG20 will find clinical application as both a complement to and supplement for vaccine use. </w:t>
      </w:r>
      <w:r>
        <w:rPr>
          <w:rFonts w:ascii="Arial" w:cs="Arial" w:eastAsia="Arial" w:hAnsi="Arial"/>
          <w:sz w:val="18"/>
          <w:szCs w:val="18"/>
          <w:color w:val="auto"/>
        </w:rPr>
        <w:t>We conducted market research with</w:t>
      </w:r>
      <w:r>
        <w:rPr>
          <w:rFonts w:ascii="Arial" w:cs="Arial" w:eastAsia="Arial" w:hAnsi="Arial"/>
          <w:sz w:val="18"/>
          <w:szCs w:val="18"/>
          <w:b w:val="1"/>
          <w:bCs w:val="1"/>
          <w:color w:val="auto"/>
        </w:rPr>
        <w:t xml:space="preserve"> </w:t>
      </w:r>
      <w:r>
        <w:rPr>
          <w:rFonts w:ascii="Arial" w:cs="Arial" w:eastAsia="Arial" w:hAnsi="Arial"/>
          <w:sz w:val="18"/>
          <w:szCs w:val="18"/>
          <w:color w:val="auto"/>
        </w:rPr>
        <w:t>physicians in the United States and Europe to better understand their perceptions of the potential profile of ADG20 and its likely applications. When shown the product profile of ADG20 versus four other mAbs in development, casirivimab/imdevimab (REGEN-COV), bamlanivimab/etesevimab (LY-CoV555/016), cilgavimab/tixagevimab (AZ7442) and sotrovimab (VIR-7831), both groups of physicians preferred ADG20 as a potential preventative for all types of individuals, including those unvaccinated, as well as a supplement for high-risk individuals, such as the elderly and the immunocompromised. For treatment, both groups of physicians also preferred ADG20 for all patient types, including low- and high-risk patients as well as pre-symptomatic, but infected, patients. We believe the results of our market research support the potential acceptance of ADG20 as both a complement to and supplement for vaccines across a wide variety of individuals.</w:t>
      </w:r>
    </w:p>
    <w:p>
      <w:pPr>
        <w:spacing w:after="0" w:line="93" w:lineRule="exact"/>
        <w:rPr>
          <w:rFonts w:ascii="Arial" w:cs="Arial" w:eastAsia="Arial" w:hAnsi="Arial"/>
          <w:sz w:val="18"/>
          <w:szCs w:val="18"/>
          <w:color w:val="auto"/>
        </w:rPr>
      </w:pPr>
    </w:p>
    <w:p>
      <w:pPr>
        <w:jc w:val="both"/>
        <w:ind w:left="1080" w:right="20" w:hanging="532"/>
        <w:spacing w:after="0" w:line="254"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 xml:space="preserve">ADG20 can both address COVID-19 and be a stockpiling product of choice for COVID-2X, the next SARS-like coronavirus. </w:t>
      </w:r>
      <w:r>
        <w:rPr>
          <w:rFonts w:ascii="Arial" w:cs="Arial" w:eastAsia="Arial" w:hAnsi="Arial"/>
          <w:sz w:val="18"/>
          <w:szCs w:val="18"/>
          <w:color w:val="auto"/>
        </w:rPr>
        <w:t>We</w:t>
      </w:r>
      <w:r>
        <w:rPr>
          <w:rFonts w:ascii="Arial" w:cs="Arial" w:eastAsia="Arial" w:hAnsi="Arial"/>
          <w:sz w:val="18"/>
          <w:szCs w:val="18"/>
          <w:b w:val="1"/>
          <w:bCs w:val="1"/>
          <w:color w:val="auto"/>
        </w:rPr>
        <w:t xml:space="preserve"> </w:t>
      </w:r>
      <w:r>
        <w:rPr>
          <w:rFonts w:ascii="Arial" w:cs="Arial" w:eastAsia="Arial" w:hAnsi="Arial"/>
          <w:sz w:val="18"/>
          <w:szCs w:val="18"/>
          <w:color w:val="auto"/>
        </w:rPr>
        <w:t>believe that the aggregate of ADG20’s potential advantages, including its dosing convenience, the potential durability of its efficacy and its utility against SARS-CoV-2 variants, position ADG20 as a compelling option to address the current COVID-19 pandemic. In addition, ADG20’s broad activity against a diverse group of SARS-related viruses make ADG20 an attractive option to enable stockpiling purchases to address future potential pandemics due to SARS-like viruses. To further enhance ADG20’s stockpiling profile, we are developing a lyophilized formulation of the API of ADG20 to further extend the shelf life of the drug product under refrigerated conditions. Through a combination of the lyophilized form and the long-term frozen storage of the drug substance intermediate, we believe the shelf life can be even further extended.</w:t>
      </w:r>
    </w:p>
    <w:p>
      <w:pPr>
        <w:spacing w:after="0" w:line="1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Addressable Markets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have identified four distinct patient segments for those 12 years old and older, which represents approximately 285 million people in the United States. In April 2021, we conducted a market research analysis of 156 physicians in the United States and 236 physicians in Europe to understand their perspectives and preferences for the treatment and prevention of SARS-CoV-2 infection.</w:t>
      </w:r>
    </w:p>
    <w:p>
      <w:pPr>
        <w:spacing w:after="0" w:line="85" w:lineRule="exact"/>
        <w:rPr>
          <w:sz w:val="20"/>
          <w:szCs w:val="20"/>
          <w:color w:val="auto"/>
        </w:rPr>
      </w:pPr>
    </w:p>
    <w:p>
      <w:pPr>
        <w:jc w:val="both"/>
        <w:ind w:left="1080" w:hanging="532"/>
        <w:spacing w:after="0" w:line="255"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Treatment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Patients recently diagnosed with COVID-19</w:t>
      </w:r>
      <w:r>
        <w:rPr>
          <w:rFonts w:ascii="Arial" w:cs="Arial" w:eastAsia="Arial" w:hAnsi="Arial"/>
          <w:sz w:val="18"/>
          <w:szCs w:val="18"/>
          <w:color w:val="auto"/>
        </w:rPr>
        <w:t>. In 2022 and beyond, we estimate that approximately 2.6% of the U.S. population</w:t>
      </w:r>
      <w:r>
        <w:rPr>
          <w:rFonts w:ascii="Arial" w:cs="Arial" w:eastAsia="Arial" w:hAnsi="Arial"/>
          <w:sz w:val="18"/>
          <w:szCs w:val="18"/>
          <w:b w:val="1"/>
          <w:bCs w:val="1"/>
          <w:color w:val="auto"/>
        </w:rPr>
        <w:t xml:space="preserve"> </w:t>
      </w:r>
      <w:r>
        <w:rPr>
          <w:rFonts w:ascii="Arial" w:cs="Arial" w:eastAsia="Arial" w:hAnsi="Arial"/>
          <w:sz w:val="18"/>
          <w:szCs w:val="18"/>
          <w:color w:val="auto"/>
        </w:rPr>
        <w:t>12 years old and older will be infected with SARS-CoV-2. This infection rate is consistent with the annual incidence of influenza, which, according to the CDC, on an annual basis is between 3% and 11% of the U.S. population. A SARS-CoV-2 infection rate of approximately 2.6% would result in approximately 7.4 million infected individuals annually in the United States, or approximately 20,000 cases per day. In our market research, 26% of U.S. physicians selected mAbs as their primary treatment choice for patients infected with SARS-CoV-2 who are at moderate risk and within seven days of diagnosis. For high-risk patients, 47% of U.S. physicians selected mAbs as their primary treatment choice.</w:t>
      </w:r>
    </w:p>
    <w:p>
      <w:pPr>
        <w:spacing w:after="0" w:line="94" w:lineRule="exact"/>
        <w:rPr>
          <w:rFonts w:ascii="Arial" w:cs="Arial" w:eastAsia="Arial" w:hAnsi="Arial"/>
          <w:sz w:val="18"/>
          <w:szCs w:val="18"/>
          <w:color w:val="auto"/>
        </w:rPr>
      </w:pPr>
    </w:p>
    <w:p>
      <w:pPr>
        <w:jc w:val="both"/>
        <w:ind w:left="1080" w:right="20" w:hanging="532"/>
        <w:spacing w:after="0" w:line="298" w:lineRule="auto"/>
        <w:tabs>
          <w:tab w:leader="none" w:pos="1080" w:val="left"/>
        </w:tabs>
        <w:numPr>
          <w:ilvl w:val="0"/>
          <w:numId w:val="91"/>
        </w:numPr>
        <w:rPr>
          <w:rFonts w:ascii="Arial" w:cs="Arial" w:eastAsia="Arial" w:hAnsi="Arial"/>
          <w:sz w:val="16"/>
          <w:szCs w:val="16"/>
          <w:color w:val="auto"/>
        </w:rPr>
      </w:pPr>
      <w:r>
        <w:rPr>
          <w:rFonts w:ascii="Arial" w:cs="Arial" w:eastAsia="Arial" w:hAnsi="Arial"/>
          <w:sz w:val="16"/>
          <w:szCs w:val="16"/>
          <w:b w:val="1"/>
          <w:bCs w:val="1"/>
          <w:color w:val="auto"/>
        </w:rPr>
        <w:t xml:space="preserve">Post-Exposure Prophylaxis: </w:t>
      </w:r>
      <w:r>
        <w:rPr>
          <w:rFonts w:ascii="Arial" w:cs="Arial" w:eastAsia="Arial" w:hAnsi="Arial"/>
          <w:sz w:val="16"/>
          <w:szCs w:val="16"/>
          <w:i w:val="1"/>
          <w:iCs w:val="1"/>
          <w:color w:val="auto"/>
        </w:rPr>
        <w:t>Non-vaccinated patients with close exposure to a SARS-CoV-2-infected patient.</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Determining the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people exposed by one infected person is difficult to estimate. As a proxy, we estimate that each infected person will expose at least one non-vaccinated person, on average. Therefore, the estimated 7.4 million infected patients would expose approximately 7.4 million non-vaccinated people annually. Our market research showed that 28% of U.S. physicians would recommend a mAb therapy for post-exposure prophylaxis compared to vaccines, antivirals, corticosteroids, other therapies or no therapy.</w:t>
      </w:r>
    </w:p>
    <w:p>
      <w:pPr>
        <w:spacing w:after="0" w:line="59" w:lineRule="exact"/>
        <w:rPr>
          <w:rFonts w:ascii="Arial" w:cs="Arial" w:eastAsia="Arial" w:hAnsi="Arial"/>
          <w:sz w:val="16"/>
          <w:szCs w:val="16"/>
          <w:color w:val="auto"/>
        </w:rPr>
      </w:pPr>
    </w:p>
    <w:p>
      <w:pPr>
        <w:jc w:val="both"/>
        <w:ind w:left="1080" w:hanging="532"/>
        <w:spacing w:after="0" w:line="254"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Vaccine Supplement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Patients seeking to supplement their vaccine protection against SARS-CoV-2 and/or who are deterred by potential</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booster doses due to vaccine side effects. </w:t>
      </w:r>
      <w:r>
        <w:rPr>
          <w:rFonts w:ascii="Arial" w:cs="Arial" w:eastAsia="Arial" w:hAnsi="Arial"/>
          <w:sz w:val="18"/>
          <w:szCs w:val="18"/>
          <w:color w:val="auto"/>
        </w:rPr>
        <w:t>In our market research, U.S. physicians clearly indicated that they would consider using a</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of vaccines and a mAb therapy in a variety of patient types, including in 28% to 68% of moderate- to high-risk patients with medium exposure risk and 49% to 81% of moderate- to high-risk patients with high exposure risk. Additionally, patients who experienced side effects during their initial vaccine series may choose a mAb therapy instead of a vaccine booster for waning immunity or protection against potential variants. To estimate the size of this segment, we assume that approximately 65% of patients would be fully vaccinated by the end of 2022 and that these vaccines are approximately 80% effective, which yields a vaccine protection rate of approximately 52%. In the United States, we estimate that there will be more than 150 million people in this segment who are not already counted in other segments.</w:t>
      </w:r>
    </w:p>
    <w:p>
      <w:pPr>
        <w:spacing w:after="0" w:line="93" w:lineRule="exact"/>
        <w:rPr>
          <w:rFonts w:ascii="Arial" w:cs="Arial" w:eastAsia="Arial" w:hAnsi="Arial"/>
          <w:sz w:val="18"/>
          <w:szCs w:val="18"/>
          <w:color w:val="auto"/>
        </w:rPr>
      </w:pPr>
    </w:p>
    <w:p>
      <w:pPr>
        <w:jc w:val="both"/>
        <w:ind w:left="1080" w:hanging="532"/>
        <w:spacing w:after="0" w:line="255"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 xml:space="preserve">Pre-Exposure Prophylaxis: </w:t>
      </w:r>
      <w:r>
        <w:rPr>
          <w:rFonts w:ascii="Arial" w:cs="Arial" w:eastAsia="Arial" w:hAnsi="Arial"/>
          <w:sz w:val="18"/>
          <w:szCs w:val="18"/>
          <w:i w:val="1"/>
          <w:iCs w:val="1"/>
          <w:color w:val="auto"/>
        </w:rPr>
        <w:t>This group represents the remainder of the population (i.e., those that were not counted in the three patient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segments described above). </w:t>
      </w:r>
      <w:r>
        <w:rPr>
          <w:rFonts w:ascii="Arial" w:cs="Arial" w:eastAsia="Arial" w:hAnsi="Arial"/>
          <w:sz w:val="18"/>
          <w:szCs w:val="18"/>
          <w:color w:val="auto"/>
        </w:rPr>
        <w:t>In particular, this group includes non-vaccinated individuals as well certain vaccinated individuals for whom</w:t>
      </w:r>
      <w:r>
        <w:rPr>
          <w:rFonts w:ascii="Arial" w:cs="Arial" w:eastAsia="Arial" w:hAnsi="Arial"/>
          <w:sz w:val="18"/>
          <w:szCs w:val="18"/>
          <w:i w:val="1"/>
          <w:iCs w:val="1"/>
          <w:color w:val="auto"/>
        </w:rPr>
        <w:t xml:space="preserve"> </w:t>
      </w:r>
      <w:r>
        <w:rPr>
          <w:rFonts w:ascii="Arial" w:cs="Arial" w:eastAsia="Arial" w:hAnsi="Arial"/>
          <w:sz w:val="18"/>
          <w:szCs w:val="18"/>
          <w:color w:val="auto"/>
        </w:rPr>
        <w:t>vaccines are likely to provide suboptimal protection, such as those who are immunocompromised. In the United States, we estimate that this segment includes approximately 120 million individuals, of whom approximately eight million are immunocompromised. Immunocompromised individuals are considered high risk, and in our market research, U.S. physicians indicated that they would consider using a mAb therapy or a combination of a vaccine and a mAb therapy in 45% to 87% of high-risk patients, depending on their exposure risk.</w:t>
      </w:r>
    </w:p>
    <w:p>
      <w:pPr>
        <w:spacing w:after="0" w:line="193"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Although we believe that COVID-19 will be marked by variant-driven oscillating waves of infections, our addressable market estimates assume a stable endemic year over year.</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ADG20 Attributes vs. Competitive mAbs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believe ADG20 has a unique combination of attributes that positions ADG20 to be a differentiated mAb for both the treatment and prevention of COVID-19.</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b w:val="1"/>
          <w:bCs w:val="1"/>
          <w:i w:val="1"/>
          <w:iCs w:val="1"/>
          <w:color w:val="auto"/>
        </w:rPr>
        <w:t xml:space="preserve">Low Risk of Clinical Resistance. </w:t>
      </w:r>
      <w:r>
        <w:rPr>
          <w:rFonts w:ascii="Arial" w:cs="Arial" w:eastAsia="Arial" w:hAnsi="Arial"/>
          <w:sz w:val="16"/>
          <w:szCs w:val="16"/>
          <w:color w:val="auto"/>
        </w:rPr>
        <w:t>The currently known SARS-CoV-2 variants of concern likely emerged in response to immune pressure exerted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on variable amino acid residues such as K417 and E484, which are targeted by public antibodies commonly induced by natural infection. Because most of the mAbs currently in development were isolated from COVID-19 survivors and belong to one of the three classes of public RBD-directed antibodies, many of the clinical-stage mAbs show significant loss of potency against variants of concern. For example, casirivimab, bamlanivimab, etesevimab and regandivimab all show significant loss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neutralizing potency against the Beta (B1.351), Gamma (P.1), Iota (B.1.526) and/or Epsilon (B.1.429) variants, which contain mutations at the key amino acid residues recognized by these antibodies. Furthermore, the EUA for bamlanivimab was recently revoked by the FDA due to the increase in SARS-CoV-2 variants resistant to this antibody, raising concerns of increased risk of treatment failure and distribution of a second agent, bamlanvimab/etesevimab, has been paused in the United States due to data showing that the combined frequency of two variants resistant to this product, the Gamma (P.1) and Beta (B.1.351) variants, now exceeds 11% in the United States and is trending upward. In contrast, ADG20 binds to conserved residues that are not readily targeted by public antibodies. This suggests that these residues are less likely to mutate than those recognized by other antibodies, which is supported by preliminary data demonstrating that mutations in the ADG20 binding site are currently present at extremely low frequency in circulating SARS-CoV-2 viruses and none of the variants of concern described to date contain mutations in the ADG20 binding site. Thus, ADG20 demonstrates neutralizing activity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against common circulating SARS-CoV-2 variants, including the Alpha (B.1.1.7), Beta (B1.351), Gamma (P.1) and Delta (B.1.617.2) variants of concern and additional variants of interest.</w:t>
      </w:r>
    </w:p>
    <w:p>
      <w:pPr>
        <w:spacing w:after="0" w:line="171"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b w:val="1"/>
          <w:bCs w:val="1"/>
          <w:i w:val="1"/>
          <w:iCs w:val="1"/>
          <w:color w:val="auto"/>
        </w:rPr>
        <w:t xml:space="preserve">Half-Life Extension. </w:t>
      </w:r>
      <w:r>
        <w:rPr>
          <w:rFonts w:ascii="Arial" w:cs="Arial" w:eastAsia="Arial" w:hAnsi="Arial"/>
          <w:sz w:val="17"/>
          <w:szCs w:val="17"/>
          <w:color w:val="auto"/>
        </w:rPr>
        <w:t>ADG20 was engineered from its parent antibody, ADG2, with a modification in the Fc region that results in enhanced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binding to FcRn at low pH levels. Enhanced binding to FcRn receptors at low pH levels improves FcRn-mediated antibody recycling, leading to an extended serum half-life in humans. The prolonged half-life for ADG20 is supported by preliminary pharmacokinetic data from the Phase 1 healthy volunteer study. Other antibodies that do not include half-life extensions, such as casirivimab/imdevimab, bamlanivimab/etesevimab and regdanvimab, will likely require frequent periodic administration to provide an extended duration of protection.</w:t>
      </w:r>
    </w:p>
    <w:p>
      <w:pPr>
        <w:spacing w:after="0" w:line="176"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b w:val="1"/>
          <w:bCs w:val="1"/>
          <w:i w:val="1"/>
          <w:iCs w:val="1"/>
          <w:color w:val="auto"/>
        </w:rPr>
        <w:t xml:space="preserve">Effector Function. </w:t>
      </w:r>
      <w:r>
        <w:rPr>
          <w:rFonts w:ascii="Arial" w:cs="Arial" w:eastAsia="Arial" w:hAnsi="Arial"/>
          <w:sz w:val="16"/>
          <w:szCs w:val="16"/>
          <w:color w:val="auto"/>
        </w:rPr>
        <w:t>Antibodies with Fc-mediated immune effector function summon immune cells and other immune mediators to the site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infection to help destroy infected cells and clear the infection. Preclinical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studies for other SARS-CoV-2 mAbs also suggest that Fc effector functions help to modulate protective immune responses. Notably, etesevimab and cilgavimab/tixagevimab include Fc modifications that reduce innate immune effector functions. In contrast, ADG20 was engineered to retain Fc-mediated innate immune effector activity, including ADCC and ADCP.</w:t>
      </w:r>
    </w:p>
    <w:p>
      <w:pPr>
        <w:spacing w:after="0" w:line="15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Potency. </w:t>
      </w:r>
      <w:r>
        <w:rPr>
          <w:rFonts w:ascii="Arial" w:cs="Arial" w:eastAsia="Arial" w:hAnsi="Arial"/>
          <w:sz w:val="18"/>
          <w:szCs w:val="18"/>
          <w:color w:val="auto"/>
        </w:rPr>
        <w:t>Our definition for potent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in vitro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neutralization of SARS-CoV-2 is demonstration of an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in vitro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IC</w:t>
      </w:r>
      <w:r>
        <w:rPr>
          <w:rFonts w:ascii="Arial" w:cs="Arial" w:eastAsia="Arial" w:hAnsi="Arial"/>
          <w:sz w:val="15"/>
          <w:szCs w:val="15"/>
          <w:color w:val="auto"/>
        </w:rPr>
        <w:t>50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equal to 0.01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mcg/mL or less against a range of authentic SARS-CoV-2 variants, including Alpha (B.1.1.7), Beta (B1.351), Gamma (P.1) and Delta (B.1.617.2). Of the clinical-stage and authorized mAbs, only ADG20 and AZD1061 have this characteristic.</w:t>
      </w:r>
    </w:p>
    <w:p>
      <w:pPr>
        <w:spacing w:after="0" w:line="184"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Convenient Dosing Regimen. </w:t>
      </w:r>
      <w:r>
        <w:rPr>
          <w:rFonts w:ascii="Arial" w:cs="Arial" w:eastAsia="Arial" w:hAnsi="Arial"/>
          <w:sz w:val="18"/>
          <w:szCs w:val="18"/>
          <w:color w:val="auto"/>
        </w:rPr>
        <w:t>Given the high potency, low viscosity and high concentration formulation of ADG20, we are developing ADG20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single-dose IM injection for both the treatment and prevention of COVID-19. To our knowledge, the dosing regimens for currently available or clinical-stage SARS-CoV-2 mAbs require either IV infusion or multiple subcutaneous or intramuscular injections for the treatment and/or prevention of COVID-19.</w:t>
      </w:r>
    </w:p>
    <w:p>
      <w:pPr>
        <w:spacing w:after="0" w:line="18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b w:val="1"/>
          <w:bCs w:val="1"/>
          <w:i w:val="1"/>
          <w:iCs w:val="1"/>
          <w:color w:val="auto"/>
        </w:rPr>
        <w:t xml:space="preserve">Breadth. </w:t>
      </w:r>
      <w:r>
        <w:rPr>
          <w:rFonts w:ascii="Arial" w:cs="Arial" w:eastAsia="Arial" w:hAnsi="Arial"/>
          <w:sz w:val="17"/>
          <w:szCs w:val="17"/>
          <w:color w:val="auto"/>
        </w:rPr>
        <w:t>ADG20 has demonstrated broad neutralizing activity against SARS-CoV-2 and other SARS-like viruses that infect human cells through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same hACE2 receptor pathway as SARS-CoV-2. To our knowledge, the only other mAb in late-stage clinical development that has demonstrated activity against additional SARS-like viruses is sotrovimab, but with lower potency compared to ADG20.</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40"/>
          </w:cols>
          <w:pgMar w:left="32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ADG20 Attributes vs. COVID Oral Antivirals</w:t>
      </w:r>
    </w:p>
    <w:p>
      <w:pPr>
        <w:spacing w:after="0" w:line="11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We believe ADG20 has several advantages over COVID oral antivirals in development for treatment and post-exposure prophylaxis settings. Oral antivirals require patients to take several doses over several days, whereas ADG20 has the potential to provide clinical benefit with a single IM injection in both the treatment and post-exposure prophylaxis settings. Oral antivirals require the patient to receive, fill and pay for the prescription via a retail or specialty pharmacy, whereas ADG20 is not expected to require a prescription if given in a physician’s office, minimizing delays in administration of therapy.</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Go-to-Market Strategy</w:t>
      </w:r>
    </w:p>
    <w:p>
      <w:pPr>
        <w:spacing w:after="0" w:line="11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We believe the commercialization of ADG20 will involve direct sales to governments, including relevant health agencies and national health systems, and in the United States, health insurers, integrated delivery networks and large employers. We intend to establish our own commercial organization in the United States and Europe, where we believe a focused commercial infrastructure will be able to successfully commercialize ADG20. We have begun discussions with some of these entities and will continue to do so as we progress ADG20 through a potential EUA and commercialization. In other markets, such as Latin America, Asia-Pacific, including China, and Middle Eastern and African countries, we intend to commercialize ADG20 through partnerships.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Product Candidates Beyond ADG20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94615</wp:posOffset>
            </wp:positionV>
            <wp:extent cx="5186045" cy="22974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86045"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As illustrated in the graphic above, we are developing additional product candidates, such as ADG10, for potential use in combination with ADG20 for the treatment and prevention of COVID-19 and have initiated discovery programs focused on preventative agents for additional coronaviruses as well as seasonal and pandemic influenza, which are discussed in greater detail below.</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Broadly Neutralizing Antibodies in Development</w:t>
      </w:r>
    </w:p>
    <w:p>
      <w:pPr>
        <w:spacing w:after="0" w:line="121"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We envision additional product development opportunities emerging from our development of ADG20 for the treatment and prevention of COVID-19. We are initiating IND-enabling studies with ADG10, an additional broadly neutralizing antibody for potential use in combination with ADG20 for COVID-19. We believe the incorporation of a second broadly neutralizing antibody that targets a distinct viral epitope from the epitope targeted by ADG20 will ensure long-lasting product activity for COVID-19 as new variants of SARS-CoV-2 arise as well as for future outbreaks of disease that may arise from additional SARS-like viruses with pandemic potential. We anticipate submitting an IND to the FDA in early 2022. If cleared, we anticipate initiating first-in-human clinical development in the first quarter of 2022.</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40"/>
          </w:cols>
          <w:pgMar w:left="32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 xml:space="preserve">A number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including assessments of binding affinity and neutralization potency, have been conducted with ADG10 and ADG1, the parent molecule of ADG10. ADG1 is an affinity-matured progeny of ADI-55689, an antibody that was isolated from a survivor of the 2003 SARS outbreak along with the parent molecule of ADG2/ADG20. Affinity maturation increased ADG1 binding affinity to the SARS-CoV-2 S protein and neutralization potency against SARS-CoV-2 by as much as 85-fold and 40-fold, respectively. ADG1 binds with high affinity to the RBD of the spike proteins of multiple ACE-2 targeting sarbecoviruses and has been shown to neutralize multiple members of this group of SARS-like viruses </w:t>
      </w:r>
      <w:r>
        <w:rPr>
          <w:rFonts w:ascii="Arial" w:cs="Arial" w:eastAsia="Arial" w:hAnsi="Arial"/>
          <w:sz w:val="16"/>
          <w:szCs w:val="16"/>
          <w:i w:val="1"/>
          <w:iCs w:val="1"/>
          <w:color w:val="auto"/>
        </w:rPr>
        <w:t>in vitro</w:t>
      </w:r>
      <w:r>
        <w:rPr>
          <w:rFonts w:ascii="Arial" w:cs="Arial" w:eastAsia="Arial" w:hAnsi="Arial"/>
          <w:sz w:val="16"/>
          <w:szCs w:val="16"/>
          <w:color w:val="auto"/>
        </w:rPr>
        <w:t>. To create ADG10, the same Fc region modification included in ADG20 that was designed to extend half-life was introduced into ADG1.</w:t>
      </w:r>
    </w:p>
    <w:p>
      <w:pPr>
        <w:spacing w:after="0" w:line="164"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7"/>
          <w:szCs w:val="17"/>
          <w:color w:val="auto"/>
        </w:rPr>
        <w:t>Similar to ADG2, ADG1 possesses broad activity and binds with high affinity to a diverse set of RBD molecules from naturally circulating SARS-CoV-2 variants and related sarbecoviruses. ADG10 has demonstrated broad neutralizing activity against authentic SARS-CoV-2 viruses, including the Victoria virus strain and the Alpha (B.1.1.7), Beta (B.1.351), Gamma (P.I) and Delta (B.1.617.2) variants. As shown in the table below, ADG10 neutralized all five viruses tested, as demonstrated by the low IC</w:t>
      </w:r>
      <w:r>
        <w:rPr>
          <w:rFonts w:ascii="Arial" w:cs="Arial" w:eastAsia="Arial" w:hAnsi="Arial"/>
          <w:sz w:val="14"/>
          <w:szCs w:val="14"/>
          <w:color w:val="auto"/>
        </w:rPr>
        <w:t>50</w:t>
      </w:r>
      <w:r>
        <w:rPr>
          <w:rFonts w:ascii="Arial" w:cs="Arial" w:eastAsia="Arial" w:hAnsi="Arial"/>
          <w:sz w:val="17"/>
          <w:szCs w:val="17"/>
          <w:color w:val="auto"/>
        </w:rPr>
        <w:t xml:space="preserve"> values and 100% neutralization plateaus achieved.</w:t>
      </w: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ADG10 Displays Neutralizing Activity Against SARS-CoV-2 Variants of Concern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IC</w:t>
            </w:r>
            <w:r>
              <w:rPr>
                <w:rFonts w:ascii="Arial" w:cs="Arial" w:eastAsia="Arial" w:hAnsi="Arial"/>
                <w:sz w:val="12"/>
                <w:szCs w:val="12"/>
                <w:b w:val="1"/>
                <w:bCs w:val="1"/>
                <w:color w:val="auto"/>
              </w:rPr>
              <w:t>50</w:t>
            </w:r>
            <w:r>
              <w:rPr>
                <w:rFonts w:ascii="Arial" w:cs="Arial" w:eastAsia="Arial" w:hAnsi="Arial"/>
                <w:sz w:val="14"/>
                <w:szCs w:val="14"/>
                <w:b w:val="1"/>
                <w:bCs w:val="1"/>
                <w:color w:val="auto"/>
              </w:rPr>
              <w:t xml:space="preserve"> (mcg/mL)</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ind w:left="220"/>
              <w:spacing w:after="0"/>
              <w:rPr>
                <w:sz w:val="20"/>
                <w:szCs w:val="20"/>
                <w:color w:val="auto"/>
              </w:rPr>
            </w:pPr>
            <w:r>
              <w:rPr>
                <w:rFonts w:ascii="Arial" w:cs="Arial" w:eastAsia="Arial" w:hAnsi="Arial"/>
                <w:sz w:val="14"/>
                <w:szCs w:val="14"/>
                <w:b w:val="1"/>
                <w:bCs w:val="1"/>
                <w:color w:val="auto"/>
              </w:rPr>
              <w:t>Neutralization Plateau (%)</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00" w:type="dxa"/>
            <w:vAlign w:val="bottom"/>
          </w:tcPr>
          <w:p>
            <w:pPr>
              <w:spacing w:after="0"/>
              <w:rPr>
                <w:sz w:val="10"/>
                <w:szCs w:val="10"/>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3"/>
              </w:rPr>
              <w:t>Victoria</w:t>
            </w:r>
          </w:p>
        </w:tc>
        <w:tc>
          <w:tcPr>
            <w:tcW w:w="50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Alpha</w:t>
            </w:r>
          </w:p>
        </w:tc>
        <w:tc>
          <w:tcPr>
            <w:tcW w:w="220" w:type="dxa"/>
            <w:vAlign w:val="bottom"/>
          </w:tcPr>
          <w:p>
            <w:pPr>
              <w:spacing w:after="0"/>
              <w:rPr>
                <w:sz w:val="10"/>
                <w:szCs w:val="10"/>
                <w:color w:val="auto"/>
              </w:rPr>
            </w:pPr>
          </w:p>
        </w:tc>
        <w:tc>
          <w:tcPr>
            <w:tcW w:w="74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Beta</w:t>
            </w:r>
          </w:p>
        </w:tc>
        <w:tc>
          <w:tcPr>
            <w:tcW w:w="76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Gamma</w:t>
            </w:r>
          </w:p>
        </w:tc>
        <w:tc>
          <w:tcPr>
            <w:tcW w:w="560" w:type="dxa"/>
            <w:vAlign w:val="bottom"/>
          </w:tcPr>
          <w:p>
            <w:pPr>
              <w:jc w:val="right"/>
              <w:ind w:right="24"/>
              <w:spacing w:after="0" w:line="119" w:lineRule="exact"/>
              <w:rPr>
                <w:sz w:val="20"/>
                <w:szCs w:val="20"/>
                <w:color w:val="auto"/>
              </w:rPr>
            </w:pPr>
            <w:r>
              <w:rPr>
                <w:rFonts w:ascii="Arial" w:cs="Arial" w:eastAsia="Arial" w:hAnsi="Arial"/>
                <w:sz w:val="13"/>
                <w:szCs w:val="13"/>
                <w:b w:val="1"/>
                <w:bCs w:val="1"/>
                <w:color w:val="auto"/>
              </w:rPr>
              <w:t>Delta</w:t>
            </w:r>
          </w:p>
        </w:tc>
        <w:tc>
          <w:tcPr>
            <w:tcW w:w="280" w:type="dxa"/>
            <w:vAlign w:val="bottom"/>
          </w:tcPr>
          <w:p>
            <w:pPr>
              <w:spacing w:after="0"/>
              <w:rPr>
                <w:sz w:val="10"/>
                <w:szCs w:val="10"/>
                <w:color w:val="auto"/>
              </w:rPr>
            </w:pP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Victoria</w:t>
            </w:r>
          </w:p>
        </w:tc>
        <w:tc>
          <w:tcPr>
            <w:tcW w:w="72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Alpha</w:t>
            </w:r>
          </w:p>
        </w:tc>
        <w:tc>
          <w:tcPr>
            <w:tcW w:w="74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Beta</w:t>
            </w:r>
          </w:p>
        </w:tc>
        <w:tc>
          <w:tcPr>
            <w:tcW w:w="8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Gamma</w:t>
            </w:r>
          </w:p>
        </w:tc>
        <w:tc>
          <w:tcPr>
            <w:tcW w:w="580" w:type="dxa"/>
            <w:vAlign w:val="bottom"/>
          </w:tcPr>
          <w:p>
            <w:pPr>
              <w:jc w:val="right"/>
              <w:ind w:right="44"/>
              <w:spacing w:after="0" w:line="119" w:lineRule="exact"/>
              <w:rPr>
                <w:sz w:val="20"/>
                <w:szCs w:val="20"/>
                <w:color w:val="auto"/>
              </w:rPr>
            </w:pPr>
            <w:r>
              <w:rPr>
                <w:rFonts w:ascii="Arial" w:cs="Arial" w:eastAsia="Arial" w:hAnsi="Arial"/>
                <w:sz w:val="13"/>
                <w:szCs w:val="13"/>
                <w:b w:val="1"/>
                <w:bCs w:val="1"/>
                <w:color w:val="auto"/>
              </w:rPr>
              <w:t>Delta</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B.1.1.7</w:t>
            </w:r>
          </w:p>
        </w:tc>
        <w:tc>
          <w:tcPr>
            <w:tcW w:w="22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B.1.351</w:t>
            </w:r>
          </w:p>
        </w:tc>
        <w:tc>
          <w:tcPr>
            <w:tcW w:w="760" w:type="dxa"/>
            <w:vAlign w:val="bottom"/>
            <w:gridSpan w:val="2"/>
          </w:tcPr>
          <w:p>
            <w:pPr>
              <w:ind w:left="160"/>
              <w:spacing w:after="0"/>
              <w:rPr>
                <w:sz w:val="20"/>
                <w:szCs w:val="20"/>
                <w:color w:val="auto"/>
              </w:rPr>
            </w:pPr>
            <w:r>
              <w:rPr>
                <w:rFonts w:ascii="Arial" w:cs="Arial" w:eastAsia="Arial" w:hAnsi="Arial"/>
                <w:sz w:val="14"/>
                <w:szCs w:val="14"/>
                <w:b w:val="1"/>
                <w:bCs w:val="1"/>
                <w:color w:val="auto"/>
              </w:rPr>
              <w:t>P.1</w:t>
            </w: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B.1.617.2</w:t>
            </w:r>
          </w:p>
        </w:tc>
        <w:tc>
          <w:tcPr>
            <w:tcW w:w="760" w:type="dxa"/>
            <w:vAlign w:val="bottom"/>
            <w:gridSpan w:val="2"/>
            <w:vMerge w:val="continue"/>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B.1.1.7</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B.1.351</w:t>
            </w: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P.1</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8"/>
              </w:rPr>
              <w:t>B.1.617.2</w:t>
            </w:r>
          </w:p>
        </w:tc>
        <w:tc>
          <w:tcPr>
            <w:tcW w:w="0" w:type="dxa"/>
            <w:vAlign w:val="bottom"/>
          </w:tcPr>
          <w:p>
            <w:pPr>
              <w:spacing w:after="0"/>
              <w:rPr>
                <w:sz w:val="1"/>
                <w:szCs w:val="1"/>
                <w:color w:val="auto"/>
              </w:rPr>
            </w:pPr>
          </w:p>
        </w:tc>
      </w:tr>
      <w:tr>
        <w:trPr>
          <w:trHeight w:val="209"/>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ADG10</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0.006</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0.010</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0.011</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0.003</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0.026</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The neutralization potency and breadth of ADG10 was further evaluated against a panel of 64 SARS-CoV-2 pseudovirus variants incorporating single or double amino acid spike substitutions or spike proteins encoding the full sets of mutations observed in emerging variants of concern and variants of interest, including the Epsilon (B.1.427/429), Iota (B.1.526) and Kappa (B.1.617.1) variants. We utilized the non-clinical and pre-clinical services program offered by the National Institute of Allergy and Infectious Disease to generate these data. Similar to ADG20, ADG10 maintained neutralization activity across all variants tested with IC</w:t>
      </w:r>
      <w:r>
        <w:rPr>
          <w:rFonts w:ascii="Arial" w:cs="Arial" w:eastAsia="Arial" w:hAnsi="Arial"/>
          <w:sz w:val="15"/>
          <w:szCs w:val="15"/>
          <w:color w:val="auto"/>
        </w:rPr>
        <w:t>50</w:t>
      </w:r>
      <w:r>
        <w:rPr>
          <w:rFonts w:ascii="Arial" w:cs="Arial" w:eastAsia="Arial" w:hAnsi="Arial"/>
          <w:sz w:val="18"/>
          <w:szCs w:val="18"/>
          <w:color w:val="auto"/>
        </w:rPr>
        <w:t xml:space="preserve"> values within approximately 0.3- to 4-fold relative to the D614G reference strain, as shown in the graphic below.</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ADG10 Displayed Neutralization Activity Against a Broad Panel of SARS-CoV-2 Variants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248920</wp:posOffset>
            </wp:positionV>
            <wp:extent cx="5186045" cy="21170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8604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40"/>
          </w:cols>
          <w:pgMar w:left="320" w:top="459"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Programs in Discovery</w:t>
      </w:r>
    </w:p>
    <w:p>
      <w:pPr>
        <w:spacing w:after="0" w:line="121"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We believe that the robust antibody discovery and development capabilities that have enabled our expedited advancement of ADG20 into clinical trials may also be used to develop therapeutic or preventative options for other respiratory viral infections, such as seasonal and pandemic influenza. Broadly neutralizing antibodies with extended half-life have the potential to be used directly for the prevention of respiratory viral infection and disease.</w:t>
      </w:r>
    </w:p>
    <w:p>
      <w:pPr>
        <w:spacing w:after="0" w:line="149"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In addition, the epitopes targeted by broadly neutralizing antibodies can be used as templates for the rational design of vaccine immunogens that elicit similar types of antibodies. In collaboration with an academic partner, we have initiated work on the design of coronavirus vaccine antigens that focus the antibody response on highly conserved epitopes defined by ADG10, ADG20 and other broadly neutralizing antibodies discovered by us and others. We have formulated a strategy to discover and engineer potent, broadly neutralizing antibodies targeting certain regions of the influenza virus surface protein, with the goal of generating product candidates with the potential to provide protection against both seasonal and pandemic influenza.</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 Strategy</w:t>
      </w:r>
    </w:p>
    <w:p>
      <w:pPr>
        <w:spacing w:after="0" w:line="121"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auto"/>
        </w:rPr>
        <w:t>We do not currently own or operate any manufacturing facilities and have invested significant resources to develop and scale up a suitable manufacturing process for ADG20 in partnership with a contract manufacturer, WuXi, with whom we have been working since our inception. With WuXi, we have developed a high yield, industry standard mAb drug substance manufacturing process suitable for large-scale manufacturing, as well as an industry standard sterile liquid drug product manufacturing process and formulation that enables IM delivery of ADG20. Currently, the ADG20 drug substance is produced using a recombinant Chinese Hamster Ovary, or CHO, commercial cell line, fed-batch suspension cell culture and a chromatography column-based purification process. ADG20 drug substance has been successfully manufactured at commercial scale and with acceptable yields in the planned launch facility at WuXi. We plan to implement the industry standard sterile liquid drug product manufacturing process in a WuXi commercial facility prior to the submission of our EUA application.</w:t>
      </w:r>
    </w:p>
    <w:p>
      <w:pPr>
        <w:spacing w:after="0" w:line="178"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We have established long-term master services agreements with WuXi, pursuant to which we purchase drug substance for both clinical and commercial supply. We may terminate the master services agreements at any time for convenience in accordance with the terms of the agreements, including fulfilling our obligation to make full payment for all committed purchases. Either party may also terminate the master services agreements with respect to an uncured breach by the other party in accordance with the terms of the agreements. The agreements include confidentiality and intellectual property provisions to protect our proprietary rights related to our product candidates. We have also established a cell license agreement with WuXi that allows for the transfer and use of the commercial cell line currently used in the manufacture of ADG20 drug substance at WuXi. This license enables cell line and manufacturing process transfer to additional contract manufacturers. We are obligated to pay WuXi royalties in the range of 0.3% to 0.5% based on our net sales of any products covered by the license, unless we use WuXi to manufacture all of our commercial supplies, and we may buy out our royalty obligations by making a one-time payment of $15.0 million to WuXi at our option. Royalties are due on a licensed product-by-licensed product basis commencing on the date of the first commercial sale of the applicable product and continue for so long as we commercialize licensed products or until we exercise our option to buy out the royalty obligations.</w:t>
      </w:r>
    </w:p>
    <w:p>
      <w:pPr>
        <w:spacing w:after="0" w:line="172"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color w:val="auto"/>
        </w:rPr>
        <w:t>While we expect to continue to devote significant resources to the process development and optimization of the manufacture of ADG20 and its scale up, we believe the manufacturing processes for mAbs such as ADG20 are well established and should not create meaningful impediments to either clinical development or commercial launch. However, within the context of the global pandemic, sufficient capacity for commercial scale manufacturing has been constrained on a worldwide basis. We continue to identify additional drug substance and drug product contract manufacturers to ensure that we will have sufficient capacity as well as redundancy within our supply chain to avoid product shortages in the future. We are actively pursuing a second source contract manufacturer to add capacity and redundancy and to meet anticipated demand, if ADG20 is authorized or approved. While any reduction or halt in the supply of drug substance or drug product could limit our ability to</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40"/>
          </w:cols>
          <w:pgMar w:left="32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develop our product candidates until a replacement contract manufacturer is found and qualified, we believe that we have sufficient clinical supply of ADG20 to support our current and planned clinical trials and to fulfill our initial commercial launch needs upon either receipt of an EUA or BLA approval. We will also continue to apply mitigation strategies to ensure minimal disruption to our manufacturing supply due to global raw material supply chain shortages.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Relationship with Adimab</w:t>
      </w:r>
    </w:p>
    <w:p>
      <w:pPr>
        <w:spacing w:after="0" w:line="121"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We were founded in June 2020 by Adimab to focus initially on the development of antibodies for both the treatment and prevention of COVID-19. Adimab is a leading provider of antibody discovery, engineering and optimization services and has established an extensive presence in the drug discovery industry. Since its founding in 2007, Adimab has partnered with over 80 pharmaceutical and biotechnology companies, including Biogen, GlaxoSmithKline, Merck, Regeneron and Takeda, and the Adimab platform has been used in more than 385 antibody discovery and optimization programs, more than 40 of which have advanced into clinical trials, including five programs in pivotal clinical trials. Five percent of all antibodies that entered clinical trials in 2020 originated from Adimab technology. Adimab has extensive domain expertise in B-cell immunology, and its prior discovery initiatives include targeting viral infections such as Ebola, Zika, RSV, hantavirus and yellow fever. We are leveraging this expertise to expedite our discovery and development activities and anticipate continued interaction with Adimab related to antibody discovery services.</w:t>
      </w:r>
    </w:p>
    <w:p>
      <w:pPr>
        <w:spacing w:after="0" w:line="165"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We are party to an assignment and license agreement with Adimab under which Adimab assigned to us its rights to all existing coronavirus antibodies controlled by it and their derivatives, including ADG20. See “—Licensing, Collaborations and Partnerships—Assignment and License Agreement with Adimab.” In addition, in May 2021, we entered into a funded discovery agreement with Adimab focused on discovery efforts for new antibodies that may be effective against other coronaviruses and influenza, both of which have the potential to cause pandemics. In the event that Adimab discovers an antibody that is expected to meet certain product profiles developed by Adagio, Adagio will have the exclusive option to require Adimab to assign us its rights in any such antibody and to grant us certain licenses. See “—Licensing, Collaborations and Partnerships—Collaboration Agreement with Adimab.”</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Licensing, Collaborations and Partnerships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Assignment and License Agreement with Adimab</w:t>
      </w:r>
    </w:p>
    <w:p>
      <w:pPr>
        <w:spacing w:after="0" w:line="117"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In July 2020, we entered into an assignment and license agreement with Adimab, or the Adimab Assignment Agreement, with respect to discovery and optimization of coronavirus-specific antibodies, including COVID-19 and SARS. Under the Adimab Assignment Agreement, Adimab assigned to us its rights to all existing coronavirus antibodies controlled by it and their derivatives, patents claiming such antibodies, know-how related to such antibodies, and biological and chemical materials specifically related to such antibodies. Adimab also granted us a non-exclusive, worldwide, royalty-bearing, sublicensable license to certain of its antibody discovery and optimization platform technology to research, develop, make, use, and sell coronavirus antibodies and products containing or comprising coronavirus antibodies, provided that we may not use such licensed rights to discover or optimize antibodies. Adimab cannot grant any third party any license or right under any patent claiming our coronavirus antibodies and cannot deliver our coronavirus antibodies to third parties; however, we have limited recourse in the event of accidental disclosures.</w:t>
      </w:r>
    </w:p>
    <w:p>
      <w:pPr>
        <w:spacing w:after="0" w:line="16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are obligated to use commercially reasonable efforts to achieve specified development and regulatory milestones for products in certain major markets and to commercialize a product in any country in which we obtain marketing approval. We are obligated to pay Adimab quarterly for its services performed under the agreement at a specified full-time equivalent rate.</w:t>
      </w:r>
    </w:p>
    <w:p>
      <w:pPr>
        <w:spacing w:after="0" w:line="18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July 2020, in consideration for the rights assigned and license conveyed under the Adimab Assignment Agreement, we issued 5,000,000 shares of our Series A preferred stock, then having a fair value of $40.0 million,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40"/>
          </w:cols>
          <w:pgMar w:left="32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84" w:lineRule="auto"/>
        <w:rPr>
          <w:sz w:val="20"/>
          <w:szCs w:val="20"/>
          <w:color w:val="auto"/>
        </w:rPr>
      </w:pPr>
      <w:r>
        <w:rPr>
          <w:rFonts w:ascii="Arial" w:cs="Arial" w:eastAsia="Arial" w:hAnsi="Arial"/>
          <w:sz w:val="16"/>
          <w:szCs w:val="16"/>
          <w:color w:val="auto"/>
        </w:rPr>
        <w:t>to Adimab. In addition, under the Adimab Assignment Agreement, we are obligated to pay Adimab up to $24.6 million upon the achievement of specified development and regulatory milestones for the first two products that comprise or contain coronavirus antibodies assigned to us, antibodies discovered or optimized under the Adimab Assignment Agreement, or any derivative of such antibody, or the Products. Through August 2, 2021, we had made aggregate milestone payments of $3.5 million to Adimab under the Adimab Assignment Agreement. We are also obligated to pay Adimab royalties of a mid single-digit percentage based on annual aggregate worldwide net sales of any Products, subject to reductions for third-party licenses, biosimilar competition, compulsory licensing and a royalty floor. The royalty term expires for each Product on a country-by-country basis beginning upon the first commercial sale of each Product and ending on the later of (i) 12 years after the first commercial sale of such Product in such country and</w:t>
      </w:r>
    </w:p>
    <w:p>
      <w:pPr>
        <w:spacing w:after="0" w:line="2" w:lineRule="exact"/>
        <w:rPr>
          <w:sz w:val="20"/>
          <w:szCs w:val="20"/>
          <w:color w:val="auto"/>
        </w:rPr>
      </w:pPr>
    </w:p>
    <w:p>
      <w:pPr>
        <w:jc w:val="both"/>
        <w:ind w:left="120" w:hanging="4"/>
        <w:spacing w:after="0" w:line="255" w:lineRule="auto"/>
        <w:tabs>
          <w:tab w:leader="none" w:pos="393"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expiration of the last valid claim of any patent in such country that was assigned to us under the Adimab Assignment Agreement or that claims priority to any such patent. If we commercialize any products as a diagnostic device (other than a companion diagnostic device) or as a research reagent, we must negotiate reasonable financial terms for such products.</w:t>
      </w:r>
    </w:p>
    <w:p>
      <w:pPr>
        <w:spacing w:after="0" w:line="190" w:lineRule="exact"/>
        <w:rPr>
          <w:sz w:val="20"/>
          <w:szCs w:val="20"/>
          <w:color w:val="auto"/>
        </w:rPr>
      </w:pPr>
    </w:p>
    <w:p>
      <w:pPr>
        <w:jc w:val="both"/>
        <w:ind w:left="120" w:right="20" w:firstLine="440"/>
        <w:spacing w:after="0" w:line="290" w:lineRule="auto"/>
        <w:rPr>
          <w:sz w:val="20"/>
          <w:szCs w:val="20"/>
          <w:color w:val="auto"/>
        </w:rPr>
      </w:pPr>
      <w:r>
        <w:rPr>
          <w:rFonts w:ascii="Arial" w:cs="Arial" w:eastAsia="Arial" w:hAnsi="Arial"/>
          <w:sz w:val="16"/>
          <w:szCs w:val="16"/>
          <w:color w:val="auto"/>
        </w:rPr>
        <w:t>The Adimab Assignment Agreement will expire, unless earlier terminated, on the expiration of the last-to-expire royalty term. We have the right to terminate the Adimab Assignment Agreement at any time upon advance written notice to Adimab. In addition, subject to certain conditions, either we or Adimab may terminate the Adimab Assignment Agreement if the other party commits a material breach of the agreement and fails to cure such breach within a specified cure period after written notice is provided, except that after the initiation of the first clinical trial of a Product, Adimab may only terminate the agreement if we materially breach, and do not cure, our diligence obligation or a payment obligation. Upon expiration of the Adimab Assignment Agreement, the license becomes royalty-free, irrevocable and perpetual. Upon termination of the Adimab Assignment Agreement, all licenses and rights granted by either party will terminate and, in the case of our termination for convenience or Adimab’s termination for our material breach, we are required to assign to Adimab all right, title and interest to the patents assigned by Adimab to us or that claim priority to such patents.</w:t>
      </w:r>
    </w:p>
    <w:p>
      <w:pPr>
        <w:spacing w:after="0" w:line="16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Through August 2, 2021, we had made aggregate payments of $4.5 million to Adimab under the Adimab Assignment Agreement, inclusive of the milestone payments.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Collaboration Agreement with Adimab</w:t>
      </w:r>
    </w:p>
    <w:p>
      <w:pPr>
        <w:spacing w:after="0" w:line="117"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In May 2021, we entered into a collaboration agreement with Adimab, or the Adimab Collaboration Agreement, for the discovery and optimization of proprietary antibodies as potential therapeutic product candidates. Under the Adimab Collaboration Agreement, we and Adimab will collaborate on research programs for a specified number of targets selected by us within a specified time period. If Adimab is unable to generate antibodies directed against a target selected by us, then we may replace such target. Under the Adimab Collaboration Agreement, Adimab granted us a worldwide, non-exclusive license to certain of Adimab’s platform patents and technology and antibody patents to perform our responsibilities during the ongoing research period and for a specified evaluation period thereafter, or the Evaluation Term. We granted Adimab a non-exclusive, non-sublicensable license to certain of our patents and intellectual property solely to perform Adimab’s responsibilities under the research plans. Under the agreement, we have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exercise of an option, Adimab will assign to us all right, title and interest in the antibodies of the optioned research program and will grant us a worldwide, royalty-free, fully paid-up, non-exclusive, sublicensable license under the Adimab platform technology to research, develop, make, use, and sell the antibodies for which we have exercised our options and products containing or comprising those antibodies.</w:t>
      </w:r>
    </w:p>
    <w:p>
      <w:pPr>
        <w:spacing w:after="0" w:line="168"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Under the Adimab Collaboration Agreement, we are obligated to use commercially reasonable efforts to develop, seek marketing approval for, and commercialize one product that contains an antibody discovered in each research program for which we exercise our option to obtain licenses and assignments.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40"/>
          </w:cols>
          <w:pgMar w:left="32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We are obligated to pay Adimab a quarterly fee of $1.3 million, which obligation may be cancelled at our option at any time. For so long as we are paying such quarterly fee (or earlier (i) if we experience a change of control after the third anniversary of the Adimab Collaboration Agreement or</w:t>
      </w:r>
    </w:p>
    <w:p>
      <w:pPr>
        <w:jc w:val="both"/>
        <w:ind w:left="120" w:right="20" w:hanging="4"/>
        <w:spacing w:after="0" w:line="252" w:lineRule="auto"/>
        <w:tabs>
          <w:tab w:leader="none" w:pos="39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Adimab owns less than a specified percentage of our equity), Adimab and its affiliates will not assist or direct certain third parties to discover or optimize antibodies that are intended to bind to coronaviruses or influenza viruses. We may also elect to decrease the scope of Adimab’s exclusivity obligations and obtain a corresponding decrease in the quarterly fee. For each agreed upon research program that is commenced, we are obligated to pay Adimab quarterly for its services performed during a given research program at a specified full-time equivalent rate; a discovery delivery fee of $0.2 million; and an optimization completion fee of $0.2 million. For each option exercised by us to commercialize a specific research program, we are obligated to pay Adimab an exercise fee of $1.0 million.</w:t>
      </w:r>
    </w:p>
    <w:p>
      <w:pPr>
        <w:spacing w:after="0" w:line="194"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We are obligated to pay Adimab up to $18.0 million upon the achievement of specified development and regulatory milestones for each product under the agreement that achieves such milestones. We are also obligated to pay Adimab royalties of a mid single-digit percentage based on annual aggregate worldwide net sales of products, subject to reductions for third-party licenses. The royalty term will expire for each product on a country-by-country basis 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spacing w:after="0" w:line="192"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In addition, we are obligated to pay Adimab for Adimab’s performance of certain validation work with respect to certain antigens acquired from a third party. In consideration for this work, we are obligated to pay Adimab royalties of a low single-digit percentage based on annual aggregate worldwide net sales of products that contain such antigens for the same royalty term as antibody-based products, but we are not obligated to make any milestone payments for such antigen products.</w:t>
      </w:r>
    </w:p>
    <w:p>
      <w:pPr>
        <w:spacing w:after="0" w:line="187"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The Adimab Collaboration Agreement will expire (i) if we do not exercise any option, upon the conclusion of the last Evaluation Term for the research programs, or (ii) if we exercise an option, on the expiration of the last royalty term for a product in a particular country, unless the agreement is earlier terminated. We may terminate the Adimab Collaboration Agreement at any time upon advance written notice to Adimab. In addition, subject to certain conditions, either party may terminate the Adimab Collaboration Agreement in the event of a material breach by the other party that is not cured within specified cure periods. Following termination, we are prohibited from (i) researching, developing, manufacturing or commercializing, any products containing antibodies discovered under the agreement, (ii) practicing, licensing, assigning, granting options to, or otherwise covenanting away rights to the foregoing products, and (iii) licensing or otherwise granting covenants not to sue third parties for the foregoing products.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Through August 2, 2021, we had made no payments to Adimab under the Adimab Collaboration Agreement.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Cell Line License Agreement with WuXi</w:t>
      </w:r>
    </w:p>
    <w:p>
      <w:pPr>
        <w:spacing w:after="0" w:line="117"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We are also party to a Cell Line License Agreement with WuXi, entered into as of December 2, 2020. See “Management’s Discussion and Analysis of Financial Condition and Results of Operations—Contractual Obligations and Commitments” and “—Manufacturing Strategy.”</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License Agreement with Biocon Biologics Limited</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In July 2021, we entered into a license agreement with Biocon to combat the ongoing COVID-19 crisis in southern Asia. Under the license agreement, we granted Biocon exclusive rights to manufacture and commercialize an antibody treatment in India and additional select emerging markets based on the commercial process developed for ADG20. As part of the agreement, Biocon will be granted access to the data from our ongoing Phase 2/3 ADG20 clinical trials and access to our anticipated EUA package, as well as regulatory submissions, to support approval or emergency authorization in India and other select emerging markets.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40"/>
          </w:cols>
          <w:pgMar w:left="32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The biotechnology and pharmaceutical industry is characterized by the rapid evolution of technologies and understanding of disease etiology, intense competition and a strong emphasis on intellectual property. We believe that our approach, strategy, scientific, development and manufacturing capabilities, know-how, partnerships and experience provide us with competitive advantages. However, we expect substantial competition from multiple sources, including major pharmaceutical, specialty pharmaceutical and existing or emerging biotechnology companies, academic research institutions, governmental agencies and public and private research institutions worldwide. Many of our competitors, either alone or through collaborations, have significantly greater financial resources and expertise in research and development, preclinical testing, conducting clinical trials, manufacturing, obtaining regulatory approvals and marketing approved products than we do. Smaller or early-stage companies may also prove to be significant competitors, particularly through collaborative arrangements with large and established companies. These entities also compete with us in recruiting and retaining qualified scientific, clinical, manufacturing and management personnel, establishing clinical trial sites and enrolling patient in clinical trials, as well as in acquiring technologies complementary to, or necessary for, our programs. As a result, our competitors may discover, develop, license or commercialize products before or more successfully than we do.</w:t>
      </w:r>
    </w:p>
    <w:p>
      <w:pPr>
        <w:spacing w:after="0" w:line="182"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We face competition from segments of the pharmaceutical, biotechnology and other related markets that pursue the development of antibody and small molecule antivirals targeting COVID-19. Companies that have authorized or late-stage COVID-19 antibody-based programs include AstraZeneca plc, Brii Biosciences Limited, Celltrion Healthcare Co, Ltd., Eli Lilly and Co, Regeneron Pharmaceuticals, Inc., SAb Biotherapeutics, Inc. and Vir Biotechnology, Inc. in collaboration with GlaxoSmithKline. In addition, we may face competition from many established pharmaceutical companies focused on developing oral antivirals for the treatment of COVID-19. Beyond antibody and small molecule antiviral treatments, we also face competition from SARS-CoV-2 vaccines that are either available under EUA, approved or in development for the prevention of COVID-19.</w:t>
      </w:r>
    </w:p>
    <w:p>
      <w:pPr>
        <w:spacing w:after="0" w:line="164"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We could see a reduction or elimination in our commercial opportunity if our competitors develop and commercialize drugs that are safer, better tolerated, more effective, more convenient to administer, less expensive, more resistant to viral escape, or receive a more favorable label than our product candidates. Some of our competitors have already obtained EUAs from the FDA for the treatment of mild to moderate COVID-19 in high risk patients, and others in the future may obtain FDA or other regulatory approval or authorization more rapidly than we may, which could result in our competitors establishing a strong market position before we are able to enter the market. The key competitive factors affecting the success of our product candidates, if approved, are likely to be their efficacy, safety, convenience, price and the availability of reimbursement from government and other third-party payors.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auto"/>
        </w:rPr>
        <w:t>Our commercial success depends in part on our ability to obtain and maintain patent and other proprietary protection for commercially important technology, inventions, improvements and know-how related to our business; defend and enforce our patents and other intellectual property; preserve the confidentiality of our trade secrets; and operate without infringing, misappropriating or otherwise violating the valid enforceable patents and proprietary rights of third parties. Our ability to stop third parties from making, using, selling, offering to sell or importing our products may depend on the extent to which we have rights under valid and enforceable patents or trade secrets that cover these activities.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40"/>
          </w:cols>
          <w:pgMar w:left="32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any patents that may be granted to us in the future will be commercially useful in protecting our commercial products and methods of manufacturing the same. Although we own a number of pending patent applications that have not yet issued as patents, we do not own or license any issued patents with claims directed to our product candidates, including ADG20, and we may not be successful in prosecuting our filed patent applications or obtaining patent protection for our product candidates. Our pending PCT patent applications are not eligible to become issued patents until, among other things, we file a national stage patent application within 30 months in the countries in which we seek patent protection. Furthermore, our pending U.S. provisional patent applications are not eligible to become issued patents until, among other things, we file a non-provisional U.S. patent application within one year of filing of the U.S. provisional patent application with the USPTO. If we do not timely file any national stage patent applications or non-provisional U.S. patent applications, we may lose our priority date with respect to our PCT and provisional U.S. patent applications and any patent protection on the inventions disclosed in such patent applications. See “Risk Factors—Risks Related to Our Intellectual Property.”</w:t>
      </w:r>
    </w:p>
    <w:p>
      <w:pPr>
        <w:spacing w:after="0" w:line="166"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color w:val="auto"/>
        </w:rPr>
        <w:t>We actively seek to protect our proprietary technology, inventions and other intellectual property that is commercially important to the development of our business by a variety of means, such as seeking, maintaining, and defending patent rights, whether developed internally or licensed from third parties. We also may rely on trade secrets and know-how relating to our proprietary technology platform, on continuing technological innovation and on in-licensing opportunities to develop, strengthen and maintain the strength of our position in the field of cell therapy that may be important for the development of our business. We also intend to seek patent protection or rely upon trade secret rights to protect other technologies that may be used to discover and validate targets, as well as to manufacture and develop novel cell therapy products. Additional regulatory protection may also be afforded through data exclusivity, market exclusivity and patent term extensions where available.</w:t>
      </w:r>
    </w:p>
    <w:p>
      <w:pPr>
        <w:spacing w:after="0" w:line="17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file patent applications directed to compositions comprising our antibodies, classes of antibodies covering our product candidates, use of such antibodies for preventing and treating disease, diagnostic methods, pharmaceutical compositions, combination therapies, and methods of manufacturing. We continue to review new inventions for patent filings.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ADG20 and ADG10</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As of August 2, 2021, we own one patent family for which we have filed one PCT patent application, one U.S. non-provisional patent application and two foreign patent applications in Argentina and Taiwan. This patent family is directed to broadly neutralizing anti-coronavirus antibodies, including ADG20 and ADG10, and uses thereof. These patent applications and any additional U.S. non-provisional patent applications or foreign patent applications timely filed based upon such applications, if issued, are expected to expire in 2041, without taking into account any possible patent term adjustment or extension.</w:t>
      </w:r>
    </w:p>
    <w:p>
      <w:pPr>
        <w:spacing w:after="0" w:line="188"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As of August 2, 2021, we own two additional patent families for which we have filed provisional U.S. patent applications. The first patent family is directed to methods of treating and preventing disease based on data obtained from ADG20 clinical trials and includes four U.S. provisional patent applications. The second patent family is directed to additional broadly neutralizing anti-coronavirus antibodies, combination therapies, and uses thereof and includes four U.S. provisional patent applications. Any U.S. non-provisional patent applications timely filed based upon these U.S. provisional patent applications, if issued, are expected to expire in 2042, without taking into account any possible patent term adjustment or extension.</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Trade Secrets and Proprietary Information</w:t>
      </w:r>
    </w:p>
    <w:p>
      <w:pPr>
        <w:spacing w:after="0" w:line="11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We also rely, in some circumstances, on trade secrets to protect our technology, including our proprietary scientific, business and technical information and know-how that is not or may not be patentable or that we elect not to patent. We seek to protect our proprietary information, data and processes, in part, by confidentiality agreements and invention assignment agreements with our employees, consultants, scientific advisors, contractors and partners. Although these agreements are designed to protect our proprietary information, we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40"/>
          </w:cols>
          <w:pgMar w:left="32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cannot be certain that our trade secrets and other confidential proprietary information will not be disclosed or that competitors will not otherwise gain access to our trade secrets or independently develop substantially equivalent information and techniques. Although we generally require all of our employees to assign their inventions to us, and require all of our employees, consultants, advisors and any third parties who have access to our proprietary know-how, information or technology to enter into confidentiality agreements, we cannot provide any assurances that all such agreements have been duly executed with all third parties who may have helped to develop our intellectual property or who had access to our proprietary information, or that our agreements will not be breached. For more information regarding the risks related to our intellectual property, see “Risk Factors —Risks Related to Our Intellectual Property.”</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In the United States, biologic products are licensed by the FDA for marketing under the Public Health Service Act, or the PHS Act, and regulated under the Federal Food, Drug, and Cosmetic Act, or the FDCA. Both the FDCA and the PHS Act and their corresponding regulations govern, among other things, the testing, manufacturing, safety, purity, potency, efficacy, labeling, packaging, storage, record keeping, distribution, marketing, sales, import, export, reporting, advertising and other promotional practices involving biologic products. FDA clearance must be obtained before clinical testing of biologic products. FDA licensure also must be obtained before marketing of biologic products. The process of obtaining regulatory approvals and the subsequent compliance with appropriate federal, state, local and foreign statutes and regulations require the expenditure of substantial time and financial resources.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 Development Process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process required by the FDA before a biologic product may be marketed in the United States generally involves the following:</w:t>
      </w:r>
    </w:p>
    <w:p>
      <w:pPr>
        <w:spacing w:after="0" w:line="131" w:lineRule="exact"/>
        <w:rPr>
          <w:sz w:val="20"/>
          <w:szCs w:val="20"/>
          <w:color w:val="auto"/>
        </w:rPr>
      </w:pPr>
    </w:p>
    <w:p>
      <w:pPr>
        <w:ind w:left="1080" w:right="20" w:hanging="532"/>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completion of nonclinical laboratory tests and animal studies according to Good Laboratory Practices, or GLPs, and applicable requirements for the humane use of laboratory animals or other applicable regulations;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preparation of clinical trial material in accordance with Good Manufacturing Practices, or GMPs;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submission to the FDA of an application for an Investigational New Drug Application, or IND, which must become effective before human clinical trials may begin;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approval by an institutional review board, or IRB, reviewing each clinical site before each clinical trial may be initiated;</w:t>
      </w:r>
    </w:p>
    <w:p>
      <w:pPr>
        <w:spacing w:after="0" w:line="130"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according to Good Clinical Practices, or GCPs, and any additional requirements for the protection of human research subjects and their health information to establish the safety, purity, potency and efficacy of the proposed biologic product for its intended use;</w:t>
      </w:r>
    </w:p>
    <w:p>
      <w:pPr>
        <w:spacing w:after="0" w:line="89"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submission to the FDA of a BLA for marketing approval that includes substantive evidence of safety, purity, potency, and efficacy from results of nonclinical testing and clinical trials;</w:t>
      </w:r>
    </w:p>
    <w:p>
      <w:pPr>
        <w:spacing w:after="0" w:line="75"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satisfactory completion of an FDA inspection prior to BLA approval of the manufacturing facility or facilities where the biologic product is produced to assess compliance with GMPs to assure that the facilities, methods and controls are adequate to preserve the biologic’s identity, strength, quality and purity;</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potential FDA audit of the nonclinical and clinical study sites that generated the data in support of the BLA;</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potential FDA Advisory Committee meeting to elicit expert input on critical issues, including a vote by external committee members;</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40"/>
          </w:cols>
          <w:pgMar w:left="32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FDA review and approval, or licensure, of the BLA and payment of associated user fees, when applicable; and</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or REMS, and the potential requirement to conduct post-approval studies.</w:t>
      </w:r>
    </w:p>
    <w:p>
      <w:pPr>
        <w:spacing w:after="0" w:line="170"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Before testing any biologic product candidate in humans, the product candidate enters the preclinical testing stage. Nonclinical tests include laboratory evaluations of product chemistry, pharmacology, toxicity and formulation, as well as animal studies to assess the potential safety and activity of the product candidate. The conduct of the nonclinical tests must comply with federal regulations and requirements, including GLPs.</w:t>
      </w:r>
    </w:p>
    <w:p>
      <w:pPr>
        <w:spacing w:after="0" w:line="165" w:lineRule="exact"/>
        <w:rPr>
          <w:sz w:val="20"/>
          <w:szCs w:val="20"/>
          <w:color w:val="auto"/>
        </w:rPr>
      </w:pPr>
    </w:p>
    <w:p>
      <w:pPr>
        <w:jc w:val="both"/>
        <w:ind w:left="120" w:right="20" w:firstLine="440"/>
        <w:spacing w:after="0" w:line="253" w:lineRule="auto"/>
        <w:rPr>
          <w:sz w:val="20"/>
          <w:szCs w:val="20"/>
          <w:color w:val="auto"/>
        </w:rPr>
      </w:pPr>
      <w:r>
        <w:rPr>
          <w:rFonts w:ascii="Arial" w:cs="Arial" w:eastAsia="Arial" w:hAnsi="Arial"/>
          <w:sz w:val="18"/>
          <w:szCs w:val="18"/>
          <w:color w:val="auto"/>
        </w:rPr>
        <w:t>The clinical study sponsor must submit the results of the nonclinical tests, together with manufacturing information, analytical data, any available clinical data or literature and a proposed clinical protocol, to the FDA as part of the IND. Some nonclinical testing typically continues after the IND is submitted. An IND is an exemption from the FDCA that allows an unapproved product to be shipped in interstate commerce for use in an investigational clinical trial and a request for FDA authorization to administer an investigational product to humans. The IND automatically becomes effective 30 days after receipt by the FDA, unless the FDA requests certain changes to a protocol before the trial can begin or places the clinical trial on hold within that 30-day time period. In such a case, the IND sponsor and the FDA must resolve any outstanding concerns before the clinical trial can begin. The FDA may also impose clinical holds on a biologic product candidate at any time before or during clinical trials due to safety concerns or non-compliance. If the FDA imposes a clinical hold, trials may not recommence without FDA authorization and then only under terms authorized by the FDA.</w:t>
      </w:r>
    </w:p>
    <w:p>
      <w:pPr>
        <w:spacing w:after="0" w:line="196"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Clinical trials may involve the administration of the biologic product candidate to healthy volunteers or subjects under the supervision of qualified investigators, generally physicians not employed by or under the study sponsor’s control. Clinical trials involving some products for certain diseases may begin with testing in patients with the disease.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subjects or his or her legal representative provide informed consent. Further, each clinical trial must be reviewed and approved by an independent IRB at or servicing each institution at which the clinical trial will be conducted. IRBs are charged with protecting the welfare and rights of study participants and consider such items as whether the risks to individuals participating in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Additionally, some trials are overseen by an independent group of qualified experts organized by the trial sponsor, known as a data safety monitoring board or committee.</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31" w:lineRule="exact"/>
        <w:rPr>
          <w:sz w:val="20"/>
          <w:szCs w:val="20"/>
          <w:color w:val="auto"/>
        </w:rPr>
      </w:pPr>
    </w:p>
    <w:p>
      <w:pPr>
        <w:ind w:left="540" w:right="20" w:hanging="424"/>
        <w:spacing w:after="0" w:line="277" w:lineRule="auto"/>
        <w:tabs>
          <w:tab w:leader="none" w:pos="540" w:val="left"/>
        </w:tabs>
        <w:numPr>
          <w:ilvl w:val="0"/>
          <w:numId w:val="96"/>
        </w:numPr>
        <w:rPr>
          <w:rFonts w:ascii="Arial" w:cs="Arial" w:eastAsia="Arial" w:hAnsi="Arial"/>
          <w:sz w:val="18"/>
          <w:szCs w:val="18"/>
          <w:color w:val="auto"/>
        </w:rPr>
      </w:pPr>
      <w:r>
        <w:rPr>
          <w:rFonts w:ascii="Arial" w:cs="Arial" w:eastAsia="Arial" w:hAnsi="Arial"/>
          <w:sz w:val="18"/>
          <w:szCs w:val="18"/>
          <w:b w:val="1"/>
          <w:bCs w:val="1"/>
          <w:i w:val="1"/>
          <w:iCs w:val="1"/>
          <w:color w:val="auto"/>
        </w:rPr>
        <w:t>Phase 1</w:t>
      </w:r>
      <w:r>
        <w:rPr>
          <w:rFonts w:ascii="Arial" w:cs="Arial" w:eastAsia="Arial" w:hAnsi="Arial"/>
          <w:sz w:val="18"/>
          <w:szCs w:val="18"/>
          <w:color w:val="auto"/>
        </w:rPr>
        <w:t>. The biologic product is initially introduced into healthy human subjects and tested for safety. In the case of some biologic products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rare diseases, the initial human testing is often conducted in patients.</w:t>
      </w:r>
    </w:p>
    <w:p>
      <w:pPr>
        <w:spacing w:after="0" w:line="75" w:lineRule="exact"/>
        <w:rPr>
          <w:rFonts w:ascii="Arial" w:cs="Arial" w:eastAsia="Arial" w:hAnsi="Arial"/>
          <w:sz w:val="18"/>
          <w:szCs w:val="18"/>
          <w:color w:val="auto"/>
        </w:rPr>
      </w:pPr>
    </w:p>
    <w:p>
      <w:pPr>
        <w:jc w:val="both"/>
        <w:ind w:left="540" w:right="20" w:hanging="424"/>
        <w:spacing w:after="0" w:line="342" w:lineRule="auto"/>
        <w:tabs>
          <w:tab w:leader="none" w:pos="540" w:val="left"/>
        </w:tabs>
        <w:numPr>
          <w:ilvl w:val="0"/>
          <w:numId w:val="96"/>
        </w:numPr>
        <w:rPr>
          <w:rFonts w:ascii="Arial" w:cs="Arial" w:eastAsia="Arial" w:hAnsi="Arial"/>
          <w:sz w:val="16"/>
          <w:szCs w:val="16"/>
          <w:color w:val="auto"/>
        </w:rPr>
      </w:pPr>
      <w:r>
        <w:rPr>
          <w:rFonts w:ascii="Arial" w:cs="Arial" w:eastAsia="Arial" w:hAnsi="Arial"/>
          <w:sz w:val="16"/>
          <w:szCs w:val="16"/>
          <w:b w:val="1"/>
          <w:bCs w:val="1"/>
          <w:i w:val="1"/>
          <w:iCs w:val="1"/>
          <w:color w:val="auto"/>
        </w:rPr>
        <w:t>Phase 2</w:t>
      </w:r>
      <w:r>
        <w:rPr>
          <w:rFonts w:ascii="Arial" w:cs="Arial" w:eastAsia="Arial" w:hAnsi="Arial"/>
          <w:sz w:val="16"/>
          <w:szCs w:val="16"/>
          <w:color w:val="auto"/>
        </w:rPr>
        <w:t>. The biologic product is evaluated in a limited patient population to identify possible adverse effects and safety risks, to preliminarily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evaluate the efficacy of the biologic product for specific targeted diseases and to determine dosage tolerance, optimal dosage and dosing schedule.</w:t>
      </w:r>
    </w:p>
    <w:p>
      <w:pPr>
        <w:spacing w:after="0" w:line="29" w:lineRule="exact"/>
        <w:rPr>
          <w:rFonts w:ascii="Arial" w:cs="Arial" w:eastAsia="Arial" w:hAnsi="Arial"/>
          <w:sz w:val="16"/>
          <w:szCs w:val="16"/>
          <w:color w:val="auto"/>
        </w:rPr>
      </w:pPr>
    </w:p>
    <w:p>
      <w:pPr>
        <w:jc w:val="both"/>
        <w:ind w:left="540" w:right="20" w:hanging="424"/>
        <w:spacing w:after="0" w:line="263" w:lineRule="auto"/>
        <w:tabs>
          <w:tab w:leader="none" w:pos="540" w:val="left"/>
        </w:tabs>
        <w:numPr>
          <w:ilvl w:val="0"/>
          <w:numId w:val="96"/>
        </w:numPr>
        <w:rPr>
          <w:rFonts w:ascii="Arial" w:cs="Arial" w:eastAsia="Arial" w:hAnsi="Arial"/>
          <w:sz w:val="18"/>
          <w:szCs w:val="18"/>
          <w:color w:val="auto"/>
        </w:rPr>
      </w:pPr>
      <w:r>
        <w:rPr>
          <w:rFonts w:ascii="Arial" w:cs="Arial" w:eastAsia="Arial" w:hAnsi="Arial"/>
          <w:sz w:val="18"/>
          <w:szCs w:val="18"/>
          <w:b w:val="1"/>
          <w:bCs w:val="1"/>
          <w:i w:val="1"/>
          <w:iCs w:val="1"/>
          <w:color w:val="auto"/>
        </w:rPr>
        <w:t>Phase 3</w:t>
      </w:r>
      <w:r>
        <w:rPr>
          <w:rFonts w:ascii="Arial" w:cs="Arial" w:eastAsia="Arial" w:hAnsi="Arial"/>
          <w:sz w:val="18"/>
          <w:szCs w:val="18"/>
          <w:color w:val="auto"/>
        </w:rPr>
        <w:t>. Clinical trials are undertaken to further evaluate dosage, clinical efficacy, potency and safety in an expanded patient population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geographically dispersed clinical trial sites. These clinical trials are intended to establish the overall risk/benefit ratio of the biologic product and provide an adequate basis for product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40"/>
          </w:cols>
          <w:pgMar w:left="32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77" w:lineRule="auto"/>
        <w:rPr>
          <w:sz w:val="20"/>
          <w:szCs w:val="20"/>
          <w:color w:val="auto"/>
        </w:rPr>
      </w:pPr>
      <w:r>
        <w:rPr>
          <w:rFonts w:ascii="Arial" w:cs="Arial" w:eastAsia="Arial" w:hAnsi="Arial"/>
          <w:sz w:val="18"/>
          <w:szCs w:val="18"/>
          <w:color w:val="auto"/>
        </w:rPr>
        <w:t>labeling. In biologics for rare diseases where patient populations are small and there is an urgent need for treatment, Phase 3 trials might not be required if an adequate risk/benefit can be demonstrated from the Phase 2 trial.</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w:t>
      </w:r>
    </w:p>
    <w:p>
      <w:pPr>
        <w:spacing w:after="0" w:line="184"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 xml:space="preserve">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 has been associated with unexpected serious harm to patients.</w:t>
      </w:r>
    </w:p>
    <w:p>
      <w:pPr>
        <w:spacing w:after="0" w:line="182"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Concurrent with clinical trials, companies usually complete additional animal studies and must also develop additional information about the physical characteristics of the biologic as well as finalize a process for manufacturing the product in commercial quantities in accordance with GMP requirements. To help reduce the risk of the introduction of adventitious agents with the use of biologics, the PHS Act emphasizes the importance of manufacturing control for biologic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66"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There are also various laws and regulations regarding laboratory practices, the experimental use of animals and the use and disposal of hazardous or potentially hazardous substances in connection with the research. In each of these areas, the FDA and other regulatory authorities have broad regulatory and enforcement powers, including the ability to levy fines and civil penalties, suspend or delay issuance of approvals, seize or recall products and withdraw approvals.</w:t>
      </w:r>
    </w:p>
    <w:p>
      <w:pPr>
        <w:spacing w:after="0" w:line="18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Information about certain clinical trials must be submitted within specific timeframes to the NIH for public dissemination on its clinicaltrials.gov website. Sponsors or distributors of investigational products for the diagnosis, monitoring or treatment of one or more serious diseases or conditions must also have a publicly available policy on evaluating and responding to requests for expanded access requests.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 Review and Approval Processes</w:t>
      </w:r>
    </w:p>
    <w:p>
      <w:pPr>
        <w:spacing w:after="0" w:line="117"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After the completion of clinical trials of a biological product, FDA approval of a BLA must be obtained before commercial marketing of the product. The BLA must include results of product development, laboratory and animal studies, human studies, information on the manufacture and composition of the product, proposed labeling and other relevant information. The testing and approval processes require substantial time and effort,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40"/>
          </w:cols>
          <w:pgMar w:left="32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there can be no assurance that the FDA will accept the BLA for filing and, even if filed, that any approval will be granted on a timely basis, if at all.</w:t>
      </w:r>
    </w:p>
    <w:p>
      <w:pPr>
        <w:spacing w:after="0" w:line="248"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Under the Prescription Drug User Fee Act, as amended, or the PDUFA, each BLA may be accompanied by a significant user fee. Under federal law, the submission of most applications is subject to an application user fee. The sponsor of an approved application is also subject to an annual program fee. Fee waivers or reductions are available in certain circumstances, including a waiver of the application fee for the first application filed by a small business.</w:t>
      </w:r>
    </w:p>
    <w:p>
      <w:pPr>
        <w:spacing w:after="0" w:line="187"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Within 60 days following submission of the application, the FDA reviews the BLA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is also subject to review before the FDA accepts it for filing. The application also needs to be published and submitted in an electronic format that can be processed through the FDA’s electronic systems. If the electronic submission is not compatible with the FDA’s systems, the BLA can be refused for filing. Once the submission is accepted for filing, the FDA begins an in-depth substantive review of the BLA. The FDA reviews the BLA to determine, among other things, whether the proposed product is safe, potent and effective for its intended use, has an acceptable purity profile and is being manufactured in accordance with GMPs to assure and preserve the product’s identity, safety, strength, quality, potency and purity.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REMS is necessary to assure the safe use of the biological product. If the FDA concludes a REMS is needed, the sponsor of the BLA must submit a proposed REMS; the FDA will not approve the BLA without a REMS, if required.</w:t>
      </w:r>
    </w:p>
    <w:p>
      <w:pPr>
        <w:spacing w:after="0" w:line="184"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Before approving a BLA, the FDA may inspect the facilities at which the product is manufactured. The FDA will not approve the product unless it determines that the manufacturing processes and facilities are in compliance with GMP requirements and adequate to assure consistent production of the product within required specifications. Additionally, before approving a BLA, the FDA will typically inspect one or more clinical trial sites to assure that the clinical trials were conducted in compliance with IND study requirements and GCP requirements. To assure GMP and GCP compliance, an applicant must incur significant expenditure of time, money and effort in the areas of training, record keeping, production and quality control.</w:t>
      </w:r>
    </w:p>
    <w:p>
      <w:pPr>
        <w:spacing w:after="0" w:line="161"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the sponsor interprets the same data. If the agency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7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post-marketing clinical trials, sometimes referred to as Phase 4 clinical trials, designed to</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40"/>
          </w:cols>
          <w:pgMar w:left="320" w:top="459"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further assess a biological product’s safety and effectiveness, and testing and surveillance programs to monitor the safety of approved products that have been commercialized. As a condition for approval, the FDA may also require additional nonclinical testing as a Phase 4 commitment.</w:t>
      </w:r>
    </w:p>
    <w:p>
      <w:pPr>
        <w:spacing w:after="0" w:line="146"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One of the performance goals agreed to by the FDA under the PDUFA is to review and render a decision on standard BLAs within 10 months of filing and priority BLAs within six months of filing. The FDA does not always meet its PDUFA goal dates for standard and priority BLAs, and its review goals are subject to change from time to time. The review process and the PDUFA goal date may be extended by three months if the FDA requests or if the BLA sponsor provides additional information or clarification regarding information already provided in the submission within the three months preceding the PDUFA goal date.</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GMP. We will rely, and expect to continue to rely, on third parties for the production of clinical and commercial quantities of any products that we may commercialize. Manufacturers of our products are required to comply with applicable requirements in the GMP regulations, including quality control and quality assurance and maintenance of records and documentation.</w:t>
      </w:r>
    </w:p>
    <w:p>
      <w:pPr>
        <w:spacing w:after="0" w:line="188"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Following approval, the manufacturing facilities are subject to biennial inspections by the FDA, and such inspections may result in an issuance of FDA Form 483 deficiency observations, an untitled letter, or a warning letter, which can lead to plant shutdown and other more serious penalties and fines. Prior to the institution of any manufacturing changes, a determination needs to be made whether FDA approval is required in advance. If not done in accordance with FDA expectations, the FDA may restrict supply and may take further action. Annual product reports are required to be submitted annually. Other post-approval requirements applicable to biological products include reporting of GMP deviations that may affect the identity, potency, purity and overall safety of a distributed product, record-keeping requirements, reporting of adverse events, reporting updated safety and efficacy information and complying with electronic record and signature requirements.</w:t>
      </w:r>
    </w:p>
    <w:p>
      <w:pPr>
        <w:spacing w:after="0" w:line="177"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may conduct laboratory research related to the regulatory standards on the safety, purity, potency and effectiveness of biological products. Systems need to be put in place to record and evaluate adverse events reported by healthcare providers and patients and to assess product complaints. An increase in severity or new adverse events can result in labeling changes or product recalls. Defects in manufacturing of commercial products can result in product recalls.</w:t>
      </w:r>
    </w:p>
    <w:p>
      <w:pPr>
        <w:spacing w:after="0" w:line="165"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We also must comply with the FDA’s advertising and promotion requirements, such as those related to direct-to-consumer advertising, the prohibition on promoting products for uses or inpatient populations that are not described in the product’s approved labeling (known as “off-label use”), industry-sponsored scientific and educational activities and promotional activities involving the internet. Discovery of previously unknown problems or the failure to comply with applicable regulatory requirements may result in restrictions on the marketing of a product or withdrawal of the product from the market, as well as possible civil or criminal sanctions. Failure to comply with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or license revocation, clinical hold, warning or untitled letters, product</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40"/>
          </w:cols>
          <w:pgMar w:left="320" w:top="459"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w:t>
      </w:r>
    </w:p>
    <w:p>
      <w:pPr>
        <w:spacing w:after="0" w:line="184"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GMPs and other laws. Accordingly, manufacturers must continue to expend time, money and effort in the areas of production and quality control to maintain 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Expedited Review and Approval Programs</w:t>
      </w:r>
    </w:p>
    <w:p>
      <w:pPr>
        <w:spacing w:after="0" w:line="117" w:lineRule="exact"/>
        <w:rPr>
          <w:sz w:val="20"/>
          <w:szCs w:val="20"/>
          <w:color w:val="auto"/>
        </w:rPr>
      </w:pPr>
    </w:p>
    <w:p>
      <w:pPr>
        <w:jc w:val="both"/>
        <w:ind w:left="120" w:right="20" w:firstLine="440"/>
        <w:spacing w:after="0" w:line="270" w:lineRule="auto"/>
        <w:rPr>
          <w:sz w:val="20"/>
          <w:szCs w:val="20"/>
          <w:color w:val="auto"/>
        </w:rPr>
      </w:pPr>
      <w:r>
        <w:rPr>
          <w:rFonts w:ascii="Arial" w:cs="Arial" w:eastAsia="Arial" w:hAnsi="Arial"/>
          <w:sz w:val="17"/>
          <w:szCs w:val="17"/>
          <w:color w:val="auto"/>
        </w:rPr>
        <w:t>The FDA has various programs, including fast track designation, priority review, accelerated approval and breakthrough therapy designation, that are intended to expedite or simplify the process for the development and FDA review of biological products that are intended for the treatment of serious or life-threatening diseases or conditions and demonstrate the potential to address unmet medical needs. The purpose of these programs is to provide important new biological products to patients earlier than under standard FDA review procedures. To be eligible for a fast track designation, the FDA must determine, based on the request of a sponsor, that a biological product is intended to treat a serious or life-threatening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In addition to other benefits, such as the ability to have greater interactions with the FDA, the FDA may initiate review of sections of a fast track BLA before the application is complete, a process known as rolling review.</w:t>
      </w:r>
    </w:p>
    <w:p>
      <w:pPr>
        <w:spacing w:after="0" w:line="181"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The FDA may give a priority review designation, such as a rare pediatric disease designation, to biological products that treat a serious condition and, if approved, would provide a significant improvement in safety or effectiveness. A priority review means that the goal for the FDA’s review of an application is six months, rather than the standard goal of ten months under current PDUFA guidelines. Most products that are eligible for fast track designation may also be considered appropriate to receive a priority review. In addition, biological products studied for their safety and effectiveness in treating serious or life-threatening illnesses and that provide meaningful therapeutic benefit over existing treatments may receive accelerated approval and may be approved on the basis of adequate and well-controlled clinical trials establishing that the biological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biological product receiving accelerated approval to perform post-marketing studies to verify and describe the predicted effect on irreversible morbidity or mortality or other clinical endpoints, and the biological product may be subject to accelerated withdrawal procedures.</w:t>
      </w:r>
    </w:p>
    <w:p>
      <w:pPr>
        <w:spacing w:after="0" w:line="172"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Moreover, under the Food and Drug Administration Safety and Innovation Act enacted in 2012, a sponsor can request designation of a product candidate as a “breakthrough therapy.” A breakthrough therapy is defined as a drug or biological product that is intended, alone or in combination with one or more other drugs or biologics, to treat a serious or life-threatening disease or condition and preliminary clinical evidence indicates that the drug or biological product may demonstrate substantial improvement over existing therapies on one or more clinically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40"/>
          </w:cols>
          <w:pgMar w:left="32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significant endpoints, such as substantial treatment effects observed early in clinical development. Drug and biological products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165"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decides that the time period for FDA review or approval will not be shortened. Furthermore, fast track designation, priority review, accelerated approval and breakthrough therapy designation do not change the standards for approval and may not ultimately expedite the development or approval process.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Biologics Price Competition and Innovation Act</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auto"/>
        </w:rPr>
        <w:t xml:space="preserve">The Biologics Price Competition and Innovation Act of 2009, or BPCIA, which was enacted as part of the Patient Protection and Affordable Care Act of 2010, as amended by the Health Care and Education Reconciliation Act of 2010, or the ACA, created an abbreviated approval pathway for biological products that are demonstrated to be “biosimilar” or “interchangeable” with an FDA-licensed reference biological product via an approved BLA. Biosimilarity to an approved reference product requires that there be no differences in conditions of use, route of administration, dosage form and strength and no clinically meaningful differences between the biological product and the reference product in terms of safety, purity and potency. Biosimilarity is demonstrated in steps beginning with rigorous analytical studies or “fingerprinting,”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animal studies and generally at least one clinical study, absent a waiver from the Secretary of the Department of Health and Human Services, or HHS. The biosimilarity exercise tests the hypothesis that the investigational product and the reference product are the same. If at any point in the stepwise biosimilarity process a significant difference is observed, then the products are not biosimilar, and the development of a stand-alone BLA is necessary. In order to meet the higher hurdle of interchangeability, a sponsor must demonstrate that the biosimilar product can be expected to produce the same clinical result as the reference product, and for a product that is administered more than once, that the risk of switching between the reference product and biosimilar product is not greater than the risk of maintaining the patient on the reference product. Complexities associated with the larger, and often more complex, structures of biological products, as well as the process by which such products are manufactured, pose significant hurdles to implementation that are still being evaluated by the FDA. Under the BPCIA, a reference biologic is granted 12 years of exclusivity from the time of first licensure of the reference product.</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 Patent Term Restoration</w:t>
      </w:r>
    </w:p>
    <w:p>
      <w:pPr>
        <w:spacing w:after="0" w:line="117" w:lineRule="exact"/>
        <w:rPr>
          <w:sz w:val="20"/>
          <w:szCs w:val="20"/>
          <w:color w:val="auto"/>
        </w:rPr>
      </w:pPr>
    </w:p>
    <w:p>
      <w:pPr>
        <w:jc w:val="both"/>
        <w:ind w:left="120" w:right="20" w:firstLine="440"/>
        <w:spacing w:after="0" w:line="269" w:lineRule="auto"/>
        <w:rPr>
          <w:sz w:val="20"/>
          <w:szCs w:val="20"/>
          <w:color w:val="auto"/>
        </w:rPr>
      </w:pPr>
      <w:r>
        <w:rPr>
          <w:rFonts w:ascii="Arial" w:cs="Arial" w:eastAsia="Arial" w:hAnsi="Arial"/>
          <w:sz w:val="17"/>
          <w:szCs w:val="17"/>
          <w:color w:val="auto"/>
        </w:rPr>
        <w:t>Depending upon the timing, duration and specifics of FDA approval of product candidates, some of a sponsor’s U.S. patents may be eligible for limited patent term extension under the Drug Price Competition and Patent Term Restoration Act of 1984, or the Hatch-Waxman Amendments. The Hatch-Waxman Amendments permit a patent restoration term of up to five years as compensation for patent term lost during the product development and FDA regulatory review process. However, patent term restoration cannot extend the remaining term of a patent beyond a total of 14 years from the product’s approval date. The patent term restoration period generally is one-half the time between the effective date of an IND and the submission date of a BLA less any time the sponsor did not act with due diligence during the period, plus the time between the submission date of a BLA and the approval of that application less any time the sponsor did not act with due diligence during the period. Only one patent applicable to an approved biological product is eligible for the extension, only those claims covering the approved drug, a method for using it or a method for manufacturing it may be extended and the application for the extension must be submitted prior to the expiration of the patent. Moreover, a given patent may only be extended once based on a single product. The USPTO, in consultation with the FDA, reviews and approves the application for any patent term extension or restoration.</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Regulation Outside of the United States</w:t>
      </w:r>
    </w:p>
    <w:p>
      <w:pPr>
        <w:spacing w:after="0" w:line="11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In addition to regulations in the United States, we will be subject to a variety of regulations in other jurisdictions governing, among other things, clinical studies and any commercial sales and distribution of our products. Because biologically sourced raw materials are subject to unique contamination risks, their use may be restricted in some countries. Whether or not we obtain FDA approval for a product, we must obtain the requisite approvals from regulatory authorities in foreign countries prior to the commencement of clinical studies or marketing of the product in those countries. Certain countries outside of the United States have a similar process that requires the submission of a clinical study application much like the IND prior to the commencement of human clinical studies.</w:t>
      </w:r>
    </w:p>
    <w:p>
      <w:pPr>
        <w:spacing w:after="0" w:line="192"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In the European Union, for example, a clinical trial application, or CTA, must be submitted to each country’s national health authority and an independent ethics committee, much like the FDA and the IRB, respectively. Once the CTA is approved in accordance with the applicable requirements, clinical study development may proceed. The requirements and process governing the conduct of clinical studies are to a significant extent harmonized at the European Union level but could vary from country to country. In all cases, the clinical studies are conducted in accordance with GCP and the applicable regulatory requirements and the ethical principles that have their origin in the Declaration of Helsinki. The way clinical trials are conducted in the European Union will undergo a major change when the Clinical Trial Regulation (Regulation (EU) No 536/2014) comes into application, probably in 2022. The Regulation harmonizes the assessment and supervision processes for clinical trials throughout the European Union via a Clinical Trials Information System, which will contain a centralized European Union portal and database.</w:t>
      </w:r>
    </w:p>
    <w:p>
      <w:pPr>
        <w:spacing w:after="0" w:line="178"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To obtain regulatory approval of an investigational biological product under European Union regulatory systems, we must submit a marketing authorization application. The application used to file the BLA in the United States is similar to that required in the European Union, with the exception of, among other things, country-specific document requirements. Innovative products that target an unmet medical need may be eligible for a number of expedited development and review programs in the European Union, such as The Priority Medicines, or PRIME, scheme, which provides incentives similar to the breakthrough therapy designation in the United States. Such products are generally eligible for accelerated assessment and may also benefit from different types of fast track approvals, such as a conditional marketing authorization or a marketing authorization under exceptional circumstances granted on the basis of less comprehensive clinical data than normally required (respectively in the likelihood that the sponsor will provide such data within an agreed timeframe or when comprehensive data cannot be obtained even after authorization).</w:t>
      </w:r>
    </w:p>
    <w:p>
      <w:pPr>
        <w:spacing w:after="0" w:line="165"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The European Union also provides opportunities for market exclusivity. For example, in the European Union, upon receiving marketing authorization, new chemical entities generally receive eight years of data exclusivity and an additional two years of market exclusivity. If granted, data exclusivity prevents regulatory authorities in the European Union from referencing the innovator’s data to assess a generic or biosimilar application. During the additional two-year period of market exclusivity, a generic or biosimilar marketing authorization can be submitted, and the innovator’s data may be referenced, but no generic or biosimilar product can be marketed until the expiration of the market exclusivity. However, there is no guarantee that a product will be considered by the European Union’s regulatory authorities to be a new chemical entity, and products may not qualify for data exclusivity. A Pediatric Investigation Plan, or PIP, in the European Union is aimed at ensuring that the necessary data are obtained to support the authorization of a medicine for children, through studies in children. All applications for marketing authorization for new medicines have to include the results of studies as described in an agreed PIP, unless the medicine is exempt because of a deferral or waiver. This requirement also applies when a marketing-authorization holder wants to add a new indication, pharmaceutical form or route of administration for a medicine that is already authorized and covered by intellectual property rights. Several rewards and incentives for the development of pediatric medicines for children are available in the European Union. Medicines authorized with the results of studies from a PIP included in the product information are eligible for an extension of their supplementary protection certificate by six months, even when the results of the studies are negative. Scientific advice and protocol assistance at the EMA are free of charge for questions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40"/>
          </w:cols>
          <w:pgMar w:left="32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relating to the development of pediatric medicines. Medicines developed specifically for children that are already authorized but are not protected by a patent or supplementary protection certificate are eligible for a pediatric-use marketing authorization, which if granted, provides 10 years of market protection.</w:t>
      </w:r>
    </w:p>
    <w:p>
      <w:pPr>
        <w:spacing w:after="0" w:line="184"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The United Kingdom left the European Union on January 31, 2020, following which existing EU medicinal product legislation continued to apply in the United Kingdom during the transition period under the terms of the EU-UK Withdrawal Agreement. A transition period, which ended on December 31, 2020, maintained the United Kingdom’s access to the EU single market and to the global trade deals negotiated by the European Union on behalf of its members. The transition period provided time for the United Kingdom and European Union to negotiate a framework for partnership for the future, which was crystallized in the Trade and Cooperation Agreement, or TCA, that became effective on January 1, 2021.</w:t>
      </w:r>
    </w:p>
    <w:p>
      <w:pPr>
        <w:spacing w:after="0" w:line="176"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As a result of the Northern Ireland Protocol, different rules apply in Northern Ireland than in England, Wales and Scotland, or collectively Great Britain. In general, Northern Ireland continues to follow the EU regulatory regime, but its national medicines and medical devices authority remains the Medicines and Healthcare Products Regulatory Agency, or MHRA. Following the effectiveness of the Human Medicines (Amendment etc.) (EU Exit) Regulations 2019 on January 31, 2020, the UK regulatory regime for clinical trials, marketing authorizations, importing, exporting and pharmacovigilance largely mirrors that of the European Union.</w:t>
      </w:r>
    </w:p>
    <w:p>
      <w:pPr>
        <w:spacing w:after="0" w:line="188"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For other countries outside of the European Union, such as countries in Eastern Europe, Latin America or Asia, the requirements governing the conduct of clinical studies, product licensing, pricing and reimbursement vary from country to country. In all cases, again, the clinical studies are conducted in accordance with GCP and the applicable regulatory requirements and the ethical principles that have their origin in the Declaration of Helsinki.</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117"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Significant uncertainty exits as to obtaining and maintaining coverage and adequate reimbursement for our product candidates, including ADG20, and the extent to which patients will be willing to pay out-of-pocket for such products in the absence of reimbursement for all or part of the cost.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healthcare programs (e.g., Medicare, Medicaid, TRICARE), managed care providers, private health insurers, health maintenance organizations and other organizations is essential for most patients to be able to afford medical services and pharmaceutical products such as our product candidates. Third-party payors often rely upon Medicare coverage policy and payment limitations in setting their own coverage and reimbursement policies. However, decisions regarding the extent of coverage and amount of reimbursement to be provided are made on a payor-by-payor basis. One payor’s determination to provide coverage for a drug product does not ensure that other payors will also provide coverage or adequate reimbursement. The principal decisions about reimbursement for new medicines are typically made by the Centers for Medicare &amp; Medicaid Services, or CMS, an agency within HHS. CMS decides whether and to what extent products will be covered and reimbursed under Medicare, and private payors tend to follow CMS to a substantial degree.</w:t>
      </w:r>
    </w:p>
    <w:p>
      <w:pPr>
        <w:spacing w:after="0" w:line="179"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Third-party payors determine which products and procedures they will cover and establish reimbursement levels. Even if a third-party payor covers a particular product or procedure, the resulting reimbursement payment rates may not be adequate. Patients who are treated in-office for a medical condition generally rely on third-party payors to reimburse all or part of the costs associated with the procedure, including costs associated with products used during the procedure, and may be unwilling to undergo such procedures in the absence of such</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40"/>
          </w:cols>
          <w:pgMar w:left="320" w:top="459"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coverage and adequate reimbursement. Physicians may be unlikely to offer procedures for such treatment if they are not covered by insurance and may be unlikely to purchase and use our product candidates, if approved, for our stated indications unless coverage is provided and reimbursement is adequate. In addition, for products administered under the supervision of a physician, obtaining coverage and adequate reimbursement may be particularly difficult because of the higher prices often associated with such drugs.</w:t>
      </w:r>
    </w:p>
    <w:p>
      <w:pPr>
        <w:spacing w:after="0" w:line="187"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Reimbursement by a third-party payor may depend upon a number of factors, including the third-party payor’s determination that a procedure is safe, effective and medically necessary; appropriate for the specific patient; cost-effective; supported by peer-reviewed medical journals; included in clinical practice guidelines; and neither cosmetic, experimental nor investigational. Further,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There may be pricing pressures from third-party payors in connection with the potential sale of any of our product candidates. Decreases in third-party reimbursement for any product or a decision by a third-party payor not to cover a product could reduce physician usage and patient demand for the product.</w:t>
      </w:r>
    </w:p>
    <w:p>
      <w:pPr>
        <w:spacing w:after="0" w:line="186"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Foreign governments also have their own healthcare reimbursement systems, which vary significantly by country and region, and coverage and adequate reimbursement may not be available with respect to the treatments in which our product candidates, if approved, are used under any foreign reimbursement system.</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Healthcare Laws and Regulations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Sales of our product candidate, if approved, or any other future product candidate will be subject to healthcare regulation and enforcement by the federal government and the states and foreign governments in which we might conduct our business. The healthcare laws and regulations that may affect our ability to operate include the following:</w:t>
      </w:r>
    </w:p>
    <w:p>
      <w:pPr>
        <w:spacing w:after="0" w:line="89" w:lineRule="exact"/>
        <w:rPr>
          <w:sz w:val="20"/>
          <w:szCs w:val="20"/>
          <w:color w:val="auto"/>
        </w:rPr>
      </w:pPr>
    </w:p>
    <w:p>
      <w:pPr>
        <w:jc w:val="both"/>
        <w:ind w:left="1080" w:right="20" w:hanging="532"/>
        <w:spacing w:after="0" w:line="259"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federal Anti-Kickback Statute makes it illegal for any person or entity to knowingly and willfully, directly or indirectly, solicit, receive, offer, or pay any remuneration that is in exchange for or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w:t>
      </w:r>
    </w:p>
    <w:p>
      <w:pPr>
        <w:spacing w:after="0" w:line="92"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Federal false claims and false statement laws, including the federal civil False Claims Act, prohibits, among other things, any person or entity from knowingly presenting, or causing to be presented, for payment to, or approval by, federal programs, including Medicare and Medicaid, claims for items or services, including drugs and biologics, that are false or fraudulent;</w:t>
      </w:r>
    </w:p>
    <w:p>
      <w:pPr>
        <w:spacing w:after="0" w:line="8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or making any false, fictitious or fraudulent statement in connection with the delivery of or payment for healthcare benefits, items or services;</w:t>
      </w:r>
    </w:p>
    <w:p>
      <w:pPr>
        <w:spacing w:after="0" w:line="92"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their implementing regulations, impose obligations on certain types of individuals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40"/>
          </w:cols>
          <w:pgMar w:left="320" w:top="459"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277" w:lineRule="auto"/>
        <w:rPr>
          <w:sz w:val="20"/>
          <w:szCs w:val="20"/>
          <w:color w:val="auto"/>
        </w:rPr>
      </w:pPr>
      <w:r>
        <w:rPr>
          <w:rFonts w:ascii="Arial" w:cs="Arial" w:eastAsia="Arial" w:hAnsi="Arial"/>
          <w:sz w:val="18"/>
          <w:szCs w:val="18"/>
          <w:color w:val="auto"/>
        </w:rPr>
        <w:t>entities regarding the electronic exchange of information in common healthcare transactions, as well as standards relating to the privacy and security of individually identifiable health information;</w:t>
      </w:r>
    </w:p>
    <w:p>
      <w:pPr>
        <w:spacing w:after="0" w:line="76" w:lineRule="exact"/>
        <w:rPr>
          <w:sz w:val="20"/>
          <w:szCs w:val="20"/>
          <w:color w:val="auto"/>
        </w:rPr>
      </w:pPr>
    </w:p>
    <w:p>
      <w:pPr>
        <w:jc w:val="both"/>
        <w:ind w:left="1080" w:hanging="532"/>
        <w:spacing w:after="0" w:line="272" w:lineRule="auto"/>
        <w:tabs>
          <w:tab w:leader="none" w:pos="10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Beginning in 2022, applicable manufacturers also will be required to report such information regarding payments and transfers of value provided during the previous year to physician assistants, nurse practitioners, clinical nurse specialists, anesthesiologist assistants, certified nurse anesthetists and certified nurse-midwives; and</w:t>
      </w:r>
    </w:p>
    <w:p>
      <w:pPr>
        <w:spacing w:after="0" w:line="82" w:lineRule="exact"/>
        <w:rPr>
          <w:rFonts w:ascii="Arial" w:cs="Arial" w:eastAsia="Arial" w:hAnsi="Arial"/>
          <w:sz w:val="17"/>
          <w:szCs w:val="17"/>
          <w:color w:val="auto"/>
        </w:rPr>
      </w:pPr>
    </w:p>
    <w:p>
      <w:pPr>
        <w:jc w:val="both"/>
        <w:ind w:left="1080" w:hanging="532"/>
        <w:spacing w:after="0" w:line="286" w:lineRule="auto"/>
        <w:tabs>
          <w:tab w:leader="none" w:pos="10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Foreign Corrupt Practices Act, or FCPA, prohibits U.S.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w:t>
      </w:r>
    </w:p>
    <w:p>
      <w:pPr>
        <w:spacing w:after="0" w:line="165"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Many states have similar laws and regulations, such as anti-kickback and false claims laws, that may be broader in scope and may apply regardless of payor, in addition to items and services reimbursed under Medicaid and other state programs. Additionally, we may be subject to state laws that require pharmaceutical companies to comply with the federal government’s and/or pharmaceutical industry’s voluntary compliance guidelines and state laws that require drug and biologics manufacturers to report information related to payments and other transfers of value to physicians and other healthcare providers or marketing expenditures, as well as state and foreign laws governing the privacy and security of health information, many of which differ from each other in significant ways and often are not preempted by HIPAA. Additionally, to the extent that any of our products, if approved, are sold in a foreign country, we may be subject to similar foreign laws.</w:t>
      </w:r>
    </w:p>
    <w:p>
      <w:pPr>
        <w:spacing w:after="0" w:line="177"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If our operations are found to be in violation of any of the federal and state healthcare laws described above or any other governmental regulations that apply to us, we may be subject to significant penalties, including without limitation, civil, criminal and/or administrative penalties, damages, fines, disgorgement, imprisonment, exclusion from participation in government programs, such as Medicare and Medicaid, injunctions, private “qui tam” actions brought by individual whistleblowers in the name of the government, refusal to allow us to enter into government contracts, contractual damages, reputational harm, administrative burdens, diminished profits and future earnings and the curtailment or restructuring of our operations.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The United States and many foreign jurisdictions have enacted or proposed legislative and regulatory changes affecting the healthcare system.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and biologics. In recent years, Congress has considered reductions in Medicare reimbursement levels for drugs and biologics administered by physicians. CMS also has authority to revise reimbursement rates and to implement coverage restrictions for some drugs and biologics. Cost reduction initiatives and changes in coverage implemented through legislation or regulation could decrease utilization of and reimbursement for any approved products. While Medicare regulations apply only to drug benefits for Medicare beneficiaries, private payors often follow Medicare coverage policy and payment limitations in setting their own reimbursement rates. Therefore, any reduction in reimbursement that results from federal legislation or regulation may result in a similar reduction in payments from private payors.</w:t>
      </w:r>
    </w:p>
    <w:p>
      <w:pPr>
        <w:spacing w:after="0" w:line="166"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ACA substantially changed the way healthcare is financed by both governmental and private insurers and significantly impacts the pharmaceutical industry. The ACA is intended to broaden access to health insurance, reduce or constrain the growth of healthcare spending, enhance remedies against healthcare fraud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40"/>
          </w:cols>
          <w:pgMar w:left="320" w:top="459"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9" w:lineRule="auto"/>
        <w:rPr>
          <w:sz w:val="20"/>
          <w:szCs w:val="20"/>
          <w:color w:val="auto"/>
        </w:rPr>
      </w:pPr>
      <w:r>
        <w:rPr>
          <w:rFonts w:ascii="Arial" w:cs="Arial" w:eastAsia="Arial" w:hAnsi="Arial"/>
          <w:sz w:val="17"/>
          <w:szCs w:val="17"/>
          <w:color w:val="auto"/>
        </w:rPr>
        <w:t>abuse, add new transparency requirements for healthcare and health insurance industries, impose new taxes and fees on pharmaceutical and medical device manufacturers and impose additional health policy reforms. Among other things, the ACA expanded manufacturers’ rebate liability under the Medicaid Drug Rebate Program by increasing the minimum Medicaid rebate for both branded and generic drugs and biologics, expanded the 340B program, and revised the definition of average manufacturer price, or AMP, which could increase the amount of Medicaid drug rebates manufacturers are required to pay to states. The legislation also extended Medicaid drug rebates, previously due only on fee-for-service Medicaid utilization, to include the utilization of Medicaid managed care organizations as well and created an alternative rebate formula for certain new formulations of certain existing products that is intended to increase the amount of rebates due on those drugs. On February 1, 2016, CMS issued final regulations to implement the changes to the Medicaid Drug Rebate program under the ACA. These regulations became effective on April 1, 2016. Since that time, there have been significant efforts to modify or eliminate the ACA. For example, the Tax Cuts and Jobs Act, or the Tax Act, enacted on December 22, 2017, repealed the shared responsibility payment for individuals who fail to maintain minimum essential coverage under section 5000A of the Internal Revenue Code of 1986, as amended, or the Code, commonly referred to as the individual mandate.</w:t>
      </w:r>
    </w:p>
    <w:p>
      <w:pPr>
        <w:spacing w:after="0" w:line="182"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Other legislative changes have been proposed and adopted since passage of the ACA. The Budget Control Act of 2011, among other things, created the Joint Select Committee on Deficit Reduction to recommend proposals in spending reductions to Congress. The Joint Select Committee did not achieve its targeted deficit reduction of an amount greater than $1.2 trillion for the fiscal years 2012 through 2021, triggering the legislation’s automatic reductions to several government programs. These reductions included aggregate reductions to Medicare payments to healthcare providers of up to 2.0% per fiscal year, which went into effect in April 2013. Subsequent litigation extended the 2% reduction, on average, to 2030 unless additional congressional action is taken. However, pursuant to COVID-19 relief legislation, the 2% Medicare sequester reductions have been suspended from May 1, 2020 through December 31, 2021. On January 2, 2013, the American Taxpayer Relief Act was signed into law, which, among other things,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166"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Further legislative and regulatory changes under the ACA remain possible, although the new administration under President Biden has signaled that it plans to build on the ACA and expand the number of people who are eligible for subsidies under it. President Biden indicated that he intends to use executive orders to undo changes to the ACA made by the Trump administration and would advocate for legislation to expand the ACA. For example, on January 28, 2021, President Biden issued an executive order that initiated a special enrollment period for purposes of obtaining health insurance coverage through the ACA marketplace, which began on February 15, 2021 and will remain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unknown what form any other such changes or law would take and how or whether it may affect our business in the future. We expect that changes or additions to the ACA or the Medicare and Medicaid programs, changes allowing the federal government to directly negotiate drug prices and changes stemming from other healthcare reform measures, especially with regard to healthcare access, financing or other legislation in individual states, could have a material adverse effect on the healthcare industry.</w:t>
      </w:r>
    </w:p>
    <w:p>
      <w:pPr>
        <w:spacing w:after="0" w:line="179"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The ACA has been subject to challenges in the courts. On December 14, 2018, the U.S. District Court for the Northern District of Texas ruled that the ACA is unconstitutional in its entirety because the “individual mandate” was repealed by Congress. On December 18, 2019, the U.S. Court of Appeals for the Fifth Circuit held that the individual mandate is unconstitutional and remanded the case to the District Court to reconsider its earlier invalidation of the entire ACA. An appeal was taken to the U.S. Supreme Court, which heard oral arguments in the case on November 10, 2020. A ruling is expected in 2021. On February 10, 2021, the Biden administration withdrew the federal government’s support for overturning the ACA. It is unclear how the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40"/>
          </w:cols>
          <w:pgMar w:left="32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Supreme Court ruling, other such litigation and the healthcare reform measures of the Biden administration will impact the ACA and our business.</w:t>
      </w:r>
    </w:p>
    <w:p>
      <w:pPr>
        <w:spacing w:after="0" w:line="237"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The ACA requires pharmaceutical manufacturers of branded prescription drugs and biologics to pay a branded prescription drug fee to the federal government. Each individual pharmaceutical manufacturer pays a prorated share of the branded prescription drug fee, based on the dollar value of its branded prescription drug sales to certain federal programs identified in the law. Furthermore, the law requires manufacturers to provide a 50% discount off the negotiated price of prescriptions filled by beneficiaries in the Medicare Part D coverage gap, referred to as the “donut hole.” The Bipartisan Budget Act of 2018, or the BBA, among other things, amended the ACA, effective January 1, 2019, to close the coverage gap in most Medicare drug plans by increasing from 50 percent to 70 percent the point-of-sale discount that is owed by pharmaceutical manufacturers who participate in Medicare Part D.</w:t>
      </w:r>
    </w:p>
    <w:p>
      <w:pPr>
        <w:spacing w:after="0" w:line="195" w:lineRule="exact"/>
        <w:rPr>
          <w:sz w:val="20"/>
          <w:szCs w:val="20"/>
          <w:color w:val="auto"/>
        </w:rPr>
      </w:pPr>
    </w:p>
    <w:p>
      <w:pPr>
        <w:jc w:val="both"/>
        <w:ind w:left="120" w:right="20" w:firstLine="440"/>
        <w:spacing w:after="0" w:line="269" w:lineRule="auto"/>
        <w:rPr>
          <w:sz w:val="20"/>
          <w:szCs w:val="20"/>
          <w:color w:val="auto"/>
        </w:rPr>
      </w:pPr>
      <w:r>
        <w:rPr>
          <w:rFonts w:ascii="Arial" w:cs="Arial" w:eastAsia="Arial" w:hAnsi="Arial"/>
          <w:sz w:val="17"/>
          <w:szCs w:val="17"/>
          <w:color w:val="auto"/>
        </w:rPr>
        <w:t>The ACA also expanded the Public Health Service’s 340B drug pricing program. The 340B drug pricing program requires participating manufacturers to agree to charge statutorily defined covered entities no more than the 340B “ceiling price” for the manufacturer’s covered outpatient drugs. The ACA expanded the 340B program to include additional types of covered entities: certain free-standing cancer hospitals, critical access hospitals, rural referral centers and sole community hospitals, each as defined by the ACA. Because the 340B ceiling price is determined based on AMP and Medicaid drug rebate data, revisions to the Medicaid rebate formula and AMP definition could cause the required 340B discounts to increase. Payment methodologies may be subject to changes in healthcare legislation and regulatory initiatives as well. For example, CMS may develop new payment and delivery models, such as bundled payment models. Recently, there has been heightened governmental scrutiny over the manner in which manufacturers set prices for their marketed products. Such scrutiny has resulted in several recent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pharmaceutical products.</w:t>
      </w:r>
    </w:p>
    <w:p>
      <w:pPr>
        <w:spacing w:after="0" w:line="18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21"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As of August 2, 2021, we had 74 full-time employees and one part-time employee. Of our 75 full- and part-time employees, approximately 23 have Ph.D. or M.D. degrees and 54 are engaged in research and development activities. We have a remote workforce, with approximately 43% of our employees based in Massachusetts, 16% based in California, 8% based in New Jersey, and the remaining 33% in various additional states, including one in Austria. None of our employees are represented by labor unions or covered by collective bargaining agreements. We consider our relationship with our employees to be good.</w:t>
      </w:r>
    </w:p>
    <w:p>
      <w:pPr>
        <w:spacing w:after="0" w:line="188"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Our human capital resources objectives include, as applicable, identifying, recruiting, retaining, incentivizing and integrating our existing and new employees, advisors and consultants, and maintaining and enhancing our diverse and inclusive team. The principal purposes of our equity and cash incentive plans are to attract, retain and reward personnel through the granting of stock-based and cash-based compensation awards, in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40"/>
          </w:cols>
          <w:pgMar w:left="320" w:top="459"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order to increase stockholder value and the success of our company by motivating such individuals to perform to the best of their abilities and achieve our objectives.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Since our inception, we have been a virtual company with our employees working from their homes. We rent an office in a short-term office space building in Waltham, Massachusetts for general and administrative purposes. We do not own or lease any laboratory or manufacturing facilities, and we plan to enter into a lease for office space in the near term. We believe that our remote working approach is adequate to meet our ongoing needs, and that, if we require physical facilities, we will be able to obtain additional facilities on commercially reasonable terms.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are not currently a party to any material legal proceedings. From time to time, we may become involved in other litigation or legal proceedings relating to claims arising from the ordinary course of business.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40"/>
          </w:cols>
          <w:pgMar w:left="320" w:top="459"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provides information regarding our current executive officers and directors, including their ages as of August 2, 2021:</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4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80" w:type="dxa"/>
            <w:vAlign w:val="bottom"/>
            <w:gridSpan w:val="2"/>
          </w:tcPr>
          <w:p>
            <w:pPr>
              <w:ind w:left="720"/>
              <w:spacing w:after="0"/>
              <w:rPr>
                <w:sz w:val="20"/>
                <w:szCs w:val="20"/>
                <w:color w:val="auto"/>
              </w:rPr>
            </w:pPr>
            <w:r>
              <w:rPr>
                <w:rFonts w:ascii="Arial" w:cs="Arial" w:eastAsia="Arial" w:hAnsi="Arial"/>
                <w:sz w:val="14"/>
                <w:szCs w:val="14"/>
                <w:b w:val="1"/>
                <w:bCs w:val="1"/>
                <w:color w:val="auto"/>
                <w:w w:val="90"/>
              </w:rPr>
              <w:t>Age</w:t>
            </w:r>
          </w:p>
        </w:tc>
        <w:tc>
          <w:tcPr>
            <w:tcW w:w="6600" w:type="dxa"/>
            <w:vAlign w:val="bottom"/>
            <w:gridSpan w:val="3"/>
          </w:tcPr>
          <w:p>
            <w:pPr>
              <w:ind w:left="100"/>
              <w:spacing w:after="0"/>
              <w:rPr>
                <w:sz w:val="20"/>
                <w:szCs w:val="20"/>
                <w:color w:val="auto"/>
              </w:rPr>
            </w:pPr>
            <w:r>
              <w:rPr>
                <w:rFonts w:ascii="Arial" w:cs="Arial" w:eastAsia="Arial" w:hAnsi="Arial"/>
                <w:sz w:val="14"/>
                <w:szCs w:val="14"/>
                <w:b w:val="1"/>
                <w:bCs w:val="1"/>
                <w:color w:val="auto"/>
              </w:rPr>
              <w:t>Position(s)</w:t>
            </w:r>
          </w:p>
        </w:tc>
      </w:tr>
      <w:tr>
        <w:trPr>
          <w:trHeight w:val="61"/>
        </w:trPr>
        <w:tc>
          <w:tcPr>
            <w:tcW w:w="360" w:type="dxa"/>
            <w:vAlign w:val="bottom"/>
            <w:tcBorders>
              <w:top w:val="single" w:sz="8" w:color="auto"/>
            </w:tcBorders>
          </w:tcPr>
          <w:p>
            <w:pPr>
              <w:spacing w:after="0"/>
              <w:rPr>
                <w:sz w:val="5"/>
                <w:szCs w:val="5"/>
                <w:color w:val="auto"/>
              </w:rPr>
            </w:pPr>
          </w:p>
        </w:tc>
        <w:tc>
          <w:tcPr>
            <w:tcW w:w="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60" w:type="dxa"/>
            <w:vAlign w:val="bottom"/>
            <w:shd w:val="clear" w:color="auto" w:fill="CCEEFF"/>
          </w:tcPr>
          <w:p>
            <w:pPr>
              <w:spacing w:after="0"/>
              <w:rPr>
                <w:sz w:val="18"/>
                <w:szCs w:val="18"/>
                <w:color w:val="auto"/>
              </w:rPr>
            </w:pPr>
          </w:p>
        </w:tc>
      </w:tr>
      <w:tr>
        <w:trPr>
          <w:trHeight w:val="284"/>
        </w:trPr>
        <w:tc>
          <w:tcPr>
            <w:tcW w:w="3440" w:type="dxa"/>
            <w:vAlign w:val="bottom"/>
            <w:gridSpan w:val="3"/>
          </w:tcPr>
          <w:p>
            <w:pPr>
              <w:spacing w:after="0"/>
              <w:rPr>
                <w:sz w:val="20"/>
                <w:szCs w:val="20"/>
                <w:color w:val="auto"/>
              </w:rPr>
            </w:pPr>
            <w:r>
              <w:rPr>
                <w:rFonts w:ascii="Arial" w:cs="Arial" w:eastAsia="Arial" w:hAnsi="Arial"/>
                <w:sz w:val="18"/>
                <w:szCs w:val="18"/>
                <w:color w:val="auto"/>
              </w:rPr>
              <w:t>Tillman U. Gerngross, Ph.D.</w:t>
            </w: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57</w:t>
            </w:r>
          </w:p>
        </w:tc>
        <w:tc>
          <w:tcPr>
            <w:tcW w:w="6600" w:type="dxa"/>
            <w:vAlign w:val="bottom"/>
            <w:gridSpan w:val="3"/>
          </w:tcPr>
          <w:p>
            <w:pPr>
              <w:ind w:left="100"/>
              <w:spacing w:after="0"/>
              <w:rPr>
                <w:sz w:val="20"/>
                <w:szCs w:val="20"/>
                <w:color w:val="auto"/>
              </w:rPr>
            </w:pPr>
            <w:r>
              <w:rPr>
                <w:rFonts w:ascii="Arial" w:cs="Arial" w:eastAsia="Arial" w:hAnsi="Arial"/>
                <w:sz w:val="18"/>
                <w:szCs w:val="18"/>
                <w:color w:val="auto"/>
              </w:rPr>
              <w:t>Co-Founder, Chief Executive Officer and Director</w:t>
            </w:r>
          </w:p>
        </w:tc>
      </w:tr>
      <w:tr>
        <w:trPr>
          <w:trHeight w:val="67"/>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Lynn Connolly, M.D., Ph.D.</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54</w:t>
            </w:r>
          </w:p>
        </w:tc>
        <w:tc>
          <w:tcPr>
            <w:tcW w:w="6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Chief Medical Officer</w:t>
            </w:r>
          </w:p>
        </w:tc>
      </w:tr>
      <w:tr>
        <w:trPr>
          <w:trHeight w:val="283"/>
        </w:trPr>
        <w:tc>
          <w:tcPr>
            <w:tcW w:w="3440" w:type="dxa"/>
            <w:vAlign w:val="bottom"/>
            <w:gridSpan w:val="3"/>
          </w:tcPr>
          <w:p>
            <w:pPr>
              <w:spacing w:after="0"/>
              <w:rPr>
                <w:sz w:val="20"/>
                <w:szCs w:val="20"/>
                <w:color w:val="auto"/>
              </w:rPr>
            </w:pPr>
            <w:r>
              <w:rPr>
                <w:rFonts w:ascii="Arial" w:cs="Arial" w:eastAsia="Arial" w:hAnsi="Arial"/>
                <w:sz w:val="18"/>
                <w:szCs w:val="18"/>
                <w:color w:val="auto"/>
              </w:rPr>
              <w:t>Rebecca Dabora, Ph.D.</w:t>
            </w: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62</w:t>
            </w:r>
          </w:p>
        </w:tc>
        <w:tc>
          <w:tcPr>
            <w:tcW w:w="6600" w:type="dxa"/>
            <w:vAlign w:val="bottom"/>
            <w:gridSpan w:val="3"/>
          </w:tcPr>
          <w:p>
            <w:pPr>
              <w:ind w:left="100"/>
              <w:spacing w:after="0"/>
              <w:rPr>
                <w:sz w:val="20"/>
                <w:szCs w:val="20"/>
                <w:color w:val="auto"/>
              </w:rPr>
            </w:pPr>
            <w:r>
              <w:rPr>
                <w:rFonts w:ascii="Arial" w:cs="Arial" w:eastAsia="Arial" w:hAnsi="Arial"/>
                <w:sz w:val="18"/>
                <w:szCs w:val="18"/>
                <w:color w:val="auto"/>
              </w:rPr>
              <w:t>Chief Technology &amp; Manufacturing Officer</w:t>
            </w:r>
          </w:p>
        </w:tc>
      </w:tr>
      <w:tr>
        <w:trPr>
          <w:trHeight w:val="68"/>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Jane Pritchett Henderson</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56</w:t>
            </w:r>
          </w:p>
        </w:tc>
        <w:tc>
          <w:tcPr>
            <w:tcW w:w="6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Chief Financial Officer</w:t>
            </w:r>
          </w:p>
        </w:tc>
      </w:tr>
      <w:tr>
        <w:trPr>
          <w:trHeight w:val="283"/>
        </w:trPr>
        <w:tc>
          <w:tcPr>
            <w:tcW w:w="3440" w:type="dxa"/>
            <w:vAlign w:val="bottom"/>
            <w:gridSpan w:val="3"/>
          </w:tcPr>
          <w:p>
            <w:pPr>
              <w:spacing w:after="0"/>
              <w:rPr>
                <w:sz w:val="20"/>
                <w:szCs w:val="20"/>
                <w:color w:val="auto"/>
              </w:rPr>
            </w:pPr>
            <w:r>
              <w:rPr>
                <w:rFonts w:ascii="Arial" w:cs="Arial" w:eastAsia="Arial" w:hAnsi="Arial"/>
                <w:sz w:val="18"/>
                <w:szCs w:val="18"/>
                <w:color w:val="auto"/>
              </w:rPr>
              <w:t>David Hering</w:t>
            </w: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47</w:t>
            </w:r>
          </w:p>
        </w:tc>
        <w:tc>
          <w:tcPr>
            <w:tcW w:w="6600" w:type="dxa"/>
            <w:vAlign w:val="bottom"/>
            <w:gridSpan w:val="3"/>
          </w:tcPr>
          <w:p>
            <w:pPr>
              <w:ind w:left="100"/>
              <w:spacing w:after="0"/>
              <w:rPr>
                <w:sz w:val="20"/>
                <w:szCs w:val="20"/>
                <w:color w:val="auto"/>
              </w:rPr>
            </w:pPr>
            <w:r>
              <w:rPr>
                <w:rFonts w:ascii="Arial" w:cs="Arial" w:eastAsia="Arial" w:hAnsi="Arial"/>
                <w:sz w:val="18"/>
                <w:szCs w:val="18"/>
                <w:color w:val="auto"/>
              </w:rPr>
              <w:t>Chief Operating Officer</w:t>
            </w:r>
          </w:p>
        </w:tc>
      </w:tr>
      <w:tr>
        <w:trPr>
          <w:trHeight w:val="68"/>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Elham (Ellie) Hershberger, Pharm. D.</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53</w:t>
            </w:r>
          </w:p>
        </w:tc>
        <w:tc>
          <w:tcPr>
            <w:tcW w:w="6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Chief Development Officer</w:t>
            </w:r>
          </w:p>
        </w:tc>
      </w:tr>
      <w:tr>
        <w:trPr>
          <w:trHeight w:val="284"/>
        </w:trPr>
        <w:tc>
          <w:tcPr>
            <w:tcW w:w="34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Key Employees</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60" w:type="dxa"/>
            <w:vAlign w:val="bottom"/>
          </w:tcPr>
          <w:p>
            <w:pPr>
              <w:spacing w:after="0"/>
              <w:rPr>
                <w:sz w:val="24"/>
                <w:szCs w:val="24"/>
                <w:color w:val="auto"/>
              </w:rPr>
            </w:pPr>
          </w:p>
        </w:tc>
      </w:tr>
      <w:tr>
        <w:trPr>
          <w:trHeight w:val="68"/>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Laura Walker, Ph.D.</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36</w:t>
            </w:r>
          </w:p>
        </w:tc>
        <w:tc>
          <w:tcPr>
            <w:tcW w:w="6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Co-Founder &amp; Chief Scientific Officer</w:t>
            </w:r>
          </w:p>
        </w:tc>
      </w:tr>
      <w:tr>
        <w:trPr>
          <w:trHeight w:val="283"/>
        </w:trPr>
        <w:tc>
          <w:tcPr>
            <w:tcW w:w="3440" w:type="dxa"/>
            <w:vAlign w:val="bottom"/>
            <w:gridSpan w:val="3"/>
          </w:tcPr>
          <w:p>
            <w:pPr>
              <w:spacing w:after="0"/>
              <w:rPr>
                <w:sz w:val="20"/>
                <w:szCs w:val="20"/>
                <w:color w:val="auto"/>
              </w:rPr>
            </w:pPr>
            <w:r>
              <w:rPr>
                <w:rFonts w:ascii="Arial" w:cs="Arial" w:eastAsia="Arial" w:hAnsi="Arial"/>
                <w:sz w:val="18"/>
                <w:szCs w:val="18"/>
                <w:color w:val="auto"/>
              </w:rPr>
              <w:t>Eric Kimble, M.B.A.</w:t>
            </w: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54</w:t>
            </w:r>
          </w:p>
        </w:tc>
        <w:tc>
          <w:tcPr>
            <w:tcW w:w="6600" w:type="dxa"/>
            <w:vAlign w:val="bottom"/>
            <w:gridSpan w:val="3"/>
          </w:tcPr>
          <w:p>
            <w:pPr>
              <w:ind w:left="100"/>
              <w:spacing w:after="0"/>
              <w:rPr>
                <w:sz w:val="20"/>
                <w:szCs w:val="20"/>
                <w:color w:val="auto"/>
              </w:rPr>
            </w:pPr>
            <w:r>
              <w:rPr>
                <w:rFonts w:ascii="Arial" w:cs="Arial" w:eastAsia="Arial" w:hAnsi="Arial"/>
                <w:sz w:val="18"/>
                <w:szCs w:val="18"/>
                <w:color w:val="auto"/>
              </w:rPr>
              <w:t>Chief Commercial Officer</w:t>
            </w:r>
          </w:p>
        </w:tc>
      </w:tr>
      <w:tr>
        <w:trPr>
          <w:trHeight w:val="68"/>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60" w:type="dxa"/>
            <w:vAlign w:val="bottom"/>
            <w:shd w:val="clear" w:color="auto" w:fill="CCEEFF"/>
          </w:tcPr>
          <w:p>
            <w:pPr>
              <w:spacing w:after="0"/>
              <w:rPr>
                <w:sz w:val="18"/>
                <w:szCs w:val="18"/>
                <w:color w:val="auto"/>
              </w:rPr>
            </w:pPr>
          </w:p>
        </w:tc>
      </w:tr>
      <w:tr>
        <w:trPr>
          <w:trHeight w:val="283"/>
        </w:trPr>
        <w:tc>
          <w:tcPr>
            <w:tcW w:w="3440" w:type="dxa"/>
            <w:vAlign w:val="bottom"/>
            <w:gridSpan w:val="3"/>
          </w:tcPr>
          <w:p>
            <w:pPr>
              <w:spacing w:after="0"/>
              <w:rPr>
                <w:sz w:val="20"/>
                <w:szCs w:val="20"/>
                <w:color w:val="auto"/>
              </w:rPr>
            </w:pPr>
            <w:r>
              <w:rPr>
                <w:rFonts w:ascii="Arial" w:cs="Arial" w:eastAsia="Arial" w:hAnsi="Arial"/>
                <w:sz w:val="18"/>
                <w:szCs w:val="18"/>
                <w:color w:val="auto"/>
              </w:rPr>
              <w:t>René Russo, Pharm. D.</w:t>
            </w: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46</w:t>
            </w:r>
          </w:p>
        </w:tc>
        <w:tc>
          <w:tcPr>
            <w:tcW w:w="6600" w:type="dxa"/>
            <w:vAlign w:val="bottom"/>
            <w:gridSpan w:val="3"/>
          </w:tcPr>
          <w:p>
            <w:pPr>
              <w:ind w:left="100"/>
              <w:spacing w:after="0"/>
              <w:rPr>
                <w:sz w:val="20"/>
                <w:szCs w:val="20"/>
                <w:color w:val="auto"/>
              </w:rPr>
            </w:pPr>
            <w:r>
              <w:rPr>
                <w:rFonts w:ascii="Arial" w:cs="Arial" w:eastAsia="Arial" w:hAnsi="Arial"/>
                <w:sz w:val="18"/>
                <w:szCs w:val="18"/>
                <w:color w:val="auto"/>
              </w:rPr>
              <w:t>Co-Founder, Director and Chair of the Board</w:t>
            </w:r>
          </w:p>
        </w:tc>
      </w:tr>
      <w:tr>
        <w:trPr>
          <w:trHeight w:val="68"/>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Terrance McGuire</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65</w:t>
            </w:r>
          </w:p>
        </w:tc>
        <w:tc>
          <w:tcPr>
            <w:tcW w:w="6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84"/>
        </w:trPr>
        <w:tc>
          <w:tcPr>
            <w:tcW w:w="3440" w:type="dxa"/>
            <w:vAlign w:val="bottom"/>
            <w:gridSpan w:val="3"/>
          </w:tcPr>
          <w:p>
            <w:pPr>
              <w:spacing w:after="0"/>
              <w:rPr>
                <w:sz w:val="20"/>
                <w:szCs w:val="20"/>
                <w:color w:val="auto"/>
              </w:rPr>
            </w:pPr>
            <w:r>
              <w:rPr>
                <w:rFonts w:ascii="Arial" w:cs="Arial" w:eastAsia="Arial" w:hAnsi="Arial"/>
                <w:sz w:val="18"/>
                <w:szCs w:val="18"/>
                <w:color w:val="auto"/>
              </w:rPr>
              <w:t>Ajay Royan</w:t>
            </w: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41</w:t>
            </w:r>
          </w:p>
        </w:tc>
        <w:tc>
          <w:tcPr>
            <w:tcW w:w="66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r>
      <w:tr>
        <w:trPr>
          <w:trHeight w:val="68"/>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Howard Mayer, M.D.</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58</w:t>
            </w:r>
          </w:p>
        </w:tc>
        <w:tc>
          <w:tcPr>
            <w:tcW w:w="6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84"/>
        </w:trPr>
        <w:tc>
          <w:tcPr>
            <w:tcW w:w="3440" w:type="dxa"/>
            <w:vAlign w:val="bottom"/>
            <w:gridSpan w:val="3"/>
          </w:tcPr>
          <w:p>
            <w:pPr>
              <w:spacing w:after="0"/>
              <w:rPr>
                <w:sz w:val="20"/>
                <w:szCs w:val="20"/>
                <w:color w:val="auto"/>
              </w:rPr>
            </w:pPr>
            <w:r>
              <w:rPr>
                <w:rFonts w:ascii="Arial" w:cs="Arial" w:eastAsia="Arial" w:hAnsi="Arial"/>
                <w:sz w:val="18"/>
                <w:szCs w:val="18"/>
                <w:color w:val="auto"/>
              </w:rPr>
              <w:t>Anand Shah, M.D.</w:t>
            </w: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41</w:t>
            </w:r>
          </w:p>
        </w:tc>
        <w:tc>
          <w:tcPr>
            <w:tcW w:w="66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r>
      <w:tr>
        <w:trPr>
          <w:trHeight w:val="68"/>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Tom Heyman</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65</w:t>
            </w:r>
          </w:p>
        </w:tc>
        <w:tc>
          <w:tcPr>
            <w:tcW w:w="6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84"/>
        </w:trPr>
        <w:tc>
          <w:tcPr>
            <w:tcW w:w="3440" w:type="dxa"/>
            <w:vAlign w:val="bottom"/>
            <w:gridSpan w:val="3"/>
          </w:tcPr>
          <w:p>
            <w:pPr>
              <w:spacing w:after="0"/>
              <w:rPr>
                <w:sz w:val="20"/>
                <w:szCs w:val="20"/>
                <w:color w:val="auto"/>
              </w:rPr>
            </w:pPr>
            <w:r>
              <w:rPr>
                <w:rFonts w:ascii="Arial" w:cs="Arial" w:eastAsia="Arial" w:hAnsi="Arial"/>
                <w:sz w:val="18"/>
                <w:szCs w:val="18"/>
                <w:color w:val="auto"/>
              </w:rPr>
              <w:t>Michael Wyzga</w:t>
            </w: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66</w:t>
            </w:r>
          </w:p>
        </w:tc>
        <w:tc>
          <w:tcPr>
            <w:tcW w:w="66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r>
      <w:tr>
        <w:trPr>
          <w:trHeight w:val="135"/>
        </w:trPr>
        <w:tc>
          <w:tcPr>
            <w:tcW w:w="3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60" w:type="dxa"/>
            <w:vAlign w:val="bottom"/>
          </w:tcPr>
          <w:p>
            <w:pPr>
              <w:spacing w:after="0"/>
              <w:rPr>
                <w:sz w:val="11"/>
                <w:szCs w:val="1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117" w:lineRule="exact"/>
        <w:rPr>
          <w:sz w:val="20"/>
          <w:szCs w:val="20"/>
          <w:color w:val="auto"/>
        </w:rPr>
      </w:pPr>
    </w:p>
    <w:p>
      <w:pPr>
        <w:jc w:val="both"/>
        <w:ind w:left="120" w:right="20" w:firstLine="440"/>
        <w:spacing w:after="0" w:line="270" w:lineRule="auto"/>
        <w:rPr>
          <w:sz w:val="20"/>
          <w:szCs w:val="20"/>
          <w:color w:val="auto"/>
        </w:rPr>
      </w:pPr>
      <w:r>
        <w:rPr>
          <w:rFonts w:ascii="Arial" w:cs="Arial" w:eastAsia="Arial" w:hAnsi="Arial"/>
          <w:sz w:val="17"/>
          <w:szCs w:val="17"/>
          <w:b w:val="1"/>
          <w:bCs w:val="1"/>
          <w:color w:val="auto"/>
        </w:rPr>
        <w:t xml:space="preserve">Tillman U. Gerngross, Ph.D. </w:t>
      </w:r>
      <w:r>
        <w:rPr>
          <w:rFonts w:ascii="Arial" w:cs="Arial" w:eastAsia="Arial" w:hAnsi="Arial"/>
          <w:sz w:val="17"/>
          <w:szCs w:val="17"/>
          <w:color w:val="auto"/>
        </w:rPr>
        <w:t>is our co-founder and has served as a member of our board of directors and as our Chief Executive Officer since</w:t>
      </w:r>
      <w:r>
        <w:rPr>
          <w:rFonts w:ascii="Arial" w:cs="Arial" w:eastAsia="Arial" w:hAnsi="Arial"/>
          <w:sz w:val="17"/>
          <w:szCs w:val="17"/>
          <w:b w:val="1"/>
          <w:bCs w:val="1"/>
          <w:color w:val="auto"/>
        </w:rPr>
        <w:t xml:space="preserve"> </w:t>
      </w:r>
      <w:r>
        <w:rPr>
          <w:rFonts w:ascii="Arial" w:cs="Arial" w:eastAsia="Arial" w:hAnsi="Arial"/>
          <w:sz w:val="17"/>
          <w:szCs w:val="17"/>
          <w:color w:val="auto"/>
        </w:rPr>
        <w:t>June 2020. Dr. Gerngross is a founder, director and executive officer of numerous biotechnology companies. He is a co-founder of Adimab, LLC and has served as its Chief Executive Officer and as a director since 2007. He is also a co-founder and Chairman of Avitide, Inc. since August 2012, a co-founder and Chairman of Alector, Inc. since September 2017, a co-founder, President and Chairman of Amagma, Inc. since August 2019 and a co-founder, President and Chairman of Ankyra Therapeutics, Inc. since November 2019. Dr. Gerngross is currently a Venture Partner at SV Life Sciences Advisors, LLC, which he joined in 2006. Dr. Gerngross co-founded GlycoFi, Inc. and served as its Chief Scientific Officer from 2000 to 2006 until it was acquired by Merck &amp; Company, Inc. Dr. Gerngross currently teaches at the Thayer School of Engineering, at Dartmouth College, where he has taught since 1998. Dr. Gerngross received a B.S. and M.S. in Chemical Engineering and a Ph.D. in Molecular Biology from Technical University of Vienna. We believe Dr. Gerngross is qualified to serve as a member of our board of directors because of his knowledge of Adagio as a co-founder and his expertise as an executive officer and director in the biotechnology industry.</w:t>
      </w:r>
    </w:p>
    <w:p>
      <w:pPr>
        <w:spacing w:after="0" w:line="177"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7"/>
          <w:szCs w:val="17"/>
          <w:b w:val="1"/>
          <w:bCs w:val="1"/>
          <w:color w:val="auto"/>
        </w:rPr>
        <w:t xml:space="preserve">Lynn Connolly, M.D., Ph.D. </w:t>
      </w:r>
      <w:r>
        <w:rPr>
          <w:rFonts w:ascii="Arial" w:cs="Arial" w:eastAsia="Arial" w:hAnsi="Arial"/>
          <w:sz w:val="17"/>
          <w:szCs w:val="17"/>
          <w:color w:val="auto"/>
        </w:rPr>
        <w:t>has served as our Chief Medical Officer since July 2020. Prior to joining Adagio, Dr. Connolly served as Senior</w:t>
      </w:r>
      <w:r>
        <w:rPr>
          <w:rFonts w:ascii="Arial" w:cs="Arial" w:eastAsia="Arial" w:hAnsi="Arial"/>
          <w:sz w:val="17"/>
          <w:szCs w:val="17"/>
          <w:b w:val="1"/>
          <w:bCs w:val="1"/>
          <w:color w:val="auto"/>
        </w:rPr>
        <w:t xml:space="preserve"> </w:t>
      </w:r>
      <w:r>
        <w:rPr>
          <w:rFonts w:ascii="Arial" w:cs="Arial" w:eastAsia="Arial" w:hAnsi="Arial"/>
          <w:sz w:val="17"/>
          <w:szCs w:val="17"/>
          <w:color w:val="auto"/>
        </w:rPr>
        <w:t>Vice President, Clinical Research from March 2020 to July 2020 and Vice President, Clinical Research from March 2018 to February 2020 of Vir Biotechnology, Inc. Dr. Connolly served as Vice President and Head of Late Development from January 2017 to March 2018 and Senior Medical</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40"/>
          </w:cols>
          <w:pgMar w:left="32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Director from January 2016 to January 2017 of Achaogen, Inc. Dr. Connolly received a B.A. in Molecular Biology from University of California, Berkeley and a M.D. and Ph.D. in Cell Biology from University of California, San Francisco.</w:t>
      </w:r>
    </w:p>
    <w:p>
      <w:pPr>
        <w:spacing w:after="0" w:line="166" w:lineRule="exact"/>
        <w:rPr>
          <w:sz w:val="20"/>
          <w:szCs w:val="20"/>
          <w:color w:val="auto"/>
        </w:rPr>
      </w:pPr>
    </w:p>
    <w:p>
      <w:pPr>
        <w:jc w:val="both"/>
        <w:ind w:left="120" w:firstLine="440"/>
        <w:spacing w:after="0" w:line="258" w:lineRule="auto"/>
        <w:rPr>
          <w:sz w:val="20"/>
          <w:szCs w:val="20"/>
          <w:color w:val="auto"/>
        </w:rPr>
      </w:pPr>
      <w:r>
        <w:rPr>
          <w:rFonts w:ascii="Arial" w:cs="Arial" w:eastAsia="Arial" w:hAnsi="Arial"/>
          <w:sz w:val="18"/>
          <w:szCs w:val="18"/>
          <w:b w:val="1"/>
          <w:bCs w:val="1"/>
          <w:color w:val="auto"/>
        </w:rPr>
        <w:t xml:space="preserve">Rebecca Dabora, Ph.D. </w:t>
      </w:r>
      <w:r>
        <w:rPr>
          <w:rFonts w:ascii="Arial" w:cs="Arial" w:eastAsia="Arial" w:hAnsi="Arial"/>
          <w:sz w:val="18"/>
          <w:szCs w:val="18"/>
          <w:color w:val="auto"/>
        </w:rPr>
        <w:t>has served as our Chief Technology &amp; Manufacturing Officer since July 2020. In addition, Dr. Dabora is currently</w:t>
      </w:r>
      <w:r>
        <w:rPr>
          <w:rFonts w:ascii="Arial" w:cs="Arial" w:eastAsia="Arial" w:hAnsi="Arial"/>
          <w:sz w:val="18"/>
          <w:szCs w:val="18"/>
          <w:b w:val="1"/>
          <w:bCs w:val="1"/>
          <w:color w:val="auto"/>
        </w:rPr>
        <w:t xml:space="preserve"> </w:t>
      </w:r>
      <w:r>
        <w:rPr>
          <w:rFonts w:ascii="Arial" w:cs="Arial" w:eastAsia="Arial" w:hAnsi="Arial"/>
          <w:sz w:val="18"/>
          <w:szCs w:val="18"/>
          <w:color w:val="auto"/>
        </w:rPr>
        <w:t>serving as Principal for RDBio Consulting LLC since July 2005. Prior to joining Adagio, Dr. Dabora served as Interim Chief Technology Officer of SwanBio Therapeutics, Inc. from July 2019 to July 2020 and Chief Technology Officer of Aspyrian Therapeutics, Inc. from March 2016 to March 2017. Dr. Dabora received a B.A. in Biochemistry from Bowdoin College and a Ph.D. in Applied Biological Sciences and Biochemical Engineering from the Massachusetts Institute of Technology.</w:t>
      </w:r>
    </w:p>
    <w:p>
      <w:pPr>
        <w:spacing w:after="0" w:line="183" w:lineRule="exact"/>
        <w:rPr>
          <w:sz w:val="20"/>
          <w:szCs w:val="20"/>
          <w:color w:val="auto"/>
        </w:rPr>
      </w:pPr>
    </w:p>
    <w:p>
      <w:pPr>
        <w:jc w:val="both"/>
        <w:ind w:left="120" w:firstLine="440"/>
        <w:spacing w:after="0" w:line="274" w:lineRule="auto"/>
        <w:rPr>
          <w:sz w:val="20"/>
          <w:szCs w:val="20"/>
          <w:color w:val="auto"/>
        </w:rPr>
      </w:pPr>
      <w:r>
        <w:rPr>
          <w:rFonts w:ascii="Arial" w:cs="Arial" w:eastAsia="Arial" w:hAnsi="Arial"/>
          <w:sz w:val="17"/>
          <w:szCs w:val="17"/>
          <w:b w:val="1"/>
          <w:bCs w:val="1"/>
          <w:color w:val="auto"/>
        </w:rPr>
        <w:t xml:space="preserve">Jane Pritchett Henderson </w:t>
      </w:r>
      <w:r>
        <w:rPr>
          <w:rFonts w:ascii="Arial" w:cs="Arial" w:eastAsia="Arial" w:hAnsi="Arial"/>
          <w:sz w:val="17"/>
          <w:szCs w:val="17"/>
          <w:color w:val="auto"/>
        </w:rPr>
        <w:t>has served as our Chief Financial Officer since December 2020. In addition, Ms. Henderson serves as a director and</w:t>
      </w:r>
      <w:r>
        <w:rPr>
          <w:rFonts w:ascii="Arial" w:cs="Arial" w:eastAsia="Arial" w:hAnsi="Arial"/>
          <w:sz w:val="17"/>
          <w:szCs w:val="17"/>
          <w:b w:val="1"/>
          <w:bCs w:val="1"/>
          <w:color w:val="auto"/>
        </w:rPr>
        <w:t xml:space="preserve"> </w:t>
      </w:r>
      <w:r>
        <w:rPr>
          <w:rFonts w:ascii="Arial" w:cs="Arial" w:eastAsia="Arial" w:hAnsi="Arial"/>
          <w:sz w:val="17"/>
          <w:szCs w:val="17"/>
          <w:color w:val="auto"/>
        </w:rPr>
        <w:t>chair of the audit committee of Akero Therapeutics, Inc. since April 2019, of IVERIC bio, Inc. since January 2018 and of Sesen Bio, Inc., formerly Eleven Biotherapeutics, Inc., since October 2013. Prior to joining Adagio, Ms. Henderson served as Chief Financial Officer of Turnstone Biologics from June 2018 to December 2020, Chief Financial Officer and Senior Vice President, Corporate Development of Voyager Therapeutics, Inc. from January 2017 to June 2018 and Senior Vice President and Chief Financial &amp; Business Officer of Kolltan Pharmaceuticals, Inc. from February 2013 to November 2016. Ms. Henderson received a B.S. in Psychology from Duke University.</w:t>
      </w:r>
    </w:p>
    <w:p>
      <w:pPr>
        <w:spacing w:after="0" w:line="173"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7"/>
          <w:szCs w:val="17"/>
          <w:b w:val="1"/>
          <w:bCs w:val="1"/>
          <w:color w:val="auto"/>
        </w:rPr>
        <w:t xml:space="preserve">David Hering, M.B.A. </w:t>
      </w:r>
      <w:r>
        <w:rPr>
          <w:rFonts w:ascii="Arial" w:cs="Arial" w:eastAsia="Arial" w:hAnsi="Arial"/>
          <w:sz w:val="17"/>
          <w:szCs w:val="17"/>
          <w:color w:val="auto"/>
        </w:rPr>
        <w:t>has served as our Chief Operating Officer since June 2021. Prior to joining Adagio, Mr. Hering served as the Head of the</w:t>
      </w:r>
      <w:r>
        <w:rPr>
          <w:rFonts w:ascii="Arial" w:cs="Arial" w:eastAsia="Arial" w:hAnsi="Arial"/>
          <w:sz w:val="17"/>
          <w:szCs w:val="17"/>
          <w:b w:val="1"/>
          <w:bCs w:val="1"/>
          <w:color w:val="auto"/>
        </w:rPr>
        <w:t xml:space="preserve"> </w:t>
      </w:r>
      <w:r>
        <w:rPr>
          <w:rFonts w:ascii="Arial" w:cs="Arial" w:eastAsia="Arial" w:hAnsi="Arial"/>
          <w:sz w:val="17"/>
          <w:szCs w:val="17"/>
          <w:color w:val="auto"/>
        </w:rPr>
        <w:t>mRNA Global Franchise Business of Pfizer, Inc. from April 2021 to June 2021, the President of North America Vaccines of Pfizer, Inc. from December 2018 to April 2021 and the Vaccines Commercial Officer of Pfizer, Inc. from June 2015 to December 2018. Before joining Pfizer in 2015, Mr. Hering spent seven years at Novartis Vaccines, where he held the position of Head of the North America Region. Mr. Hering received an M.B.A. from Harvard Business School and a B.S. in Operations Research and Industrial Engineering from Cornell University.</w:t>
      </w:r>
    </w:p>
    <w:p>
      <w:pPr>
        <w:spacing w:after="0" w:line="168" w:lineRule="exact"/>
        <w:rPr>
          <w:sz w:val="20"/>
          <w:szCs w:val="20"/>
          <w:color w:val="auto"/>
        </w:rPr>
      </w:pPr>
    </w:p>
    <w:p>
      <w:pPr>
        <w:jc w:val="both"/>
        <w:ind w:left="120" w:firstLine="440"/>
        <w:spacing w:after="0" w:line="314" w:lineRule="auto"/>
        <w:rPr>
          <w:sz w:val="20"/>
          <w:szCs w:val="20"/>
          <w:color w:val="auto"/>
        </w:rPr>
      </w:pPr>
      <w:r>
        <w:rPr>
          <w:rFonts w:ascii="Arial" w:cs="Arial" w:eastAsia="Arial" w:hAnsi="Arial"/>
          <w:sz w:val="16"/>
          <w:szCs w:val="16"/>
          <w:b w:val="1"/>
          <w:bCs w:val="1"/>
          <w:color w:val="auto"/>
        </w:rPr>
        <w:t xml:space="preserve">Elham (Ellie) Hershberger, Pharm.D. </w:t>
      </w:r>
      <w:r>
        <w:rPr>
          <w:rFonts w:ascii="Arial" w:cs="Arial" w:eastAsia="Arial" w:hAnsi="Arial"/>
          <w:sz w:val="16"/>
          <w:szCs w:val="16"/>
          <w:color w:val="auto"/>
        </w:rPr>
        <w:t>has served as our Chief Development Officer since June 2020. Prior to joining Adagio, Dr. Hershberger</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President of EMH Consulting Group, Inc. from July 2017 to October 2020 and as Head of Clinical Development of Visterra, Inc. from January 2016 to July 2017. Dr. Hershberger received a B.S. in Chemistry from University of Minnesota and a Pharm.D. from Ferris State University.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Employees</w:t>
      </w:r>
    </w:p>
    <w:p>
      <w:pPr>
        <w:spacing w:after="0" w:line="117" w:lineRule="exact"/>
        <w:rPr>
          <w:sz w:val="20"/>
          <w:szCs w:val="20"/>
          <w:color w:val="auto"/>
        </w:rPr>
      </w:pPr>
    </w:p>
    <w:p>
      <w:pPr>
        <w:jc w:val="both"/>
        <w:ind w:left="120" w:firstLine="440"/>
        <w:spacing w:after="0" w:line="261" w:lineRule="auto"/>
        <w:rPr>
          <w:sz w:val="20"/>
          <w:szCs w:val="20"/>
          <w:color w:val="auto"/>
        </w:rPr>
      </w:pPr>
      <w:r>
        <w:rPr>
          <w:rFonts w:ascii="Arial" w:cs="Arial" w:eastAsia="Arial" w:hAnsi="Arial"/>
          <w:sz w:val="18"/>
          <w:szCs w:val="18"/>
          <w:b w:val="1"/>
          <w:bCs w:val="1"/>
          <w:color w:val="auto"/>
        </w:rPr>
        <w:t xml:space="preserve">Laura Walker, Ph.D. </w:t>
      </w:r>
      <w:r>
        <w:rPr>
          <w:rFonts w:ascii="Arial" w:cs="Arial" w:eastAsia="Arial" w:hAnsi="Arial"/>
          <w:sz w:val="18"/>
          <w:szCs w:val="18"/>
          <w:color w:val="auto"/>
        </w:rPr>
        <w:t>is our co-founder and has served as our Chief Scientific Officer since June 2020. In addition, Dr. Walker has served in</w:t>
      </w:r>
      <w:r>
        <w:rPr>
          <w:rFonts w:ascii="Arial" w:cs="Arial" w:eastAsia="Arial" w:hAnsi="Arial"/>
          <w:sz w:val="18"/>
          <w:szCs w:val="18"/>
          <w:b w:val="1"/>
          <w:bCs w:val="1"/>
          <w:color w:val="auto"/>
        </w:rPr>
        <w:t xml:space="preserve"> </w:t>
      </w:r>
      <w:r>
        <w:rPr>
          <w:rFonts w:ascii="Arial" w:cs="Arial" w:eastAsia="Arial" w:hAnsi="Arial"/>
          <w:sz w:val="18"/>
          <w:szCs w:val="18"/>
          <w:color w:val="auto"/>
        </w:rPr>
        <w:t>various roles at Adimab, LLC, including Group Leader, since May 2012 and has served as Senior Director of Antibody Sciences since October 2019. Dr. Walker received a B.S. in Biochemistry from University of Wisconsin-Madison and a Ph.D. in Microbiology and Immunology from The Scripps Research Institute.</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Arial" w:cs="Arial" w:eastAsia="Arial" w:hAnsi="Arial"/>
          <w:sz w:val="18"/>
          <w:szCs w:val="18"/>
          <w:b w:val="1"/>
          <w:bCs w:val="1"/>
          <w:color w:val="auto"/>
        </w:rPr>
        <w:t xml:space="preserve">Eric Kimble, M.B.A. </w:t>
      </w:r>
      <w:r>
        <w:rPr>
          <w:rFonts w:ascii="Arial" w:cs="Arial" w:eastAsia="Arial" w:hAnsi="Arial"/>
          <w:sz w:val="18"/>
          <w:szCs w:val="18"/>
          <w:color w:val="auto"/>
        </w:rPr>
        <w:t>has served as Chief Commercial Officer since September 2020. Prior to joining Adagio, Mr. Kimble served as Chief</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Officer for Entasis Therapeutics, Inc. from April 2019 to September 2020 and as a consultant for various emerging biotechnology companies from June 2013 to April 2019. Mr. Kimble received an A.B. in English Literature and Business Economics from Brown University and an M.B.A. from the Harvard Business School.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Directors</w:t>
      </w:r>
    </w:p>
    <w:p>
      <w:pPr>
        <w:spacing w:after="0" w:line="117" w:lineRule="exact"/>
        <w:rPr>
          <w:sz w:val="20"/>
          <w:szCs w:val="20"/>
          <w:color w:val="auto"/>
        </w:rPr>
      </w:pPr>
    </w:p>
    <w:p>
      <w:pPr>
        <w:jc w:val="both"/>
        <w:ind w:left="120" w:right="20" w:firstLine="440"/>
        <w:spacing w:after="0" w:line="266" w:lineRule="auto"/>
        <w:rPr>
          <w:sz w:val="20"/>
          <w:szCs w:val="20"/>
          <w:color w:val="auto"/>
        </w:rPr>
      </w:pPr>
      <w:r>
        <w:rPr>
          <w:rFonts w:ascii="Arial" w:cs="Arial" w:eastAsia="Arial" w:hAnsi="Arial"/>
          <w:sz w:val="18"/>
          <w:szCs w:val="18"/>
          <w:b w:val="1"/>
          <w:bCs w:val="1"/>
          <w:color w:val="auto"/>
        </w:rPr>
        <w:t xml:space="preserve">René Russo, Pharm.D. </w:t>
      </w:r>
      <w:r>
        <w:rPr>
          <w:rFonts w:ascii="Arial" w:cs="Arial" w:eastAsia="Arial" w:hAnsi="Arial"/>
          <w:sz w:val="18"/>
          <w:szCs w:val="18"/>
          <w:color w:val="auto"/>
        </w:rPr>
        <w:t>is our co-founder and has served as the chair of our board of directors since October 2020. Dr. Russo has served as the</w:t>
      </w:r>
      <w:r>
        <w:rPr>
          <w:rFonts w:ascii="Arial" w:cs="Arial" w:eastAsia="Arial" w:hAnsi="Arial"/>
          <w:sz w:val="18"/>
          <w:szCs w:val="18"/>
          <w:b w:val="1"/>
          <w:bCs w:val="1"/>
          <w:color w:val="auto"/>
        </w:rPr>
        <w:t xml:space="preserve"> </w:t>
      </w:r>
      <w:r>
        <w:rPr>
          <w:rFonts w:ascii="Arial" w:cs="Arial" w:eastAsia="Arial" w:hAnsi="Arial"/>
          <w:sz w:val="18"/>
          <w:szCs w:val="18"/>
          <w:color w:val="auto"/>
        </w:rPr>
        <w:t>Chief Executive Officer of Xilio Therapeutics, Inc since May 2019. Prior to her position at Xilio, Dr. Russo served as President and Chief Executive Officer of Arsanis, Inc. from April 2016</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40"/>
          </w:cols>
          <w:pgMar w:left="320" w:top="459"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to November 2018, and as its Chief Development Officer from July 2015 to April 2016. In addition, Dr. Russo has served as a director of Celsius Therapeutics, Inc. since May 2020 and X4 Pharmaceuticals, Inc. since March 2019. Dr. Russo received a B.S. in Pharmacy and a Pharm.D. from Rutgers University. We believe Dr. Russo is qualified to serve as a member of our board of directors because of her experience as an executive at public and private pharmaceutical companies and her expertise in clinical development and commercialization of therapeutics.</w:t>
      </w:r>
    </w:p>
    <w:p>
      <w:pPr>
        <w:spacing w:after="0" w:line="167"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b w:val="1"/>
          <w:bCs w:val="1"/>
          <w:color w:val="auto"/>
        </w:rPr>
        <w:t xml:space="preserve">Terrance McGuire </w:t>
      </w:r>
      <w:r>
        <w:rPr>
          <w:rFonts w:ascii="Arial" w:cs="Arial" w:eastAsia="Arial" w:hAnsi="Arial"/>
          <w:sz w:val="17"/>
          <w:szCs w:val="17"/>
          <w:color w:val="auto"/>
        </w:rPr>
        <w:t>has served as a member of our board of directors since October 2020. Mr. McGuire is a Founding Partner of Polaris Partners,</w:t>
      </w:r>
      <w:r>
        <w:rPr>
          <w:rFonts w:ascii="Arial" w:cs="Arial" w:eastAsia="Arial" w:hAnsi="Arial"/>
          <w:sz w:val="17"/>
          <w:szCs w:val="17"/>
          <w:b w:val="1"/>
          <w:bCs w:val="1"/>
          <w:color w:val="auto"/>
        </w:rPr>
        <w:t xml:space="preserve"> </w:t>
      </w:r>
      <w:r>
        <w:rPr>
          <w:rFonts w:ascii="Arial" w:cs="Arial" w:eastAsia="Arial" w:hAnsi="Arial"/>
          <w:sz w:val="17"/>
          <w:szCs w:val="17"/>
          <w:color w:val="auto"/>
        </w:rPr>
        <w:t>a venture capital firm investing in technology and healthcare companies, since 1996. In addition, Mr. McGuire serves as chairman of the board of directors of Ironwood Pharmaceuticals, Inc. and has served as a director since 1998. Mr. McGuire also currently serves on the boards of directors of Acceleron Pharma, Inc. since 2005, Pulmatrix, Inc. since May 2016 and Adimab, LLC since August 2007. Mr. McGuire received a B.S. in physics and economics from Hobart College, an M.B.A. from Harvard Business School and an M.S. in Engineering from the Thayer School at Dartmouth College. We believe Mr. McGuire is qualified to serve as a member of our board of directors because of his expertise in the biotechnology industry through his career in venture capital as well as his experience as a director of several biotechnology companies.</w:t>
      </w:r>
    </w:p>
    <w:p>
      <w:pPr>
        <w:spacing w:after="0" w:line="172"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b w:val="1"/>
          <w:bCs w:val="1"/>
          <w:color w:val="auto"/>
        </w:rPr>
        <w:t xml:space="preserve">Ajay Royan </w:t>
      </w:r>
      <w:r>
        <w:rPr>
          <w:rFonts w:ascii="Arial" w:cs="Arial" w:eastAsia="Arial" w:hAnsi="Arial"/>
          <w:sz w:val="18"/>
          <w:szCs w:val="18"/>
          <w:color w:val="auto"/>
        </w:rPr>
        <w:t>has served as a member of our board of directors since October 2020. Mr. Royan has served as Managing General Partner and</w:t>
      </w:r>
      <w:r>
        <w:rPr>
          <w:rFonts w:ascii="Arial" w:cs="Arial" w:eastAsia="Arial" w:hAnsi="Arial"/>
          <w:sz w:val="18"/>
          <w:szCs w:val="18"/>
          <w:b w:val="1"/>
          <w:bCs w:val="1"/>
          <w:color w:val="auto"/>
        </w:rPr>
        <w:t xml:space="preserve"> </w:t>
      </w:r>
      <w:r>
        <w:rPr>
          <w:rFonts w:ascii="Arial" w:cs="Arial" w:eastAsia="Arial" w:hAnsi="Arial"/>
          <w:sz w:val="18"/>
          <w:szCs w:val="18"/>
          <w:color w:val="auto"/>
        </w:rPr>
        <w:t>Founder of Mithril Capital Management LLC, a venture capital firm investing in technology companies, since June 2012 and on the board of directors of several private companies in which Mithril Capital Management LLC or its affiliates have invested. In addition, Mr. Royan has served as a director of Adimab, LLC since September 2014 and has served as a director of Blacksky Holdings, Inc. since June 2016. Mr. Royan serves on the Science Advisory Board of the Oak Ridge National Laboratory, the board of directors of Fulbright Canada, and the Presidents’ Circle of the National Academies of Science, Engineering, and Medicine. Mr. Royan received a B.A. from Yale University. We believe Mr. Royan is qualified to serve as a member of our board of directors because of his expertise in the technology industry through his career in venture capital and his experience as a director of several technology companies.</w:t>
      </w:r>
    </w:p>
    <w:p>
      <w:pPr>
        <w:spacing w:after="0" w:line="192"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b w:val="1"/>
          <w:bCs w:val="1"/>
          <w:color w:val="auto"/>
        </w:rPr>
        <w:t xml:space="preserve">Howard Mayer, M.D. </w:t>
      </w:r>
      <w:r>
        <w:rPr>
          <w:rFonts w:ascii="Arial" w:cs="Arial" w:eastAsia="Arial" w:hAnsi="Arial"/>
          <w:sz w:val="17"/>
          <w:szCs w:val="17"/>
          <w:color w:val="auto"/>
        </w:rPr>
        <w:t>has served as a member of our board of directors since August 2020. In addition, Dr. Mayer has served on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of Entasis Therapeutics Holdings Inc. since August 2019. Dr. Mayer has served as the Executive Vice President, Head of Research and Development for Ipsen Biopharmaceuticals, Inc. since December 2019. Prior to joining Ipsen, Dr. Mayer served as the Senior Vice President, Chief Medical Officer and Global Head of Research &amp; Development, Neuroscience Division at Shire Pharmaceuticals, Inc., or Shire, from April 2018 to November 2019 until it was acquired by Takeda Pharmaceutical Company in 2019. Prior to that position, Dr. Mayer served as a Senior Vice President and Head of Global Research and Development at Shire from August 2017 to January 2018, and as a Senior Vice President and Head of Global Clinical Development at Shire from August 2013 to August 2017. Dr. Mayer received a B.A. from the University of Pennsylvania and an M.D. from Albert Einstein College of Medicine. We believe that Dr. Mayer is qualified to serve as a member of our board of directors because of his extensive experience in the biopharmaceutical industry and his scientific background.</w:t>
      </w:r>
    </w:p>
    <w:p>
      <w:pPr>
        <w:spacing w:after="0" w:line="173"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b w:val="1"/>
          <w:bCs w:val="1"/>
          <w:color w:val="auto"/>
        </w:rPr>
        <w:t xml:space="preserve">Anand Shah, M.D. </w:t>
      </w:r>
      <w:r>
        <w:rPr>
          <w:rFonts w:ascii="Arial" w:cs="Arial" w:eastAsia="Arial" w:hAnsi="Arial"/>
          <w:sz w:val="16"/>
          <w:szCs w:val="16"/>
          <w:color w:val="auto"/>
        </w:rPr>
        <w:t>has served as a member of our board of directors since June 2021. Dr. Shah served as the Deputy Commissioner for Medical</w:t>
      </w:r>
      <w:r>
        <w:rPr>
          <w:rFonts w:ascii="Arial" w:cs="Arial" w:eastAsia="Arial" w:hAnsi="Arial"/>
          <w:sz w:val="16"/>
          <w:szCs w:val="16"/>
          <w:b w:val="1"/>
          <w:bCs w:val="1"/>
          <w:color w:val="auto"/>
        </w:rPr>
        <w:t xml:space="preserve"> </w:t>
      </w:r>
      <w:r>
        <w:rPr>
          <w:rFonts w:ascii="Arial" w:cs="Arial" w:eastAsia="Arial" w:hAnsi="Arial"/>
          <w:sz w:val="16"/>
          <w:szCs w:val="16"/>
          <w:color w:val="auto"/>
        </w:rPr>
        <w:t>and Scientific Affairs at the U.S. Food and Drug Administration from January 2020 to January 2021. Dr. Shah has served as a senior advisor to Morgan Stanley since January 2021. Dr. Shah previously served as Chief Medical Officer of the Center for Medicare and Medicaid Innovation from October 2017 to January 2019 and Senior Medical Advisor from January 2019 to January 2020, both at the Centers for Medicare and Medicaid Services. Dr. Shah served as an Adjunct Senior Fellow at the Leonard David Institute of Health Economics at the University of Pennsylvania from March 2017 to January 2020. Dr. Shah received an M.D. from University of Pennsylvania, an M.P.H. in Health Care Management and Policy from the Harvard School of Public Health and a B.S. in Economics from Duke University. We believe Dr. Shah is qualified to serve as a member of our board of directors because of his expertise in health policy, the biotechnology field and bringing new technologies to market.</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40"/>
          </w:cols>
          <w:pgMar w:left="32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0" w:firstLine="440"/>
        <w:spacing w:after="0" w:line="294" w:lineRule="auto"/>
        <w:rPr>
          <w:sz w:val="20"/>
          <w:szCs w:val="20"/>
          <w:color w:val="auto"/>
        </w:rPr>
      </w:pPr>
      <w:r>
        <w:rPr>
          <w:rFonts w:ascii="Arial" w:cs="Arial" w:eastAsia="Arial" w:hAnsi="Arial"/>
          <w:sz w:val="16"/>
          <w:szCs w:val="16"/>
          <w:b w:val="1"/>
          <w:bCs w:val="1"/>
          <w:color w:val="auto"/>
        </w:rPr>
        <w:t xml:space="preserve">Tom Heyman </w:t>
      </w:r>
      <w:r>
        <w:rPr>
          <w:rFonts w:ascii="Arial" w:cs="Arial" w:eastAsia="Arial" w:hAnsi="Arial"/>
          <w:sz w:val="16"/>
          <w:szCs w:val="16"/>
          <w:color w:val="auto"/>
        </w:rPr>
        <w:t>has served as a member of our board of directors since June 2021. Mr. Heyman previously served as the President of Johnson &amp;</w:t>
      </w:r>
      <w:r>
        <w:rPr>
          <w:rFonts w:ascii="Arial" w:cs="Arial" w:eastAsia="Arial" w:hAnsi="Arial"/>
          <w:sz w:val="16"/>
          <w:szCs w:val="16"/>
          <w:b w:val="1"/>
          <w:bCs w:val="1"/>
          <w:color w:val="auto"/>
        </w:rPr>
        <w:t xml:space="preserve"> </w:t>
      </w:r>
      <w:r>
        <w:rPr>
          <w:rFonts w:ascii="Arial" w:cs="Arial" w:eastAsia="Arial" w:hAnsi="Arial"/>
          <w:sz w:val="16"/>
          <w:szCs w:val="16"/>
          <w:color w:val="auto"/>
        </w:rPr>
        <w:t>Johnson’s Corporate Venture Capital Group from April 2015 to September 2019 and as the Global Head of Business Development for Johnson &amp; Johnson’s Pharmaceutical Group from March 1992 to March 2015. In addition, Mr. Heyman previously served as Chief Executive Officer of Janssen Pharmaceuticals from November 2008 to November 2016. Mr. Heyman has served as a director of OptiNose, Inc. since December 2020 and a director of Akero Therapeutics, Inc. since June 2020. Mr. Heyman received his Master of Laws from Katholieke Universiteit Leuven. We believe Mr. Heyman is qualified to serve as a member of our board of directors because of his expertise in the biotechnology industry through his career in venture capital.</w:t>
      </w:r>
    </w:p>
    <w:p>
      <w:pPr>
        <w:spacing w:after="0" w:line="160" w:lineRule="exact"/>
        <w:rPr>
          <w:sz w:val="20"/>
          <w:szCs w:val="20"/>
          <w:color w:val="auto"/>
        </w:rPr>
      </w:pPr>
    </w:p>
    <w:p>
      <w:pPr>
        <w:jc w:val="both"/>
        <w:ind w:left="120" w:firstLine="440"/>
        <w:spacing w:after="0" w:line="292" w:lineRule="auto"/>
        <w:rPr>
          <w:sz w:val="20"/>
          <w:szCs w:val="20"/>
          <w:color w:val="auto"/>
        </w:rPr>
      </w:pPr>
      <w:r>
        <w:rPr>
          <w:rFonts w:ascii="Arial" w:cs="Arial" w:eastAsia="Arial" w:hAnsi="Arial"/>
          <w:sz w:val="16"/>
          <w:szCs w:val="16"/>
          <w:b w:val="1"/>
          <w:bCs w:val="1"/>
          <w:color w:val="auto"/>
        </w:rPr>
        <w:t xml:space="preserve">Michael Wyzga </w:t>
      </w:r>
      <w:r>
        <w:rPr>
          <w:rFonts w:ascii="Arial" w:cs="Arial" w:eastAsia="Arial" w:hAnsi="Arial"/>
          <w:sz w:val="16"/>
          <w:szCs w:val="16"/>
          <w:color w:val="auto"/>
        </w:rPr>
        <w:t>has served as a member of our board of directors since July 2021. Mr. Wyzga currently serves as the President of MSW</w:t>
      </w:r>
      <w:r>
        <w:rPr>
          <w:rFonts w:ascii="Arial" w:cs="Arial" w:eastAsia="Arial" w:hAnsi="Arial"/>
          <w:sz w:val="16"/>
          <w:szCs w:val="16"/>
          <w:b w:val="1"/>
          <w:bCs w:val="1"/>
          <w:color w:val="auto"/>
        </w:rPr>
        <w:t xml:space="preserve"> </w:t>
      </w:r>
      <w:r>
        <w:rPr>
          <w:rFonts w:ascii="Arial" w:cs="Arial" w:eastAsia="Arial" w:hAnsi="Arial"/>
          <w:sz w:val="16"/>
          <w:szCs w:val="16"/>
          <w:color w:val="auto"/>
        </w:rPr>
        <w:t>Consulting, Inc. since November 2013. Mr. Wyzga also currently serves as a member and chair of the board of directors for GenSight Biologics S.A. since July 2015 and for X4 Pharmaceuticals, Inc. since July 2018. Mr. Wyzga also currently serves as a member of the board and chair of the audit committee for LogicBio Therapeutics since December 2018 and for Exact Science, Inc. since February 2015. Mr. Wyzga serves as a member and deputy chair of the board of Mereo Pharmaceuticals since April 2019 and prior to that, Mr. Wyzga served as a member of the board of directors of OncoMed from October 2013 to April 2019. Mr. Wyzga received an M.B.A. from Providence College and a B.S. from Suffolk University. We believe Mr. Wyzga is qualified to serve as a member of our board of directors because of his experience in the biotechnology space and his financial experience.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which currently consists of six members. Our directors were elected to, and currently serve on, the board pursuant to a voting agreement among us and all of our stockholders and voting rights granted by our current amended and restated certificate of incorporation. The voting agreement will terminate upon the closing of this offering, after which there will be no further contractual obligations regarding the election of our directors.</w:t>
      </w:r>
    </w:p>
    <w:p>
      <w:pPr>
        <w:spacing w:after="0" w:line="18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In accordance with our amended and restated certificate of incorporation and amended and restated bylaws that will be in effect upon the closing of this offering, our board of directors will be divided into three classes, each of which will consist, as nearly as possible, of one-third of the total number of directors constituting our entire board and which will serve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93" w:lineRule="exact"/>
        <w:rPr>
          <w:sz w:val="20"/>
          <w:szCs w:val="20"/>
          <w:color w:val="auto"/>
        </w:rPr>
      </w:pPr>
    </w:p>
    <w:p>
      <w:pPr>
        <w:ind w:left="1080" w:hanging="532"/>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Class I, which will consist of Dr. Russo and Mr. Royan, and their terms will expire at our first annual meeting of stockholders to be held after the closing of this offering;</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Class II, which will consist of Messrs. Heyman and McGuire and Dr. Mayer, and their terms will expire at our second annual meeting of stockholders to be held after the closing of this offering; and</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Class III, which will consist of Drs. Gerngross and Shah and Mr. Wyzga, and their terms will expire at our third annual meeting of stockholders to be held after the closing of this offering.</w:t>
      </w:r>
    </w:p>
    <w:p>
      <w:pPr>
        <w:spacing w:after="0" w:line="170"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Our amended and restated bylaws, which will become effective upon the closing of this offering, will provide that the authorized number of directors may be changed only by resolution approved by a majority of our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of control.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Applicable Nasdaq rules, or the Nasdaq Listing Rules, require a majority of a listed company’s board of directors to be composed of independent directors within one year of listing. In addition, the Nasdaq Listing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 of 1934, as amended, or the Exchange Act. The Nasdaq independence definition includes a series of objective tests, such as that the director is not, and has not been for at least three years, one of our employees, that neither the director nor any of his family members has engaged in various types of business dealings with us and that the director is not associated with the holders of more than 5% of our common stock. In addition,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w:t>
      </w:r>
    </w:p>
    <w:p>
      <w:pPr>
        <w:spacing w:after="0" w:line="166"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Our board of directors has determined that all of our directors other than Dr. Gerngross and Messrs. McGuire and Royan, representing three of our eight directors, are “independent directors” as defined under applicable Nasdaq rules. In making such determination, our board of directors considered the current and prior relationships that each such director has with our company and all other facts and circumstances that our board of directors deemed relevant in determining his or her independence, including the beneficial ownership of our capital stock by each director and the transactions described in the section titled “Certain Relationships and Related Party Transactions.”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Board in Risk Oversight</w:t>
      </w:r>
    </w:p>
    <w:p>
      <w:pPr>
        <w:spacing w:after="0" w:line="121"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color w:val="auto"/>
        </w:rPr>
        <w:t>One of the key functions of our board of directors is informed oversight of our risk management process. Our board of directors does not have a standing risk management committee, but rather administers this oversight function directly through the board of directors as a whole, as well as through various standing committees of our board of directors that address risks inherent in their respective areas of oversight. In particular, our board of directors is responsible for monitoring and assessing strategic risk exposure. Following the completion of this offering, we intend for our audit committee to have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will also monitor compliance with legal and regulatory requirements.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Our board of directors has established an audit committee, compensation committee and a nominating and corporate governance committee, each of which operate pursuant to a committee charter. Our board of directors may establish other committees to facilitate the management of our business. The composition and functions of each committee are described below.</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Upon the completion of this offering, our audit committee will consist of Dr. Russo and Messrs. Heyman and Wyzga, with Mr. Wyzga serving as chair of the audit committee. Our board of directors has determined that each of these individuals meets the independence requirements of Rule 10A-3 under the Securities Exchange Act of 1934, or the Exchange Act, and the applicable listing standards of Nasdaq. Each member of our audit committee can read and understand fundamental financial statements in accordance with Nasdaq audit committee requirements. Our board of directors has also determined that Mr. Wyzga qualifies as an audit committee financial expert within the meaning of SEC regulations and meets the financial sophistication requirements of the Nasdaq Listing Rules. In arriving at these determinations, the board has examined each audit committee member’s scope of experience and the nature of their prior and/or current employment.</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functions of this committee include, among other things:</w:t>
      </w:r>
    </w:p>
    <w:p>
      <w:pPr>
        <w:spacing w:after="0" w:line="131" w:lineRule="exact"/>
        <w:rPr>
          <w:sz w:val="20"/>
          <w:szCs w:val="20"/>
          <w:color w:val="auto"/>
        </w:rPr>
      </w:pPr>
    </w:p>
    <w:p>
      <w:pPr>
        <w:ind w:left="5480" w:right="3000" w:hanging="4932"/>
        <w:spacing w:after="0" w:line="449" w:lineRule="auto"/>
        <w:tabs>
          <w:tab w:leader="none" w:pos="107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 166</w:t>
      </w:r>
    </w:p>
    <w:p>
      <w:pPr>
        <w:sectPr>
          <w:pgSz w:w="11900" w:h="16838" w:orient="portrait"/>
          <w:cols w:equalWidth="0" w:num="1">
            <w:col w:w="11140"/>
          </w:cols>
          <w:pgMar w:left="320" w:top="459"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77"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reviewing related person transactions;</w:t>
      </w:r>
    </w:p>
    <w:p>
      <w:pPr>
        <w:spacing w:after="0" w:line="130"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spacing w:after="0" w:line="89"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approving or, as permitted, pre-approving, audit and permissible non-audit services to be performed by the independent registered public accounting firm.</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believe that the composition and functioning of our audit committee will comply with all applicable SEC and Nasdaq rules and regulations.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intend to comply with future requirements to the extent they become applicable to us.</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Upon the completion of this offering, our compensation committee will consist of Drs. Mayer and Shah and Mr. Wyzga, with Dr. Mayer serving as chair of the compensation committee. Each of these individuals is a non-employee director, as defined in Rule 16b-3 promulgated under the Exchange Act. Our board of directors has determined that each of these individuals is ‘‘independent’’ as defined under the applicable listing standards of Nasdaq, including the standards specific to members of a compensation committee. The functions of this committee include, among other things:</w:t>
      </w:r>
    </w:p>
    <w:p>
      <w:pPr>
        <w:spacing w:after="0" w:line="63" w:lineRule="exact"/>
        <w:rPr>
          <w:sz w:val="20"/>
          <w:szCs w:val="20"/>
          <w:color w:val="auto"/>
        </w:rPr>
      </w:pPr>
    </w:p>
    <w:p>
      <w:pPr>
        <w:ind w:left="1080" w:right="20" w:hanging="532"/>
        <w:spacing w:after="0" w:line="277"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reviewing, modifying and approving (or if it deems appropriate, making recommendations to the full board of directors regarding) our overall compensation strategy and policies;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making recommendations to the full board of directors regarding the compensation and other terms of employment of our executive officers;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reviewing and making recommendations to the full board of directors regarding performance goals and objectives relevant to the compensation of our executive officers and assessing their performance against these goals and objectives;</w:t>
      </w:r>
    </w:p>
    <w:p>
      <w:pPr>
        <w:spacing w:after="0" w:line="75"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reviewing and approving (or if it deems it appropriate, making recommendations to the full board of directors regarding) the equity incentive plans, compensation plans and similar programs advisable for us, as well as modifying, amending or terminating existing plans and programs;</w:t>
      </w:r>
    </w:p>
    <w:p>
      <w:pPr>
        <w:spacing w:after="0" w:line="89"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evaluating risks associated with our compensation policies and practices and assessing whether risks arising from our compensation policies and practices for our employees are reasonably likely to have a material adverse effect on us;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reviewing and making recommendations to the full board of directors regarding the type and amount of compensation to be paid or awarded to our non-employee board members;</w:t>
      </w:r>
    </w:p>
    <w:p>
      <w:pPr>
        <w:spacing w:after="0" w:line="75"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establishing policies with respect to votes by our stockholders to approve executive compensation to the extent required by Section 14A of the Exchange Act and, if applicable, determining our recommendations regarding the frequency of advisory votes on executive compensation;</w:t>
      </w:r>
    </w:p>
    <w:p>
      <w:pPr>
        <w:spacing w:after="0" w:line="89"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reviewing and assessing the independence of compensation consultants, legal counsel and other advisors as required by Section 10C of the Exchange Act;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administering our equity incentive plans;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establishing policies with respect to equity compensation arrangements;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40"/>
          </w:cols>
          <w:pgMar w:left="32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7"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reviewing the competitiveness of our executive compensation programs and evaluating the effectiveness of our compensation policy and strategy in achieving expected benefits to us;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reviewing and making recommendations to the full board of directors regarding the terms of any employment agreements, severance arrangements, change in control protections and any other compensatory arrangements for our executive officers;</w:t>
      </w:r>
    </w:p>
    <w:p>
      <w:pPr>
        <w:spacing w:after="0" w:line="75" w:lineRule="exact"/>
        <w:rPr>
          <w:rFonts w:ascii="Arial" w:cs="Arial" w:eastAsia="Arial" w:hAnsi="Arial"/>
          <w:sz w:val="18"/>
          <w:szCs w:val="18"/>
          <w:color w:val="auto"/>
        </w:rPr>
      </w:pPr>
    </w:p>
    <w:p>
      <w:pPr>
        <w:ind w:left="1080" w:right="20" w:hanging="532"/>
        <w:spacing w:after="0" w:line="308" w:lineRule="auto"/>
        <w:tabs>
          <w:tab w:leader="none" w:pos="10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reviewing with management and approving our disclosures under the caption “Compensation Discussion and Analysis” in our periodic reports or proxy statements to be filed with the SEC, to the extent such caption is included in any such report or proxy statement;</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preparing the report that the SEC requires in our annual proxy statement;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reviewing and evaluating on an annual basis the performance of the compensation committee and the compensation committee charter.</w:t>
      </w:r>
    </w:p>
    <w:p>
      <w:pPr>
        <w:spacing w:after="0" w:line="248"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believe that the composition and functioning of our compensation committee will comply with all applicable SEC and Nasdaq rules and regulations. We intend to comply with future requirements to the extent they become applicable to us.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Upon the completion of this offering, our nominating and corporate governance committee will consist of Mr. Heyman and Drs. Mayer and Shah, with Mr. Heyman serving as chair of the nominating and corporate governance committee. Our board of directors has determined that each of these individuals is “independent’’ as defined under the applicable listing standards of Nasdaq and SEC rules and regulations. The functions of this committee include, among other things:</w:t>
      </w:r>
    </w:p>
    <w:p>
      <w:pPr>
        <w:spacing w:after="0" w:line="92" w:lineRule="exact"/>
        <w:rPr>
          <w:sz w:val="20"/>
          <w:szCs w:val="20"/>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identifying, reviewing and evaluating candidates to serve on our board of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determining the minimum qualifications for service on our board of directors;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evaluating director performance on the board and applicable committees of the board and determining whether continued service on our board is appropriate;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evaluating, nominating and recommending individuals for membership on our board of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evaluating nominations by stockholders of candidates for election to our board of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considering and assessing the independence of members of our board of directors;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developing a set of corporate governance policies and principles and recommending to our board of directors any changes to such policies and principles;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of directors with respect to management succession planning;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considering questions of possible conflicts of interest of directors as such questions arise; and</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reviewing and evaluating on an annual basis the performance of the nominating and corporate governance committee and the nominating and corporate governance committee charter.</w:t>
      </w:r>
    </w:p>
    <w:p>
      <w:pPr>
        <w:spacing w:after="0" w:line="170"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We believe that the composition and functioning of our nominating and corporate governance committee will comply with all applicable SEC and Nasdaq rules and regulations. We intend to comply with future requirements to the extent they become applicable to us.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None of our directors who serve as a member of our compensation committee is, or has at any time during the past year been, one of our officers or employees. None of our executive officers currently serves, or in the past year has served, as a member of the board of directors or compensation committee of any other entity that has one or more executive officers serving on our board of directors or compensation committee.</w:t>
      </w: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40"/>
          </w:cols>
          <w:pgMar w:left="320" w:top="459"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jc w:val="both"/>
        <w:ind w:left="120" w:right="20" w:firstLine="440"/>
        <w:spacing w:after="0" w:line="293" w:lineRule="auto"/>
        <w:rPr>
          <w:sz w:val="20"/>
          <w:szCs w:val="20"/>
          <w:color w:val="auto"/>
        </w:rPr>
      </w:pPr>
      <w:r>
        <w:rPr>
          <w:rFonts w:ascii="Arial" w:cs="Arial" w:eastAsia="Arial" w:hAnsi="Arial"/>
          <w:sz w:val="16"/>
          <w:szCs w:val="16"/>
          <w:color w:val="auto"/>
        </w:rPr>
        <w:t>Effective upon the closing of this offering, we will adopt a Code of Business Conduct and Ethics, or the Code of Conduct, applicable to all of our employees, executive officers and directors. This includes our principal executive officer, principal financial officer and principal accounting officer or controller, or persons performing similar functions. Following the closing of this offering, the full text of the Code of Conduct will be available on our website at adagiotx.com. We intend to post on our website all disclosures that are required by law or the listing standards of the Nasdaq Global Market concerning any amendments to, or waivers from, any provision of the Code of Conduct. Information contained on, or that can be accessed through, our website is not incorporated by reference into this prospectus. We have included our website in this prospectus solely as an inactive textual reference.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With the exception of the payments provided pursuant the independent director compensation policy adopted in the fourth quarter of 2020, as described below, we have not historically paid cash retainers or other compensation with respect to service on our board of directors, except for reimbursement of direct expenses incurred in connection with attending meetings of the board or committees.</w:t>
      </w:r>
    </w:p>
    <w:p>
      <w:pPr>
        <w:spacing w:after="0" w:line="184"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In October 2020, we adopted an independent director compensation policy pursuant to which our independent directors are entitled to receive an annual cash retainer of $35,000 for serving on our board of directors, payable in arrears on a quarterly basis. In addition, each independent director who is appointed or elected following the policy’s adoption will be entitled to be granted an option to purchase 0.25% of our outstanding shares issuable at the start of the director’s term at an exercise price equal to the fair market value of our common stock on the date of grant, with 25% of the underlying shares vesting on the first anniversary of the grant date and the remainder vesting in 36 equal monthly installments thereafter, subject to the director’s continued service through the applicable vesting date. While Dr. Russo and Dr. Howard Mayer are both independent directors, only Dr. Mayer has received compensation pursuant to this policy because Dr. Russo received compensation pursuant to the consulting agreement described below and received an option award as a co-founder of the Company.</w:t>
      </w:r>
    </w:p>
    <w:p>
      <w:pPr>
        <w:spacing w:after="0" w:line="17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intend to adopt a non-employee director compensation policy effective upon the completion of this offering and on terms to be determined at a later date by our board of directors. Under the non-employee director policy, our non-employee directors will be eligible to receive compensation for service on our board of directors and committees of our board of directors.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2020 Director Compensation Table</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following table sets forth information regarding the compensation earned for service on our board of directors in 2020 by our non-employee directors. Tillman U. Gerngross, Ph.D., our Chief Executive Officer, is also a member of our board of directors but did not receive any additional compensation for service as a director.</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60" w:type="dxa"/>
            <w:vAlign w:val="bottom"/>
            <w:gridSpan w:val="2"/>
          </w:tcPr>
          <w:p>
            <w:pPr>
              <w:jc w:val="center"/>
              <w:ind w:right="544"/>
              <w:spacing w:after="0"/>
              <w:rPr>
                <w:sz w:val="20"/>
                <w:szCs w:val="20"/>
                <w:color w:val="auto"/>
              </w:rPr>
            </w:pPr>
            <w:r>
              <w:rPr>
                <w:rFonts w:ascii="Arial" w:cs="Arial" w:eastAsia="Arial" w:hAnsi="Arial"/>
                <w:sz w:val="14"/>
                <w:szCs w:val="14"/>
                <w:b w:val="1"/>
                <w:bCs w:val="1"/>
                <w:color w:val="auto"/>
                <w:w w:val="87"/>
              </w:rPr>
              <w:t>Fees</w:t>
            </w: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60" w:type="dxa"/>
            <w:vAlign w:val="bottom"/>
            <w:gridSpan w:val="2"/>
          </w:tcPr>
          <w:p>
            <w:pPr>
              <w:jc w:val="center"/>
              <w:ind w:right="524"/>
              <w:spacing w:after="0" w:line="149" w:lineRule="exact"/>
              <w:rPr>
                <w:sz w:val="20"/>
                <w:szCs w:val="20"/>
                <w:color w:val="auto"/>
              </w:rPr>
            </w:pPr>
            <w:r>
              <w:rPr>
                <w:rFonts w:ascii="Arial" w:cs="Arial" w:eastAsia="Arial" w:hAnsi="Arial"/>
                <w:sz w:val="14"/>
                <w:szCs w:val="14"/>
                <w:b w:val="1"/>
                <w:bCs w:val="1"/>
                <w:color w:val="auto"/>
                <w:w w:val="94"/>
              </w:rPr>
              <w:t>Earned or</w:t>
            </w: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w:t>
            </w:r>
          </w:p>
        </w:tc>
        <w:tc>
          <w:tcPr>
            <w:tcW w:w="13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All Other</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60" w:type="dxa"/>
            <w:vAlign w:val="bottom"/>
            <w:gridSpan w:val="2"/>
          </w:tcPr>
          <w:p>
            <w:pPr>
              <w:jc w:val="center"/>
              <w:ind w:right="544"/>
              <w:spacing w:after="0" w:line="149" w:lineRule="exact"/>
              <w:rPr>
                <w:sz w:val="20"/>
                <w:szCs w:val="20"/>
                <w:color w:val="auto"/>
              </w:rPr>
            </w:pPr>
            <w:r>
              <w:rPr>
                <w:rFonts w:ascii="Arial" w:cs="Arial" w:eastAsia="Arial" w:hAnsi="Arial"/>
                <w:sz w:val="14"/>
                <w:szCs w:val="14"/>
                <w:b w:val="1"/>
                <w:bCs w:val="1"/>
                <w:color w:val="auto"/>
                <w:w w:val="95"/>
              </w:rPr>
              <w:t>Paid in</w:t>
            </w:r>
          </w:p>
        </w:tc>
        <w:tc>
          <w:tcPr>
            <w:tcW w:w="94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6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140" w:type="dxa"/>
            <w:vAlign w:val="bottom"/>
            <w:gridSpan w:val="2"/>
            <w:vMerge w:val="restart"/>
          </w:tcPr>
          <w:p>
            <w:pPr>
              <w:spacing w:after="0"/>
              <w:rPr>
                <w:sz w:val="12"/>
                <w:szCs w:val="12"/>
                <w:color w:val="auto"/>
              </w:rPr>
            </w:pPr>
          </w:p>
        </w:tc>
        <w:tc>
          <w:tcPr>
            <w:tcW w:w="3360" w:type="dxa"/>
            <w:vAlign w:val="bottom"/>
          </w:tcPr>
          <w:p>
            <w:pPr>
              <w:spacing w:after="0"/>
              <w:rPr>
                <w:sz w:val="12"/>
                <w:szCs w:val="12"/>
                <w:color w:val="auto"/>
              </w:rPr>
            </w:pPr>
          </w:p>
        </w:tc>
        <w:tc>
          <w:tcPr>
            <w:tcW w:w="1260" w:type="dxa"/>
            <w:vAlign w:val="bottom"/>
            <w:gridSpan w:val="2"/>
          </w:tcPr>
          <w:p>
            <w:pPr>
              <w:jc w:val="center"/>
              <w:ind w:right="544"/>
              <w:spacing w:after="0" w:line="149" w:lineRule="exact"/>
              <w:rPr>
                <w:sz w:val="20"/>
                <w:szCs w:val="20"/>
                <w:color w:val="auto"/>
              </w:rPr>
            </w:pPr>
            <w:r>
              <w:rPr>
                <w:rFonts w:ascii="Arial" w:cs="Arial" w:eastAsia="Arial" w:hAnsi="Arial"/>
                <w:sz w:val="14"/>
                <w:szCs w:val="14"/>
                <w:b w:val="1"/>
                <w:bCs w:val="1"/>
                <w:color w:val="auto"/>
                <w:w w:val="93"/>
              </w:rPr>
              <w:t>Cash</w:t>
            </w:r>
          </w:p>
        </w:tc>
        <w:tc>
          <w:tcPr>
            <w:tcW w:w="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Awards</w:t>
            </w:r>
          </w:p>
        </w:tc>
        <w:tc>
          <w:tcPr>
            <w:tcW w:w="13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140" w:type="dxa"/>
            <w:vAlign w:val="bottom"/>
            <w:gridSpan w:val="2"/>
            <w:vMerge w:val="continue"/>
          </w:tcPr>
          <w:p>
            <w:pPr>
              <w:spacing w:after="0"/>
              <w:rPr>
                <w:sz w:val="15"/>
                <w:szCs w:val="15"/>
                <w:color w:val="auto"/>
              </w:rPr>
            </w:pPr>
          </w:p>
        </w:tc>
        <w:tc>
          <w:tcPr>
            <w:tcW w:w="4000" w:type="dxa"/>
            <w:vAlign w:val="bottom"/>
            <w:gridSpan w:val="2"/>
          </w:tcPr>
          <w:p>
            <w:pPr>
              <w:jc w:val="center"/>
              <w:ind w:left="3276"/>
              <w:spacing w:after="0" w:line="158" w:lineRule="exact"/>
              <w:rPr>
                <w:sz w:val="20"/>
                <w:szCs w:val="20"/>
                <w:color w:val="auto"/>
              </w:rPr>
            </w:pPr>
            <w:r>
              <w:rPr>
                <w:rFonts w:ascii="Arial" w:cs="Arial" w:eastAsia="Arial" w:hAnsi="Arial"/>
                <w:sz w:val="14"/>
                <w:szCs w:val="14"/>
                <w:b w:val="1"/>
                <w:bCs w:val="1"/>
                <w:color w:val="auto"/>
                <w:w w:val="93"/>
              </w:rPr>
              <w:t>($)</w:t>
            </w:r>
          </w:p>
        </w:tc>
        <w:tc>
          <w:tcPr>
            <w:tcW w:w="620" w:type="dxa"/>
            <w:vAlign w:val="bottom"/>
          </w:tcPr>
          <w:p>
            <w:pPr>
              <w:spacing w:after="0"/>
              <w:rPr>
                <w:sz w:val="15"/>
                <w:szCs w:val="15"/>
                <w:color w:val="auto"/>
              </w:rPr>
            </w:pPr>
          </w:p>
        </w:tc>
        <w:tc>
          <w:tcPr>
            <w:tcW w:w="480" w:type="dxa"/>
            <w:vAlign w:val="bottom"/>
          </w:tcPr>
          <w:p>
            <w:pPr>
              <w:ind w:left="20"/>
              <w:spacing w:after="0" w:line="158" w:lineRule="exact"/>
              <w:rPr>
                <w:sz w:val="20"/>
                <w:szCs w:val="20"/>
                <w:color w:val="auto"/>
              </w:rPr>
            </w:pP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(1)(2)</w:t>
            </w:r>
          </w:p>
        </w:tc>
        <w:tc>
          <w:tcPr>
            <w:tcW w:w="460" w:type="dxa"/>
            <w:vAlign w:val="bottom"/>
          </w:tcPr>
          <w:p>
            <w:pPr>
              <w:spacing w:after="0"/>
              <w:rPr>
                <w:sz w:val="15"/>
                <w:szCs w:val="15"/>
                <w:color w:val="auto"/>
              </w:rPr>
            </w:pPr>
          </w:p>
        </w:tc>
        <w:tc>
          <w:tcPr>
            <w:tcW w:w="880" w:type="dxa"/>
            <w:vAlign w:val="bottom"/>
          </w:tcPr>
          <w:p>
            <w:pPr>
              <w:jc w:val="right"/>
              <w:ind w:right="275"/>
              <w:spacing w:after="0" w:line="158"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5"/>
                <w:szCs w:val="15"/>
                <w:color w:val="auto"/>
              </w:rPr>
            </w:pPr>
          </w:p>
        </w:tc>
        <w:tc>
          <w:tcPr>
            <w:tcW w:w="560" w:type="dxa"/>
            <w:vAlign w:val="bottom"/>
          </w:tcPr>
          <w:p>
            <w:pPr>
              <w:jc w:val="right"/>
              <w:ind w:right="114"/>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René Russo, Pharm.D.</w:t>
            </w:r>
          </w:p>
        </w:tc>
        <w:tc>
          <w:tcPr>
            <w:tcW w:w="33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78,343</w:t>
            </w:r>
          </w:p>
        </w:tc>
        <w:tc>
          <w:tcPr>
            <w:tcW w:w="620" w:type="dxa"/>
            <w:vAlign w:val="bottom"/>
            <w:tcBorders>
              <w:top w:val="single" w:sz="8" w:color="CCEEFF"/>
            </w:tcBorders>
            <w:shd w:val="clear" w:color="auto" w:fill="CCEEFF"/>
          </w:tcPr>
          <w:p>
            <w:pPr>
              <w:jc w:val="right"/>
              <w:ind w:right="364"/>
              <w:spacing w:after="0"/>
              <w:rPr>
                <w:sz w:val="20"/>
                <w:szCs w:val="20"/>
                <w:color w:val="auto"/>
              </w:rPr>
            </w:pPr>
            <w:r>
              <w:rPr>
                <w:rFonts w:ascii="Arial" w:cs="Arial" w:eastAsia="Arial" w:hAnsi="Arial"/>
                <w:sz w:val="15"/>
                <w:szCs w:val="15"/>
                <w:color w:val="auto"/>
                <w:w w:val="87"/>
              </w:rPr>
              <w:t>(3)</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5,941</w:t>
            </w:r>
          </w:p>
        </w:tc>
        <w:tc>
          <w:tcPr>
            <w:tcW w:w="4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84,284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color w:val="auto"/>
              </w:rPr>
              <w:t>Terrance McGuire</w:t>
            </w:r>
          </w:p>
        </w:tc>
        <w:tc>
          <w:tcPr>
            <w:tcW w:w="3360" w:type="dxa"/>
            <w:vAlign w:val="bottom"/>
          </w:tcPr>
          <w:p>
            <w:pPr>
              <w:spacing w:after="0"/>
              <w:rPr>
                <w:sz w:val="18"/>
                <w:szCs w:val="18"/>
                <w:color w:val="auto"/>
              </w:rPr>
            </w:pPr>
          </w:p>
        </w:tc>
        <w:tc>
          <w:tcPr>
            <w:tcW w:w="1260" w:type="dxa"/>
            <w:vAlign w:val="bottom"/>
            <w:gridSpan w:val="2"/>
          </w:tcPr>
          <w:p>
            <w:pPr>
              <w:jc w:val="right"/>
              <w:ind w:right="544"/>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Ajay Royan</w:t>
            </w:r>
          </w:p>
        </w:tc>
        <w:tc>
          <w:tcPr>
            <w:tcW w:w="3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4"/>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color w:val="auto"/>
              </w:rPr>
              <w:t>Philip Chase</w:t>
            </w:r>
          </w:p>
        </w:tc>
        <w:tc>
          <w:tcPr>
            <w:tcW w:w="3360" w:type="dxa"/>
            <w:vAlign w:val="bottom"/>
          </w:tcPr>
          <w:p>
            <w:pPr>
              <w:spacing w:after="0"/>
              <w:rPr>
                <w:sz w:val="18"/>
                <w:szCs w:val="18"/>
                <w:color w:val="auto"/>
              </w:rPr>
            </w:pPr>
          </w:p>
        </w:tc>
        <w:tc>
          <w:tcPr>
            <w:tcW w:w="1260" w:type="dxa"/>
            <w:vAlign w:val="bottom"/>
            <w:gridSpan w:val="2"/>
          </w:tcPr>
          <w:p>
            <w:pPr>
              <w:jc w:val="right"/>
              <w:ind w:right="544"/>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Howard Mayer, M.D.</w:t>
            </w:r>
          </w:p>
        </w:tc>
        <w:tc>
          <w:tcPr>
            <w:tcW w:w="4620" w:type="dxa"/>
            <w:vAlign w:val="bottom"/>
            <w:gridSpan w:val="3"/>
            <w:shd w:val="clear" w:color="auto" w:fill="CCEEFF"/>
          </w:tcPr>
          <w:p>
            <w:pPr>
              <w:jc w:val="right"/>
              <w:ind w:right="544"/>
              <w:spacing w:after="0"/>
              <w:rPr>
                <w:sz w:val="20"/>
                <w:szCs w:val="20"/>
                <w:color w:val="auto"/>
              </w:rPr>
            </w:pPr>
            <w:r>
              <w:rPr>
                <w:rFonts w:ascii="Arial" w:cs="Arial" w:eastAsia="Arial" w:hAnsi="Arial"/>
                <w:sz w:val="18"/>
                <w:szCs w:val="18"/>
                <w:color w:val="auto"/>
              </w:rPr>
              <w:t>14,138</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14,138</w:t>
            </w:r>
          </w:p>
        </w:tc>
        <w:tc>
          <w:tcPr>
            <w:tcW w:w="0" w:type="dxa"/>
            <w:vAlign w:val="bottom"/>
          </w:tcPr>
          <w:p>
            <w:pPr>
              <w:spacing w:after="0"/>
              <w:rPr>
                <w:sz w:val="1"/>
                <w:szCs w:val="1"/>
                <w:color w:val="auto"/>
              </w:rPr>
            </w:pP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color w:val="auto"/>
              </w:rPr>
              <w:t>Anand Shah, M.D.</w:t>
            </w:r>
          </w:p>
        </w:tc>
        <w:tc>
          <w:tcPr>
            <w:tcW w:w="3360" w:type="dxa"/>
            <w:vAlign w:val="bottom"/>
          </w:tcPr>
          <w:p>
            <w:pPr>
              <w:spacing w:after="0"/>
              <w:rPr>
                <w:sz w:val="18"/>
                <w:szCs w:val="18"/>
                <w:color w:val="auto"/>
              </w:rPr>
            </w:pPr>
          </w:p>
        </w:tc>
        <w:tc>
          <w:tcPr>
            <w:tcW w:w="1260" w:type="dxa"/>
            <w:vAlign w:val="bottom"/>
            <w:gridSpan w:val="2"/>
          </w:tcPr>
          <w:p>
            <w:pPr>
              <w:jc w:val="right"/>
              <w:ind w:right="544"/>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Tom Heyman</w:t>
            </w:r>
          </w:p>
        </w:tc>
        <w:tc>
          <w:tcPr>
            <w:tcW w:w="3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4"/>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gridSpan w:val="3"/>
          </w:tcPr>
          <w:p>
            <w:pPr>
              <w:spacing w:after="0"/>
              <w:rPr>
                <w:sz w:val="20"/>
                <w:szCs w:val="20"/>
                <w:color w:val="auto"/>
              </w:rPr>
            </w:pPr>
            <w:r>
              <w:rPr>
                <w:rFonts w:ascii="Arial" w:cs="Arial" w:eastAsia="Arial" w:hAnsi="Arial"/>
                <w:sz w:val="18"/>
                <w:szCs w:val="18"/>
                <w:color w:val="auto"/>
              </w:rPr>
              <w:t>Michael Wyzga</w:t>
            </w:r>
          </w:p>
        </w:tc>
        <w:tc>
          <w:tcPr>
            <w:tcW w:w="3360" w:type="dxa"/>
            <w:vAlign w:val="bottom"/>
          </w:tcPr>
          <w:p>
            <w:pPr>
              <w:spacing w:after="0"/>
              <w:rPr>
                <w:sz w:val="20"/>
                <w:szCs w:val="20"/>
                <w:color w:val="auto"/>
              </w:rPr>
            </w:pPr>
          </w:p>
        </w:tc>
        <w:tc>
          <w:tcPr>
            <w:tcW w:w="1260" w:type="dxa"/>
            <w:vAlign w:val="bottom"/>
            <w:gridSpan w:val="2"/>
          </w:tcPr>
          <w:p>
            <w:pPr>
              <w:jc w:val="right"/>
              <w:ind w:right="544"/>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3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80" w:type="dxa"/>
            <w:vAlign w:val="bottom"/>
          </w:tcPr>
          <w:p>
            <w:pPr>
              <w:spacing w:after="0"/>
              <w:rPr>
                <w:sz w:val="10"/>
                <w:szCs w:val="10"/>
                <w:color w:val="auto"/>
              </w:rPr>
            </w:pPr>
          </w:p>
        </w:tc>
        <w:tc>
          <w:tcPr>
            <w:tcW w:w="3360" w:type="dxa"/>
            <w:vAlign w:val="bottom"/>
            <w:vMerge w:val="restart"/>
          </w:tcPr>
          <w:p>
            <w:pPr>
              <w:jc w:val="right"/>
              <w:ind w:right="1136"/>
              <w:spacing w:after="0"/>
              <w:rPr>
                <w:sz w:val="20"/>
                <w:szCs w:val="20"/>
                <w:color w:val="auto"/>
              </w:rPr>
            </w:pPr>
            <w:r>
              <w:rPr>
                <w:rFonts w:ascii="Arial" w:cs="Arial" w:eastAsia="Arial" w:hAnsi="Arial"/>
                <w:sz w:val="18"/>
                <w:szCs w:val="18"/>
                <w:color w:val="auto"/>
              </w:rPr>
              <w:t>169</w:t>
            </w: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9"/>
        </w:trPr>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hanging="424"/>
        <w:spacing w:after="0" w:line="253" w:lineRule="auto"/>
        <w:tabs>
          <w:tab w:leader="none" w:pos="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amounts disclosed represent the aggregate grant-date fair value of the stock options granted under our 2020 Plan, computed in accordance with ASC Topic 718. The assumptions used in calculating the grant-date fair value of the stock options are set forth in the notes to our audited consolidated financial statements included elsewhere in this prospectus. These amounts do not reflect the actual economic value that will be realized by the non-employee director upon vesting of the stock options, the exercise of the stock options or the sale of the common stock underlying such stock options.</w:t>
      </w:r>
    </w:p>
    <w:p>
      <w:pPr>
        <w:spacing w:after="0" w:line="3" w:lineRule="exact"/>
        <w:rPr>
          <w:rFonts w:ascii="Arial" w:cs="Arial" w:eastAsia="Arial" w:hAnsi="Arial"/>
          <w:sz w:val="18"/>
          <w:szCs w:val="18"/>
          <w:color w:val="auto"/>
        </w:rPr>
      </w:pPr>
    </w:p>
    <w:p>
      <w:pPr>
        <w:jc w:val="both"/>
        <w:ind w:left="540" w:right="20" w:hanging="424"/>
        <w:spacing w:after="0" w:line="265" w:lineRule="auto"/>
        <w:tabs>
          <w:tab w:leader="none" w:pos="5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Dr. Russo’s consulting agreement (referred to below) acknowledges that, in consideration of her consulting services, she was granted an option to purchase 1,985,295 shares of our common stock, which option vests as to 25% of the underlying share on June 15, 2021, and the remainder of the underlying shares vest in 36 substantially equal monthly installments, subject to her continued service through each vesting date. The terms of Dr. Russo’s option also include the ability for Dr. Russo to exercise the option in full on the date of grant. Dr. Russo exercised her stock option prior to December 31, 2020 and received unvested shares of our common stock. In the event of a “change in control” (as defined our 2020 Plan), the vesting of Dr. Russo’s option will accelerate in full, subject to her continued service as of immediately prior to such change in control. Such shares are subject to a right of repurchase in favor of us at the original option exercise price that lapses in accordance with such vesting schedule. As a result, none of our non-employee directors held option awards as of December 31, 2020, and none of our non-employee directors held stock awards as of December 31, 2020, other than Dr. Russo.</w:t>
      </w:r>
    </w:p>
    <w:p>
      <w:pPr>
        <w:spacing w:after="0" w:line="1" w:lineRule="exact"/>
        <w:rPr>
          <w:rFonts w:ascii="Arial" w:cs="Arial" w:eastAsia="Arial" w:hAnsi="Arial"/>
          <w:sz w:val="17"/>
          <w:szCs w:val="17"/>
          <w:color w:val="auto"/>
        </w:rPr>
      </w:pPr>
    </w:p>
    <w:p>
      <w:pPr>
        <w:ind w:left="540" w:hanging="424"/>
        <w:spacing w:after="0"/>
        <w:tabs>
          <w:tab w:leader="none" w:pos="5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This amount represents cash consulting fees paid during 2020 pursuant to Dr. Russo’s consulting agreement with us, as described below.</w:t>
      </w:r>
    </w:p>
    <w:p>
      <w:pPr>
        <w:spacing w:after="0" w:line="330" w:lineRule="exact"/>
        <w:rPr>
          <w:rFonts w:ascii="Arial" w:cs="Arial" w:eastAsia="Arial" w:hAnsi="Arial"/>
          <w:sz w:val="17"/>
          <w:szCs w:val="17"/>
          <w:color w:val="auto"/>
        </w:rPr>
      </w:pPr>
    </w:p>
    <w:p>
      <w:pPr>
        <w:ind w:left="560"/>
        <w:spacing w:after="0"/>
        <w:rPr>
          <w:rFonts w:ascii="Arial" w:cs="Arial" w:eastAsia="Arial" w:hAnsi="Arial"/>
          <w:sz w:val="17"/>
          <w:szCs w:val="17"/>
          <w:color w:val="auto"/>
        </w:rPr>
      </w:pPr>
      <w:r>
        <w:rPr>
          <w:rFonts w:ascii="Arial" w:cs="Arial" w:eastAsia="Arial" w:hAnsi="Arial"/>
          <w:sz w:val="18"/>
          <w:szCs w:val="18"/>
          <w:b w:val="1"/>
          <w:bCs w:val="1"/>
          <w:i w:val="1"/>
          <w:iCs w:val="1"/>
          <w:color w:val="auto"/>
        </w:rPr>
        <w:t>Non-Employee Director Compensation Policy</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In anticipation of this offering and the increased responsibilities of our directors as directors of a public company, our board of directors has adopted a non-employee director compensation policy, to become effective on the effective date of the registration statement of which this prospectus forms a part, pursuant to which each of our directors who is not an employee or consultant of our company will be eligible to receive compensation for service on our board of directors and committees of our board of directors.</w:t>
      </w:r>
    </w:p>
    <w:p>
      <w:pPr>
        <w:spacing w:after="0" w:line="187"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Each eligible director will receive an annual cash retainer of $40,000 for serving on our board of directors and the independent chairperson of the board of directors will receive an additional annual cash retainer of $30,000 for his or her service. The chairperson of the audit committee will be entitled to an additional annual cash retainer of $15,000, the chairperson of the compensation committee will be entitled to an additional annual cash retainer of $10,000 and the chairperson of the nominating and corporate governance committee will be entitled to an additional annual cash retainer of $8,000. The members of the audit committee will be entitled to an additional annual cash retainer of $7,500, the members of the compensation committee will be entitled to an additional annual cash retainer of $5,000 and the members of the nominating and corporate governance committee will be entitled to an additional annual cash retainer of $4,000; however, in each case such cash retainer is payable only to members who are not the chairperson of such committee. All annual cash compensation amounts will be payable in equal quarterly installments in arrears, on the last day of each fiscal quarter in which the service occurred, pro-rated for any partial service in the applicable fiscal quarter.</w:t>
      </w:r>
    </w:p>
    <w:p>
      <w:pPr>
        <w:spacing w:after="0" w:line="181"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Each new eligible director who joins our board of directors after this offering will be granted a non-statutory stock option to purchase a number of shares of our common stock with an aggregate Black-Scholes grant-date fair value of $800,000 under our 2021 Plan, provided that in no event shall the number of shares granted exceed 150,000 shares. The shares subject to this grant will vest over a three-year period, with one-third of the shares vesting on the first anniversary of the grant date, and 1/36</w:t>
      </w:r>
      <w:r>
        <w:rPr>
          <w:rFonts w:ascii="Arial" w:cs="Arial" w:eastAsia="Arial" w:hAnsi="Arial"/>
          <w:sz w:val="15"/>
          <w:szCs w:val="15"/>
          <w:color w:val="auto"/>
        </w:rPr>
        <w:t>th</w:t>
      </w:r>
      <w:r>
        <w:rPr>
          <w:rFonts w:ascii="Arial" w:cs="Arial" w:eastAsia="Arial" w:hAnsi="Arial"/>
          <w:sz w:val="18"/>
          <w:szCs w:val="18"/>
          <w:color w:val="auto"/>
        </w:rPr>
        <w:t xml:space="preserve"> of the shares vesting in equal monthly installments thereafter, subject to continued service as a director through each such vesting date.</w:t>
      </w:r>
    </w:p>
    <w:p>
      <w:pPr>
        <w:spacing w:after="0" w:line="188"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On the date of each annual meeting of our stockholders, each eligible director who continues to serve as a director of our company following the meeting will be granted a non-statutory stock option to purchase shares of our common stock with an aggregate Black-Scholes grant-date fair value of $400,000 under our 2021 Plan,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40"/>
          </w:cols>
          <w:pgMar w:left="320" w:top="459"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provided that in no event shall the number of shares granted exceed 75,000 shares. Following the effective date, if an eligible director joins our board of directors on a date other than the date of our annual stockholder meeting, upon the first annual stockholder meeting following such eligible director’s appointment of election to the board of directors, such eligible director’s annual grant will be pro-rated to reflect the time between the eligible director’s appointment or election date and the date of such first annual stockholder meeting. The shares shall vest in full on the earlier of the first anniversary of the grant date or the date of the next annual stockholder meeting, subject to continued service as a director through such vesting date.</w:t>
      </w:r>
    </w:p>
    <w:p>
      <w:pPr>
        <w:spacing w:after="0" w:line="16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Each option awarded to eligible directors under the non-employee director compensation policy will be subject to accelerated vesting upon a Change in Control (as defined in the 2021 Plan).</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exercise price per share of each stock option granted under the non-employee director compensation policy will be equal to the closing price of our common stock on the Nasdaq Global Market on the date of grant. Each stock option will have a term of ten years from the date of grant, subject to earlier termination in connection with a termination of the eligible director’s continuous service with us.</w:t>
      </w:r>
    </w:p>
    <w:p>
      <w:pPr>
        <w:spacing w:after="0" w:line="18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addition, we will reimburse eligible directors for ordinary, necessary and reasonable out-of-pocket travel expenses to cover in-person attendance at and participation in board and committee meetings.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IPO Grants</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On the effective date of the registration statement of which this prospectus forms a part, each eligible director serving on our board of directors as of June 15, 2021 will be granted a non-statutory stock option to purchase a number of shares of our common stock with an aggregate Black-Scholes grant-date fair value of $400,000 under our 2021 Plan, subject to continued service as a director through such grant date. Based on an assumed exercise price of $17.00 per share, which is the midpoint of the estimated price range set forth on the cover page of this prospectus, we estimate that each eligible director will be granted an option for the purchase of 35,593 shares.</w:t>
      </w:r>
    </w:p>
    <w:p>
      <w:pPr>
        <w:spacing w:after="0" w:line="188"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In addition, on the effective date of the registration statement of which this prospectus forms a part, Mr. Wyzga will be granted a non-statutory stock option to purchase a number of shares of our common stock with an aggregate Black-Scholes grant-date fair value of $800,000 under our 2021 Plan, subject to continued service as a director through such grant date. Based on an assumed exercise price of $17.00 per share, which is the midpoint of the estimated price range set forth on the cover page of this prospectus, we estimate that Mr. Wzyga will be granted an option for the purchase of 71,186 shares.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Consulting Agreement with Dr. Russo</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In June 2020, we entered into a consulting agreement with Dr. René Russo, a current non-employee member of our board of directors, pursuant to which Dr. Russo is entitled to receive $7,500 per month, with payment for any partial months prorated. In addition, Dr. Russo’s consulting agreement provides that she is eligible for an annual additional consulting fee at the discretion of our board of directors. Such annual additional consulting fee has a target amount of $40,500, but the actual amount of the annual additional consulting fee is determined by our board of directors in its discretion. This consulting agreement will be terminated in connection with this offering.</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40"/>
          </w:cols>
          <w:pgMar w:left="320" w:top="459"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named executive officers for the period from June 3, 2020 (inception) to December 31, 2020, which consisted of our Chief Executive Officer and our two most highly compensated executive officers other than our Chief Executive Officer, were:</w:t>
      </w:r>
    </w:p>
    <w:p>
      <w:pPr>
        <w:spacing w:after="0" w:line="197" w:lineRule="exact"/>
        <w:rPr>
          <w:sz w:val="20"/>
          <w:szCs w:val="20"/>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Tillman U. Gerngross, Ph.D., our Co-Founder, Chief Executive Officer and President;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Lynn Connolly, M.D., Ph.D., our Chief Medical Officer;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Rebecca Dabora, Ph.D., our Chief Technology &amp; Manufacturing Officer.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following table sets forth information regarding compensation awarded to, earned by and paid to our named executive officers with respect to the period from June 3, 2020 (inception) to December 31, 2020.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1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5"/>
              </w:rPr>
              <w:t>Salary</w:t>
            </w: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Option</w:t>
            </w: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All Other</w:t>
            </w:r>
          </w:p>
        </w:tc>
        <w:tc>
          <w:tcPr>
            <w:tcW w:w="7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3920" w:type="dxa"/>
            <w:vAlign w:val="bottom"/>
            <w:vMerge w:val="restart"/>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Bonus</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Awards</w:t>
            </w: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3920" w:type="dxa"/>
            <w:vAlign w:val="bottom"/>
            <w:vMerge w:val="continue"/>
          </w:tcPr>
          <w:p>
            <w:pPr>
              <w:spacing w:after="0"/>
              <w:rPr>
                <w:sz w:val="15"/>
                <w:szCs w:val="15"/>
                <w:color w:val="auto"/>
              </w:rPr>
            </w:pPr>
          </w:p>
        </w:tc>
        <w:tc>
          <w:tcPr>
            <w:tcW w:w="640" w:type="dxa"/>
            <w:vAlign w:val="bottom"/>
          </w:tcPr>
          <w:p>
            <w:pPr>
              <w:jc w:val="right"/>
              <w:ind w:right="157"/>
              <w:spacing w:after="0" w:line="158"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($)(1)</w:t>
            </w:r>
          </w:p>
        </w:tc>
        <w:tc>
          <w:tcPr>
            <w:tcW w:w="34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5"/>
                <w:szCs w:val="15"/>
                <w:color w:val="auto"/>
              </w:rPr>
            </w:pPr>
          </w:p>
        </w:tc>
        <w:tc>
          <w:tcPr>
            <w:tcW w:w="660" w:type="dxa"/>
            <w:vAlign w:val="bottom"/>
          </w:tcPr>
          <w:p>
            <w:pPr>
              <w:jc w:val="right"/>
              <w:ind w:right="157"/>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Tillman U. Gerngross, Ph.D.</w:t>
            </w:r>
            <w:r>
              <w:rPr>
                <w:rFonts w:ascii="Arial" w:cs="Arial" w:eastAsia="Arial" w:hAnsi="Arial"/>
                <w:sz w:val="15"/>
                <w:szCs w:val="15"/>
                <w:color w:val="auto"/>
              </w:rPr>
              <w:t>(2)</w:t>
            </w:r>
          </w:p>
        </w:tc>
        <w:tc>
          <w:tcPr>
            <w:tcW w:w="6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Co-Founder, Chief Executive Officer and President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5,941</w:t>
            </w: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5,941</w:t>
            </w:r>
          </w:p>
        </w:tc>
        <w:tc>
          <w:tcPr>
            <w:tcW w:w="0" w:type="dxa"/>
            <w:vAlign w:val="bottom"/>
          </w:tcPr>
          <w:p>
            <w:pPr>
              <w:spacing w:after="0"/>
              <w:rPr>
                <w:sz w:val="1"/>
                <w:szCs w:val="1"/>
                <w:color w:val="auto"/>
              </w:rPr>
            </w:pPr>
          </w:p>
        </w:tc>
      </w:tr>
      <w:tr>
        <w:trPr>
          <w:trHeight w:val="202"/>
        </w:trPr>
        <w:tc>
          <w:tcPr>
            <w:tcW w:w="5680" w:type="dxa"/>
            <w:vAlign w:val="bottom"/>
            <w:gridSpan w:val="2"/>
          </w:tcPr>
          <w:p>
            <w:pPr>
              <w:spacing w:after="0" w:line="201" w:lineRule="exact"/>
              <w:rPr>
                <w:sz w:val="20"/>
                <w:szCs w:val="20"/>
                <w:color w:val="auto"/>
              </w:rPr>
            </w:pPr>
            <w:r>
              <w:rPr>
                <w:rFonts w:ascii="Arial" w:cs="Arial" w:eastAsia="Arial" w:hAnsi="Arial"/>
                <w:sz w:val="18"/>
                <w:szCs w:val="18"/>
                <w:color w:val="auto"/>
              </w:rPr>
              <w:t>Lynn Connolly, M.D., Ph.D.</w:t>
            </w: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Medical Officer</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169,154</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88,820</w:t>
            </w:r>
            <w:r>
              <w:rPr>
                <w:rFonts w:ascii="Arial" w:cs="Arial" w:eastAsia="Arial" w:hAnsi="Arial"/>
                <w:sz w:val="15"/>
                <w:szCs w:val="15"/>
                <w:color w:val="auto"/>
                <w:w w:val="98"/>
              </w:rPr>
              <w:t>(4)</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584,095</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3,767</w:t>
            </w:r>
            <w:r>
              <w:rPr>
                <w:rFonts w:ascii="Arial" w:cs="Arial" w:eastAsia="Arial" w:hAnsi="Arial"/>
                <w:sz w:val="15"/>
                <w:szCs w:val="15"/>
                <w:color w:val="auto"/>
              </w:rPr>
              <w:t>(5)</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845,836</w:t>
            </w:r>
          </w:p>
        </w:tc>
        <w:tc>
          <w:tcPr>
            <w:tcW w:w="0" w:type="dxa"/>
            <w:vAlign w:val="bottom"/>
          </w:tcPr>
          <w:p>
            <w:pPr>
              <w:spacing w:after="0"/>
              <w:rPr>
                <w:sz w:val="1"/>
                <w:szCs w:val="1"/>
                <w:color w:val="auto"/>
              </w:rPr>
            </w:pPr>
          </w:p>
        </w:tc>
      </w:tr>
      <w:tr>
        <w:trPr>
          <w:trHeight w:val="202"/>
        </w:trPr>
        <w:tc>
          <w:tcPr>
            <w:tcW w:w="5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Rebecca Dabora, Ph.D.</w:t>
            </w: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Technology &amp; Manufacturing Officer</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357,838</w:t>
            </w:r>
            <w:r>
              <w:rPr>
                <w:rFonts w:ascii="Arial" w:cs="Arial" w:eastAsia="Arial" w:hAnsi="Arial"/>
                <w:sz w:val="15"/>
                <w:szCs w:val="15"/>
                <w:color w:val="auto"/>
                <w:w w:val="95"/>
              </w:rPr>
              <w:t>(3)</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225,292</w:t>
            </w: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583,129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jc w:val="both"/>
        <w:ind w:left="540" w:hanging="424"/>
        <w:spacing w:after="0" w:line="252" w:lineRule="auto"/>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amounts reported reflect the aggregate grant-date fair value of option awards granted during the year measured pursuant to Financial Accounting Standard Board Accounting Standards Codification Topic 718, or ASC 718, the basis for computing stock-based compensation in our consolidated financial statements. This calculation assumes that the named executive officer will perform the requisite service for the award to vest in full as required by SEC rules. The assumptions we used in valuing options are described in Note 10 to our audited consolidated financial statements appearing at the end of this prospectus. These amounts do not reflect the actual economic value that will be realized by the named executive officer upon vesting of the stock options, the exercise of the stock options or the sale of the common stock underlying such stock options.</w:t>
      </w:r>
    </w:p>
    <w:p>
      <w:pPr>
        <w:spacing w:after="0" w:line="5" w:lineRule="exact"/>
        <w:rPr>
          <w:rFonts w:ascii="Arial" w:cs="Arial" w:eastAsia="Arial" w:hAnsi="Arial"/>
          <w:sz w:val="18"/>
          <w:szCs w:val="18"/>
          <w:color w:val="auto"/>
        </w:rPr>
      </w:pPr>
    </w:p>
    <w:p>
      <w:pPr>
        <w:ind w:left="540" w:hanging="424"/>
        <w:spacing w:after="0"/>
        <w:tabs>
          <w:tab w:leader="none" w:pos="5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Dr. Gerngross is also a member of our board of directors, but he did not receive any additional compensation in his capacity as a director in 2020.</w:t>
      </w:r>
    </w:p>
    <w:p>
      <w:pPr>
        <w:spacing w:after="0" w:line="32" w:lineRule="exact"/>
        <w:rPr>
          <w:rFonts w:ascii="Arial" w:cs="Arial" w:eastAsia="Arial" w:hAnsi="Arial"/>
          <w:sz w:val="16"/>
          <w:szCs w:val="16"/>
          <w:color w:val="auto"/>
        </w:rPr>
      </w:pPr>
    </w:p>
    <w:p>
      <w:pPr>
        <w:jc w:val="both"/>
        <w:ind w:left="540" w:hanging="424"/>
        <w:spacing w:after="0" w:line="250" w:lineRule="auto"/>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Represents total hourly compensation paid in 2020 under the terms of the consulting agreement pursuant to which Dr. Dabora provided services to us before her conversion to a full-time employee. See “—Agreements with our Named Executive Officers—Prior Agreements with our Named Executive Officers—Dr. Dabora’s Prior Consulting Agreement.”</w:t>
      </w:r>
    </w:p>
    <w:p>
      <w:pPr>
        <w:spacing w:after="0" w:line="1" w:lineRule="exact"/>
        <w:rPr>
          <w:rFonts w:ascii="Arial" w:cs="Arial" w:eastAsia="Arial" w:hAnsi="Arial"/>
          <w:sz w:val="18"/>
          <w:szCs w:val="18"/>
          <w:color w:val="auto"/>
        </w:rPr>
      </w:pPr>
    </w:p>
    <w:p>
      <w:pPr>
        <w:jc w:val="both"/>
        <w:ind w:left="540" w:right="20" w:hanging="424"/>
        <w:spacing w:after="0" w:line="250" w:lineRule="auto"/>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Represents the prorated 2020 annual bonus paid to Dr. Connolly pursuant to the terms of her prior employment agreement with us. See “— Agreements with our Named Executive Officers—Prior Agreements with our Named Executive Officers—Dr. Connolly’s Prior Employment Agreement.”</w:t>
      </w:r>
    </w:p>
    <w:p>
      <w:pPr>
        <w:spacing w:after="0" w:line="1" w:lineRule="exact"/>
        <w:rPr>
          <w:rFonts w:ascii="Arial" w:cs="Arial" w:eastAsia="Arial" w:hAnsi="Arial"/>
          <w:sz w:val="18"/>
          <w:szCs w:val="18"/>
          <w:color w:val="auto"/>
        </w:rPr>
      </w:pPr>
    </w:p>
    <w:p>
      <w:pPr>
        <w:ind w:left="540" w:right="20" w:hanging="424"/>
        <w:spacing w:after="0" w:line="260" w:lineRule="auto"/>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Represents employer contributions to Dr. Connolly’s 401(k) plan account and life insurance premiums. See “—Retirement Benefits and Other Compensation.”</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40"/>
          </w:cols>
          <w:pgMar w:left="320" w:top="459"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Fiscal 2020 Period-End</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following table sets forth certain information about outstanding equity awards granted to our named executive officers that were outstanding as of December 31, 2020.</w:t>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310"/>
        </w:trPr>
        <w:tc>
          <w:tcPr>
            <w:tcW w:w="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w w:val="92"/>
              </w:rPr>
              <w:t xml:space="preserve">Option Awards </w:t>
            </w:r>
            <w:r>
              <w:rPr>
                <w:rFonts w:ascii="Arial" w:cs="Arial" w:eastAsia="Arial" w:hAnsi="Arial"/>
                <w:sz w:val="27"/>
                <w:szCs w:val="27"/>
                <w:b w:val="1"/>
                <w:bCs w:val="1"/>
                <w:color w:val="auto"/>
                <w:w w:val="92"/>
                <w:vertAlign w:val="superscript"/>
              </w:rPr>
              <w:t>(1)</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gridSpan w:val="4"/>
          </w:tcPr>
          <w:p>
            <w:pPr>
              <w:ind w:left="440"/>
              <w:spacing w:after="0"/>
              <w:rPr>
                <w:sz w:val="20"/>
                <w:szCs w:val="20"/>
                <w:color w:val="auto"/>
              </w:rPr>
            </w:pPr>
            <w:r>
              <w:rPr>
                <w:rFonts w:ascii="Arial" w:cs="Arial" w:eastAsia="Arial" w:hAnsi="Arial"/>
                <w:sz w:val="16"/>
                <w:szCs w:val="16"/>
                <w:b w:val="1"/>
                <w:bCs w:val="1"/>
                <w:color w:val="auto"/>
              </w:rPr>
              <w:t>Stock Awards</w:t>
            </w: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rPr>
              <w:t>Market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Number of</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Value of</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2"/>
              </w:rPr>
              <w:t>Number of</w:t>
            </w:r>
          </w:p>
        </w:tc>
        <w:tc>
          <w:tcPr>
            <w:tcW w:w="200" w:type="dxa"/>
            <w:vAlign w:val="bottom"/>
          </w:tcPr>
          <w:p>
            <w:pPr>
              <w:spacing w:after="0"/>
              <w:rPr>
                <w:sz w:val="17"/>
                <w:szCs w:val="17"/>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Number of</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shares or</w:t>
            </w:r>
          </w:p>
        </w:tc>
        <w:tc>
          <w:tcPr>
            <w:tcW w:w="8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6"/>
              </w:rPr>
              <w:t>shares or</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6"/>
              </w:rPr>
              <w:t>Securities</w:t>
            </w:r>
          </w:p>
        </w:tc>
        <w:tc>
          <w:tcPr>
            <w:tcW w:w="200" w:type="dxa"/>
            <w:vAlign w:val="bottom"/>
          </w:tcPr>
          <w:p>
            <w:pPr>
              <w:spacing w:after="0"/>
              <w:rPr>
                <w:sz w:val="17"/>
                <w:szCs w:val="17"/>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6"/>
              </w:rPr>
              <w:t>Securities</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units of</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units of</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Vesting</w:t>
            </w:r>
          </w:p>
        </w:tc>
        <w:tc>
          <w:tcPr>
            <w:tcW w:w="90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3"/>
              </w:rPr>
              <w:t>Underlying</w:t>
            </w:r>
          </w:p>
        </w:tc>
        <w:tc>
          <w:tcPr>
            <w:tcW w:w="200" w:type="dxa"/>
            <w:vAlign w:val="bottom"/>
          </w:tcPr>
          <w:p>
            <w:pPr>
              <w:spacing w:after="0"/>
              <w:rPr>
                <w:sz w:val="17"/>
                <w:szCs w:val="17"/>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Underlying</w:t>
            </w:r>
          </w:p>
        </w:tc>
        <w:tc>
          <w:tcPr>
            <w:tcW w:w="8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Option</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stock that</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stock that</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Commence-</w:t>
            </w:r>
          </w:p>
        </w:tc>
        <w:tc>
          <w:tcPr>
            <w:tcW w:w="9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8"/>
              </w:rPr>
              <w:t>Unexercised</w:t>
            </w:r>
          </w:p>
        </w:tc>
        <w:tc>
          <w:tcPr>
            <w:tcW w:w="200" w:type="dxa"/>
            <w:vAlign w:val="bottom"/>
          </w:tcPr>
          <w:p>
            <w:pPr>
              <w:spacing w:after="0"/>
              <w:rPr>
                <w:sz w:val="17"/>
                <w:szCs w:val="17"/>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8"/>
              </w:rPr>
              <w:t>Unexercised</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85"/>
              </w:rPr>
              <w:t>Exercise</w:t>
            </w:r>
          </w:p>
        </w:tc>
        <w:tc>
          <w:tcPr>
            <w:tcW w:w="10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Option</w:t>
            </w: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have not</w:t>
            </w:r>
          </w:p>
        </w:tc>
        <w:tc>
          <w:tcPr>
            <w:tcW w:w="8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8"/>
              </w:rPr>
              <w:t>have not</w:t>
            </w:r>
          </w:p>
        </w:tc>
        <w:tc>
          <w:tcPr>
            <w:tcW w:w="0" w:type="dxa"/>
            <w:vAlign w:val="bottom"/>
          </w:tcPr>
          <w:p>
            <w:pPr>
              <w:spacing w:after="0"/>
              <w:rPr>
                <w:sz w:val="1"/>
                <w:szCs w:val="1"/>
                <w:color w:val="auto"/>
              </w:rPr>
            </w:pPr>
          </w:p>
        </w:tc>
      </w:tr>
      <w:tr>
        <w:trPr>
          <w:trHeight w:val="199"/>
        </w:trPr>
        <w:tc>
          <w:tcPr>
            <w:tcW w:w="25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Name</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ment</w:t>
            </w:r>
          </w:p>
        </w:tc>
        <w:tc>
          <w:tcPr>
            <w:tcW w:w="90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2"/>
              </w:rPr>
              <w:t>Options (#)</w:t>
            </w:r>
          </w:p>
        </w:tc>
        <w:tc>
          <w:tcPr>
            <w:tcW w:w="200" w:type="dxa"/>
            <w:vAlign w:val="bottom"/>
          </w:tcPr>
          <w:p>
            <w:pPr>
              <w:spacing w:after="0"/>
              <w:rPr>
                <w:sz w:val="17"/>
                <w:szCs w:val="17"/>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Options (#)</w:t>
            </w:r>
          </w:p>
        </w:tc>
        <w:tc>
          <w:tcPr>
            <w:tcW w:w="8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Price</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4"/>
              </w:rPr>
              <w:t>Expiration</w:t>
            </w: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vested</w:t>
            </w:r>
          </w:p>
        </w:tc>
        <w:tc>
          <w:tcPr>
            <w:tcW w:w="8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2"/>
              </w:rPr>
              <w:t>vested</w:t>
            </w:r>
          </w:p>
        </w:tc>
        <w:tc>
          <w:tcPr>
            <w:tcW w:w="0" w:type="dxa"/>
            <w:vAlign w:val="bottom"/>
          </w:tcPr>
          <w:p>
            <w:pPr>
              <w:spacing w:after="0"/>
              <w:rPr>
                <w:sz w:val="1"/>
                <w:szCs w:val="1"/>
                <w:color w:val="auto"/>
              </w:rPr>
            </w:pPr>
          </w:p>
        </w:tc>
      </w:tr>
      <w:tr>
        <w:trPr>
          <w:trHeight w:val="206"/>
        </w:trPr>
        <w:tc>
          <w:tcPr>
            <w:tcW w:w="2560" w:type="dxa"/>
            <w:vAlign w:val="bottom"/>
            <w:gridSpan w:val="2"/>
            <w:vMerge w:val="continue"/>
          </w:tcPr>
          <w:p>
            <w:pPr>
              <w:spacing w:after="0"/>
              <w:rPr>
                <w:sz w:val="17"/>
                <w:szCs w:val="17"/>
                <w:color w:val="auto"/>
              </w:rPr>
            </w:pPr>
          </w:p>
        </w:tc>
        <w:tc>
          <w:tcPr>
            <w:tcW w:w="1020" w:type="dxa"/>
            <w:vAlign w:val="bottom"/>
            <w:gridSpan w:val="2"/>
          </w:tcPr>
          <w:p>
            <w:pPr>
              <w:spacing w:after="0"/>
              <w:rPr>
                <w:sz w:val="20"/>
                <w:szCs w:val="20"/>
                <w:color w:val="auto"/>
              </w:rPr>
            </w:pPr>
            <w:r>
              <w:rPr>
                <w:rFonts w:ascii="Arial" w:cs="Arial" w:eastAsia="Arial" w:hAnsi="Arial"/>
                <w:sz w:val="16"/>
                <w:szCs w:val="16"/>
                <w:b w:val="1"/>
                <w:bCs w:val="1"/>
                <w:color w:val="auto"/>
              </w:rPr>
              <w:t>Grant Date</w:t>
            </w: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Date</w:t>
            </w:r>
          </w:p>
        </w:tc>
        <w:tc>
          <w:tcPr>
            <w:tcW w:w="9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9"/>
              </w:rPr>
              <w:t>Exercisable</w:t>
            </w:r>
          </w:p>
        </w:tc>
        <w:tc>
          <w:tcPr>
            <w:tcW w:w="200" w:type="dxa"/>
            <w:vAlign w:val="bottom"/>
          </w:tcPr>
          <w:p>
            <w:pPr>
              <w:spacing w:after="0"/>
              <w:rPr>
                <w:sz w:val="17"/>
                <w:szCs w:val="17"/>
                <w:color w:val="auto"/>
              </w:rPr>
            </w:pPr>
          </w:p>
        </w:tc>
        <w:tc>
          <w:tcPr>
            <w:tcW w:w="1560" w:type="dxa"/>
            <w:vAlign w:val="bottom"/>
            <w:gridSpan w:val="2"/>
          </w:tcPr>
          <w:p>
            <w:pPr>
              <w:jc w:val="center"/>
              <w:ind w:right="420"/>
              <w:spacing w:after="0" w:line="207" w:lineRule="exact"/>
              <w:rPr>
                <w:sz w:val="20"/>
                <w:szCs w:val="20"/>
                <w:color w:val="auto"/>
              </w:rPr>
            </w:pPr>
            <w:r>
              <w:rPr>
                <w:rFonts w:ascii="Arial" w:cs="Arial" w:eastAsia="Arial" w:hAnsi="Arial"/>
                <w:sz w:val="14"/>
                <w:szCs w:val="14"/>
                <w:b w:val="1"/>
                <w:bCs w:val="1"/>
                <w:color w:val="auto"/>
              </w:rPr>
              <w:t>Unexercisable</w:t>
            </w:r>
            <w:r>
              <w:rPr>
                <w:rFonts w:ascii="Arial" w:cs="Arial" w:eastAsia="Arial" w:hAnsi="Arial"/>
                <w:sz w:val="23"/>
                <w:szCs w:val="23"/>
                <w:b w:val="1"/>
                <w:bCs w:val="1"/>
                <w:color w:val="auto"/>
                <w:vertAlign w:val="superscript"/>
              </w:rPr>
              <w:t>(2)</w:t>
            </w:r>
          </w:p>
        </w:tc>
        <w:tc>
          <w:tcPr>
            <w:tcW w:w="580" w:type="dxa"/>
            <w:vAlign w:val="bottom"/>
          </w:tcPr>
          <w:p>
            <w:pPr>
              <w:jc w:val="right"/>
              <w:ind w:right="37"/>
              <w:spacing w:after="0" w:line="207"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(3)</w:t>
            </w:r>
          </w:p>
        </w:tc>
        <w:tc>
          <w:tcPr>
            <w:tcW w:w="240" w:type="dxa"/>
            <w:vAlign w:val="bottom"/>
          </w:tcPr>
          <w:p>
            <w:pPr>
              <w:spacing w:after="0"/>
              <w:rPr>
                <w:sz w:val="17"/>
                <w:szCs w:val="17"/>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Date</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Borders>
              <w:bottom w:val="single" w:sz="8" w:color="CCEEFF"/>
            </w:tcBorders>
            <w:shd w:val="clear" w:color="auto" w:fill="000000"/>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Tillman U. Gerngross, Ph.D.</w:t>
            </w:r>
            <w:r>
              <w:rPr>
                <w:rFonts w:ascii="Arial" w:cs="Arial" w:eastAsia="Arial" w:hAnsi="Arial"/>
                <w:sz w:val="15"/>
                <w:szCs w:val="15"/>
                <w:color w:val="auto"/>
              </w:rPr>
              <w:t>(4)</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ind w:left="680"/>
              <w:spacing w:after="0" w:line="203" w:lineRule="exact"/>
              <w:rPr>
                <w:sz w:val="20"/>
                <w:szCs w:val="20"/>
                <w:color w:val="auto"/>
              </w:rPr>
            </w:pPr>
            <w:r>
              <w:rPr>
                <w:rFonts w:ascii="Arial" w:cs="Arial" w:eastAsia="Arial" w:hAnsi="Arial"/>
                <w:sz w:val="18"/>
                <w:szCs w:val="18"/>
                <w:color w:val="auto"/>
                <w:w w:val="88"/>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1,985,295</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9,148,239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Lynn Connolly, M.D., Ph.D.</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9/28/2020</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7/13/2020</w:t>
            </w:r>
          </w:p>
        </w:tc>
        <w:tc>
          <w:tcPr>
            <w:tcW w:w="9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right"/>
              <w:ind w:right="240"/>
              <w:spacing w:after="0"/>
              <w:rPr>
                <w:sz w:val="20"/>
                <w:szCs w:val="20"/>
                <w:color w:val="auto"/>
              </w:rPr>
            </w:pPr>
            <w:r>
              <w:rPr>
                <w:rFonts w:ascii="Arial" w:cs="Arial" w:eastAsia="Arial" w:hAnsi="Arial"/>
                <w:sz w:val="18"/>
                <w:szCs w:val="18"/>
                <w:color w:val="auto"/>
              </w:rPr>
              <w:t>860,290</w:t>
            </w:r>
            <w:r>
              <w:rPr>
                <w:rFonts w:ascii="Arial" w:cs="Arial" w:eastAsia="Arial" w:hAnsi="Arial"/>
                <w:sz w:val="15"/>
                <w:szCs w:val="15"/>
                <w:color w:val="auto"/>
              </w:rPr>
              <w:t>(5)</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0.78</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Rebecca Dabora, Ph.D.</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9/28/2020</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9/28/2020</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330,880</w:t>
            </w:r>
            <w:r>
              <w:rPr>
                <w:rFonts w:ascii="Arial" w:cs="Arial" w:eastAsia="Arial" w:hAnsi="Arial"/>
                <w:sz w:val="15"/>
                <w:szCs w:val="15"/>
                <w:color w:val="auto"/>
              </w:rPr>
              <w:t>(5)</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0.78</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20" w:hanging="424"/>
        <w:spacing w:after="0" w:line="258" w:lineRule="auto"/>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All of the awards listed in this table were granted under our 2020 Plan. See the section titled “—Equity Incentive Plans—2020 Equity Incentive Plan” below for additional information.</w:t>
      </w:r>
    </w:p>
    <w:p>
      <w:pPr>
        <w:spacing w:after="0" w:line="1" w:lineRule="exact"/>
        <w:rPr>
          <w:rFonts w:ascii="Arial" w:cs="Arial" w:eastAsia="Arial" w:hAnsi="Arial"/>
          <w:sz w:val="18"/>
          <w:szCs w:val="18"/>
          <w:color w:val="auto"/>
        </w:rPr>
      </w:pPr>
    </w:p>
    <w:p>
      <w:pPr>
        <w:jc w:val="both"/>
        <w:ind w:left="540" w:hanging="424"/>
        <w:spacing w:after="0" w:line="250" w:lineRule="auto"/>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All of the outstanding stock options were immediately exercisable as of the date of grant, with any unvested shares acquired on exercise subject to a right of repurchase in favor of us at the original exercise price that lapses in accordance with the vesting schedule of the related option. Accordingly, the columns and footnotes below reflect the extent to which stock options held by our named executive officers were vested (as opposed to exercisable) as of December 31, 2020.</w:t>
      </w:r>
    </w:p>
    <w:p>
      <w:pPr>
        <w:spacing w:after="0" w:line="1"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All of the option awards listed in the table were granted with a per share exercise price equal to or above the estimated fair value of our common stock on the date of grant, as determined in good faith by our board of directors.</w:t>
      </w:r>
    </w:p>
    <w:p>
      <w:pPr>
        <w:jc w:val="both"/>
        <w:ind w:left="540" w:hanging="424"/>
        <w:spacing w:after="0" w:line="265" w:lineRule="auto"/>
        <w:tabs>
          <w:tab w:leader="none" w:pos="5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Dr. Gerngross’ prior consulting agreement (referred to below) acknowledged that, in consideration of his consulting services, he was granted an option to purchase 1,985,295 shares of our common stock, which option vests as to 25% of the underlying shares on June 15, 2021 and the remainder of the underlying shares vest in 36 substantially equal monthly installments, subject to his continued service through each vesting date. In the event of a “change in control” (as defined our 2020 Plan), the vesting of Dr. Gerngross’s option will accelerate in full, subject to his continued service as of immediately prior to such change in control. The terms of Dr. Gerngross’s option also include the ability for Dr. Gerngross to exercise the option in full on the date of grant. Dr. Gerngross exercised his stock option prior to December 31, 2020 and received unvested shares of our common stock. After exercising his stock option, Dr. Gerngross transferred the unvested shares to Adimab, in exchange for no consideration. Dr. Gerngross is a co-founder and currently serving as Chief Executive Officer and as a director of Adimab. The unvested shares held by Adimab remain subject to the same vesting conditions applicable to Dr. Gerngross’s original option award, including the requirement that Dr. Gerngross continue providing services to us through each vesting date, and such shares are subject to a right of repurchase in favor of us at the original option exercise price that lapses in accordance with such vesting schedule.</w:t>
      </w:r>
    </w:p>
    <w:p>
      <w:pPr>
        <w:spacing w:after="0" w:line="1" w:lineRule="exact"/>
        <w:rPr>
          <w:rFonts w:ascii="Arial" w:cs="Arial" w:eastAsia="Arial" w:hAnsi="Arial"/>
          <w:sz w:val="17"/>
          <w:szCs w:val="17"/>
          <w:color w:val="auto"/>
        </w:rPr>
      </w:pPr>
    </w:p>
    <w:p>
      <w:pPr>
        <w:jc w:val="both"/>
        <w:ind w:left="540" w:right="20" w:hanging="424"/>
        <w:spacing w:after="0" w:line="253" w:lineRule="auto"/>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25% of the shares subject to this award will vest on the first anniversary of the vesting commencement date, with the remaining shares vesting in equal monthly installments over the three years thereafter, in each case subject to the named executive officer’s continued service. Notwithstanding the foregoing, 100% of the shares subject to this award will vest immediately prior to a change in control, subject to the named executive officer’s continued service until immediately prior to such change in control.</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40"/>
          </w:cols>
          <w:pgMar w:left="32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our Named Executive Officers</w:t>
      </w:r>
    </w:p>
    <w:p>
      <w:pPr>
        <w:spacing w:after="0" w:line="121"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We have previously entered into employment or consulting agreements with each of our named executive officers, and in connection with this offering, we will enter into employment agreements with Drs. Gerngross and Dabora to supersede their consulting agreement and offer letter, respectively, and a restated and amended employment agreement with Dr. Connolly to supersede her prior employment agreement. The key terms of the prior and prospective agreements are described below. For a discussion of the severance pay and other benefits to be provided in connection with a termination of employment or a change in control under the arrangements with our named executive officers, please see “Potential Payments Upon Termination in the Employment Agreements to be Executed in Connection with this Offering” below.</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Prior Agreements with our Named Executive Officers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Dr. Gerngross’ Prior Consulting Agreement</w:t>
      </w:r>
    </w:p>
    <w:p>
      <w:pPr>
        <w:spacing w:after="0" w:line="117"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In July 2020, we entered into a consulting agreement with Dr. Gerngross. This agreement governs the current terms of Dr. Gerngross’s consulting arrangement with us. Dr. Gerngross’s consulting agreement does not provide for the payment of consulting fees but acknowledges that, in consideration of his consulting services, he was granted an option to purchase 1,985,295 shares of our common stock.</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Dr. Connolly’s Prior Employment Agreement</w:t>
      </w:r>
    </w:p>
    <w:p>
      <w:pPr>
        <w:spacing w:after="0" w:line="117"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In November 2020, we entered into an employment agreement with Dr. Connolly. This agreement governs the current terms of Dr. Connolly’s employment with us. Pursuant to her employment agreement, Dr. Connolly is entitled to an annual base salary of $360,000, and is eligible to receive an annual target bonus equal to 35% of her annual base salary, with the actual payout determined in the discretion our board of directors and any bonus payable in respect of calendar year 2020 prorated from the commencement of her employment. Dr. Connolly is also eligible for standard benefits such as paid time off, for reimbursement of business expenses, and to participate in our employee benefit plans and programs.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Dr. Dabora’s Prior Consulting Agreement</w:t>
      </w:r>
    </w:p>
    <w:p>
      <w:pPr>
        <w:spacing w:after="0" w:line="117"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In June 2020, we entered into a consulting agreement with RDBio Consulting LLC, a limited liability company owned by Dr. Dabora, pursuant to which RDBio Consulting LLC agreed to make Dr. Dabora available to provide services to us. The agreement had an initial term of one year and governed the terms of Dr. Dabora’s service relationship with us before she was converted to a full-time employee. The agreement provided that we pay RDBio Consulting, LLC an amount of $400 per hour that Dr. Dabora provided services to us (but not to exceed $3,200 per day). The agreement also provided for reimbursement of business expenses and could be terminated by either party upon 30 days’ prior written notice. In May 2021, Dr. Dabora entered into an offer letter agreement with us, similar in terms to the employment agreement, except that the offer letter did not include severance or change in control benefits.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Prospective Agreements with our Named Executive Officers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Dr. Gerngross’s Employment Agreement</w:t>
      </w:r>
    </w:p>
    <w:p>
      <w:pPr>
        <w:spacing w:after="0" w:line="117"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Dr. Gerngross’s employment agreement includes a base salary of $550,000 and an annual target bonus of 50% of his base salary. The annual bonus will be determined by the compensation committee based on the achievement of performance goals and objectives for the calendar year. The employment agreement provides for standard benefits, such as paid time off, reimbursement of business expenses, and participation in our employee benefit plans and programs. The employment agreement states that any time-based equity issued on or after the offering will not accelerate in full upon a change in control if such equity is assumed, continued or substituted by the successor entity. Severance terms are detailed further below under “Potential Payments Upon Termination in the Employment Agreements to be Executed in Connection with this Offering.”</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40"/>
          </w:cols>
          <w:pgMar w:left="32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Dr. Dabora’s Employment Agreement and Dr. Connolly’s Restated and Amended Employment Agreement</w:t>
      </w:r>
    </w:p>
    <w:p>
      <w:pPr>
        <w:spacing w:after="0" w:line="11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Dr. Dabora’s employment agreement and Dr. Connolly’s restated and amended employment agreement follow the same form as Dr. Gerngross’s employment agreement, except that Dr. Dabora will receive a salary of $400,000 and a target bonus of 40% of her base salary, and Dr. Connolly will receive a salary of $440,000 and a target bonus of 40% of her base salary. Other substantive differences are limited to the definition of Good Reason, which, for Drs. Dabora and Connolly, is further triggered by a material reduction in the authority, duties or responsibilities of the CEO to whom the executives report. Severance terms are detailed further below under “Potential Payments Upon Termination in the Employment Agreements to be Executed in Connection with this Offering.”</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Potential Payments Upon Termination in the Employment Agreements to be Executed in Connection with this Offering</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Drs. Gerngross, Connolly and Dabora will be entitled to certain severance and change in control benefits pursuant to the employment agreements to be executed in connection with this offering.</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the event that the executives’ employment ends upon death or a disability, they will be entitled to accrued obligations and payment of their target bonus so long as their employment terminates after the completion of the calendar year but prior to the date of payment of the bonus, or the Earned Bonus.</w:t>
      </w:r>
    </w:p>
    <w:p>
      <w:pPr>
        <w:spacing w:after="0" w:line="184"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color w:val="auto"/>
        </w:rPr>
        <w:t>In the event that employment terminates, other than during the period commencing three months prior to or ending 12 months following a “change in control,” or the Change in Control Period, by us without “cause” or by the executive for “good reason” (as defined in our equity plan and the respective employment agreement), and subject to the delivery to us of a separation agreement that includes a general release of claims, Drs. Dabora and Connolly will each receive cash severance equal to nine months of their base salary, as well as the Earned Bonus, if applicable, and nine months continuation of benefits. In exchange for the same terms, Dr. Gerngross will receive cash severance equal to 12 months of his base salary, the Earned Bonus, if applicable, and 12 months continuation of benefits. Each of the three executives will also be entitled to delayed forfeiture of unvested time-based equity awards until 90 days after the date of termination.</w:t>
      </w:r>
    </w:p>
    <w:p>
      <w:pPr>
        <w:spacing w:after="0" w:line="177"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In the event that the executives’ employment is terminated by us without cause or by the executive for good reason, in either case, during the Change in Control Period, and subject to their delivery to us of a separation agreement that includes a general release of claims, Drs. Dabora and Connolly will each receive cash severance equal to 12 months of their base salary, their respective target bonus for the year of termination, as well as the Earned Bonus, if applicable, and 12 months continuation of benefits. In exchange for the same terms, Dr. Gerngross will receive cash severance equal to 18 months of his base salary, the target bonus for the year of termination with a 1.5 multiplier, the Earned Bonus, if applicable, and 18 months continuation of benefits. All three executives will also be entitled to immediate acceleration and full vesting of any time-based equity awards, exercisable or nonforfeitable as if employment continued until the later of the date of termination or the effective date of the separation agreement.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Retirement Benefits and Other Compensation</w:t>
      </w:r>
    </w:p>
    <w:p>
      <w:pPr>
        <w:spacing w:after="0" w:line="121"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auto"/>
        </w:rPr>
        <w:t>Our named executive officers were eligible to participate in our employee benefits, including health insurance and group life insurance benefits, on the same basis as our other employees. We maintain a safe harbor 401(k) plan that provides eligible employees with an opportunity to save for retirement on a tax advantaged basis. Eligible employees are able to defer eligible compensation up to certain limits of the Code, which are updated annually. The 401(k) plan also provides that we will make non-elective contributions each participant’s account totaling to 3% of the participant’s eligible compensation. We generally do not provide other perquisites or personal benefits except in limited circumstances, and we did not provide any such perquisites or personal benefits to our named executive officers in 2020.</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17"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Our board of directors adopted, and our stockholders approved, our 2021 Equity Incentive Plan, or the 2021 Plan, in July 2021. Our 2021 Plan provides for the grant of incentive stock options, or ISOs, to employees, including employees of any parent or subsidiary, and for the grant of nonstatutory stock options, or NSOs, stock appreciation rights, restricted stock awards, restricted stock unit awards, performance awards and other forms of stock awards to employees, directors, and consultants, including employees and consultants of our affiliates. Our 2021 Plan is a successor to the 2020 Plan and will become effective immediately prior to and contingent upon the execution of the underwriting agreement related to this offering.</w:t>
      </w:r>
    </w:p>
    <w:p>
      <w:pPr>
        <w:spacing w:after="0" w:line="161"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i w:val="1"/>
          <w:iCs w:val="1"/>
          <w:color w:val="auto"/>
        </w:rPr>
        <w:t>Authorized Shares</w:t>
      </w:r>
      <w:r>
        <w:rPr>
          <w:rFonts w:ascii="Arial" w:cs="Arial" w:eastAsia="Arial" w:hAnsi="Arial"/>
          <w:sz w:val="16"/>
          <w:szCs w:val="16"/>
          <w:color w:val="auto"/>
        </w:rPr>
        <w:t>. Initially, the maximum number of shares of our common stock that may be issued under our 2021 Plan after it becomes</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will be 35,075,122 shares, which is the sum of (i) 11,413,572 new shares; plus (ii) the number of shares (not to exceed 23,661,550 shares) equal to (A) the shares that remain available for issuance under the 2020 Plan at the time our 2021 Plan becomes effective, and (B) any shares subject to outstanding stock options or other stock awards that were granted under the 2020 Plan that are forfeited, terminate, expire or are otherwise not issued. In addition, the number of shares of our common stock reserved for issuance under our 2021 Plan will automatically increase on January 1 of each calendar year, starting on January 1, 2022 and continuing through January 1, 2031, in an amount equal to 5% of the total number of shares of our common stock outstanding on the last day of the calendar month before the date of each automatic increase, or a lesser number of shares determined by our board of directors (in either case, such amount is referred to herein as the annual increase). The maximum number of shares of our common stock that may be issued on the exercise of ISOs under our 2021 Plan shall not exceed the initial reserve cumulatively increased on January 1, 2022 and each January 1st thereafter by the lesser of (i) the annual increase for such year or (ii) 23,827,144 shares of common stock.</w:t>
      </w:r>
    </w:p>
    <w:p>
      <w:pPr>
        <w:spacing w:after="0" w:line="168"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Shares subject to stock awards granted under our 2021 Plan that expire or terminate without being exercised in full, or that are paid out in cash rather than in shares, do not reduce the number of shares available for issuance under our 2021 Plan. Additionally, shares become available for future grant under our 2021 Plan if they were issued under stock awards under our 2021 Plan if we repurchase them or they are forfeited. This includes shares used to pay the exercise price of a stock award or to satisfy the tax withholding obligations related to a stock award.</w:t>
      </w:r>
    </w:p>
    <w:p>
      <w:pPr>
        <w:spacing w:after="0" w:line="17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of directors, or a duly authorized committee of our board of directors, will administer our 2021 Plan.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may also delegate to one or more of our officers the authority to (i) designate employees (other than officers) to receive specified stock awards and (ii) determine the number of shares subject to such stock awards. Under our 2021 Plan, our board of directors has the authority to determine and amend the terms of awards and underlying agreements, including:</w:t>
      </w:r>
    </w:p>
    <w:p>
      <w:pPr>
        <w:spacing w:after="0" w:line="92" w:lineRule="exact"/>
        <w:rPr>
          <w:sz w:val="20"/>
          <w:szCs w:val="20"/>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recipients;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exercise, purchase or strike price of stock awards, if any; the number of shares subject to each stock award;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vesting schedule applicable to the awards, together with any vesting acceleration;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form of consideration, if any, payable on exercise or settlement of the award.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Under the 2021 Plan, the board of directors also generally has the authority to effect, with the consent of any adversely affected participant:</w:t>
      </w:r>
    </w:p>
    <w:p>
      <w:pPr>
        <w:spacing w:after="0" w:line="131" w:lineRule="exact"/>
        <w:rPr>
          <w:sz w:val="20"/>
          <w:szCs w:val="20"/>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reduction of the exercise, purchase, or strike price of any outstanding award;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cancellation of any outstanding award and the grant in substitution therefore of other awards, cash, or other consideration; or</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other action that is treated as a repricing under generally accepted accounting principles.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ISOs and NSOs are granted under stock option agreements adopted by the plan administrator. The plan administrator determines</w:t>
      </w:r>
      <w:r>
        <w:rPr>
          <w:rFonts w:ascii="Arial" w:cs="Arial" w:eastAsia="Arial" w:hAnsi="Arial"/>
          <w:sz w:val="18"/>
          <w:szCs w:val="18"/>
          <w:i w:val="1"/>
          <w:iCs w:val="1"/>
          <w:color w:val="auto"/>
        </w:rPr>
        <w:t xml:space="preserve"> </w:t>
      </w:r>
      <w:r>
        <w:rPr>
          <w:rFonts w:ascii="Arial" w:cs="Arial" w:eastAsia="Arial" w:hAnsi="Arial"/>
          <w:sz w:val="18"/>
          <w:szCs w:val="18"/>
          <w:color w:val="auto"/>
        </w:rPr>
        <w:t>the exercise price for stock options, within the terms and conditions of the 2021 Plan, provided that the exercise price of a stock option generally cannot be less than 100% of the fair market value of our common stock on the date of grant. Options granted under the 2021 Plan vest at the rate specified in the stock option agreement as determined by the plan administrator.</w:t>
      </w:r>
    </w:p>
    <w:p>
      <w:pPr>
        <w:spacing w:after="0" w:line="18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i w:val="1"/>
          <w:iCs w:val="1"/>
          <w:color w:val="auto"/>
        </w:rPr>
        <w:t>Tax Limitations on ISOs</w:t>
      </w:r>
      <w:r>
        <w:rPr>
          <w:rFonts w:ascii="Arial" w:cs="Arial" w:eastAsia="Arial" w:hAnsi="Arial"/>
          <w:sz w:val="18"/>
          <w:szCs w:val="18"/>
          <w:color w:val="auto"/>
        </w:rPr>
        <w:t>. The aggregate fair market value, determined at the time of grant, of our common stock with respect to ISOs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exercisable for the first time by an option holder during any calendar year under all of our stock plans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affiliates unless (i) the option exercise price is at least 110% of the fair market value of the stock subject to the option on the date of grant; and (ii) the option is not exercisable after the expiration of five years from the date of grant.</w:t>
      </w:r>
    </w:p>
    <w:p>
      <w:pPr>
        <w:spacing w:after="0" w:line="192"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i w:val="1"/>
          <w:iCs w:val="1"/>
          <w:color w:val="auto"/>
        </w:rPr>
        <w:t xml:space="preserve">Restricted Stock Unit Awards. </w:t>
      </w:r>
      <w:r>
        <w:rPr>
          <w:rFonts w:ascii="Arial" w:cs="Arial" w:eastAsia="Arial" w:hAnsi="Arial"/>
          <w:sz w:val="17"/>
          <w:szCs w:val="17"/>
          <w:color w:val="auto"/>
        </w:rPr>
        <w:t>Restricted stock units are granted under restricted stock unit award agreements adopted by the plan administrator.</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stock units may be granted in consideration for any form of legal consideration that may be acceptable to our board of directors and permissible under applicable law. A restricted stock unit may be settled by cash, delivery of stock, a combination of cash and stock as deemed appropriate by the plan administrator, or in any other form of consideration set forth in the restricted stock unit agreement. Additionally, dividend equivalents may be credited in respect of shares covered by a restricted stock unit. Except as otherwise provided in the applicable award agreement, restricted stock units that have not vested will be forfeited once the participant’s continuous service ends for any reason.</w:t>
      </w:r>
    </w:p>
    <w:p>
      <w:pPr>
        <w:spacing w:after="0" w:line="178"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i w:val="1"/>
          <w:iCs w:val="1"/>
          <w:color w:val="auto"/>
        </w:rPr>
        <w:t xml:space="preserve">Restricted Stock Awards. </w:t>
      </w:r>
      <w:r>
        <w:rPr>
          <w:rFonts w:ascii="Arial" w:cs="Arial" w:eastAsia="Arial" w:hAnsi="Arial"/>
          <w:sz w:val="18"/>
          <w:szCs w:val="18"/>
          <w:color w:val="auto"/>
        </w:rPr>
        <w:t>Restricted stock awards are granted under restricted stock award agreements adopted by the plan administrator. A</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award may be awarded in consideration for cash, check, bank draft or money order, past services to us, or any other form of legal consideration that may be acceptable to our board of directors and permissible under applicable law. The plan administrator determines the terms and conditions of restricted stock awards, including vesting and forfeiture terms. If a participant’s service relationship with us ends for any reason, we may receive any or all of the shares of common stock held by the participant that have not vested as of the date the participant terminates service with us through a forfeiture condition or a repurchase right.</w:t>
      </w:r>
    </w:p>
    <w:p>
      <w:pPr>
        <w:spacing w:after="0" w:line="192"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Stock appreciation rights are granted under stock appreciation grant agreements adopted by the plan administrator.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administrator determines the purchase price or strike price for a stock appreciation right, which generally cannot be less than 100% of the fair market value of our common stock on the date of grant. A stock appreciation right granted under the 2021 Plan vests at the rate specified in the stock appreciation right agreement as determined by the plan administrator.</w:t>
      </w:r>
    </w:p>
    <w:p>
      <w:pPr>
        <w:spacing w:after="0" w:line="187" w:lineRule="exact"/>
        <w:rPr>
          <w:sz w:val="20"/>
          <w:szCs w:val="20"/>
          <w:color w:val="auto"/>
        </w:rPr>
      </w:pPr>
    </w:p>
    <w:p>
      <w:pPr>
        <w:jc w:val="both"/>
        <w:ind w:left="120" w:firstLine="440"/>
        <w:spacing w:after="0" w:line="284" w:lineRule="auto"/>
        <w:rPr>
          <w:sz w:val="20"/>
          <w:szCs w:val="20"/>
          <w:color w:val="auto"/>
        </w:rPr>
      </w:pPr>
      <w:r>
        <w:rPr>
          <w:rFonts w:ascii="Arial" w:cs="Arial" w:eastAsia="Arial" w:hAnsi="Arial"/>
          <w:sz w:val="16"/>
          <w:szCs w:val="16"/>
          <w:i w:val="1"/>
          <w:iCs w:val="1"/>
          <w:color w:val="auto"/>
        </w:rPr>
        <w:t xml:space="preserve">Performance Awards. </w:t>
      </w:r>
      <w:r>
        <w:rPr>
          <w:rFonts w:ascii="Arial" w:cs="Arial" w:eastAsia="Arial" w:hAnsi="Arial"/>
          <w:sz w:val="16"/>
          <w:szCs w:val="16"/>
          <w:color w:val="auto"/>
        </w:rPr>
        <w:t>The 2021 Plan permits the grant of performance-based stock and cash awards. The plan administrator may structure awards</w:t>
      </w:r>
      <w:r>
        <w:rPr>
          <w:rFonts w:ascii="Arial" w:cs="Arial" w:eastAsia="Arial" w:hAnsi="Arial"/>
          <w:sz w:val="16"/>
          <w:szCs w:val="16"/>
          <w:i w:val="1"/>
          <w:iCs w:val="1"/>
          <w:color w:val="auto"/>
        </w:rPr>
        <w:t xml:space="preserve"> </w:t>
      </w:r>
      <w:r>
        <w:rPr>
          <w:rFonts w:ascii="Arial" w:cs="Arial" w:eastAsia="Arial" w:hAnsi="Arial"/>
          <w:sz w:val="16"/>
          <w:szCs w:val="16"/>
          <w:color w:val="auto"/>
        </w:rPr>
        <w:t>so that the shares of our stock, cash, or other property will be issued or paid only following the achievement of certain pre-established performance goals during a designated performance period. The performance criteria that will be used to establish such performance goals may be based on any measure of performance selected by the plan administrator. The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we will appropriately make adjustments in the method of calculating the attainment of performance goals as follows: (1) to exclude restructuring and/or other nonrecurring charges; (2) to exclude exchange rate effects;</w:t>
      </w:r>
    </w:p>
    <w:p>
      <w:pPr>
        <w:spacing w:after="0" w:line="1" w:lineRule="exact"/>
        <w:rPr>
          <w:sz w:val="20"/>
          <w:szCs w:val="20"/>
          <w:color w:val="auto"/>
        </w:rPr>
      </w:pPr>
    </w:p>
    <w:p>
      <w:pPr>
        <w:jc w:val="both"/>
        <w:ind w:left="120" w:right="20" w:hanging="4"/>
        <w:spacing w:after="0" w:line="255" w:lineRule="auto"/>
        <w:tabs>
          <w:tab w:leader="none" w:pos="37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40"/>
          </w:cols>
          <w:pgMar w:left="320" w:top="459"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effects of acquisitions or joint ventures; (7) to assume that any business divested by us achieved performance objectives at targeted levels during the balance of a performance period following such divestiture; (8)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our bonus plans; (10) to exclude costs incurred in connection with potential acquisitions or divestitures that are required to be expensed under generally accepted accounting principles; (11) to exclude the goodwill and intangible asset impairment charges that are required to be recorded under generally accepted accounting principles; and (12) to exclude the effects of the timing of acceptance for review and/or approval of submissions to the FDA or any other regulatory body. In addition, we retain the discretion to reduce or eliminate the compensation or economic benefit due upon attainment of the goals. The performance goals may differ from participant to participant and from award to award.</w:t>
      </w:r>
    </w:p>
    <w:p>
      <w:pPr>
        <w:spacing w:after="0" w:line="18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i w:val="1"/>
          <w:iCs w:val="1"/>
          <w:color w:val="auto"/>
        </w:rPr>
        <w:t xml:space="preserve">Other Stock Awards. </w:t>
      </w:r>
      <w:r>
        <w:rPr>
          <w:rFonts w:ascii="Arial" w:cs="Arial" w:eastAsia="Arial" w:hAnsi="Arial"/>
          <w:sz w:val="18"/>
          <w:szCs w:val="18"/>
          <w:color w:val="auto"/>
        </w:rPr>
        <w:t>The plan administrator may grant other awards based in whole or in part by reference to our common stock.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will set the number of shares under the stock award and all other terms and conditions of such awards.</w:t>
      </w:r>
    </w:p>
    <w:p>
      <w:pPr>
        <w:spacing w:after="0" w:line="170"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i w:val="1"/>
          <w:iCs w:val="1"/>
          <w:color w:val="auto"/>
        </w:rPr>
        <w:t>Non-Employee Director Compensation Limit</w:t>
      </w:r>
      <w:r>
        <w:rPr>
          <w:rFonts w:ascii="Arial" w:cs="Arial" w:eastAsia="Arial" w:hAnsi="Arial"/>
          <w:sz w:val="16"/>
          <w:szCs w:val="16"/>
          <w:color w:val="auto"/>
        </w:rPr>
        <w:t>. The aggregate value of all compensation granted or paid to any non-employee director with respect</w:t>
      </w:r>
      <w:r>
        <w:rPr>
          <w:rFonts w:ascii="Arial" w:cs="Arial" w:eastAsia="Arial" w:hAnsi="Arial"/>
          <w:sz w:val="16"/>
          <w:szCs w:val="16"/>
          <w:i w:val="1"/>
          <w:iCs w:val="1"/>
          <w:color w:val="auto"/>
        </w:rPr>
        <w:t xml:space="preserve"> </w:t>
      </w:r>
      <w:r>
        <w:rPr>
          <w:rFonts w:ascii="Arial" w:cs="Arial" w:eastAsia="Arial" w:hAnsi="Arial"/>
          <w:sz w:val="16"/>
          <w:szCs w:val="16"/>
          <w:color w:val="auto"/>
        </w:rPr>
        <w:t>to any calendar year, including stock awards granted and cash fees paid by us to such non-employee director, will not exceed $1,500,000 in total value, calculating the value of any such stock awards based on the grant-date fair value of such stock awards for financial reporting purposes.</w:t>
      </w:r>
    </w:p>
    <w:p>
      <w:pPr>
        <w:spacing w:after="0" w:line="149"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i w:val="1"/>
          <w:iCs w:val="1"/>
          <w:color w:val="auto"/>
        </w:rPr>
        <w:t xml:space="preserve">Changes to Capital Structure. </w:t>
      </w:r>
      <w:r>
        <w:rPr>
          <w:rFonts w:ascii="Arial" w:cs="Arial" w:eastAsia="Arial" w:hAnsi="Arial"/>
          <w:sz w:val="18"/>
          <w:szCs w:val="18"/>
          <w:color w:val="auto"/>
        </w:rPr>
        <w:t>In the event there is a specified type of change in our capital structure, such as a stock split, reverse stock split, or</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appropriate adjustments will be made to (i) the class and maximum number of shares reserved for issuance under the 2021 Plan, (ii) the class and maximum number of shares by which the share reserve may increase automatically each year, (iii) the class and maximum number of shares that may be issued on the exercise of incentive stock options, and (iv) the class and number of shares and exercise price, strike price, or purchase price, if applicable, of all outstanding stock awards.</w:t>
      </w:r>
    </w:p>
    <w:p>
      <w:pPr>
        <w:spacing w:after="0" w:line="18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The following applies to stock awards under the 2021 Plan in the event of a corporate transaction, unless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in a participant’s stock award agreement or other written agreement with us or one of our affiliates or unless otherwise expressly provided by the plan administrator at the time of grant.</w:t>
      </w:r>
    </w:p>
    <w:p>
      <w:pPr>
        <w:spacing w:after="0" w:line="184"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In the event of a corporate transaction, any stock awards outstanding under the 2021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with respect to any such stock awards that are held by participants whose continuous service has not terminated prior to the effective time of the transaction, or current participants, the vesting (and exercisability, if applicable) of such stock awards will be accelerated in full to a date prior to the effective time of the transaction (contingent upon the effectiveness of the transaction), and such stock awards will terminate if not exercised (if applicable) at or prior to the effective time of the transaction, and any reacquisition or repurchase rights held by us with respect to such stock awards will lapse (contingent upon the effectiveness of the transaction). With respect to performance awards with multiple vesting levels depending on performance level, unless otherwise provided by an award agreement or by the administrator, the award will accelerate at 100% of target. If the surviving or acquiring corporation (or its parent company) does not assume, continue or substitute for such stock awards, then with respect to any such stock awards that are held by persons other than current participants, such awards will terminate if not exercised (if applicable) prior to the effective time of the transaction, except that any reacquisition or repurchase rights held by us with respect to such stock</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awards will not terminate and may continue to be exercised notwithstanding the transaction. The plan administrator is not obligated to treat all stock awards or portions of stock awards in the same manner and is not obligated to take the same actions with respect to all participants.</w:t>
      </w:r>
    </w:p>
    <w:p>
      <w:pPr>
        <w:spacing w:after="0" w:line="146"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In the event a stock award will terminate if not exercised prior to the effective time of a transaction, the plan administrator may provide, in its sole discretion, that the holder of such stock award may not exercise such stock award but instead will receive a payment equal in value to the excess (if any) of (i) the value of the property the participant would have received upon the exercise of the stock award over (ii) any exercise price payable by such holder in connection with such exercise.</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In the event of a change in control, as defined under our 2021 Plan, awards granted under our 2021 Plan will not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automatic acceleration of vesting and exercisability, although this treatment may be provided for in an award agreement.</w:t>
      </w:r>
    </w:p>
    <w:p>
      <w:pPr>
        <w:spacing w:after="0" w:line="170"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Under our 2021 Plan, a corporate transaction is defined to include: (i) a sale of all or substantially all of our assets; (ii) the sale or disposition of more than 50% of our outstanding securities; (iii) the consummation of a merger or consolidation where we do not survive the transaction; and (iv) the consummation of a merger or consolidation where we do survive the transaction but the shares of our common stock outstanding before such transaction are converted or exchanged into other property by virtue of the transaction, unless otherwise provided in an award agreement or other written agreement between us and the award holder. Under the 2021 Plan, a change in control is defined to include (1) the acquisition by any person or company of more than 50% of the combined voting power of our then outstanding stock; (2) a merger, consolidation or similar transaction in which our stockholders immediately before the transaction do not own, directly or indirectly, more than 50% of the combined voting power of the surviving entity (or the parent of the surviving entity); (3) the approval by the stockholders or the board of directors of a plan of complete dissolution or liquidation of the company, or the occurrence of a complete dissolution or liquidation of the company, except for a liquidation into a parent corporation; (4) a sale, lease, exclusive license or other disposition of all or substantially all of our assets other than to an entity more than 50% of the combined voting power of which is owned by our stockholders; and (5) an unapproved change in the majority of the board of directors.</w:t>
      </w:r>
    </w:p>
    <w:p>
      <w:pPr>
        <w:spacing w:after="0" w:line="17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A participant may not transfer stock awards under our 2021 Plan other than by will, the laws of descent and distribution, or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provided under our 2021 Plan.</w:t>
      </w:r>
    </w:p>
    <w:p>
      <w:pPr>
        <w:spacing w:after="0" w:line="170"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i w:val="1"/>
          <w:iCs w:val="1"/>
          <w:color w:val="auto"/>
        </w:rPr>
        <w:t xml:space="preserve">Plan Amendment or Termination. </w:t>
      </w:r>
      <w:r>
        <w:rPr>
          <w:rFonts w:ascii="Arial" w:cs="Arial" w:eastAsia="Arial" w:hAnsi="Arial"/>
          <w:sz w:val="17"/>
          <w:szCs w:val="17"/>
          <w:color w:val="auto"/>
        </w:rPr>
        <w:t>Our board of directors has the authority to amend, suspend, or terminate our 2021 Plan, provided that such</w:t>
      </w:r>
      <w:r>
        <w:rPr>
          <w:rFonts w:ascii="Arial" w:cs="Arial" w:eastAsia="Arial" w:hAnsi="Arial"/>
          <w:sz w:val="17"/>
          <w:szCs w:val="17"/>
          <w:i w:val="1"/>
          <w:iCs w:val="1"/>
          <w:color w:val="auto"/>
        </w:rPr>
        <w:t xml:space="preserve"> </w:t>
      </w:r>
      <w:r>
        <w:rPr>
          <w:rFonts w:ascii="Arial" w:cs="Arial" w:eastAsia="Arial" w:hAnsi="Arial"/>
          <w:sz w:val="17"/>
          <w:szCs w:val="17"/>
          <w:color w:val="auto"/>
        </w:rPr>
        <w:t>action does not materially impair the existing rights of any participant without such participant’s written consent. Certain material amendments also require the approval of our stockholders. No incentive stock options may be granted after the tenth anniversary of the date our board of directors adopted our 2021 Plan. No stock awards may be granted under our 2021 Plan while it is suspended or after it is terminated.</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Our 2020 Equity Incentive Plan, or the 2020 Plan, was originally adopted by our board of directors on June 19, 2020 and approved by our stockholders on June 22, 2020. The 2020 Plan allows for the grant of ISOs to employees, including employees of any parent or subsidiary, and for the grant of NSOs, restricted stock awards, restricted stock units and other forms of stock awards to employees, directors, and consultants. Once our 2021 Plan becomes effective, no further grants will be made under the 2020 Plan. Any outstanding awards granted under the 2020 Plan will remain subject to the terms of the 2020 Plan and applicable award agreements.</w:t>
      </w:r>
    </w:p>
    <w:p>
      <w:pPr>
        <w:spacing w:after="0" w:line="188"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The maximum number of shares of our common stock that may be issued under the 2020 Plan is 29,254,790 shares. Shares</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stock awards granted under the 2020 Plan that are cancelled, forfeited, settled in cash or that expire by their terms do not reduce the number of shares available for issuance under the 2020 Plan. Additionally, shares used to pay the exercise price of a stock award or to satisfy the tax withholding obligations related to a stock award become available for future grant under the 2020 Plan.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40"/>
          </w:cols>
          <w:pgMar w:left="320" w:top="459"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308"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Our board of directors, or a duly authorized committee thereof, administers the 2020 Plan. Under the 2020 Plan,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has the full authority and discretion to take any actions it deems necessary or advisable for the 2020 Plan’s administration.</w:t>
      </w:r>
    </w:p>
    <w:p>
      <w:pPr>
        <w:spacing w:after="0" w:line="146"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ISOs and NSOs are granted pursuant to award agreements adopted by the plan administrator. Each award agreement specifies the</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shares subject to the option and the exercise price, provided that the exercise price of a stock option generally cannot be less than 100% (or 110% in the case of ISOs granted to certain stockholders) of the fair market value of our common stock on the date of grant. Options granted under the 2020 Plan vest at the rate specified in the applicable award agreement. Payment for the purchase of common stock issued upon the exercise of a stock option may be made in cash or cash equivalents. However, the plan administrator may also allow for other forms of consideration, including</w:t>
      </w:r>
    </w:p>
    <w:p>
      <w:pPr>
        <w:spacing w:after="0" w:line="2" w:lineRule="exact"/>
        <w:rPr>
          <w:sz w:val="20"/>
          <w:szCs w:val="20"/>
          <w:color w:val="auto"/>
        </w:rPr>
      </w:pPr>
    </w:p>
    <w:p>
      <w:pPr>
        <w:ind w:left="360" w:hanging="244"/>
        <w:spacing w:after="0"/>
        <w:tabs>
          <w:tab w:leader="none" w:pos="3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surrendering shares of common stock already owned by a participant, (ii) delivery of a promissory note, (iii) a broker-assisted cashless exercise,</w:t>
      </w:r>
    </w:p>
    <w:p>
      <w:pPr>
        <w:spacing w:after="0" w:line="32" w:lineRule="exact"/>
        <w:rPr>
          <w:rFonts w:ascii="Arial" w:cs="Arial" w:eastAsia="Arial" w:hAnsi="Arial"/>
          <w:sz w:val="16"/>
          <w:szCs w:val="16"/>
          <w:color w:val="auto"/>
        </w:rPr>
      </w:pPr>
    </w:p>
    <w:p>
      <w:pPr>
        <w:jc w:val="both"/>
        <w:ind w:left="120" w:right="20" w:hanging="4"/>
        <w:spacing w:after="0" w:line="253" w:lineRule="auto"/>
        <w:tabs>
          <w:tab w:leader="none" w:pos="44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by a “net exercise” arrangement, or (v) by other forms consistent with applicable law. The award agreements specify the term of stock options granted under the 2020 Plan, up to a maximum of 10 years (or five years in the case of ISOs granted to certain stockholders). The plan administrator shall determine the effect on a stock award of the disability, death, retirement, authorized leave of absence, or any other change or purported change in a holder’s status. Unless the plan administrator provides otherwise, stock options generally are not transferable except by will, the laws of descent and distribution.</w:t>
      </w:r>
    </w:p>
    <w:p>
      <w:pPr>
        <w:spacing w:after="0" w:line="191"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i w:val="1"/>
          <w:iCs w:val="1"/>
          <w:color w:val="auto"/>
        </w:rPr>
        <w:t xml:space="preserve">Changes to Capital Structure. </w:t>
      </w:r>
      <w:r>
        <w:rPr>
          <w:rFonts w:ascii="Arial" w:cs="Arial" w:eastAsia="Arial" w:hAnsi="Arial"/>
          <w:sz w:val="16"/>
          <w:szCs w:val="16"/>
          <w:color w:val="auto"/>
        </w:rPr>
        <w:t>In the event that the plan administrator determines that any dividend or other distribution, reorganization, merger,</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consolidation, combination, repurchase, recapitalization, liquidation, dissolution, or sale, transfer, exchange or other disposition of our assets, or sale or exchange of common stock or other securities, issuance of warrants or other rights to purchase common stock or other securities, or other similar corporate transaction or event, affects the common stock such that an adjustment is determined by the administrator to be appropriate, the plan administrator will make appropriate adjustments to the following: (i) the number and kind of shares available for future stock awards, (ii) the number and kind of shares covered by each outstanding stock award, (iii) the grant or exercise price with respect to any award, and (iv) the terms and conditions of any awards (including, without limitation, any applicable financial or other performance “targets” specified in an award agreement.</w:t>
      </w:r>
    </w:p>
    <w:p>
      <w:pPr>
        <w:spacing w:after="0" w:line="166"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The 2020 Plan provides that in the event of a specified corporate transaction, including without limitation a merger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consolidation, or the sale or other disposition of all or substantially all of our stock or assets, or in the event of such other corporate transaction, such as a separation or reorganization, the plan administrator will determine how to treat each outstanding stock award. The plan administrator may provide for the:</w:t>
      </w:r>
    </w:p>
    <w:p>
      <w:pPr>
        <w:spacing w:after="0" w:line="92" w:lineRule="exact"/>
        <w:rPr>
          <w:sz w:val="20"/>
          <w:szCs w:val="20"/>
          <w:color w:val="auto"/>
        </w:rPr>
      </w:pPr>
    </w:p>
    <w:p>
      <w:pPr>
        <w:ind w:left="1080" w:right="20" w:hanging="532"/>
        <w:spacing w:after="0" w:line="277"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settlement of the intrinsic value of stock awards to the extent vested and exercisable awards, with payment made in cash, cash equivalents or property, followed by the cancellation of such stock awards (whether or not then vested or exercisable);</w:t>
      </w:r>
    </w:p>
    <w:p>
      <w:pPr>
        <w:spacing w:after="0" w:line="75" w:lineRule="exact"/>
        <w:rPr>
          <w:rFonts w:ascii="Arial" w:cs="Arial" w:eastAsia="Arial" w:hAnsi="Arial"/>
          <w:sz w:val="18"/>
          <w:szCs w:val="18"/>
          <w:color w:val="auto"/>
        </w:rPr>
      </w:pPr>
    </w:p>
    <w:p>
      <w:pPr>
        <w:ind w:left="1080" w:right="20" w:hanging="532"/>
        <w:spacing w:after="0" w:line="308" w:lineRule="auto"/>
        <w:tabs>
          <w:tab w:leader="none" w:pos="10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exercisability and settlement, in whole or in part, of stock awards to the extent vested and exercisable followed by the cancellation of such stock awards (whether or not then vested or exercisable) upon or immediately prior to the effectiveness of the transaction;</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assumption or substitution, in whole or in part, of a stock award by a successor corporation;</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adjustment in the number and type of shares of common stock subject to outstanding awards and/or in the terms and conditions of (including, without limitation, the grant or exercise price), and the criteria included in, outstanding awards;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replacement of such award with other rights or property selected by the plan administrator; and/or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termination of such award.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40"/>
          </w:cols>
          <w:pgMar w:left="32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i w:val="1"/>
          <w:iCs w:val="1"/>
          <w:color w:val="auto"/>
        </w:rPr>
        <w:t>Amendment or Termination</w:t>
      </w:r>
      <w:r>
        <w:rPr>
          <w:rFonts w:ascii="Arial" w:cs="Arial" w:eastAsia="Arial" w:hAnsi="Arial"/>
          <w:sz w:val="18"/>
          <w:szCs w:val="18"/>
          <w:color w:val="auto"/>
        </w:rPr>
        <w:t>. The plan administrator has the authority to amend, suspend, or terminate the 2020 Plan or any portion thereof at any</w:t>
      </w:r>
      <w:r>
        <w:rPr>
          <w:rFonts w:ascii="Arial" w:cs="Arial" w:eastAsia="Arial" w:hAnsi="Arial"/>
          <w:sz w:val="18"/>
          <w:szCs w:val="18"/>
          <w:i w:val="1"/>
          <w:iCs w:val="1"/>
          <w:color w:val="auto"/>
        </w:rPr>
        <w:t xml:space="preserve"> </w:t>
      </w:r>
      <w:r>
        <w:rPr>
          <w:rFonts w:ascii="Arial" w:cs="Arial" w:eastAsia="Arial" w:hAnsi="Arial"/>
          <w:sz w:val="18"/>
          <w:szCs w:val="18"/>
          <w:color w:val="auto"/>
        </w:rPr>
        <w:t>time, provided that no amendment of the 2020 Plan shall materially and adversely affect (as determined by the plan administrator) any award outstanding at the time of such amendment without the participant’s consent. Our board shall obtain stockholder approval of any amendment to the extent necessary to comply with applicable laws.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Our board of directors adopted, and our stockholders approved, our 2021 Employee Stock Purchase Plan, or the 2021 ESPP, in July 2021. The 2021 ESPP will become effective immediately prior to and contingent upon the execution of the underwriting agreement related to this offering. The purpose of the 2021 ESPP is to secure the services of new employees, to retain the services of existing employees, and to provide incentives for such individuals to exert maximum efforts toward our success and that of our affiliates. The 2021 ESPP is intended to qualify as an “employee stock purchase plan” within the meaning of Section 423 of the Code for U.S. employees.</w:t>
      </w:r>
    </w:p>
    <w:p>
      <w:pPr>
        <w:spacing w:after="0" w:line="188"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i w:val="1"/>
          <w:iCs w:val="1"/>
          <w:color w:val="auto"/>
        </w:rPr>
        <w:t xml:space="preserve">Share Reserve. </w:t>
      </w:r>
      <w:r>
        <w:rPr>
          <w:rFonts w:ascii="Arial" w:cs="Arial" w:eastAsia="Arial" w:hAnsi="Arial"/>
          <w:sz w:val="16"/>
          <w:szCs w:val="16"/>
          <w:color w:val="auto"/>
        </w:rPr>
        <w:t>Following this offering, the 2021 ESPP authorizes the issuance of shares of our common stock under purchase rights granted to our</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or to employees of any of our designated affiliates. The 2021 ESPP will initially provide participating employees with the opportunity to purchase up to an aggregate of 1,342,773 shares of our common stock. The number of shares of our common stock reserved for issuance will automatically increase on January 1 of each calendar year, starting on January 1, 2022 and continuing through January 1, 2031, by the lesser of (i) 1% of the total number of shares of our common stock outstanding on the last day of the calendar month before the date of the automatic increase; and</w:t>
      </w:r>
    </w:p>
    <w:p>
      <w:pPr>
        <w:spacing w:after="0" w:line="2" w:lineRule="exact"/>
        <w:rPr>
          <w:sz w:val="20"/>
          <w:szCs w:val="20"/>
          <w:color w:val="auto"/>
        </w:rPr>
      </w:pPr>
    </w:p>
    <w:p>
      <w:pPr>
        <w:ind w:left="120" w:right="20" w:hanging="4"/>
        <w:spacing w:after="0" w:line="323" w:lineRule="auto"/>
        <w:tabs>
          <w:tab w:leader="none" w:pos="396" w:val="left"/>
        </w:tabs>
        <w:numPr>
          <w:ilvl w:val="0"/>
          <w:numId w:val="115"/>
        </w:numPr>
        <w:rPr>
          <w:rFonts w:ascii="Arial" w:cs="Arial" w:eastAsia="Arial" w:hAnsi="Arial"/>
          <w:sz w:val="16"/>
          <w:szCs w:val="16"/>
          <w:color w:val="auto"/>
        </w:rPr>
      </w:pPr>
      <w:r>
        <w:rPr>
          <w:rFonts w:ascii="Arial" w:cs="Arial" w:eastAsia="Arial" w:hAnsi="Arial"/>
          <w:sz w:val="16"/>
          <w:szCs w:val="16"/>
          <w:color w:val="auto"/>
        </w:rPr>
        <w:t>2,685,546 shares; provided that before the date of any such increase, our board of directors may determine that such increase will be less than the amount set forth in clauses (i) and (ii). As of the date hereof, no shares of our common stock have been purchased under the 2021 ESPP.</w:t>
      </w:r>
    </w:p>
    <w:p>
      <w:pPr>
        <w:spacing w:after="0" w:line="138"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Our board of directors intends to delegate concurrent authority to administer the 2021 ESPP to our compensation committee. The</w:t>
      </w:r>
      <w:r>
        <w:rPr>
          <w:rFonts w:ascii="Arial" w:cs="Arial" w:eastAsia="Arial" w:hAnsi="Arial"/>
          <w:sz w:val="16"/>
          <w:szCs w:val="16"/>
          <w:i w:val="1"/>
          <w:iCs w:val="1"/>
          <w:color w:val="auto"/>
        </w:rPr>
        <w:t xml:space="preserve"> </w:t>
      </w:r>
      <w:r>
        <w:rPr>
          <w:rFonts w:ascii="Arial" w:cs="Arial" w:eastAsia="Arial" w:hAnsi="Arial"/>
          <w:sz w:val="16"/>
          <w:szCs w:val="16"/>
          <w:color w:val="auto"/>
        </w:rPr>
        <w:t>2021 ESPP is implemented through a series of offerings under which eligible employees are granted purchase rights to purchase shares of our common stock on specified dates during such offerings. Under the 2021 ESPP, we may specify offerings with durations of not more than 27 months, and may specify shorter purchase periods within each offering. Each offering will have one or more purchase dates on which shares of our common stock will be purchased for employees participating in the offering. An offering under the 2021 ESPP may be terminated under certain circumstances.</w:t>
      </w:r>
    </w:p>
    <w:p>
      <w:pPr>
        <w:spacing w:after="0" w:line="161"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i w:val="1"/>
          <w:iCs w:val="1"/>
          <w:color w:val="auto"/>
        </w:rPr>
        <w:t xml:space="preserve">Payroll Deductions. </w:t>
      </w:r>
      <w:r>
        <w:rPr>
          <w:rFonts w:ascii="Arial" w:cs="Arial" w:eastAsia="Arial" w:hAnsi="Arial"/>
          <w:sz w:val="16"/>
          <w:szCs w:val="16"/>
          <w:color w:val="auto"/>
        </w:rPr>
        <w:t>Generally, all regular employees, including executive officers, employed by us or by any of our designated affiliates, may</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participate in the 2021 ESPP and may contribute, normally through payroll deductions, up to a certain percentage of their earnings (as defined in the 2021 ESPP) as designated for each offering for the purchase of our common stock under the 2021 ESPP. Unless otherwise determined by our board of directors, common stock will be purchased for the accounts of employees participating in the 2021 ESPP at a price per share that is at least the lesser of</w:t>
      </w:r>
    </w:p>
    <w:p>
      <w:pPr>
        <w:spacing w:after="0" w:line="1" w:lineRule="exact"/>
        <w:rPr>
          <w:sz w:val="20"/>
          <w:szCs w:val="20"/>
          <w:color w:val="auto"/>
        </w:rPr>
      </w:pPr>
    </w:p>
    <w:p>
      <w:pPr>
        <w:ind w:left="120" w:right="20" w:hanging="4"/>
        <w:spacing w:after="0" w:line="260" w:lineRule="auto"/>
        <w:tabs>
          <w:tab w:leader="none" w:pos="34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85% of the fair market value of a share of our common stock on the first date of an offering; or (ii) 85% of the fair market value of a share of our common stock on the date of purchase.</w:t>
      </w:r>
    </w:p>
    <w:p>
      <w:pPr>
        <w:spacing w:after="0" w:line="185"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i w:val="1"/>
          <w:iCs w:val="1"/>
          <w:color w:val="auto"/>
        </w:rPr>
        <w:t>Limitations</w:t>
      </w:r>
      <w:r>
        <w:rPr>
          <w:rFonts w:ascii="Arial" w:cs="Arial" w:eastAsia="Arial" w:hAnsi="Arial"/>
          <w:sz w:val="17"/>
          <w:szCs w:val="17"/>
          <w:color w:val="auto"/>
        </w:rPr>
        <w:t>. Employees may have to satisfy one or more of the following service requirements before participating in the 2021 ESPP, as</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by our board of directors, including (i) being customarily employed for more than 20 hours per week; (ii) being customarily employed for more than five months per calendar year; or (iii) continuous employment with us or one of our affiliates for a period of time (not to exceed two years). No employee may purchase shares under the 2021 ESPP at a rate in excess of $25,000 worth of our common stock based on the fair market value per share of our common stock at the beginning of an offering for each year such a purchase right is outstanding. Finally, no employee will be eligible for the grant of any purchase rights under the 2021 ESPP if immediately after such rights are granted, such employee has voting power over 5% or more of our outstanding capital stock measured by vote or value under Section 424(d) of the Code.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40"/>
          </w:cols>
          <w:pgMar w:left="32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i w:val="1"/>
          <w:iCs w:val="1"/>
          <w:color w:val="auto"/>
        </w:rPr>
        <w:t xml:space="preserve">Changes to Capital Structure. </w:t>
      </w:r>
      <w:r>
        <w:rPr>
          <w:rFonts w:ascii="Arial" w:cs="Arial" w:eastAsia="Arial" w:hAnsi="Arial"/>
          <w:sz w:val="18"/>
          <w:szCs w:val="18"/>
          <w:color w:val="auto"/>
        </w:rPr>
        <w:t>In the event there is a change in our capital structure through such actions as a stock split, merger, consolidation,</w:t>
      </w:r>
      <w:r>
        <w:rPr>
          <w:rFonts w:ascii="Arial" w:cs="Arial" w:eastAsia="Arial" w:hAnsi="Arial"/>
          <w:sz w:val="18"/>
          <w:szCs w:val="18"/>
          <w:i w:val="1"/>
          <w:iCs w:val="1"/>
          <w:color w:val="auto"/>
        </w:rPr>
        <w:t xml:space="preserve"> </w:t>
      </w:r>
      <w:r>
        <w:rPr>
          <w:rFonts w:ascii="Arial" w:cs="Arial" w:eastAsia="Arial" w:hAnsi="Arial"/>
          <w:sz w:val="18"/>
          <w:szCs w:val="18"/>
          <w:color w:val="auto"/>
        </w:rPr>
        <w:t>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(i) the number of shares reserved under the 2021 ESPP; (ii) the maximum number of shares by which the share reserve may increase automatically each year; (iii) the number of shares and purchase price of all outstanding purchase rights; and (iv) the number of shares that are subject to purchase limits under ongoing offerings.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 xml:space="preserve">Corporate Transactions. </w:t>
      </w:r>
      <w:r>
        <w:rPr>
          <w:rFonts w:ascii="Arial" w:cs="Arial" w:eastAsia="Arial" w:hAnsi="Arial"/>
          <w:sz w:val="17"/>
          <w:szCs w:val="17"/>
          <w:color w:val="auto"/>
        </w:rPr>
        <w:t>In the event of certain significant corporate transactions, including (i) a sale of all or substantially all of our assets;</w:t>
      </w:r>
    </w:p>
    <w:p>
      <w:pPr>
        <w:spacing w:after="0" w:line="35" w:lineRule="exact"/>
        <w:rPr>
          <w:sz w:val="20"/>
          <w:szCs w:val="20"/>
          <w:color w:val="auto"/>
        </w:rPr>
      </w:pPr>
    </w:p>
    <w:p>
      <w:pPr>
        <w:jc w:val="both"/>
        <w:ind w:left="120" w:hanging="4"/>
        <w:spacing w:after="0" w:line="252" w:lineRule="auto"/>
        <w:tabs>
          <w:tab w:leader="none" w:pos="389"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sale or disposition of more than 50% of our outstanding securities; (iii) the consummation of a merger or consolidation where we do not survive the transaction; and (iv) the consummation of a merger or consolidation where we do survive the transaction but the shares of our common stock outstanding immediately before such transaction are converted or exchanged into other property by virtue of the transaction, any then-outstanding rights to purchase our stock under the 2021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ten business days before such corporate transaction, and such purchase rights will terminate immediately.</w:t>
      </w:r>
    </w:p>
    <w:p>
      <w:pPr>
        <w:spacing w:after="0" w:line="19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i w:val="1"/>
          <w:iCs w:val="1"/>
          <w:color w:val="auto"/>
        </w:rPr>
        <w:t>Amendment or Termination</w:t>
      </w:r>
      <w:r>
        <w:rPr>
          <w:rFonts w:ascii="Arial" w:cs="Arial" w:eastAsia="Arial" w:hAnsi="Arial"/>
          <w:sz w:val="18"/>
          <w:szCs w:val="18"/>
          <w:color w:val="auto"/>
        </w:rPr>
        <w:t>. Our board of directors has the authority to amend or terminate our 2021 ESPP, provided that except 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such amendment or termination may not materially impair any outstanding purchase rights without the holder’s consent. We will obtain stockholder approval of any amendment to our 2021 ESPP, as required by applicable law or listing requirements.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121"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Upon the closing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71" w:lineRule="exact"/>
        <w:rPr>
          <w:sz w:val="20"/>
          <w:szCs w:val="20"/>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This limitation of liability does not apply to liabilities arising under federal securities laws and does not affect the availability of equitable remedies such as injunctive relief or rescission.</w:t>
      </w:r>
    </w:p>
    <w:p>
      <w:pPr>
        <w:spacing w:after="0" w:line="170"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auto"/>
        </w:rPr>
        <w:t>Our amended and restated certificate of incorporation and our amended and restated bylaws will provide that we are required to indemnify our directors to the fullest extent permitted by Delaware law. Our amended and restated bylaws will also provide that, upon satisfaction of certain conditions, we are required to advance expenses incurred by a director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Our amended and restated bylaws will also provide our board of directors with discretion to indemnify our officers and employees when determined appropriate by the board.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We have entered into indemnification agreements with each of our directors and expect to enter into indemnification agreements with each of our executive officers prior to the closing of this offering. With certain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executive officers. We also maintain customary directors’ and officers’ liability insurance.</w:t>
      </w:r>
    </w:p>
    <w:p>
      <w:pPr>
        <w:spacing w:after="0" w:line="176" w:lineRule="exact"/>
        <w:rPr>
          <w:sz w:val="20"/>
          <w:szCs w:val="20"/>
          <w:color w:val="auto"/>
        </w:rPr>
      </w:pPr>
    </w:p>
    <w:p>
      <w:pPr>
        <w:jc w:val="both"/>
        <w:ind w:left="120" w:right="20" w:firstLine="440"/>
        <w:spacing w:after="0" w:line="293" w:lineRule="auto"/>
        <w:rPr>
          <w:sz w:val="20"/>
          <w:szCs w:val="20"/>
          <w:color w:val="auto"/>
        </w:rPr>
      </w:pPr>
      <w:r>
        <w:rPr>
          <w:rFonts w:ascii="Arial" w:cs="Arial" w:eastAsia="Arial" w:hAnsi="Arial"/>
          <w:sz w:val="16"/>
          <w:szCs w:val="16"/>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16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for our directors, executive officers or persons controlling us, we have been informed that, in the opinion of the SEC, such indemnification is against public policy as expressed in the Securities Act and is therefore unenforceable.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10b5-1 Sales Plans</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them. The director or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Prior to 180 days after the date of this offering, subject to early termination, the sale of any shares under such plan would be prohibited by the lock-up agreement that the director or officer has entered into with the underwriters.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The following is a description of transactions since our inception in June 2020 to which we have been a participant in which the amount involved exceeded or will exceed $120,000, and in which any of our directors, executive officers or holders of more than 5% of our voting securities, or any members of their immediate family, had or will have a direct or indirect material interest, other than compensation arrangements that are described under “Management—Non-Employee Director Compensation” and “Executive Compensation.”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Private Placements of Our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Series A Preferred Stock Financing</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In July 2020, we entered into a preferred stock purchase agreement with certain investors, including beneficial owners of greater than 5% of our capital stock, members of our board of directors and affiliates of members of our board of directors, pursuant to which we issued and sold to such investors an aggregate of 6,237,500 shares of our Series A preferred stock at a purchase price of $8.00 per share for aggregate gross proceeds of $49.9 million.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sets forth the aggregate number of shares of Series A preferred stock issued to our related parties in this financing: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Series A</w:t>
            </w: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Preferred</w:t>
            </w: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8440" w:type="dxa"/>
            <w:vAlign w:val="bottom"/>
            <w:vMerge w:val="restart"/>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Stock</w:t>
            </w: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8440" w:type="dxa"/>
            <w:vAlign w:val="bottom"/>
            <w:vMerge w:val="continue"/>
          </w:tcPr>
          <w:p>
            <w:pPr>
              <w:spacing w:after="0"/>
              <w:rPr>
                <w:sz w:val="15"/>
                <w:szCs w:val="15"/>
                <w:color w:val="auto"/>
              </w:rPr>
            </w:pP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5"/>
                <w:szCs w:val="15"/>
                <w:color w:val="auto"/>
              </w:rPr>
            </w:pPr>
          </w:p>
        </w:tc>
        <w:tc>
          <w:tcPr>
            <w:tcW w:w="10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Mithril II LP</w:t>
            </w:r>
            <w:r>
              <w:rPr>
                <w:rFonts w:ascii="Arial" w:cs="Arial" w:eastAsia="Arial" w:hAnsi="Arial"/>
                <w:sz w:val="15"/>
                <w:szCs w:val="15"/>
                <w:color w:val="auto"/>
              </w:rPr>
              <w:t>(1)</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1,250,000</w:t>
            </w:r>
          </w:p>
        </w:tc>
        <w:tc>
          <w:tcPr>
            <w:tcW w:w="1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OrbiMed Private Investments VII, LP</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812,500</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6,500,000</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Polaris Partners</w:t>
            </w:r>
            <w:r>
              <w:rPr>
                <w:rFonts w:ascii="Arial" w:cs="Arial" w:eastAsia="Arial" w:hAnsi="Arial"/>
                <w:sz w:val="15"/>
                <w:szCs w:val="15"/>
                <w:color w:val="auto"/>
              </w:rPr>
              <w:t>(2)</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1,250,000</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Entities affiliated with GV</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687,500</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5,500,000</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FMR, LLC</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1,000,000</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jc w:val="both"/>
        <w:ind w:left="540" w:hanging="424"/>
        <w:spacing w:after="0" w:line="255" w:lineRule="auto"/>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Ajay Royan, a member of our board of directors, is the Managing General Partner and Founder of Mithril Capital Management LLC (“MCM”). MCM is a management company that manages Mithril II LP and is appointed by Mithril II GP LP, the general partner of Mithril II LP. Mithril II LP holds more than 5% of our capital stock prior to this offering.</w:t>
      </w:r>
    </w:p>
    <w:p>
      <w:pPr>
        <w:spacing w:after="0" w:line="2" w:lineRule="exact"/>
        <w:rPr>
          <w:rFonts w:ascii="Arial" w:cs="Arial" w:eastAsia="Arial" w:hAnsi="Arial"/>
          <w:sz w:val="18"/>
          <w:szCs w:val="18"/>
          <w:color w:val="auto"/>
        </w:rPr>
      </w:pPr>
    </w:p>
    <w:p>
      <w:pPr>
        <w:ind w:left="540" w:hanging="424"/>
        <w:spacing w:after="0" w:line="260" w:lineRule="auto"/>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Terrance McGuire, a member of our board of directors, is a Founding Partner of Polaris Partners. Entities affiliated with Polaris Partners collectively hold more than 5% of our capital stock prior to this offering.</w:t>
      </w:r>
    </w:p>
    <w:p>
      <w:pPr>
        <w:spacing w:after="0" w:line="185"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Each share of Series A preferred stock is convertible into five shares of common stock.</w:t>
      </w:r>
    </w:p>
    <w:p>
      <w:pPr>
        <w:spacing w:after="0" w:line="333"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Adimab Assignment Agreement</w:t>
      </w:r>
    </w:p>
    <w:p>
      <w:pPr>
        <w:spacing w:after="0" w:line="117"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auto"/>
        </w:rPr>
        <w:t>In July 2020, we issued 5,000,000 shares of our Series A preferred stock in connection with entering into an assignment and license agreement, or the Adimab Assignment Agreement, with Adimab, LLC, or Adimab. At the time of issuance, the 5,000,000 shares of our Series A convertible preferred had a fair value of $40.0 million. Tillman U. Gerngross, Ph.D., a member of our board of directors and our Chief Executive Officer, is an officer and member of the board of directors of Adimab, Philip Chase, a former member of our board of directors, is an officer and member of the board of directors of Adimab, Laura Walker, Ph.D., our Chief Scientific Officer, is an employee of Adimab, and Terrance McGuire and Ajay Royan, members of our board of directors, are members of the board of directors of Adimab. For more information regarding the Adimab Assignment Agreement, see the section titled “Business—Licensing, Collaborations and Partnerships—Assignment and License Agreement with Adimab.”</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40"/>
          </w:cols>
          <w:pgMar w:left="32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Series B Preferred Stock Financing</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In October and November 2020, we entered into a preferred stock purchase agreement with certain investors, including beneficial owners of greater than 5% of our capital stock, members of our board of directors and affiliates of members of our board of directors, pursuant to which we issued and sold to such investors an aggregate of 1,410,434 shares of our Series B preferred stock at a purchase price of $56.72 per share for aggregate gross proceeds of $80.0 million.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sets forth the aggregate number of shares of Series B preferred stock issued to our related parties in this financing: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Series B</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Preferred</w:t>
            </w: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Purchase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8660" w:type="dxa"/>
            <w:vAlign w:val="bottom"/>
            <w:vMerge w:val="restart"/>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Stock</w:t>
            </w: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8660" w:type="dxa"/>
            <w:vAlign w:val="bottom"/>
            <w:vMerge w:val="continue"/>
          </w:tcPr>
          <w:p>
            <w:pPr>
              <w:spacing w:after="0"/>
              <w:rPr>
                <w:sz w:val="15"/>
                <w:szCs w:val="15"/>
                <w:color w:val="auto"/>
              </w:rPr>
            </w:pPr>
          </w:p>
        </w:tc>
        <w:tc>
          <w:tcPr>
            <w:tcW w:w="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0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Adimab, LLC</w:t>
            </w:r>
            <w:r>
              <w:rPr>
                <w:rFonts w:ascii="Arial" w:cs="Arial" w:eastAsia="Arial" w:hAnsi="Arial"/>
                <w:sz w:val="15"/>
                <w:szCs w:val="15"/>
                <w:color w:val="auto"/>
              </w:rPr>
              <w:t>(1)</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44,076</w:t>
            </w: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2,499,991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auto"/>
              </w:rPr>
              <w:t xml:space="preserve">Mithril II LP </w:t>
            </w:r>
            <w:r>
              <w:rPr>
                <w:rFonts w:ascii="Arial" w:cs="Arial" w:eastAsia="Arial" w:hAnsi="Arial"/>
                <w:sz w:val="15"/>
                <w:szCs w:val="15"/>
                <w:color w:val="auto"/>
              </w:rPr>
              <w:t>(2)</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176,304</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9,999,963</w:t>
            </w: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OrbiMed Private Investments VII, LP</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88,152</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4,999,981</w:t>
            </w:r>
          </w:p>
        </w:tc>
        <w:tc>
          <w:tcPr>
            <w:tcW w:w="0" w:type="dxa"/>
            <w:vAlign w:val="bottom"/>
          </w:tcPr>
          <w:p>
            <w:pPr>
              <w:spacing w:after="0"/>
              <w:rPr>
                <w:sz w:val="1"/>
                <w:szCs w:val="1"/>
                <w:color w:val="auto"/>
              </w:rPr>
            </w:pP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auto"/>
              </w:rPr>
              <w:t>Entities affiliated with Polaris Partners</w:t>
            </w:r>
            <w:r>
              <w:rPr>
                <w:rFonts w:ascii="Arial" w:cs="Arial" w:eastAsia="Arial" w:hAnsi="Arial"/>
                <w:sz w:val="15"/>
                <w:szCs w:val="15"/>
                <w:color w:val="auto"/>
              </w:rPr>
              <w:t>(3)</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132,228</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7,499,972</w:t>
            </w: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GV</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352,609</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19,999,982</w:t>
            </w:r>
          </w:p>
        </w:tc>
        <w:tc>
          <w:tcPr>
            <w:tcW w:w="0" w:type="dxa"/>
            <w:vAlign w:val="bottom"/>
          </w:tcPr>
          <w:p>
            <w:pPr>
              <w:spacing w:after="0"/>
              <w:rPr>
                <w:sz w:val="1"/>
                <w:szCs w:val="1"/>
                <w:color w:val="auto"/>
              </w:rPr>
            </w:pPr>
          </w:p>
        </w:tc>
      </w:tr>
      <w:tr>
        <w:trPr>
          <w:trHeight w:val="230"/>
        </w:trPr>
        <w:tc>
          <w:tcPr>
            <w:tcW w:w="9020" w:type="dxa"/>
            <w:vAlign w:val="bottom"/>
            <w:gridSpan w:val="2"/>
          </w:tcPr>
          <w:p>
            <w:pPr>
              <w:spacing w:after="0"/>
              <w:rPr>
                <w:sz w:val="20"/>
                <w:szCs w:val="20"/>
                <w:color w:val="auto"/>
              </w:rPr>
            </w:pPr>
            <w:r>
              <w:rPr>
                <w:rFonts w:ascii="Arial" w:cs="Arial" w:eastAsia="Arial" w:hAnsi="Arial"/>
                <w:sz w:val="18"/>
                <w:szCs w:val="18"/>
                <w:color w:val="auto"/>
              </w:rPr>
              <w:t>Entities affiliated with FMR, LLC</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352,609</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19,999,982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jc w:val="both"/>
        <w:ind w:left="540" w:hanging="424"/>
        <w:spacing w:after="0" w:line="253" w:lineRule="auto"/>
        <w:tabs>
          <w:tab w:leader="none" w:pos="5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Tillman U. Gerngross, Ph.D., a member of our board of directors and our Chief Executive Officer, is an officer and member of the board of directors of Adimab, LLC, (b) Philip Chase, a former member of our board of directors, is an officer and member of the board of directors of Adimab, LLC, (c) Laura Walker, Ph.D., our Chief Scientific Officer, is an employee of Adimab, LLC, and (d) Terrance McGuire and Ajay Royan, members of our board of directors, are members of the board of directors of Adimab, LLC. Adimab, LLC holds more than 5% of our capital stock prior to this offering.</w:t>
      </w:r>
    </w:p>
    <w:p>
      <w:pPr>
        <w:spacing w:after="0" w:line="3" w:lineRule="exact"/>
        <w:rPr>
          <w:rFonts w:ascii="Arial" w:cs="Arial" w:eastAsia="Arial" w:hAnsi="Arial"/>
          <w:sz w:val="18"/>
          <w:szCs w:val="18"/>
          <w:color w:val="auto"/>
        </w:rPr>
      </w:pPr>
    </w:p>
    <w:p>
      <w:pPr>
        <w:jc w:val="both"/>
        <w:ind w:left="540" w:hanging="424"/>
        <w:spacing w:after="0" w:line="250" w:lineRule="auto"/>
        <w:tabs>
          <w:tab w:leader="none" w:pos="5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Ajay Royan, a member of our board of directors, is the Managing General Partner and Founder of Mithril Capital Management LLC (“MCM”). MCM is a management company that manages Mithril II LP and is appointed by Mithril II GP LP, the general partner of Mithril II LP. Mithril II LP holds more than 5% of our capital stock prior to this offering.</w:t>
      </w:r>
    </w:p>
    <w:p>
      <w:pPr>
        <w:spacing w:after="0" w:line="1" w:lineRule="exact"/>
        <w:rPr>
          <w:rFonts w:ascii="Arial" w:cs="Arial" w:eastAsia="Arial" w:hAnsi="Arial"/>
          <w:sz w:val="18"/>
          <w:szCs w:val="18"/>
          <w:color w:val="auto"/>
        </w:rPr>
      </w:pPr>
    </w:p>
    <w:p>
      <w:pPr>
        <w:ind w:left="540" w:hanging="424"/>
        <w:spacing w:after="0" w:line="260" w:lineRule="auto"/>
        <w:tabs>
          <w:tab w:leader="none" w:pos="5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Terrance McGuire, a member of our board of directors, is a Founding Partner of Polaris Partners. Entities affiliated with Polaris Partners collectively hold more than 5% of our capital stock prior to this offering.</w:t>
      </w:r>
    </w:p>
    <w:p>
      <w:pPr>
        <w:spacing w:after="0" w:line="185"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Each share of Series B preferred stock is convertible into five shares of common stock.</w:t>
      </w:r>
    </w:p>
    <w:p>
      <w:pPr>
        <w:spacing w:after="0" w:line="333"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Series C Preferred Stock Financing</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In April 2021, we entered into a preferred stock purchase agreement with certain investors, including beneficial owners of greater than 5% of our capital stock, members of our board of directors and affiliates of members of our board of directors, pursuant to which we issued and sold to such investors an aggregate of 4,296,550 shares of our Series C preferred stock at a purchase price of $78.08578 per share for aggregate gross proceeds of $335.5 million.</w:t>
      </w:r>
    </w:p>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40"/>
          </w:cols>
          <w:pgMar w:left="320" w:top="459"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sets forth the aggregate number of shares of Series C preferred stock issued to our related parties in this financing:</w:t>
      </w:r>
    </w:p>
    <w:p>
      <w:pPr>
        <w:spacing w:after="0" w:line="11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Series C</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Preferred</w:t>
            </w: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Purchase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8660" w:type="dxa"/>
            <w:vAlign w:val="bottom"/>
            <w:vMerge w:val="restart"/>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Stock</w:t>
            </w: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8660" w:type="dxa"/>
            <w:vAlign w:val="bottom"/>
            <w:vMerge w:val="continue"/>
          </w:tcPr>
          <w:p>
            <w:pPr>
              <w:spacing w:after="0"/>
              <w:rPr>
                <w:sz w:val="15"/>
                <w:szCs w:val="15"/>
                <w:color w:val="auto"/>
              </w:rPr>
            </w:pPr>
          </w:p>
        </w:tc>
        <w:tc>
          <w:tcPr>
            <w:tcW w:w="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0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Adimab, LLC </w:t>
            </w:r>
            <w:r>
              <w:rPr>
                <w:rFonts w:ascii="Arial" w:cs="Arial" w:eastAsia="Arial" w:hAnsi="Arial"/>
                <w:sz w:val="15"/>
                <w:szCs w:val="15"/>
                <w:color w:val="auto"/>
              </w:rPr>
              <w:t>(1)</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128,064</w:t>
            </w: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9,999,977</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auto"/>
              </w:rPr>
              <w:t xml:space="preserve">Mithril II LP </w:t>
            </w:r>
            <w:r>
              <w:rPr>
                <w:rFonts w:ascii="Arial" w:cs="Arial" w:eastAsia="Arial" w:hAnsi="Arial"/>
                <w:sz w:val="15"/>
                <w:szCs w:val="15"/>
                <w:color w:val="auto"/>
              </w:rPr>
              <w:t>(2)</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422,612</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32,999,988</w:t>
            </w: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OrbiMed Private Investments VII, LP</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96,048</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7,499,983</w:t>
            </w:r>
          </w:p>
        </w:tc>
        <w:tc>
          <w:tcPr>
            <w:tcW w:w="0" w:type="dxa"/>
            <w:vAlign w:val="bottom"/>
          </w:tcPr>
          <w:p>
            <w:pPr>
              <w:spacing w:after="0"/>
              <w:rPr>
                <w:sz w:val="1"/>
                <w:szCs w:val="1"/>
                <w:color w:val="auto"/>
              </w:rPr>
            </w:pP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auto"/>
              </w:rPr>
              <w:t>Entities affiliated with RA Capital Management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960,482</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74,999,986</w:t>
            </w: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Entities affiliated with Polaris Partners </w:t>
            </w:r>
            <w:r>
              <w:rPr>
                <w:rFonts w:ascii="Arial" w:cs="Arial" w:eastAsia="Arial" w:hAnsi="Arial"/>
                <w:sz w:val="15"/>
                <w:szCs w:val="15"/>
                <w:color w:val="auto"/>
              </w:rPr>
              <w:t>(3)</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224,112</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17,499,960</w:t>
            </w:r>
          </w:p>
        </w:tc>
        <w:tc>
          <w:tcPr>
            <w:tcW w:w="0" w:type="dxa"/>
            <w:vAlign w:val="bottom"/>
          </w:tcPr>
          <w:p>
            <w:pPr>
              <w:spacing w:after="0"/>
              <w:rPr>
                <w:sz w:val="1"/>
                <w:szCs w:val="1"/>
                <w:color w:val="auto"/>
              </w:rPr>
            </w:pP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auto"/>
              </w:rPr>
              <w:t>Entities affiliated with GV</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96,048</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7,499,983</w:t>
            </w: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FMR, LLC</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640,321</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49,999,965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jc w:val="both"/>
        <w:ind w:left="540" w:hanging="424"/>
        <w:spacing w:after="0" w:line="253" w:lineRule="auto"/>
        <w:tabs>
          <w:tab w:leader="none" w:pos="5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Tillman U. Gerngross, Ph.D., a member of our board of directors and our Chief Executive Officer, is an officer and member of the board of directors of Adimab, LLC, (b) Philip Chase, a former member of our board of directors, is an officer and member of the board of directors of Adimab, LLC, (c) Laura Walker, Ph.D., our Chief Scientific Officer, is an employee of Adimab, LLC, and (d) Terrance McGuire and Ajay Royan, members of our board of directors, are members of the board of directors of Adimab, LLC. Adimab, LLC holds more than 5% of our capital stock prior to this offering.</w:t>
      </w:r>
    </w:p>
    <w:p>
      <w:pPr>
        <w:spacing w:after="0" w:line="3" w:lineRule="exact"/>
        <w:rPr>
          <w:rFonts w:ascii="Arial" w:cs="Arial" w:eastAsia="Arial" w:hAnsi="Arial"/>
          <w:sz w:val="18"/>
          <w:szCs w:val="18"/>
          <w:color w:val="auto"/>
        </w:rPr>
      </w:pPr>
    </w:p>
    <w:p>
      <w:pPr>
        <w:jc w:val="both"/>
        <w:ind w:left="540" w:hanging="424"/>
        <w:spacing w:after="0" w:line="250" w:lineRule="auto"/>
        <w:tabs>
          <w:tab w:leader="none" w:pos="5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Ajay Royan, a member of our board of directors, is the Managing General Partner and Founder of Mithril Capital Management LLC (“MCM”). MCM is a management company that manages Mithril II LP and is appointed by Mithril II GP LP, the general partner of Mithril II LP. Mithril II LP holds more than 5% of our capital stock prior to this offering.</w:t>
      </w:r>
    </w:p>
    <w:p>
      <w:pPr>
        <w:spacing w:after="0" w:line="1" w:lineRule="exact"/>
        <w:rPr>
          <w:rFonts w:ascii="Arial" w:cs="Arial" w:eastAsia="Arial" w:hAnsi="Arial"/>
          <w:sz w:val="18"/>
          <w:szCs w:val="18"/>
          <w:color w:val="auto"/>
        </w:rPr>
      </w:pPr>
    </w:p>
    <w:p>
      <w:pPr>
        <w:ind w:left="540" w:hanging="424"/>
        <w:spacing w:after="0" w:line="260" w:lineRule="auto"/>
        <w:tabs>
          <w:tab w:leader="none" w:pos="5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Terrance McGuire, a member of our board of directors, is a Founding Partner of Polaris Partners. Entities affiliated with Polaris Partners collectively hold more than 5% of our capital stock prior to this offering.</w:t>
      </w:r>
    </w:p>
    <w:p>
      <w:pPr>
        <w:spacing w:after="0" w:line="185"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Each share of Series C preferred stock is convertible into five shares of common stock.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Adimab</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Assignment and License Agreement</w:t>
      </w:r>
    </w:p>
    <w:p>
      <w:pPr>
        <w:spacing w:after="0" w:line="117"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We have entered into the Adimab Assignment Agreement pursuant to which Adimab assigned to us all coronavirus antibodies controlled by it, patents claiming such antibodies, know-how related to such antibodies, and biological and chemical materials specifically related to such antibodies, and also granted us a non-exclusive, sublicensable, worldwide, royalty-bearing license to certain of its platform technology to research, develop, make, use and sell coronavirus antibodies and products containing or comprising coronavirus antibodies. In connection with the transfer of the rights acquired and license received, we issued to Adimab 5,000,000 shares of our Series A preferred stock, then having a fair value of $40.0 million. Concurrently, Adimab relinquished to us 21,250,000 shares of our common stock, then having a fair value of $85,000. As of July 16, 2021, Adimab held approximately 30.8% of our outstanding capital stock on an as-converted basis.</w:t>
      </w:r>
    </w:p>
    <w:p>
      <w:pPr>
        <w:spacing w:after="0" w:line="17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Under the Adimab Assignment Agreement, we are obligated to pay Adimab quarterly for its services performed under the agreement at a specified full-time equivalent rate. We are obligated to pay Adimab up to $24.6 million upon the achievement of specified development and regulatory milestones for the first two products that comprise or contain coronavirus antibodies assigned to us, antibodies discovered or optimized under the Adimab Assignment Agreement, or any derivative of such antibody, or the Products. We are also obligated to pay Adimab royalties of a mid single-digit percentage based on annual aggregate worldwide net sales of any Products, subject to reductions for third-party licenses, biosimilar competition and compulsory licensing.</w:t>
      </w:r>
    </w:p>
    <w:p>
      <w:pPr>
        <w:spacing w:after="0" w:line="192"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In February 2021, we achieved the first specified milestone under the agreement upon dosing of the first patient in a Phase 1 clinical trial evaluating ADG20, which obligated us to make a $1.0 million payment to Adimab. We made the payment in March 2021. In April 2021, we achieved the second specified milestone under the agreement upon dosing of the first patient in a Phase 2 clinical trial evaluating ADG20 for the prevention of</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40"/>
          </w:cols>
          <w:pgMar w:left="320" w:top="459"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COVID-19, which obligated us to make a $2.5 million payment to Adimab. We made the payment in June 2021. In addition, for the period from June 3, 2020 (inception) to December 31, 2020 and for the three months ended March 31, 2021, we paid Adimab $0.6 million and $0.2 million, respectively, in connection with services provided under the Adimab Assignment Agreement. As of December 31, 2020 and March 31, 2021, $0.6 million and $0.2 million, respectively, was due to Adimab by us.</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For more information on the Adimab Assignment Agreement, see the section titled “Business—Licensing, Collaborations and Partnerships— Assignment and License Agreement with Adimab.”</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Collaboration Agreement</w:t>
      </w:r>
    </w:p>
    <w:p>
      <w:pPr>
        <w:spacing w:after="0" w:line="11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We have also entered into the Adimab Collaboration Agreement, pursuant to which we and Adimab will collaborate on the discovery and optimization of proprietary antibodies as potential therapeutic product candidates. In the event that Adimab discovers an antibody that is expected to meet certain product profiles developed by us, we will have the exclusive option to require Adimab to assign to us its rights in any such antibody and to grant us certain licenses. We entered into the collaboration agreement in May 2021 and are obligated to pay Adimab a quarterly fee of $1.3 million, which obligation may be cancelled at our option at any time.</w:t>
      </w:r>
    </w:p>
    <w:p>
      <w:pPr>
        <w:spacing w:after="0" w:line="188"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For each agreed upon research program that is commenced, we are obligated to pay Adimab quarterly for its services performed during a given research program at a specified full-time equivalent rate; a discovery delivery fee of $0.2 million; and an optimization completion fee of $0.2 million. For each option exercised by us to commercialize a specific research program, we are obligated to pay Adimab an exercise fee of $1.0 million.</w:t>
      </w:r>
    </w:p>
    <w:p>
      <w:pPr>
        <w:spacing w:after="0" w:line="14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are obligated to pay Adimab up to $18.0 million upon the achievement of specified development and regulatory milestones for each product under the agreement that achieves such milestones. We are also obligated to pay Adimab royalties of a mid single-digit percentage based on annual aggregate worldwide net sales of products, subject to reductions for third-party licenses.</w:t>
      </w:r>
    </w:p>
    <w:p>
      <w:pPr>
        <w:spacing w:after="0" w:line="184"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In addition, we are obligated to pay Adimab for Adimab’s performance of certain validation work with respect to certain antigens acquired from a third party. In consideration for this work, we are obligated to pay Adimab royalties of a low single-digit percentage based on annual aggregate worldwide net sales of products that contain such antigens for the same royalty term as antibody-based products, but we are not obligated to make any milestone payments for such antigen products.</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For more information on the Adimab Collaboration Agreement, see the section titled “Business—Licensing, Collaborations and Partnerships— Collaboration Agreement with Adimab.”</w:t>
      </w:r>
    </w:p>
    <w:p>
      <w:pPr>
        <w:spacing w:after="0" w:line="170"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Certain of our directors and officers are affiliated with Adimab. Tillman U. Gerngross, Ph.D., a member of our board of directors, our co-founder and Chief Executive Officer and the beneficial owner of 30.8% of our capital stock as of July 16, 2021, is a co-founder and the currently serving Chief Executive Officer of Adimab. Laura Walker, Ph.D., our co-founder and Chief Scientific Officer and a beneficial owner of approximately 1% of our capital stock as of July 16, 2021, is the Senior Director of Antibody Sciences at Adimab. Terrance McGuire, a beneficial owner of 8.9% of our capital stock as of July 16, 2021, and Ajay Royan, a beneficial owner of 10.2% of our capital stock as of July 16, 2021, are each a member of our board of directors and the board of directors of Adimab. Philip Chase, a beneficial owner of 30.8% of our capital stock as of July 16, 2021, is a former member of our board of directors and a member of the board of directors of Adimab.</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Voting and Right of First Refusal Agreements</w:t>
      </w:r>
    </w:p>
    <w:p>
      <w:pPr>
        <w:spacing w:after="0" w:line="121"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In connection with the sales of preferred stock described above, we entered into an amended and restated investors’ rights agreement, an amended and restated voting agreement and an amended and restated right of first refusal and co-sale agreement containing registration rights, information rights, voting rights and rights of first refusal, among other things, with the holders of our preferred stock. These agreements will terminate upon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40"/>
          </w:cols>
          <w:pgMar w:left="320" w:top="459"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closing of this offering, except for the registration rights granted under our amended and restated investors’ rights agreement, as more fully described in the section of this prospectus titled “Description of Capital Stock—Registration Rights.”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Consulting Agreements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have entered into consulting agreements with certain of our non-employee directors. For more information regarding our consulting agreements with our non-executive directors, see “Management—Non-Employee Director Compensation.”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Arrangements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have entered into employment agreements or offer letter agreements with certain of our executive officers. For more information regarding our employment agreements with our named executive officers, see “Executive Compensation.”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Our amended and restated certificate of incorporation that will be in effect upon the closing of this offering will contain provisions limiting the liability of directors, and our amended and restated bylaws will provide that we will indemnify each of our directors to the fullest extent permitted under Delaware law. Our amended and restated certificate of incorporation and amended and restated bylaws will also provide our board of directors with discretion to indemnify our officers and employees when determined appropriate by the board.</w:t>
      </w:r>
    </w:p>
    <w:p>
      <w:pPr>
        <w:spacing w:after="0" w:line="18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addition, we have entered into indemnification agreements with each of our directors, and we expect to enter into indemnification agreements with each of our executive officers prior to the closing of this offering. For more information regarding these agreements, see “Executive Compensation —Limitations on Liability and Indemnification Matters.”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Person Transaction Policy</w:t>
      </w:r>
    </w:p>
    <w:p>
      <w:pPr>
        <w:spacing w:after="0" w:line="121"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Prior to this offering, we have not had a formal policy regarding approval of transactions with related parties. In connection with this offering, we have adopted a related person transaction policy that sets forth our procedures for the identification, review, consideration and approval or ratification of related person transactions, which policy will become effective immediately upon the execution of the underwriting agreement for this offering. For purposes of our policy only, a related person transaction will be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or director will not be covered by this policy. A related person will be any executive officer, director or beneficial owner of more than 5% of any class of our voting securities, including any of their immediate family members and any entity owned or controlled by such persons.</w:t>
      </w:r>
    </w:p>
    <w:p>
      <w:pPr>
        <w:spacing w:after="0" w:line="178"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of directors,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40"/>
          </w:cols>
          <w:pgMar w:left="32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enable us to identify any existing or potential related-person transactions and to effectuate the terms of the policy. In addition, under our Code of Conduct that we expect to adopt prior to the closing of this offering, our employees and directors will have an affirmative responsibility to disclose any transaction or relationship that reasonably could be expected to give rise to a conflict of interest. In considering related person transactions, our audit committee, or other independent body of our board of directors, will take into account the relevant available facts and circumstances, including:</w:t>
      </w:r>
    </w:p>
    <w:p>
      <w:pPr>
        <w:spacing w:after="0" w:line="63" w:lineRule="exact"/>
        <w:rPr>
          <w:sz w:val="20"/>
          <w:szCs w:val="20"/>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risks, costs and benefits to us;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that the related person is a director, immediate family member of a director or an entity with which a director is affiliated;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 parties or to or from employees generally.</w:t>
      </w:r>
    </w:p>
    <w:p>
      <w:pPr>
        <w:spacing w:after="0" w:line="225"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The policy will require that, in determining whether to approve, ratify or reject a related person transaction, our audit committee, or other independent body of our board of directors, must consider, in light of known circumstances, whether the transaction is in, or is not inconsistent with, our best interests and those of our stockholders, as our audit committee, or other independent body of our board of directors, determines in the good faith exercise of its discretion.</w:t>
      </w:r>
    </w:p>
    <w:p>
      <w:pPr>
        <w:spacing w:after="0" w:line="18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All of the transactions described in this section were entered into prior to the adoption of this policy. Although we have not had a written policy for the review and approval of transactions with related persons, our board of directors has historically reviewed and approved any transaction where a director or officer had a financial interest, including the transactions described above. Prior to approving such a transaction, the material facts as to a director’s or officer’s relationship or interest in the agreement or transaction were disclosed to our board of directors. Our board of directors took this information into account when evaluating the transaction and in determining whether such transaction was fair to us and in the best interest of all our stockholders.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40"/>
          </w:cols>
          <w:pgMar w:left="32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information regarding beneficial ownership of our capital stock as of July 16, 2021 by:</w:t>
      </w:r>
    </w:p>
    <w:p>
      <w:pPr>
        <w:spacing w:after="0" w:line="131" w:lineRule="exact"/>
        <w:rPr>
          <w:sz w:val="20"/>
          <w:szCs w:val="20"/>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stock;</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225"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We have determined beneficial ownership in accordance with the rules of the SEC. Under these rules, beneficial ownership includes any shares of common stock as to which the individual or entity has sole or shared voting power or investment power. Applicable percentage ownership is based on 90,321,660 shares of common stock outstanding as of July 16, 2021, after giving effect to the conversion of all outstanding shares of our preferred stock. In computing the number of shares beneficially owned by an individual or entity and the percentage ownership of that person, shares of common stock subject to options held by such person that are currently exercisable or will become exercisable within 60 days of July 16, 2021 are considered outstanding, although these shares are not considered outstanding for purposes of computing the percentage ownership of any other person.</w:t>
      </w:r>
    </w:p>
    <w:p>
      <w:pPr>
        <w:spacing w:after="0" w:line="16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Unless noted otherwise, the address of all listed stockholders is c/o Adagio Therapeutics, Inc., 303 Wyman Street, Suite 300, Waltham, MA 02451.</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Except as indicated by the footnotes below, we believe, based on information furnished to us, that each of the stockholders listed has sole voting and investment power with respect to the shares beneficially owned by the stockholder unless noted otherwise, subject to community property laws where applicable.</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Number of</w:t>
            </w:r>
          </w:p>
        </w:tc>
        <w:tc>
          <w:tcPr>
            <w:tcW w:w="18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9"/>
              </w:rPr>
              <w:t>Percentage of Shares</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Shares</w:t>
            </w:r>
          </w:p>
        </w:tc>
        <w:tc>
          <w:tcPr>
            <w:tcW w:w="18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19"/>
        </w:trPr>
        <w:tc>
          <w:tcPr>
            <w:tcW w:w="16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3620" w:type="dxa"/>
            <w:vAlign w:val="bottom"/>
            <w:vMerge w:val="restart"/>
          </w:tcPr>
          <w:p>
            <w:pPr>
              <w:spacing w:after="0"/>
              <w:rPr>
                <w:sz w:val="10"/>
                <w:szCs w:val="10"/>
                <w:color w:val="auto"/>
              </w:rPr>
            </w:pPr>
          </w:p>
        </w:tc>
        <w:tc>
          <w:tcPr>
            <w:tcW w:w="2740" w:type="dxa"/>
            <w:vAlign w:val="bottom"/>
          </w:tcPr>
          <w:p>
            <w:pPr>
              <w:spacing w:after="0"/>
              <w:rPr>
                <w:sz w:val="10"/>
                <w:szCs w:val="10"/>
                <w:color w:val="auto"/>
              </w:rPr>
            </w:pPr>
          </w:p>
        </w:tc>
        <w:tc>
          <w:tcPr>
            <w:tcW w:w="12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Beneficially</w:t>
            </w:r>
          </w:p>
        </w:tc>
        <w:tc>
          <w:tcPr>
            <w:tcW w:w="1040" w:type="dxa"/>
            <w:vAlign w:val="bottom"/>
            <w:tcBorders>
              <w:top w:val="single" w:sz="8" w:color="auto"/>
            </w:tcBorders>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Before</w:t>
            </w:r>
          </w:p>
        </w:tc>
        <w:tc>
          <w:tcPr>
            <w:tcW w:w="540" w:type="dxa"/>
            <w:vAlign w:val="bottom"/>
            <w:tcBorders>
              <w:top w:val="single" w:sz="8" w:color="auto"/>
            </w:tcBorders>
          </w:tcPr>
          <w:p>
            <w:pPr>
              <w:jc w:val="right"/>
              <w:ind w:right="12"/>
              <w:spacing w:after="0" w:line="119" w:lineRule="exact"/>
              <w:rPr>
                <w:sz w:val="20"/>
                <w:szCs w:val="20"/>
                <w:color w:val="auto"/>
              </w:rPr>
            </w:pPr>
            <w:r>
              <w:rPr>
                <w:rFonts w:ascii="Arial" w:cs="Arial" w:eastAsia="Arial" w:hAnsi="Arial"/>
                <w:sz w:val="13"/>
                <w:szCs w:val="13"/>
                <w:b w:val="1"/>
                <w:bCs w:val="1"/>
                <w:color w:val="auto"/>
              </w:rPr>
              <w:t>After</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620" w:type="dxa"/>
            <w:vAlign w:val="bottom"/>
            <w:tcBorders>
              <w:bottom w:val="single" w:sz="8" w:color="auto"/>
            </w:tcBorders>
            <w:gridSpan w:val="3"/>
            <w:vMerge w:val="continue"/>
          </w:tcPr>
          <w:p>
            <w:pPr>
              <w:spacing w:after="0"/>
              <w:rPr>
                <w:sz w:val="15"/>
                <w:szCs w:val="15"/>
                <w:color w:val="auto"/>
              </w:rPr>
            </w:pPr>
          </w:p>
        </w:tc>
        <w:tc>
          <w:tcPr>
            <w:tcW w:w="3620" w:type="dxa"/>
            <w:vAlign w:val="bottom"/>
            <w:vMerge w:val="continue"/>
          </w:tcPr>
          <w:p>
            <w:pPr>
              <w:spacing w:after="0"/>
              <w:rPr>
                <w:sz w:val="15"/>
                <w:szCs w:val="15"/>
                <w:color w:val="auto"/>
              </w:rPr>
            </w:pPr>
          </w:p>
        </w:tc>
        <w:tc>
          <w:tcPr>
            <w:tcW w:w="2740" w:type="dxa"/>
            <w:vAlign w:val="bottom"/>
          </w:tcPr>
          <w:p>
            <w:pPr>
              <w:spacing w:after="0"/>
              <w:rPr>
                <w:sz w:val="15"/>
                <w:szCs w:val="15"/>
                <w:color w:val="auto"/>
              </w:rPr>
            </w:pPr>
          </w:p>
        </w:tc>
        <w:tc>
          <w:tcPr>
            <w:tcW w:w="124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4"/>
              </w:rPr>
              <w:t>Owned</w:t>
            </w:r>
          </w:p>
        </w:tc>
        <w:tc>
          <w:tcPr>
            <w:tcW w:w="1040" w:type="dxa"/>
            <w:vAlign w:val="bottom"/>
            <w:gridSpan w:val="2"/>
          </w:tcPr>
          <w:p>
            <w:pPr>
              <w:jc w:val="right"/>
              <w:ind w:right="500"/>
              <w:spacing w:after="0" w:line="158" w:lineRule="exact"/>
              <w:rPr>
                <w:sz w:val="20"/>
                <w:szCs w:val="20"/>
                <w:color w:val="auto"/>
              </w:rPr>
            </w:pPr>
            <w:r>
              <w:rPr>
                <w:rFonts w:ascii="Arial" w:cs="Arial" w:eastAsia="Arial" w:hAnsi="Arial"/>
                <w:sz w:val="14"/>
                <w:szCs w:val="14"/>
                <w:b w:val="1"/>
                <w:bCs w:val="1"/>
                <w:color w:val="auto"/>
                <w:w w:val="95"/>
              </w:rPr>
              <w:t>Offering</w:t>
            </w:r>
          </w:p>
        </w:tc>
        <w:tc>
          <w:tcPr>
            <w:tcW w:w="76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190"/>
        </w:trPr>
        <w:tc>
          <w:tcPr>
            <w:tcW w:w="5240" w:type="dxa"/>
            <w:vAlign w:val="bottom"/>
            <w:tcBorders>
              <w:top w:val="single" w:sz="8" w:color="CCEEFF"/>
            </w:tcBorders>
            <w:gridSpan w:val="4"/>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Greater than 5% stockholders</w:t>
            </w:r>
          </w:p>
        </w:tc>
        <w:tc>
          <w:tcPr>
            <w:tcW w:w="27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20" w:type="dxa"/>
            <w:vAlign w:val="bottom"/>
            <w:gridSpan w:val="3"/>
          </w:tcPr>
          <w:p>
            <w:pPr>
              <w:ind w:left="140"/>
              <w:spacing w:after="0"/>
              <w:rPr>
                <w:sz w:val="20"/>
                <w:szCs w:val="20"/>
                <w:color w:val="auto"/>
              </w:rPr>
            </w:pPr>
            <w:r>
              <w:rPr>
                <w:rFonts w:ascii="Arial" w:cs="Arial" w:eastAsia="Arial" w:hAnsi="Arial"/>
                <w:sz w:val="18"/>
                <w:szCs w:val="18"/>
                <w:color w:val="auto"/>
              </w:rPr>
              <w:t>Adimab, LLC (1)</w:t>
            </w:r>
          </w:p>
        </w:tc>
        <w:tc>
          <w:tcPr>
            <w:tcW w:w="3980" w:type="dxa"/>
            <w:vAlign w:val="bottom"/>
            <w:gridSpan w:val="3"/>
          </w:tcPr>
          <w:p>
            <w:pPr>
              <w:jc w:val="right"/>
              <w:ind w:right="360"/>
              <w:spacing w:after="0"/>
              <w:rPr>
                <w:sz w:val="20"/>
                <w:szCs w:val="20"/>
                <w:color w:val="auto"/>
              </w:rPr>
            </w:pPr>
            <w:r>
              <w:rPr>
                <w:rFonts w:ascii="Arial" w:cs="Arial" w:eastAsia="Arial" w:hAnsi="Arial"/>
                <w:sz w:val="18"/>
                <w:szCs w:val="18"/>
                <w:color w:val="auto"/>
              </w:rPr>
              <w:t>27,845,995</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30.8%</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Entities affiliated with FMR, LLC (2).</w:t>
            </w:r>
          </w:p>
        </w:tc>
        <w:tc>
          <w:tcPr>
            <w:tcW w:w="3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9,964,650</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20" w:type="dxa"/>
            <w:vAlign w:val="bottom"/>
            <w:gridSpan w:val="3"/>
          </w:tcPr>
          <w:p>
            <w:pPr>
              <w:ind w:left="140"/>
              <w:spacing w:after="0"/>
              <w:rPr>
                <w:sz w:val="20"/>
                <w:szCs w:val="20"/>
                <w:color w:val="auto"/>
              </w:rPr>
            </w:pPr>
            <w:r>
              <w:rPr>
                <w:rFonts w:ascii="Arial" w:cs="Arial" w:eastAsia="Arial" w:hAnsi="Arial"/>
                <w:sz w:val="18"/>
                <w:szCs w:val="18"/>
                <w:color w:val="auto"/>
              </w:rPr>
              <w:t>Mithril II LP (3)</w:t>
            </w:r>
          </w:p>
        </w:tc>
        <w:tc>
          <w:tcPr>
            <w:tcW w:w="3980" w:type="dxa"/>
            <w:vAlign w:val="bottom"/>
            <w:gridSpan w:val="3"/>
          </w:tcPr>
          <w:p>
            <w:pPr>
              <w:jc w:val="right"/>
              <w:ind w:right="360"/>
              <w:spacing w:after="0"/>
              <w:rPr>
                <w:sz w:val="20"/>
                <w:szCs w:val="20"/>
                <w:color w:val="auto"/>
              </w:rPr>
            </w:pPr>
            <w:r>
              <w:rPr>
                <w:rFonts w:ascii="Arial" w:cs="Arial" w:eastAsia="Arial" w:hAnsi="Arial"/>
                <w:sz w:val="18"/>
                <w:szCs w:val="18"/>
                <w:color w:val="auto"/>
              </w:rPr>
              <w:t>9,244,580</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10.2%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Entities affiliated with Polaris Partners (4)</w:t>
            </w:r>
          </w:p>
        </w:tc>
        <w:tc>
          <w:tcPr>
            <w:tcW w:w="3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8,031,700</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20" w:type="dxa"/>
            <w:vAlign w:val="bottom"/>
            <w:gridSpan w:val="3"/>
          </w:tcPr>
          <w:p>
            <w:pPr>
              <w:ind w:left="140"/>
              <w:spacing w:after="0"/>
              <w:rPr>
                <w:sz w:val="20"/>
                <w:szCs w:val="20"/>
                <w:color w:val="auto"/>
              </w:rPr>
            </w:pPr>
            <w:r>
              <w:rPr>
                <w:rFonts w:ascii="Arial" w:cs="Arial" w:eastAsia="Arial" w:hAnsi="Arial"/>
                <w:sz w:val="18"/>
                <w:szCs w:val="18"/>
                <w:color w:val="auto"/>
              </w:rPr>
              <w:t>Entities affiliated with GV (5)</w:t>
            </w:r>
          </w:p>
        </w:tc>
        <w:tc>
          <w:tcPr>
            <w:tcW w:w="3980" w:type="dxa"/>
            <w:vAlign w:val="bottom"/>
            <w:gridSpan w:val="3"/>
          </w:tcPr>
          <w:p>
            <w:pPr>
              <w:jc w:val="right"/>
              <w:ind w:right="360"/>
              <w:spacing w:after="0"/>
              <w:rPr>
                <w:sz w:val="20"/>
                <w:szCs w:val="20"/>
                <w:color w:val="auto"/>
              </w:rPr>
            </w:pPr>
            <w:r>
              <w:rPr>
                <w:rFonts w:ascii="Arial" w:cs="Arial" w:eastAsia="Arial" w:hAnsi="Arial"/>
                <w:sz w:val="18"/>
                <w:szCs w:val="18"/>
                <w:color w:val="auto"/>
              </w:rPr>
              <w:t>5,680,785</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6.3%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OrbiMed Private Investments VII, LP (6)</w:t>
            </w:r>
          </w:p>
        </w:tc>
        <w:tc>
          <w:tcPr>
            <w:tcW w:w="3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4,983,500</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20" w:type="dxa"/>
            <w:vAlign w:val="bottom"/>
            <w:gridSpan w:val="3"/>
          </w:tcPr>
          <w:p>
            <w:pPr>
              <w:ind w:left="140"/>
              <w:spacing w:after="0"/>
              <w:rPr>
                <w:sz w:val="20"/>
                <w:szCs w:val="20"/>
                <w:color w:val="auto"/>
              </w:rPr>
            </w:pPr>
            <w:r>
              <w:rPr>
                <w:rFonts w:ascii="Arial" w:cs="Arial" w:eastAsia="Arial" w:hAnsi="Arial"/>
                <w:sz w:val="18"/>
                <w:szCs w:val="18"/>
                <w:color w:val="auto"/>
              </w:rPr>
              <w:t>Entities affiliated with RA Capital Management (7)</w:t>
            </w:r>
          </w:p>
        </w:tc>
        <w:tc>
          <w:tcPr>
            <w:tcW w:w="3980" w:type="dxa"/>
            <w:vAlign w:val="bottom"/>
            <w:gridSpan w:val="3"/>
          </w:tcPr>
          <w:p>
            <w:pPr>
              <w:jc w:val="right"/>
              <w:ind w:right="360"/>
              <w:spacing w:after="0"/>
              <w:rPr>
                <w:sz w:val="20"/>
                <w:szCs w:val="20"/>
                <w:color w:val="auto"/>
              </w:rPr>
            </w:pPr>
            <w:r>
              <w:rPr>
                <w:rFonts w:ascii="Arial" w:cs="Arial" w:eastAsia="Arial" w:hAnsi="Arial"/>
                <w:sz w:val="18"/>
                <w:szCs w:val="18"/>
                <w:color w:val="auto"/>
              </w:rPr>
              <w:t>4,802,410</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2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20" w:type="dxa"/>
            <w:vAlign w:val="bottom"/>
            <w:gridSpan w:val="3"/>
          </w:tcPr>
          <w:p>
            <w:pPr>
              <w:ind w:left="140"/>
              <w:spacing w:after="0"/>
              <w:rPr>
                <w:sz w:val="20"/>
                <w:szCs w:val="20"/>
                <w:color w:val="auto"/>
              </w:rPr>
            </w:pPr>
            <w:r>
              <w:rPr>
                <w:rFonts w:ascii="Arial" w:cs="Arial" w:eastAsia="Arial" w:hAnsi="Arial"/>
                <w:sz w:val="18"/>
                <w:szCs w:val="18"/>
                <w:color w:val="auto"/>
              </w:rPr>
              <w:t>Tillman U. Gerngross, Ph.D. (8)</w:t>
            </w:r>
          </w:p>
        </w:tc>
        <w:tc>
          <w:tcPr>
            <w:tcW w:w="3980" w:type="dxa"/>
            <w:vAlign w:val="bottom"/>
            <w:gridSpan w:val="3"/>
          </w:tcPr>
          <w:p>
            <w:pPr>
              <w:jc w:val="right"/>
              <w:ind w:right="360"/>
              <w:spacing w:after="0"/>
              <w:rPr>
                <w:sz w:val="20"/>
                <w:szCs w:val="20"/>
                <w:color w:val="auto"/>
              </w:rPr>
            </w:pPr>
            <w:r>
              <w:rPr>
                <w:rFonts w:ascii="Arial" w:cs="Arial" w:eastAsia="Arial" w:hAnsi="Arial"/>
                <w:sz w:val="18"/>
                <w:szCs w:val="18"/>
                <w:color w:val="auto"/>
              </w:rPr>
              <w:t>27,845,995</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30.8%</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Lynn Connolly, M.D., Ph.D. (9)</w:t>
            </w:r>
          </w:p>
        </w:tc>
        <w:tc>
          <w:tcPr>
            <w:tcW w:w="3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250,915</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20" w:type="dxa"/>
            <w:vAlign w:val="bottom"/>
            <w:gridSpan w:val="3"/>
          </w:tcPr>
          <w:p>
            <w:pPr>
              <w:ind w:left="140"/>
              <w:spacing w:after="0"/>
              <w:rPr>
                <w:sz w:val="20"/>
                <w:szCs w:val="20"/>
                <w:color w:val="auto"/>
              </w:rPr>
            </w:pPr>
            <w:r>
              <w:rPr>
                <w:rFonts w:ascii="Arial" w:cs="Arial" w:eastAsia="Arial" w:hAnsi="Arial"/>
                <w:sz w:val="18"/>
                <w:szCs w:val="18"/>
                <w:color w:val="auto"/>
              </w:rPr>
              <w:t>Rebecca Dabora, Ph.D.</w:t>
            </w:r>
          </w:p>
        </w:tc>
        <w:tc>
          <w:tcPr>
            <w:tcW w:w="274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René Russo, Pharm.D. (10)</w:t>
            </w:r>
          </w:p>
        </w:tc>
        <w:tc>
          <w:tcPr>
            <w:tcW w:w="3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1,985,295</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20" w:type="dxa"/>
            <w:vAlign w:val="bottom"/>
            <w:gridSpan w:val="3"/>
          </w:tcPr>
          <w:p>
            <w:pPr>
              <w:ind w:left="140"/>
              <w:spacing w:after="0"/>
              <w:rPr>
                <w:sz w:val="20"/>
                <w:szCs w:val="20"/>
                <w:color w:val="auto"/>
              </w:rPr>
            </w:pPr>
            <w:r>
              <w:rPr>
                <w:rFonts w:ascii="Arial" w:cs="Arial" w:eastAsia="Arial" w:hAnsi="Arial"/>
                <w:sz w:val="18"/>
                <w:szCs w:val="18"/>
                <w:color w:val="auto"/>
              </w:rPr>
              <w:t>Terrance McGuire (11)</w:t>
            </w:r>
          </w:p>
        </w:tc>
        <w:tc>
          <w:tcPr>
            <w:tcW w:w="3980" w:type="dxa"/>
            <w:vAlign w:val="bottom"/>
            <w:gridSpan w:val="3"/>
          </w:tcPr>
          <w:p>
            <w:pPr>
              <w:jc w:val="right"/>
              <w:ind w:right="360"/>
              <w:spacing w:after="0"/>
              <w:rPr>
                <w:sz w:val="20"/>
                <w:szCs w:val="20"/>
                <w:color w:val="auto"/>
              </w:rPr>
            </w:pPr>
            <w:r>
              <w:rPr>
                <w:rFonts w:ascii="Arial" w:cs="Arial" w:eastAsia="Arial" w:hAnsi="Arial"/>
                <w:sz w:val="18"/>
                <w:szCs w:val="18"/>
                <w:color w:val="auto"/>
              </w:rPr>
              <w:t>8,031,700</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8.9%</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Ajay Royan (12)</w:t>
            </w:r>
          </w:p>
        </w:tc>
        <w:tc>
          <w:tcPr>
            <w:tcW w:w="3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9,244,580</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10.2%</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20" w:type="dxa"/>
            <w:vAlign w:val="bottom"/>
            <w:gridSpan w:val="3"/>
          </w:tcPr>
          <w:p>
            <w:pPr>
              <w:ind w:left="140"/>
              <w:spacing w:after="0"/>
              <w:rPr>
                <w:sz w:val="20"/>
                <w:szCs w:val="20"/>
                <w:color w:val="auto"/>
              </w:rPr>
            </w:pPr>
            <w:r>
              <w:rPr>
                <w:rFonts w:ascii="Arial" w:cs="Arial" w:eastAsia="Arial" w:hAnsi="Arial"/>
                <w:sz w:val="18"/>
                <w:szCs w:val="18"/>
                <w:color w:val="auto"/>
              </w:rPr>
              <w:t>Howard Mayer, M.D. (13)</w:t>
            </w:r>
          </w:p>
        </w:tc>
        <w:tc>
          <w:tcPr>
            <w:tcW w:w="3980" w:type="dxa"/>
            <w:vAlign w:val="bottom"/>
            <w:gridSpan w:val="3"/>
          </w:tcPr>
          <w:p>
            <w:pPr>
              <w:jc w:val="right"/>
              <w:ind w:right="360"/>
              <w:spacing w:after="0"/>
              <w:rPr>
                <w:sz w:val="20"/>
                <w:szCs w:val="20"/>
                <w:color w:val="auto"/>
              </w:rPr>
            </w:pPr>
            <w:r>
              <w:rPr>
                <w:rFonts w:ascii="Arial" w:cs="Arial" w:eastAsia="Arial" w:hAnsi="Arial"/>
                <w:sz w:val="18"/>
                <w:szCs w:val="18"/>
                <w:color w:val="auto"/>
              </w:rPr>
              <w:t>58,265</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Anand Shah, M.D.</w:t>
            </w:r>
          </w:p>
        </w:tc>
        <w:tc>
          <w:tcPr>
            <w:tcW w:w="27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20" w:type="dxa"/>
            <w:vAlign w:val="bottom"/>
            <w:gridSpan w:val="3"/>
          </w:tcPr>
          <w:p>
            <w:pPr>
              <w:ind w:left="140"/>
              <w:spacing w:after="0"/>
              <w:rPr>
                <w:sz w:val="20"/>
                <w:szCs w:val="20"/>
                <w:color w:val="auto"/>
              </w:rPr>
            </w:pPr>
            <w:r>
              <w:rPr>
                <w:rFonts w:ascii="Arial" w:cs="Arial" w:eastAsia="Arial" w:hAnsi="Arial"/>
                <w:sz w:val="18"/>
                <w:szCs w:val="18"/>
                <w:color w:val="auto"/>
              </w:rPr>
              <w:t>Tom Heyman</w:t>
            </w:r>
          </w:p>
        </w:tc>
        <w:tc>
          <w:tcPr>
            <w:tcW w:w="274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Michael Wyzga</w:t>
            </w:r>
          </w:p>
        </w:tc>
        <w:tc>
          <w:tcPr>
            <w:tcW w:w="27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gridSpan w:val="4"/>
          </w:tcPr>
          <w:p>
            <w:pPr>
              <w:spacing w:after="0"/>
              <w:rPr>
                <w:sz w:val="20"/>
                <w:szCs w:val="20"/>
                <w:color w:val="auto"/>
              </w:rPr>
            </w:pPr>
            <w:r>
              <w:rPr>
                <w:rFonts w:ascii="Arial" w:cs="Arial" w:eastAsia="Arial" w:hAnsi="Arial"/>
                <w:sz w:val="18"/>
                <w:szCs w:val="18"/>
                <w:color w:val="auto"/>
                <w:w w:val="92"/>
              </w:rPr>
              <w:t>All current executive officers and directors as a group (13 persons)(14)</w:t>
            </w:r>
          </w:p>
        </w:tc>
        <w:tc>
          <w:tcPr>
            <w:tcW w:w="3980" w:type="dxa"/>
            <w:vAlign w:val="bottom"/>
            <w:gridSpan w:val="3"/>
          </w:tcPr>
          <w:p>
            <w:pPr>
              <w:jc w:val="right"/>
              <w:ind w:right="360"/>
              <w:spacing w:after="0"/>
              <w:rPr>
                <w:sz w:val="20"/>
                <w:szCs w:val="20"/>
                <w:color w:val="auto"/>
              </w:rPr>
            </w:pPr>
            <w:r>
              <w:rPr>
                <w:rFonts w:ascii="Arial" w:cs="Arial" w:eastAsia="Arial" w:hAnsi="Arial"/>
                <w:sz w:val="18"/>
                <w:szCs w:val="18"/>
                <w:color w:val="auto"/>
              </w:rPr>
              <w:t>47,612,630</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52.5%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121"/>
        </w:trPr>
        <w:tc>
          <w:tcPr>
            <w:tcW w:w="2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4020" w:type="dxa"/>
            <w:vAlign w:val="bottom"/>
            <w:gridSpan w:val="2"/>
          </w:tcPr>
          <w:p>
            <w:pPr>
              <w:spacing w:after="0"/>
              <w:rPr>
                <w:sz w:val="10"/>
                <w:szCs w:val="10"/>
                <w:color w:val="auto"/>
              </w:rPr>
            </w:pPr>
          </w:p>
        </w:tc>
        <w:tc>
          <w:tcPr>
            <w:tcW w:w="2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5020" w:type="dxa"/>
            <w:vAlign w:val="bottom"/>
            <w:gridSpan w:val="3"/>
          </w:tcPr>
          <w:p>
            <w:pPr>
              <w:ind w:left="200"/>
              <w:spacing w:after="0"/>
              <w:rPr>
                <w:sz w:val="20"/>
                <w:szCs w:val="20"/>
                <w:color w:val="auto"/>
              </w:rPr>
            </w:pPr>
            <w:r>
              <w:rPr>
                <w:rFonts w:ascii="Arial" w:cs="Arial" w:eastAsia="Arial" w:hAnsi="Arial"/>
                <w:sz w:val="18"/>
                <w:szCs w:val="18"/>
                <w:color w:val="auto"/>
              </w:rPr>
              <w:t>Represents beneficial ownership of less than one percent.</w:t>
            </w:r>
          </w:p>
        </w:tc>
        <w:tc>
          <w:tcPr>
            <w:tcW w:w="27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4"/>
        </w:trPr>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740" w:type="dxa"/>
            <w:vAlign w:val="bottom"/>
          </w:tcPr>
          <w:p>
            <w:pPr>
              <w:jc w:val="right"/>
              <w:ind w:right="2250"/>
              <w:spacing w:after="0"/>
              <w:rPr>
                <w:sz w:val="20"/>
                <w:szCs w:val="20"/>
                <w:color w:val="auto"/>
              </w:rPr>
            </w:pPr>
            <w:r>
              <w:rPr>
                <w:rFonts w:ascii="Arial" w:cs="Arial" w:eastAsia="Arial" w:hAnsi="Arial"/>
                <w:sz w:val="18"/>
                <w:szCs w:val="18"/>
                <w:color w:val="auto"/>
              </w:rPr>
              <w:t>190</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Consists of (a) 1,985,295 shares of common stock, (b) 25,000,000 shares of common stock issuable upon conversion of Series A preferred stock,</w:t>
      </w:r>
    </w:p>
    <w:p>
      <w:pPr>
        <w:spacing w:after="0" w:line="46" w:lineRule="exact"/>
        <w:rPr>
          <w:rFonts w:ascii="Arial" w:cs="Arial" w:eastAsia="Arial" w:hAnsi="Arial"/>
          <w:sz w:val="16"/>
          <w:szCs w:val="16"/>
          <w:color w:val="auto"/>
        </w:rPr>
      </w:pPr>
    </w:p>
    <w:p>
      <w:pPr>
        <w:jc w:val="both"/>
        <w:ind w:left="540"/>
        <w:spacing w:after="0" w:line="250" w:lineRule="auto"/>
        <w:rPr>
          <w:rFonts w:ascii="Arial" w:cs="Arial" w:eastAsia="Arial" w:hAnsi="Arial"/>
          <w:sz w:val="16"/>
          <w:szCs w:val="16"/>
          <w:color w:val="auto"/>
        </w:rPr>
      </w:pPr>
      <w:r>
        <w:rPr>
          <w:rFonts w:ascii="Arial" w:cs="Arial" w:eastAsia="Arial" w:hAnsi="Arial"/>
          <w:sz w:val="18"/>
          <w:szCs w:val="18"/>
          <w:color w:val="auto"/>
        </w:rPr>
        <w:t>(c) 220,380 shares of common stock issuable upon conversion of Series B preferred stock and (d) 640,320 shares of common stock issuable upon conversion of Series C preferred stock. Tillman U. Gerngross, a member of our board of directors and our Chief Executive Officer, is an officer and a member of the board of directors of Adimab, LLC and may be deemed to have shared voting and investment power with respect to the shares held by Adimab, LLC.</w:t>
      </w:r>
    </w:p>
    <w:p>
      <w:pPr>
        <w:spacing w:after="0" w:line="1" w:lineRule="exact"/>
        <w:rPr>
          <w:rFonts w:ascii="Arial" w:cs="Arial" w:eastAsia="Arial" w:hAnsi="Arial"/>
          <w:sz w:val="16"/>
          <w:szCs w:val="16"/>
          <w:color w:val="auto"/>
        </w:rPr>
      </w:pPr>
    </w:p>
    <w:p>
      <w:pPr>
        <w:jc w:val="both"/>
        <w:ind w:left="540" w:hanging="424"/>
        <w:spacing w:after="0" w:line="267" w:lineRule="auto"/>
        <w:tabs>
          <w:tab w:leader="none" w:pos="54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Consists of (a) (i) 2,199,360 shares of common stock issuable upon conversion of Series A preferred stock, (ii) 688,500 shares of common stock issuable upon conversion of Series B preferred stock and (iii) 1,260,760 shares of common stock issuable upon conversion of Series C preferred stock held by Mag &amp; Co fbo Fidelity Growth Company Commingled Pool (FGCCP), (b) (i) 2,069,651 shares of common stock issuable upon conversion of Series A preferred stock, (ii) 747,500 shares of common stock issuable upon conversion of Series B preferred stock and (iii) 1,187,185 shares of common stock issuable upon conversion of Series C preferred stock held by Powhatan &amp; Co., LLC fbo Fidelity Mt. Vernon Street Trust: Fidelity Growth Company Fund (FGCF), (c) (i) 451,810 shares of common stock issuable upon conversion of Series A preferred stock, (ii) 140,680 shares of common stock issuable upon conversion of Series B preferred stock and (iii) 266,440 shares of common stock issuable upon conversion of Series C preferred stock held by Mag &amp; Co fbo Fidelity Mt. Vernon Street Trust: Fidelity Series Growth Company Fund (FSGCF), (d) (i) 279,180 shares of common stock issuable upon conversion of Series A preferred stock, (ii) 90,865 shares of common stock issuable upon conversion of Series B preferred stock and (iii) 487,221 shares of common stock issuable upon conversion of Series C preferred stock held by Powhatan &amp; Co., LLC fbo Fidelity Mt. Vernon Street Trust: Fidelity Growth Company K6 Fund (FGCKF), and (e) 95,500 shares of common stock issuable upon conversion of Series B preferred stock held by Mag &amp; Co fbo Fidelity Select Portfolios: Biotechnology Portfolio (FSPBP, together with FGCCP, FGCF, FSGCF and FGCKF, the Fidelity Funds).</w:t>
      </w:r>
    </w:p>
    <w:p>
      <w:pPr>
        <w:spacing w:after="0" w:line="74" w:lineRule="exact"/>
        <w:rPr>
          <w:rFonts w:ascii="Arial" w:cs="Arial" w:eastAsia="Arial" w:hAnsi="Arial"/>
          <w:sz w:val="17"/>
          <w:szCs w:val="17"/>
          <w:color w:val="auto"/>
        </w:rPr>
      </w:pPr>
    </w:p>
    <w:p>
      <w:pPr>
        <w:ind w:left="560" w:right="20"/>
        <w:spacing w:after="0" w:line="277" w:lineRule="auto"/>
        <w:rPr>
          <w:rFonts w:ascii="Arial" w:cs="Arial" w:eastAsia="Arial" w:hAnsi="Arial"/>
          <w:sz w:val="17"/>
          <w:szCs w:val="17"/>
          <w:color w:val="auto"/>
        </w:rPr>
      </w:pPr>
      <w:r>
        <w:rPr>
          <w:rFonts w:ascii="Arial" w:cs="Arial" w:eastAsia="Arial" w:hAnsi="Arial"/>
          <w:sz w:val="18"/>
          <w:szCs w:val="18"/>
          <w:color w:val="auto"/>
        </w:rPr>
        <w:t>The Fidelity Funds are managed by direct or indirect subsidiaries of FMR LLC. Abigail P. Johnson is a Director, the Chairman, the Chief Executive Officer and the President of FMR LLC.</w:t>
      </w:r>
    </w:p>
    <w:p>
      <w:pPr>
        <w:spacing w:after="0" w:line="62" w:lineRule="exact"/>
        <w:rPr>
          <w:rFonts w:ascii="Arial" w:cs="Arial" w:eastAsia="Arial" w:hAnsi="Arial"/>
          <w:sz w:val="17"/>
          <w:szCs w:val="17"/>
          <w:color w:val="auto"/>
        </w:rPr>
      </w:pPr>
    </w:p>
    <w:p>
      <w:pPr>
        <w:jc w:val="both"/>
        <w:ind w:left="560"/>
        <w:spacing w:after="0" w:line="255" w:lineRule="auto"/>
        <w:rPr>
          <w:rFonts w:ascii="Arial" w:cs="Arial" w:eastAsia="Arial" w:hAnsi="Arial"/>
          <w:sz w:val="17"/>
          <w:szCs w:val="17"/>
          <w:color w:val="auto"/>
        </w:rPr>
      </w:pPr>
      <w:r>
        <w:rPr>
          <w:rFonts w:ascii="Arial" w:cs="Arial" w:eastAsia="Arial" w:hAnsi="Arial"/>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84" w:lineRule="exact"/>
        <w:rPr>
          <w:rFonts w:ascii="Arial" w:cs="Arial" w:eastAsia="Arial" w:hAnsi="Arial"/>
          <w:sz w:val="17"/>
          <w:szCs w:val="17"/>
          <w:color w:val="auto"/>
        </w:rPr>
      </w:pPr>
    </w:p>
    <w:p>
      <w:pPr>
        <w:jc w:val="both"/>
        <w:ind w:left="560" w:right="20"/>
        <w:spacing w:after="0" w:line="279" w:lineRule="auto"/>
        <w:rPr>
          <w:rFonts w:ascii="Arial" w:cs="Arial" w:eastAsia="Arial" w:hAnsi="Arial"/>
          <w:sz w:val="17"/>
          <w:szCs w:val="17"/>
          <w:color w:val="auto"/>
        </w:rPr>
      </w:pPr>
      <w:r>
        <w:rPr>
          <w:rFonts w:ascii="Arial" w:cs="Arial" w:eastAsia="Arial" w:hAnsi="Arial"/>
          <w:sz w:val="17"/>
          <w:szCs w:val="17"/>
          <w:color w:val="auto"/>
        </w:rPr>
        <w:t>Neither FMR LLC nor Abigail P. Johnson has the sole power to vote or direct the voting of the shares owned directly by the various investment companies registered under the Investment Company Act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63" w:lineRule="exact"/>
        <w:rPr>
          <w:rFonts w:ascii="Arial" w:cs="Arial" w:eastAsia="Arial" w:hAnsi="Arial"/>
          <w:sz w:val="17"/>
          <w:szCs w:val="17"/>
          <w:color w:val="auto"/>
        </w:rPr>
      </w:pPr>
    </w:p>
    <w:p>
      <w:pPr>
        <w:ind w:left="560" w:right="20"/>
        <w:spacing w:after="0" w:line="277" w:lineRule="auto"/>
        <w:rPr>
          <w:rFonts w:ascii="Arial" w:cs="Arial" w:eastAsia="Arial" w:hAnsi="Arial"/>
          <w:sz w:val="17"/>
          <w:szCs w:val="17"/>
          <w:color w:val="auto"/>
        </w:rPr>
      </w:pPr>
      <w:r>
        <w:rPr>
          <w:rFonts w:ascii="Arial" w:cs="Arial" w:eastAsia="Arial" w:hAnsi="Arial"/>
          <w:sz w:val="18"/>
          <w:szCs w:val="18"/>
          <w:color w:val="auto"/>
        </w:rPr>
        <w:t>The principal business address for FSGCF, FGCCP and FSPBP referenced in this footnote is c/o Brown Brothers Harriman &amp; Co. Attn: Corporate Actions /Vault 140 Broadway New York, NY 10005.</w:t>
      </w:r>
    </w:p>
    <w:p>
      <w:pPr>
        <w:spacing w:after="0" w:line="62" w:lineRule="exact"/>
        <w:rPr>
          <w:rFonts w:ascii="Arial" w:cs="Arial" w:eastAsia="Arial" w:hAnsi="Arial"/>
          <w:sz w:val="17"/>
          <w:szCs w:val="17"/>
          <w:color w:val="auto"/>
        </w:rPr>
      </w:pPr>
    </w:p>
    <w:p>
      <w:pPr>
        <w:ind w:left="560"/>
        <w:spacing w:after="0"/>
        <w:rPr>
          <w:rFonts w:ascii="Arial" w:cs="Arial" w:eastAsia="Arial" w:hAnsi="Arial"/>
          <w:sz w:val="17"/>
          <w:szCs w:val="17"/>
          <w:color w:val="auto"/>
        </w:rPr>
      </w:pPr>
      <w:r>
        <w:rPr>
          <w:rFonts w:ascii="Arial" w:cs="Arial" w:eastAsia="Arial" w:hAnsi="Arial"/>
          <w:sz w:val="17"/>
          <w:szCs w:val="17"/>
          <w:color w:val="auto"/>
        </w:rPr>
        <w:t>The principal business address for FGCF and FGCKF referenced in this footnote is c/o BNY Mellon PO Box 392002, Pittsburgh PA 15230.</w:t>
      </w:r>
    </w:p>
    <w:p>
      <w:pPr>
        <w:spacing w:after="0" w:line="34" w:lineRule="exact"/>
        <w:rPr>
          <w:rFonts w:ascii="Arial" w:cs="Arial" w:eastAsia="Arial" w:hAnsi="Arial"/>
          <w:sz w:val="17"/>
          <w:szCs w:val="17"/>
          <w:color w:val="auto"/>
        </w:rPr>
      </w:pPr>
    </w:p>
    <w:p>
      <w:pPr>
        <w:jc w:val="both"/>
        <w:ind w:left="540" w:right="20" w:hanging="424"/>
        <w:spacing w:after="0" w:line="290" w:lineRule="auto"/>
        <w:tabs>
          <w:tab w:leader="none" w:pos="54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Consists of (a) 6,250,000 shares of common stock issuable upon conversion of Series A preferred stock, (b) 881,520 shares of common stock issuable upon conversion of Series B preferred stock and (c) 2,113,060 shares of common stock issuable upon conversion of Series C preferred stock. Ajay Royan, a member of our board of directors, is the Managing General Partner and Founder of Mithril Capital Management LLC, (“MCM”). MCM is a management company that manages Mithril II LP and is appointed by Mithril II GP LP (“GP II”), the general partner of Mithril II LP. Peter Thiel and Ajay Royan are the members of the investment committee GP II. The investment committee makes all investment decisions with respect to these entities and may be deemed to share voting and investment power over the securities held by Mithril II LP.</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40"/>
          </w:cols>
          <w:pgMar w:left="320" w:top="459"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hanging="424"/>
        <w:spacing w:after="0" w:line="286" w:lineRule="auto"/>
        <w:tabs>
          <w:tab w:leader="none" w:pos="5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Consists of (a) (i) 1,809,250 shares of common stock issuable upon conversion of Series A preferred stock, (ii) 425,305 shares of common stock issuable upon conversion of Series B preferred stock and (iii) 617,870 shares of common stock issuable upon conversion of Series C preferred stock held by Polaris Venture Partners V, L.P. (PVP V), (b) (i) 35,260 shares of common stock issuable upon conversion of Series A preferred stock, (ii) 8,290 shares of common stock issuable upon conversion of Series B preferred stock and (iii) 12,045 shares of common stock issuable upon conversion of Series C preferred stock held by Polaris Venture Partners Entrepreneurs’ Fund V, L.P. (PVPEF V), (c) (i) 12,395 shares of common stock issuable upon conversion of Series A preferred stock, (ii) 2,915 shares of common stock issuable upon conversion of Series B preferred stock and (iii) 4,230 shares of common stock issuable upon conversion of Series C preferred stock held by Polaris Venture Partners Founders’ Fund V, L.P. (PVPFF V), (d) (i) 18,095 shares of common stock issuable upon conversion of Series A preferred stock, (ii) 4,250 shares of common stock issuable upon conversion of Series B convertible preferred stock and (iii) 6,175 shares of common stock issuable upon conversion of Series C preferred stock held by Polaris Venture Partners Special Founders’ Fund V, L.P. (PVPSFF V, together with PVP V, PVPEF V, and PVPFF V, the Polaris V Funds), (e) (i) 4,375,000 shares of common stock issuable upon conversion of Series A preferred stock, (ii) 220,380 shares of common stock issuable upon conversion of Series B preferred stock and (iii) 160,080 shares of common stock issuable upon conversion of Series C preferred stock held by Polaris Partners IX, L.P. (PP IX), and (f) 320,160 shares of common stock issuable upon conversion of Series C preferred stock held by Polaris Healthcare Technology Opportunities Fund, L.P. (PHCT).</w:t>
      </w:r>
    </w:p>
    <w:p>
      <w:pPr>
        <w:spacing w:after="0" w:line="62" w:lineRule="exact"/>
        <w:rPr>
          <w:rFonts w:ascii="Arial" w:cs="Arial" w:eastAsia="Arial" w:hAnsi="Arial"/>
          <w:sz w:val="16"/>
          <w:szCs w:val="16"/>
          <w:color w:val="auto"/>
        </w:rPr>
      </w:pPr>
    </w:p>
    <w:p>
      <w:pPr>
        <w:jc w:val="both"/>
        <w:ind w:left="560"/>
        <w:spacing w:after="0" w:line="259" w:lineRule="auto"/>
        <w:rPr>
          <w:rFonts w:ascii="Arial" w:cs="Arial" w:eastAsia="Arial" w:hAnsi="Arial"/>
          <w:sz w:val="16"/>
          <w:szCs w:val="16"/>
          <w:color w:val="auto"/>
        </w:rPr>
      </w:pPr>
      <w:r>
        <w:rPr>
          <w:rFonts w:ascii="Arial" w:cs="Arial" w:eastAsia="Arial" w:hAnsi="Arial"/>
          <w:sz w:val="18"/>
          <w:szCs w:val="18"/>
          <w:color w:val="auto"/>
        </w:rPr>
        <w:t>Polaris Venture Management Co. V, L.L.C. (PVM V) is the general partner of each of the Polaris V Funds and may be deemed to have shared voting and investment power with respect to the shares held by each of the Polaris V Funds. Jonathan A. Flint and Mr. McGuire (collectively, the PVM V Managing Members) are the managing members of PVM V and may be deemed to have shared voting and investment power with respect to the shares held by each of the Polaris V Funds.</w:t>
      </w:r>
    </w:p>
    <w:p>
      <w:pPr>
        <w:spacing w:after="0" w:line="78" w:lineRule="exact"/>
        <w:rPr>
          <w:rFonts w:ascii="Arial" w:cs="Arial" w:eastAsia="Arial" w:hAnsi="Arial"/>
          <w:sz w:val="16"/>
          <w:szCs w:val="16"/>
          <w:color w:val="auto"/>
        </w:rPr>
      </w:pPr>
    </w:p>
    <w:p>
      <w:pPr>
        <w:jc w:val="both"/>
        <w:ind w:left="560" w:right="20"/>
        <w:spacing w:after="0" w:line="257" w:lineRule="auto"/>
        <w:rPr>
          <w:rFonts w:ascii="Arial" w:cs="Arial" w:eastAsia="Arial" w:hAnsi="Arial"/>
          <w:sz w:val="16"/>
          <w:szCs w:val="16"/>
          <w:color w:val="auto"/>
        </w:rPr>
      </w:pPr>
      <w:r>
        <w:rPr>
          <w:rFonts w:ascii="Arial" w:cs="Arial" w:eastAsia="Arial" w:hAnsi="Arial"/>
          <w:sz w:val="18"/>
          <w:szCs w:val="18"/>
          <w:color w:val="auto"/>
        </w:rPr>
        <w:t>Polaris Partners GP IX, L.L.C. (PP GP IX) is the general partner of PP IX and may be deemed to have shared voting and investment power with respect to the shares held by PP IX. David Barrett, Brian Chee, Amir Nashat and Amy Schulman (collectively, the PP GP IX Managing Members) are the managing members of PP GP IX and Mr. McGuire holds an interest in PP GP IX. Each of the PP GP IX Managing Members and Mr. McGuire, in their respective capacities with respect to PP GP IX, may be deemed to have shared voting and investment power with respect to the shares held by PP IX.</w:t>
      </w:r>
    </w:p>
    <w:p>
      <w:pPr>
        <w:spacing w:after="0" w:line="79" w:lineRule="exact"/>
        <w:rPr>
          <w:rFonts w:ascii="Arial" w:cs="Arial" w:eastAsia="Arial" w:hAnsi="Arial"/>
          <w:sz w:val="16"/>
          <w:szCs w:val="16"/>
          <w:color w:val="auto"/>
        </w:rPr>
      </w:pPr>
    </w:p>
    <w:p>
      <w:pPr>
        <w:jc w:val="both"/>
        <w:ind w:left="560" w:right="20"/>
        <w:spacing w:after="0" w:line="257" w:lineRule="auto"/>
        <w:rPr>
          <w:rFonts w:ascii="Arial" w:cs="Arial" w:eastAsia="Arial" w:hAnsi="Arial"/>
          <w:sz w:val="16"/>
          <w:szCs w:val="16"/>
          <w:color w:val="auto"/>
        </w:rPr>
      </w:pPr>
      <w:r>
        <w:rPr>
          <w:rFonts w:ascii="Arial" w:cs="Arial" w:eastAsia="Arial" w:hAnsi="Arial"/>
          <w:sz w:val="18"/>
          <w:szCs w:val="18"/>
          <w:color w:val="auto"/>
        </w:rPr>
        <w:t>Polaris Healthcare Technology Opportunities Fund GP, L.L.C. (PHCT GP) is the general partner of PHCT and may be deemed to have shared voting and investment power with respect to the shares held by PHCT. David Barrett, Brian Chee, Amir Nashat and Amy Schulman (collectively, the PHCT GP Managing Members) are the managing members of PHCT GP and Mr. McGuire holds an interest in PHCT GP. Each of the PHCT GP Managing Members and Mr. McGuire, in their respective capacities with respect to PHCT GP, may be deemed to have shared voting and investment power with respect to the shares held by PHCT.</w:t>
      </w:r>
    </w:p>
    <w:p>
      <w:pPr>
        <w:spacing w:after="0" w:line="79" w:lineRule="exact"/>
        <w:rPr>
          <w:rFonts w:ascii="Arial" w:cs="Arial" w:eastAsia="Arial" w:hAnsi="Arial"/>
          <w:sz w:val="16"/>
          <w:szCs w:val="16"/>
          <w:color w:val="auto"/>
        </w:rPr>
      </w:pPr>
    </w:p>
    <w:p>
      <w:pPr>
        <w:ind w:left="560" w:right="20"/>
        <w:spacing w:after="0" w:line="258" w:lineRule="auto"/>
        <w:rPr>
          <w:rFonts w:ascii="Arial" w:cs="Arial" w:eastAsia="Arial" w:hAnsi="Arial"/>
          <w:sz w:val="16"/>
          <w:szCs w:val="16"/>
          <w:color w:val="auto"/>
        </w:rPr>
      </w:pPr>
      <w:r>
        <w:rPr>
          <w:rFonts w:ascii="Arial" w:cs="Arial" w:eastAsia="Arial" w:hAnsi="Arial"/>
          <w:sz w:val="18"/>
          <w:szCs w:val="18"/>
          <w:color w:val="auto"/>
        </w:rPr>
        <w:t>The principal business address for all entities and individuals referenced in this footnote is c/o Polaris Partners, One Marina Park Drive, 10th Floor, Boston, Massachusetts 02210.</w:t>
      </w:r>
    </w:p>
    <w:p>
      <w:pPr>
        <w:spacing w:after="0" w:line="1" w:lineRule="exact"/>
        <w:rPr>
          <w:rFonts w:ascii="Arial" w:cs="Arial" w:eastAsia="Arial" w:hAnsi="Arial"/>
          <w:sz w:val="16"/>
          <w:szCs w:val="16"/>
          <w:color w:val="auto"/>
        </w:rPr>
      </w:pPr>
    </w:p>
    <w:p>
      <w:pPr>
        <w:jc w:val="both"/>
        <w:ind w:left="540" w:right="20" w:hanging="424"/>
        <w:spacing w:after="0" w:line="255" w:lineRule="auto"/>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Consists of (a) 3,437,500 shares of common stock issuable upon conversion of Series A preferred stock held by GV 2019, L.P. (GV 2019), (b) 1,763,045 shares of common stock issuable upon conversion of Series B preferred stock held by GV 2019, and (c) 480,240 shares of common stock issuable upon conversion of Series C preferred stock held by GV 2021, L.P. (GV 2021).</w:t>
      </w:r>
    </w:p>
    <w:p>
      <w:pPr>
        <w:spacing w:after="0" w:line="81" w:lineRule="exact"/>
        <w:rPr>
          <w:rFonts w:ascii="Arial" w:cs="Arial" w:eastAsia="Arial" w:hAnsi="Arial"/>
          <w:sz w:val="18"/>
          <w:szCs w:val="18"/>
          <w:color w:val="auto"/>
        </w:rPr>
      </w:pPr>
    </w:p>
    <w:p>
      <w:pPr>
        <w:jc w:val="both"/>
        <w:ind w:left="560" w:right="20"/>
        <w:spacing w:after="0" w:line="259" w:lineRule="auto"/>
        <w:rPr>
          <w:rFonts w:ascii="Arial" w:cs="Arial" w:eastAsia="Arial" w:hAnsi="Arial"/>
          <w:sz w:val="18"/>
          <w:szCs w:val="18"/>
          <w:color w:val="auto"/>
        </w:rPr>
      </w:pPr>
      <w:r>
        <w:rPr>
          <w:rFonts w:ascii="Arial" w:cs="Arial" w:eastAsia="Arial" w:hAnsi="Arial"/>
          <w:sz w:val="18"/>
          <w:szCs w:val="18"/>
          <w:color w:val="auto"/>
        </w:rPr>
        <w:t>GV 2019 GP, L.P., the general partner of GV 2019, GV 2019 GP, L.L.C., the general partner of GV 2019 GP, L.P., Alphabet Holdings LLC, the managing member of GV 2019 GP, L.L.C., XXVI Holdings Inc., the managing member of Alphabet Holdings LLC, and Alphabet Inc., the controlling stockholder of XXVI Holdings Inc., may each be deemed to have shared voting and investment power with respect to the shares held GV 2019.</w:t>
      </w:r>
    </w:p>
    <w:p>
      <w:pPr>
        <w:spacing w:after="0" w:line="78" w:lineRule="exact"/>
        <w:rPr>
          <w:rFonts w:ascii="Arial" w:cs="Arial" w:eastAsia="Arial" w:hAnsi="Arial"/>
          <w:sz w:val="18"/>
          <w:szCs w:val="18"/>
          <w:color w:val="auto"/>
        </w:rPr>
      </w:pPr>
    </w:p>
    <w:p>
      <w:pPr>
        <w:ind w:left="560" w:right="20"/>
        <w:spacing w:after="0" w:line="277" w:lineRule="auto"/>
        <w:rPr>
          <w:rFonts w:ascii="Arial" w:cs="Arial" w:eastAsia="Arial" w:hAnsi="Arial"/>
          <w:sz w:val="18"/>
          <w:szCs w:val="18"/>
          <w:color w:val="auto"/>
        </w:rPr>
      </w:pPr>
      <w:r>
        <w:rPr>
          <w:rFonts w:ascii="Arial" w:cs="Arial" w:eastAsia="Arial" w:hAnsi="Arial"/>
          <w:sz w:val="18"/>
          <w:szCs w:val="18"/>
          <w:color w:val="auto"/>
        </w:rPr>
        <w:t>GV 2021 GP, L.P., the general partner of GV 2021, GV 2021 GP, L.L.C., the general partner of GV 2021 GP, L.P., Alphabet Holdings LLC, the managing member of GV 2021 GP, L.L.C., XXVI Holdings Inc.,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40"/>
          </w:cols>
          <w:pgMar w:left="320" w:top="459"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color w:val="auto"/>
        </w:rPr>
        <w:t>managing member of Alphabet Holdings LLC, and Alphabet Inc., the controlling stockholder of XXVI Holdings Inc., may each be deemed to have shared voting and investment power with respect to the shares held GV 2021.</w:t>
      </w:r>
    </w:p>
    <w:p>
      <w:pPr>
        <w:spacing w:after="0" w:line="62"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Each of the entities described above as being affiliated with GV 2019, L.P. and/or GV 2021, L.P. is subject to the ultimate control of Alphabet Inc., a publicly traded company.</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principal business address for all entities referenced in this footnote is 1600 Amphitheatre Parkway, Mountain View, CA 94043.</w:t>
      </w:r>
    </w:p>
    <w:p>
      <w:pPr>
        <w:spacing w:after="0" w:line="23" w:lineRule="exact"/>
        <w:rPr>
          <w:sz w:val="20"/>
          <w:szCs w:val="20"/>
          <w:color w:val="auto"/>
        </w:rPr>
      </w:pPr>
    </w:p>
    <w:p>
      <w:pPr>
        <w:jc w:val="both"/>
        <w:ind w:left="540" w:hanging="424"/>
        <w:spacing w:after="0" w:line="250" w:lineRule="auto"/>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Consists of (a) 4,062,500 shares of common stock issuable upon conversion of Series A preferred stock, (b) 440,760 shares of common stock issuable upon conversion of Series B preferred stock and (c) 480,240 shares of common stock issuable upon conversion of Series C preferred stock. OrbiMed Capital GP VII LLC (OrbiMed GP VII) is the general partner of OrbiMed Private Investments VII, LP (OPI VII). OrbiMed Advisors LLC (OrbiMed Advisors) is the managing member of OrbiMed GP VII. OrbiMed GP VII and OrbiMed Advisors may be deemed to have shared voting and investment power with respect to the shares held by OPI VII. OrbiMed Advisors exercises investment and voting power through a management committee comprised of Carl L. Gordon, Sven H. Borho and Jonathan T. Silverstein, each of whom disclaims beneficial ownership of the shares held by OPI VII.</w:t>
      </w:r>
    </w:p>
    <w:p>
      <w:pPr>
        <w:spacing w:after="0" w:line="2" w:lineRule="exact"/>
        <w:rPr>
          <w:rFonts w:ascii="Arial" w:cs="Arial" w:eastAsia="Arial" w:hAnsi="Arial"/>
          <w:sz w:val="18"/>
          <w:szCs w:val="18"/>
          <w:color w:val="auto"/>
        </w:rPr>
      </w:pPr>
    </w:p>
    <w:p>
      <w:pPr>
        <w:jc w:val="both"/>
        <w:ind w:left="540" w:hanging="424"/>
        <w:spacing w:after="0" w:line="265" w:lineRule="auto"/>
        <w:tabs>
          <w:tab w:leader="none" w:pos="54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Consists of (a) 4,082,050 shares of common stock issuable upon conversion of Series C preferred stock held by RA Capital Healthcare Fund, L.P. (RA Healthcare), and (b) 720,360 shares of common stock issuable upon conversion of Series C preferred stock held by RA Capital Nexus Fund II, L.P. (Nexus II). RA Capital Management, L.P., is the investment manager for RA Healthcare and Nexus II. The general partner of RA Capital Management, L.P., is RA Capital Management GP, LLC, of which Peter Kolchinsky and Rajeev Shah are the managing members. RA Capital Management, L.P., RA Capital Management GP, LLC, Peter Kolchinsky and Rajeev Shah may be deemed to have shared voting and investment power with respect to the shares held RA Healthcare and Nexus II. The address of all entities and individuals referenced in this footnote is 200 Berkeley Street, 18th Floor, Boston, Massachusetts 02116.</w:t>
      </w:r>
    </w:p>
    <w:p>
      <w:pPr>
        <w:spacing w:after="0" w:line="1" w:lineRule="exact"/>
        <w:rPr>
          <w:rFonts w:ascii="Arial" w:cs="Arial" w:eastAsia="Arial" w:hAnsi="Arial"/>
          <w:sz w:val="17"/>
          <w:szCs w:val="17"/>
          <w:color w:val="auto"/>
        </w:rPr>
      </w:pPr>
    </w:p>
    <w:p>
      <w:pPr>
        <w:ind w:left="540" w:hanging="424"/>
        <w:spacing w:after="0"/>
        <w:tabs>
          <w:tab w:leader="none" w:pos="54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Consists of (a) 1,985,295 shares of common stock, (b) 25,000,000 shares of common stock issuable upon conversion of Series A preferred stock,</w:t>
      </w:r>
    </w:p>
    <w:p>
      <w:pPr>
        <w:spacing w:after="0" w:line="32" w:lineRule="exact"/>
        <w:rPr>
          <w:rFonts w:ascii="Arial" w:cs="Arial" w:eastAsia="Arial" w:hAnsi="Arial"/>
          <w:sz w:val="16"/>
          <w:szCs w:val="16"/>
          <w:color w:val="auto"/>
        </w:rPr>
      </w:pPr>
    </w:p>
    <w:p>
      <w:pPr>
        <w:jc w:val="both"/>
        <w:ind w:left="540" w:right="20"/>
        <w:spacing w:after="0" w:line="265" w:lineRule="auto"/>
        <w:rPr>
          <w:rFonts w:ascii="Arial" w:cs="Arial" w:eastAsia="Arial" w:hAnsi="Arial"/>
          <w:sz w:val="16"/>
          <w:szCs w:val="16"/>
          <w:color w:val="auto"/>
        </w:rPr>
      </w:pPr>
      <w:r>
        <w:rPr>
          <w:rFonts w:ascii="Arial" w:cs="Arial" w:eastAsia="Arial" w:hAnsi="Arial"/>
          <w:sz w:val="17"/>
          <w:szCs w:val="17"/>
          <w:color w:val="auto"/>
        </w:rPr>
        <w:t>(c) 220,380 shares of common stock issuable upon conversion of Series B preferred stock and (d) 640,320 shares of common stock issuable upon conversion of Series C preferred stock held by Adimab, LLC. Dr. Gerngross is an officer and member of the board of directors of Adimab, LLC and may be deemed to have shared voting and investment power with respect to the shares held by Adimab, LLC.</w:t>
      </w:r>
    </w:p>
    <w:p>
      <w:pPr>
        <w:ind w:left="540" w:hanging="424"/>
        <w:spacing w:after="0"/>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Consists of 250,915 shares of common stock issuable upon the exercise of options within 60 days of July 16, 2021.</w:t>
      </w:r>
    </w:p>
    <w:p>
      <w:pPr>
        <w:spacing w:after="0" w:line="9" w:lineRule="exact"/>
        <w:rPr>
          <w:rFonts w:ascii="Arial" w:cs="Arial" w:eastAsia="Arial" w:hAnsi="Arial"/>
          <w:sz w:val="18"/>
          <w:szCs w:val="18"/>
          <w:color w:val="auto"/>
        </w:rPr>
      </w:pPr>
    </w:p>
    <w:p>
      <w:pPr>
        <w:ind w:left="540" w:right="20" w:hanging="424"/>
        <w:spacing w:after="0" w:line="250" w:lineRule="auto"/>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Consists of 1,985,295 shares of common stock. Shares are subject to a right of repurchase in favor of us at the original option exercise price that lapses in accordance with such vesting schedule.</w:t>
      </w:r>
    </w:p>
    <w:p>
      <w:pPr>
        <w:jc w:val="both"/>
        <w:ind w:left="540" w:hanging="424"/>
        <w:spacing w:after="0" w:line="267" w:lineRule="auto"/>
        <w:tabs>
          <w:tab w:leader="none" w:pos="54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Consists of (a) (i) 1,809,250 shares of common stock issuable upon conversion of Series A preferred stock, (ii) 425,305 shares of common stock issuable upon conversion of Series B preferred stock and (iii) 617,870 shares of common stock issuable upon conversion of Series C preferred stock held by PVP V, (b) (i) 35,260 shares of common stock issuable upon conversion of Series A preferred stock, (ii) 8,290 shares of common stock issuable upon conversion of Series B preferred stock and (iii) 12,045 shares of common stock issuable upon conversion of Series C preferred stock held by PVPEF V, (c) (i) 12,395 shares of common stock issuable upon conversion of Series A preferred stock, (ii) 2,915 shares of common stock issuable upon conversion of Series B preferred stock and (iii) 4,230 shares of common stock issuable upon conversion of Series C preferred stock held by PVPFF V, (d) (i) 18,095 shares of common stock issuable upon conversion of Series A preferred stock, (ii) 4,250 shares of common stock issuable upon conversion of Series B preferred stock and (iii) 6,175 shares of common stock issuable upon conversion of Series C preferred stock held by PVPSFF V, (e) (i) 4,375,000 shares of common stock issuable upon conversion of Series A preferred stock, (ii) 220,380 shares of common stock issuable upon conversion of Series B preferred stock and (iii) 160,080 shares of common stock issuable upon conversion of Series C preferred stock held by PP IX, and (f) 320,160 shares of common stock issuable upon conversion of Series C preferred stock held by PHCT. Mr. McGuire is a Founding Partner of Polaris Partners and may be deemed to have shared voting and investment power with respect to the shares held by all entities affiliated with Polaris Partners.</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40"/>
          </w:cols>
          <w:pgMar w:left="320" w:top="459"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hanging="424"/>
        <w:spacing w:after="0" w:line="268" w:lineRule="auto"/>
        <w:tabs>
          <w:tab w:leader="none" w:pos="54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Consists of (a) 6,250,000 shares of common stock issuable upon conversion of Series A preferred stock, (b) 881,520 shares of common stock issuable upon conversion of Series B preferred stock and (c) 2,113,060 shares of common stock issuable upon conversion of Series C preferred stock held by Mithril II LP. Mr. Royan is the Managing General Partner and Founder of Mithril Capital Management LLC (“MCM”). MCM is a management company that manages Mithril II LP and is appointed by Mithril II GP LP (“GP II”), the general partner of Mithril II LP. Peter Thiel and Ajay Royan are the members of the investment committee GP II. The investment committee makes all investment decisions with respect to these entities and may be deemed to share voting and investment power over the securities held by Mithril II LP.</w:t>
      </w:r>
    </w:p>
    <w:p>
      <w:pPr>
        <w:ind w:left="540" w:hanging="424"/>
        <w:spacing w:after="0"/>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Consists of 58,265 shares of common stock issuable upon the exercise of options within 60 days of July 16, 2021.</w:t>
      </w:r>
    </w:p>
    <w:p>
      <w:pPr>
        <w:spacing w:after="0" w:line="9" w:lineRule="exact"/>
        <w:rPr>
          <w:rFonts w:ascii="Arial" w:cs="Arial" w:eastAsia="Arial" w:hAnsi="Arial"/>
          <w:sz w:val="18"/>
          <w:szCs w:val="18"/>
          <w:color w:val="auto"/>
        </w:rPr>
      </w:pPr>
    </w:p>
    <w:p>
      <w:pPr>
        <w:jc w:val="both"/>
        <w:ind w:left="540" w:hanging="424"/>
        <w:spacing w:after="0" w:line="255" w:lineRule="auto"/>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Consists of (a) 47,107,570 shares of common stock beneficially owned by named executive officers and directors, (b) 127,060 shares of common stock beneficially owned by other executive officers and (c) 378,000 shares of common stock issuable upon the exercise of options within 60 days of July 16, 2021.</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i w:val="1"/>
          <w:iCs w:val="1"/>
          <w:color w:val="auto"/>
        </w:rPr>
        <w:t>The following description of our capital stock, certain provisions of our amended and restated certificate of incorporation and amended and restated bylaws, as each will be in effect following the completion of this offering, and certain provisions of Delaware law are summaries. You should also refer to the amended and restated certificate of incorporation and the amended and restated bylaws, which are filed as exhibits to the registration statement of which this prospectus is part.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Upon the completion of this offering, our amended and restated certificate of incorporation will authorize us to issue up to 1,000,000,000 shares of common stock, $0.0001 par value per share, and 10,000,000 shares of preferred stock, $0.0001 par value per share, all of which shares of preferred stock will be undesignated. Our board of directors may establish the rights and preferences of the preferred stock from time to time.</w:t>
      </w:r>
    </w:p>
    <w:p>
      <w:pPr>
        <w:spacing w:after="0" w:line="16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As of March 31, 2021, we had outstanding 5,593,240 shares of common stock, held by six stockholders of record. As of March 31, 2021, after giving effect to the conversion of all outstanding shares of our preferred stock, there would have been 68,832,910 shares of common stock outstanding, held by 32 stockholders of record.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Each holder of our common stock is entitled to one vote for each share on all matters submitted to a vote of the stockholders, including the election of directors. The affirmative vote of holders of at least 66</w:t>
      </w:r>
      <w:r>
        <w:rPr>
          <w:rFonts w:ascii="Arial" w:cs="Arial" w:eastAsia="Arial" w:hAnsi="Arial"/>
          <w:sz w:val="14"/>
          <w:szCs w:val="14"/>
          <w:color w:val="auto"/>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voting power of all of the then-outstanding shares of capital stock, voting as a single class, will be required to amend certain provisions of our amended and restated certificate of incorporation, including provisions relating to amending our amended and restated bylaws, the classified board, the size of our board, removal of directors, director liability, vacancies on our board, special meetings, stockholder notices, actions by written consent and exclusive forum.</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Subject to preferences that may be applicable to any then-outstanding preferred stock, holders of common stock are entitled to receive ratably those dividends, if any, as may be declared from time to time by the board of directors out of legally available funds.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 of the holders of shares of any series of preferred stock that we may designate in the future.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40"/>
          </w:cols>
          <w:pgMar w:left="320" w:top="459"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As of March 31, 2021, there were 12,647,934 shares of our preferred stock outstanding, consisting of 11,237,500 shares of our Series A preferred stock, 1,410,434 shares of our Series B preferred stock and no shares of our Series C preferred stock. We issued 4,296,550 shares of our Series C preferred stock in April 2021. All currently outstanding shares of preferred stock will be converted into an aggregate of 84,722,420 shares of common stock upon the closing of this offering.</w:t>
      </w:r>
    </w:p>
    <w:p>
      <w:pPr>
        <w:spacing w:after="0" w:line="18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Following the closing of this offering, our board of directors will have the authority under our amended and restated certificate of incorporation, without further action by our stockholders, to issue up to 10,000,000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188"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Our board of directors may authorize the issuance of preferred stock with voting or conversion rights that could adversely affect the voting power or other rights of the holders of our common stock. 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and other corporate purposes, could, among other things, have the effect of delaying, deferring or preventing a change in control of us and may adversely affect the market price of our common stock and the voting and other rights of the holders of our common stock. It is not possible to state the actual effect of the issuance of any shares of preferred stock on the rights of holders of common stock until the board of directors determines the specific rights attached to that preferred stock. Following the completion of this offering, there will be no shares of preferred stock outstanding, and we have no present plans to issue any shares of preferred stock.</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As of March 31, 2021, there were options to purchase 5,366,070 shares of common stock outstanding. For additional information regarding the terms of our 2020 Equity Incentive Plan, see “Executive Compensation—Equity Incentive Plans.”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We, the holders of our existing preferred stock and certain holders of our existing common stock have entered into an amended and restated investors’ rights agreement. The registration rights provisions of this agreement provide those holders with demand, piggyback and Form S-3 registration rights with respect to the shares of common stock currently held by them and issuable to them upon conversion of our preferred stock in connection with our initial public offering. These shares are collectively referred to herein as registrable securities.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At any time beginning 180 days following the effective date of the registration statement of which this prospectus is a part, the holders of a majority of registrable securities then outstanding have the right to demand that we file a registration statement covering at least 30% of the registrable securities then outstanding. These registration rights are subject to specified conditions and limitations, including the right of the underwriters, if any, to limit the number of shares included in any such registration under specified circumstances. Upon such a request, we are required to effect the registration as soon as practicable, but in any event no later than 60 days after the receipt of such request. An aggregate of 84,722,420 shares of common stock will be entitled to these demand registration rights.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40"/>
          </w:cols>
          <w:pgMar w:left="320" w:top="459"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If we propose to register any of our securities under the Securities Act either for our own account or for the account of other stockholders, the holders of registrable securities will each be entitled to notice of the registration and will be entitled to include their shares of common stock in the registration statement. These piggyback registration rights are subject to specified conditions and limitations, including the right of the underwriters to limit the number of shares included in any such registration under specified circumstances. An aggregate of 84,722,420 shares of common stock will be entitled to these piggyback registration rights.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Registration on Form S-3</w:t>
      </w:r>
    </w:p>
    <w:p>
      <w:pPr>
        <w:spacing w:after="0" w:line="11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At any time after we become eligible to file a registration statement on Form S-3, the holders of at least 30% of the registrable securities then outstanding will be entitled to request to have such shares registered by us on a Form S-3 registration statement. These Form S-3 registration rights are subject to other specified conditions and limitations, including the condition that the anticipated aggregate offering price is at least $1.0 million. Upon receipt of this request, the holders of registrable securities will each be entitled to participate in this registration. An aggregate of 84,722,420 shares of common stock will be entitled to these Form S-3 registration rights.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We are required to pay all expenses, including fees and expenses of one counsel to represent the selling stockholders, relating to any demand, piggyback or Form S-3 registration, other than underwriting discounts and commissions, stock transfer taxes and any additional fees of counsel for the selling stockholders, subject to specified conditions and limitations. We are not required to pay registration expenses if a demand registration request is withdrawn at the request of a majority of holders of registrable securities to be registered, unless holders of a majority of the registrable securities agree to forfeit their right to one demand registration.</w:t>
      </w:r>
    </w:p>
    <w:p>
      <w:pPr>
        <w:spacing w:after="0" w:line="188"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The second amended and restated investors’ rights agreement contains customary cross-indemnification provisions, pursuant to which we are obligated to indemnify the selling stockholders in the event of material misstatements or omissions in the applicable registration statement attributable to us, and the selling stockholders are obligated to indemnify us for material misstatements or omissions in the registration statement attributable to them, subject to certain limitations.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Termination of Registration Rights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registration rights granted under the investors’ rights agreement will terminate with respect to any particular stockholder upon the earlier of</w:t>
      </w:r>
    </w:p>
    <w:p>
      <w:pPr>
        <w:spacing w:after="0" w:line="46" w:lineRule="exact"/>
        <w:rPr>
          <w:sz w:val="20"/>
          <w:szCs w:val="20"/>
          <w:color w:val="auto"/>
        </w:rPr>
      </w:pPr>
    </w:p>
    <w:p>
      <w:pPr>
        <w:jc w:val="both"/>
        <w:ind w:left="120" w:right="20" w:hanging="4"/>
        <w:spacing w:after="0" w:line="255" w:lineRule="auto"/>
        <w:tabs>
          <w:tab w:leader="none" w:pos="38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closing of a deemed liquidation event, as defined in our certificate of incorporation, (b) with respect to each stockholder, at such time such stockholder is able to sell all of its shares pursuant to Rule 144 or another similar exemption under the Securities Act during a three-month period without registration and (c) the fifth anniversary of the closing of this offering.</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89" w:lineRule="exact"/>
        <w:rPr>
          <w:sz w:val="20"/>
          <w:szCs w:val="20"/>
          <w:color w:val="auto"/>
        </w:rPr>
      </w:pPr>
    </w:p>
    <w:p>
      <w:pPr>
        <w:ind w:left="1080" w:hanging="532"/>
        <w:spacing w:after="0" w:line="277"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100"/>
        <w:spacing w:after="0" w:line="259" w:lineRule="auto"/>
        <w:rPr>
          <w:sz w:val="20"/>
          <w:szCs w:val="20"/>
          <w:color w:val="auto"/>
        </w:rPr>
      </w:pPr>
      <w:r>
        <w:rPr>
          <w:rFonts w:ascii="Arial" w:cs="Arial" w:eastAsia="Arial" w:hAnsi="Arial"/>
          <w:sz w:val="18"/>
          <w:szCs w:val="18"/>
          <w:color w:val="auto"/>
        </w:rPr>
        <w:t>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92" w:lineRule="exact"/>
        <w:rPr>
          <w:sz w:val="20"/>
          <w:szCs w:val="20"/>
          <w:color w:val="auto"/>
        </w:rPr>
      </w:pPr>
    </w:p>
    <w:p>
      <w:pPr>
        <w:jc w:val="both"/>
        <w:ind w:left="1080" w:hanging="532"/>
        <w:spacing w:after="0" w:line="263"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outstanding voting stock that is not owned by the interested stockholder.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131" w:lineRule="exact"/>
        <w:rPr>
          <w:sz w:val="20"/>
          <w:szCs w:val="20"/>
          <w:color w:val="auto"/>
        </w:rPr>
      </w:pPr>
    </w:p>
    <w:p>
      <w:pPr>
        <w:ind w:left="1080" w:right="20" w:hanging="532"/>
        <w:spacing w:after="0" w:line="277"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or any direct or indirect majority-owned subsidiary of the corporation and the interested stockholder;</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 (in one transaction or a series of transactions);</w:t>
      </w:r>
    </w:p>
    <w:p>
      <w:pPr>
        <w:spacing w:after="0" w:line="75" w:lineRule="exact"/>
        <w:rPr>
          <w:rFonts w:ascii="Arial" w:cs="Arial" w:eastAsia="Arial" w:hAnsi="Arial"/>
          <w:sz w:val="18"/>
          <w:szCs w:val="18"/>
          <w:color w:val="auto"/>
        </w:rPr>
      </w:pPr>
    </w:p>
    <w:p>
      <w:pPr>
        <w:ind w:left="1080" w:right="20" w:hanging="532"/>
        <w:spacing w:after="0" w:line="308" w:lineRule="auto"/>
        <w:tabs>
          <w:tab w:leader="none" w:pos="108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subject to certain exceptions, any transaction that results in the issuance or transfer by the corporation or by any direct or indirect majority-owned subsidiary of the corporation of any stock of the corporation or of such subsidiary to the interested stockholder;</w:t>
      </w:r>
    </w:p>
    <w:p>
      <w:pPr>
        <w:spacing w:after="0" w:line="51" w:lineRule="exact"/>
        <w:rPr>
          <w:rFonts w:ascii="Arial" w:cs="Arial" w:eastAsia="Arial" w:hAnsi="Arial"/>
          <w:sz w:val="17"/>
          <w:szCs w:val="17"/>
          <w:color w:val="auto"/>
        </w:rPr>
      </w:pPr>
    </w:p>
    <w:p>
      <w:pPr>
        <w:jc w:val="both"/>
        <w:ind w:left="1080" w:right="20" w:hanging="532"/>
        <w:spacing w:after="0" w:line="342" w:lineRule="auto"/>
        <w:tabs>
          <w:tab w:leader="none" w:pos="10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any transaction involving the corporation or any direct or indirect majority-owned subsidiary of the corporation that has the effect of increasing the proportionate share of the stock or any class or series of the corporation beneficially owned by the interested stockholder; or</w:t>
      </w:r>
    </w:p>
    <w:p>
      <w:pPr>
        <w:spacing w:after="0" w:line="29" w:lineRule="exact"/>
        <w:rPr>
          <w:rFonts w:ascii="Arial" w:cs="Arial" w:eastAsia="Arial" w:hAnsi="Arial"/>
          <w:sz w:val="16"/>
          <w:szCs w:val="16"/>
          <w:color w:val="auto"/>
        </w:rPr>
      </w:pPr>
    </w:p>
    <w:p>
      <w:pPr>
        <w:ind w:left="1080" w:right="20" w:hanging="532"/>
        <w:spacing w:after="0" w:line="277"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Bylaws</w:t>
      </w:r>
    </w:p>
    <w:p>
      <w:pPr>
        <w:spacing w:after="0" w:line="117"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Our amended and restated certificate of incorporation to be in effect upon the completion of this offering, or our restated certificate, will provide for our board of directors to be divided into three classes with staggered three-year terms. Only one class of directors will be elected at each annual meeting of our stockholders, with the other classes continuing for the remainder of their respective three-year terms. Because our stockholders do not have cumulative voting rights, stockholders holding a majority of the shares of common stock outstanding will be able to elect all of our directors. Our restated certificate and our amended and restated bylaws to be effective upon the completion of this offering, or our restated bylaws, will also provide that directors may be removed by the stockholders only for cause upon the vote of 66</w:t>
      </w:r>
      <w:r>
        <w:rPr>
          <w:rFonts w:ascii="Arial" w:cs="Arial" w:eastAsia="Arial" w:hAnsi="Arial"/>
          <w:sz w:val="14"/>
          <w:szCs w:val="14"/>
          <w:color w:val="auto"/>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or more of our outstanding common stock.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w:t>
      </w:r>
    </w:p>
    <w:p>
      <w:pPr>
        <w:spacing w:after="0" w:line="18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Under our restated certificate of incorporation and amended and restated bylaws our stockholders will not have cumulative voting rights. Because of this, the holders of a majority of the shares of common stock entitled to vote in any election of directors can elect all of the directors standing for election, if they should so choose.</w:t>
      </w:r>
    </w:p>
    <w:p>
      <w:pPr>
        <w:spacing w:after="0" w:line="184"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Our restated certificate and restated bylaws will also provide that all stockholder actions must be effected at a duly called meeting of stockholders and will eliminate the right of stockholders to act by written consent without a meeting. Our restated bylaws will also provide that only our Chairman of the board, Chief Executive Officer or the board of directors pursuant to a resolution adopted by a majority of the total number of authorized directors may call a special meeting of stockholders.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Our restated bylaws will also provide that stockholders seeking to present proposals before a meeting of stockholders to nominate candidates for election as directors at a meeting of stockholders must provide timely advance notice in writing and will specify requirements as to the form and content of a stockholder’s notice.</w:t>
      </w:r>
    </w:p>
    <w:p>
      <w:pPr>
        <w:spacing w:after="0" w:line="184" w:lineRule="exact"/>
        <w:rPr>
          <w:sz w:val="20"/>
          <w:szCs w:val="20"/>
          <w:color w:val="auto"/>
        </w:rPr>
      </w:pPr>
    </w:p>
    <w:p>
      <w:pPr>
        <w:jc w:val="both"/>
        <w:ind w:left="120" w:right="20" w:firstLine="440"/>
        <w:spacing w:after="0" w:line="299" w:lineRule="auto"/>
        <w:rPr>
          <w:sz w:val="20"/>
          <w:szCs w:val="20"/>
          <w:color w:val="auto"/>
        </w:rPr>
      </w:pPr>
      <w:r>
        <w:rPr>
          <w:rFonts w:ascii="Arial" w:cs="Arial" w:eastAsia="Arial" w:hAnsi="Arial"/>
          <w:sz w:val="18"/>
          <w:szCs w:val="18"/>
          <w:color w:val="auto"/>
        </w:rPr>
        <w:t>Our restated certificate and restated bylaws will provide that the stockholders cannot amend many of the provisions described above except by a vote of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or more of our outstanding common stock.</w:t>
      </w:r>
    </w:p>
    <w:p>
      <w:pPr>
        <w:spacing w:after="0" w:line="13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As described in “—Preferred Stock” above, our restated certificate will give our board of directors the authority, without further action by our stockholders, to issue up to 10,000,000 shares of preferred stock in one or more series, with any rights, preferences and privileges as they may designate, including the right to approve an acquisition or other change in control.</w:t>
      </w:r>
    </w:p>
    <w:p>
      <w:pPr>
        <w:spacing w:after="0" w:line="184"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The combination of these provisions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8"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Our amended and restated certificate of incorporation will provide that the Court of Chancery of the state of Delaware will be the exclusive forum for the following types of actions or proceedings under Delaware statutory or common law:</w:t>
      </w:r>
    </w:p>
    <w:p>
      <w:pPr>
        <w:spacing w:after="0" w:line="76" w:lineRule="exact"/>
        <w:rPr>
          <w:sz w:val="20"/>
          <w:szCs w:val="20"/>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action asserting a claim against us arising pursuant to the Delaware General Corporation Law, our restated certificate, or our amended and restated bylaws;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w:t>
      </w:r>
    </w:p>
    <w:p>
      <w:pPr>
        <w:spacing w:after="0" w:line="225"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The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also provide that unless we consent in writing to the selection of an alternative forum, the federal district courts of the United States of America shall be the exclusive forum for the resolution of any complaint asserting a cause of action arising under the Securities Act.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40"/>
          </w:cols>
          <w:pgMar w:left="32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57"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These exclusive forum provisions may result in increased costs for investors to bring a claim. Further,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76"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Our amended and restated certificate of incorporation will further provide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The transfer agent’s address is 6201 15th Avenue, Brooklyn, New York 11219.</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applied to list our common stock on the Nasdaq Global Market under the trading symbol “ADGI.”</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Prior to this offering, no public market existed for our common stock. Future sales of our common stock in the public market, or the availability of such shares for sale in the public market, could adversely affect market prices prevailing from time to time. As described below, only a limited number of shares will be available for sale shortly after this offering due to contractual and legal restrictions on resale. Nevertheless, sales of our common stock in the public market after such restrictions lapse, or the perception that those sales may occur, could adversely affect the prevailing market price at such time and our ability to raise equity capital in the future.</w:t>
      </w:r>
    </w:p>
    <w:p>
      <w:pPr>
        <w:spacing w:after="0" w:line="188" w:lineRule="exact"/>
        <w:rPr>
          <w:sz w:val="20"/>
          <w:szCs w:val="20"/>
          <w:color w:val="auto"/>
        </w:rPr>
      </w:pPr>
    </w:p>
    <w:p>
      <w:pPr>
        <w:jc w:val="both"/>
        <w:ind w:left="120" w:right="20" w:firstLine="440"/>
        <w:spacing w:after="0" w:line="270" w:lineRule="auto"/>
        <w:rPr>
          <w:sz w:val="20"/>
          <w:szCs w:val="20"/>
          <w:color w:val="auto"/>
        </w:rPr>
      </w:pPr>
      <w:r>
        <w:rPr>
          <w:rFonts w:ascii="Arial" w:cs="Arial" w:eastAsia="Arial" w:hAnsi="Arial"/>
          <w:sz w:val="17"/>
          <w:szCs w:val="17"/>
          <w:color w:val="auto"/>
        </w:rPr>
        <w:t>Upon the closing of this offering, we will have outstanding 108,015,660 shares of our common stock, based on the 5,593,240 shares of our common stock that were outstanding on March 31, 2021, after giving effect to the issuance of 17,700,000 shares of our common stock in this offering, assuming no exercise by the underwriters of their option to purchase additional shares of our common stock and the automatic conversion of all outstanding shares of our preferred stock into an aggregate of 84,722,420 shares of common stock upon the closing of this offering. All of the shares of common stock sold in this offering will be freely tradable without restrictions or further registration under the Securities Act, except for any shares sold to our “affiliates,” as that term is defined under Rule 144 under the Securities Act. The remaining 90,315,660 shares of common stock held by existing stockholders are “restricted securities,” as that term is defined in Rule 144 under the Securities Act. Restricted securities may be sold in the public market only if registered or if their resale qualifies for exemption from registration described below under Rule 144 promulgated under the Securities Act or another available exemption.</w:t>
      </w:r>
    </w:p>
    <w:p>
      <w:pPr>
        <w:spacing w:after="0" w:line="18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As a result of the lock-up agreements described below and the provisions of Rules 144 and 701 under the Securities Act, the shares of common stock that will be deemed restricted securities after this offering will be available for sale in the public market as follows:</w:t>
      </w:r>
    </w:p>
    <w:p>
      <w:pPr>
        <w:spacing w:after="0" w:line="76" w:lineRule="exact"/>
        <w:rPr>
          <w:sz w:val="20"/>
          <w:szCs w:val="20"/>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none of the existing restricted shares will be eligible for immediate sale upon the completion of this offering; and</w:t>
      </w:r>
    </w:p>
    <w:p>
      <w:pPr>
        <w:spacing w:after="0" w:line="130"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90,321,660 restricted shares will be eligible for sale in the public market upon expiration of lock-up agreements 180 days after the date of this prospectus, subject in certain circumstances to the volume, manner of sale and other limitations under Rule 144 and Rule 701 under the Securities Act, which are summarized below.</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general, non-affiliate persons who have beneficially owned restricted shares of our common stock for at least six months, and any affiliate of the company who owns either restricted or unrestricted shares of our common stock, are entitled to sell their securities without registration with the SEC under an exemption from registration provided by Rule 144 under the Securities Act.</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Non-Affiliates</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Any person who is not deemed to have been one of our affiliates at the time of, or at any time during the three months preceding, a sale may sell an unlimited number of restricted securities under Rule 144 if:</w:t>
      </w:r>
    </w:p>
    <w:p>
      <w:pPr>
        <w:spacing w:after="0" w:line="76" w:lineRule="exact"/>
        <w:rPr>
          <w:sz w:val="20"/>
          <w:szCs w:val="20"/>
          <w:color w:val="auto"/>
        </w:rPr>
      </w:pPr>
    </w:p>
    <w:p>
      <w:pPr>
        <w:ind w:left="1080" w:right="20" w:hanging="532"/>
        <w:spacing w:after="0" w:line="277"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restricted securities have been held for at least six months, including the holding period of any prior owner other than one of our affiliates (subject to certain exceptions);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we have been subject to the Exchange Act periodic reporting requirements for at least 90 days before the sale;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we are current in our Exchange Act reporting at the time of sale.</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Any person who is not deemed to have been an affiliate of ours at the time of, or at any time during the three months preceding, a sale and has held the restricted securities for at least one year, including the holding period of any prior owner other than one of our affiliates, will be entitled to sell an unlimited number of restricted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40"/>
          </w:cols>
          <w:pgMar w:left="320" w:top="459"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securities without regard to the length of time we have been subject to Exchange Act periodic reporting or whether we are current in our Exchange Act reporting. Non-affiliate resales are not subject to the manner of sale, volume limitation or notice filing provisions of Rule 144.</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Affiliates</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Persons seeking to sell restricted securities who are our affiliates at the time of, or any time during the three months preceding, a sale, would be subject to the restrictions described above. They are also subject to additional restrictions, by which such person would be required to comply with the manner of sale and notice provisions of Rule 144 and would be entitled to sell within any three-month period only that number of securities that does not exceed the greater of either of the following:</w:t>
      </w:r>
    </w:p>
    <w:p>
      <w:pPr>
        <w:spacing w:after="0" w:line="92" w:lineRule="exact"/>
        <w:rPr>
          <w:sz w:val="20"/>
          <w:szCs w:val="20"/>
          <w:color w:val="auto"/>
        </w:rPr>
      </w:pPr>
    </w:p>
    <w:p>
      <w:pPr>
        <w:ind w:left="1080" w:right="20" w:hanging="532"/>
        <w:spacing w:after="0" w:line="277"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1,080,156 shares immediately after the completion of this offering based on the number of shares outstanding as of March 31, 2021; or</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stock exchange on which our shares are listed during the four calendar weeks preceding the filing of a notice on Form 144 with respect to the sale.</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Additionally, persons who are our affiliates at the time of, or any time during the three months preceding, a sale may sell unrestricted securities under the requirements of Rule 144 described above, without regard to the six-month holding period of Rule 144, which does not apply to sales of unrestricted securities.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Rule 701 under the Securities Act, as in effect on the date of this prospectus, permits resales of shares in reliance upon Rule 144 but without compliance with certain restrictions of Rule 144, including the holding period requirement. Most of our employees, executive officers or directors who purchased shares under a written compensatory plan or contract may be entitled to rely on the resale provisions of Rule 701, but all holders of Rule 701 shares are required to wait until 90 days after the date of this prospectus before selling their shares. However, substantially all Rule 701 shares are subject to lock-up agreements as described below and in the section titled “Underwriting” and will become eligible for sale upon the expiration of the restrictions set forth in those agreements.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S-8 Registration Statements</w:t>
      </w:r>
    </w:p>
    <w:p>
      <w:pPr>
        <w:spacing w:after="0" w:line="121"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We intend to file one or more registration statements on Form S-8 under the Securities Act to register all shares of common stock subject to outstanding stock options and common stock issued or issuable under our equity plans. We expect to file the registration statement covering shares offered pursuant to our stock plans as soon as practicable after the closing of this offering, permitting the resale of such shares by non-affiliates in the public market without restriction under the Securities Act and the sale by affiliates in the public market, subject to compliance with the resale provisions of Rule 144 and expiration or release from the terms of the lock-up agreements described above.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We, our executive officers and directors and approximately 100% of the holders of our common stock outstanding on the date of this prospectus have entered into lock-up agreements with the underwriters or otherwise agreed, subject to certain exceptions, that we and they will not, directly or indirectly, offer, sell, contract to sell, pledge, grant any option to purchase, make any short sale, or otherwise dispose of or hedge any of our shares of common stock, any options or warrants to purchase shares of our common stock, or any securities convertible into, or exchangeable for or that represent the right to receive shares of our common stock, without the prior written consent of Morgan Stanley &amp; Co. LLC and Jefferies LLC for a period of 180 days from the date of this prospectus.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40"/>
          </w:cols>
          <w:pgMar w:left="32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addition to the restrictions contained in the lock-up agreements described above, we have entered into an agreement with the holders of our preferred stock that contains market stand-off provisions imposing restrictions on the ability of such security holders to sell or otherwise transfer or dispose of any registrable securities for a period of 180 days following the date of this prospectus.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Upon the closing of this offering, the holders of 84,722,420 shares of our common stock, including common stock issuable upon the conversion of our preferred stock, or their transferees, will be entitled to specified rights with respect to the registration of their registrable shares under the Securities Act, subject to certain limitations and the expiration, waiver or termination of the lock-up agreements. Registration of these shares under the Securities Act would result in the shares becoming freely tradable without restriction under the Securities Act immediately upon effectiveness of the registration. See “Description of Capital Stock—Registration Rights” for additional information.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40"/>
          </w:cols>
          <w:pgMar w:left="32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CONSEQUENCES TO NON-U.S. HOLDERS OF OUR</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COMMON STOCK</w:t>
      </w:r>
    </w:p>
    <w:p>
      <w:pPr>
        <w:spacing w:after="0" w:line="211"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The following is a summary of certain material U.S. federal income tax consequences to non-U.S. holders (as defined below) of the ownership and disposition of our common stock offered pursuant to this prospectus. This discussion is not a complete analysis of all potential U.S. federal income tax consequences relating thereto, does not address the potential application of the Medicare contribution tax on net investment income, the alternative minimum tax, or the special tax accounting rules under Section 451(b) of the Code, and does not address any U.S. federal non-income tax consequences such as estate or gift tax consequences or any tax consequences arising under any state, local, or non-U.S. tax laws, or any other U.S. federal tax laws. This discussion is based on the Code and applicable Treasury Regulations promulgated thereunder, judicial decisions and published rulings, and administrative pronouncements of the Internal Revenue Service, or IRS, all as in effect as of the date hereof.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68"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This discussion is limited to non-U.S. holders who purchase our common stock offered by this prospectus and who hold our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93" w:lineRule="exact"/>
        <w:rPr>
          <w:sz w:val="20"/>
          <w:szCs w:val="20"/>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pass-throughs, or disregarded entities for U.S. federal income tax purposes (and investors therein), S corporations or other pass-through entities (including hybrid entities);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banks, financial institutions, investment funds, insurance companies, brokers or dealers in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tax-exempt organizations and governmental organizations;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persons that acquired our common stock through the exercise of employee stock options or otherwise as compensation or through a tax-qualified retirement plan;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persons that acquired our common stock pursuant to the exercise of warrants or conversion rights under convertible instruments;</w:t>
      </w:r>
    </w:p>
    <w:p>
      <w:pPr>
        <w:spacing w:after="0" w:line="142"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persons who hold common stock that constitutes “qualified small business stock” under Section 1202 of the Code, or “Section 1244 stock” under Section 1244 of the Code;</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persons who acquired our common stock in a transaction subject to the gain rollover provisions of the Code (including Section 1045 of the Code);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common stock;</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40"/>
          </w:cols>
          <w:pgMar w:left="32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7"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 and</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hedging or conversion transaction or straddle, or a constructive sale, or other risk reduction strategy or integrated investment.</w:t>
      </w:r>
    </w:p>
    <w:p>
      <w:pPr>
        <w:spacing w:after="0" w:line="170"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If an entity or arrangement that is classified as a partnership for U.S. federal income tax purposes holds our common stock, the U.S. federal income tax treatment of a partner in the partnership will generally depend on the status of the partner and the activities of the partnership. Partnerships holding our common stock and the partners in such partnerships are urged to consult their tax advisors about the particular U.S. federal income tax consequences to them of holding and disposing of our common stock.</w:t>
      </w:r>
    </w:p>
    <w:p>
      <w:pPr>
        <w:spacing w:after="0" w:line="183" w:lineRule="exact"/>
        <w:rPr>
          <w:sz w:val="20"/>
          <w:szCs w:val="20"/>
          <w:color w:val="auto"/>
        </w:rPr>
      </w:pPr>
    </w:p>
    <w:p>
      <w:pPr>
        <w:jc w:val="both"/>
        <w:ind w:left="120" w:right="20" w:firstLine="440"/>
        <w:spacing w:after="0" w:line="258" w:lineRule="auto"/>
        <w:rPr>
          <w:sz w:val="20"/>
          <w:szCs w:val="20"/>
          <w:color w:val="auto"/>
        </w:rPr>
      </w:pPr>
      <w:r>
        <w:rPr>
          <w:rFonts w:ascii="Arial" w:cs="Arial" w:eastAsia="Arial" w:hAnsi="Arial"/>
          <w:sz w:val="18"/>
          <w:szCs w:val="18"/>
          <w:b w:val="1"/>
          <w:bCs w:val="1"/>
          <w:color w:val="auto"/>
        </w:rPr>
        <w:t>THIS DISCUSSION IS FOR INFORMATIONAL PURPOSES ONLY AND IS NOT TAX ADVICE. PROSPECTIVE INVESTORS SHOULD CONSULT THEIR TAX ADVISORS REGARDING THE PARTICULAR U.S. FEDERAL INCOME TAX CONSEQUENCES TO THEM OF ACQUIRING, OWNING, AND DISPOSING OF OUR COMMON STOCK, AS WELL AS ANY TAX CONSEQUENCES ARISING UNDER ANY STATE, LOCAL, OR NON-U.S. TAX LAWS AND ANY U.S. FEDERAL NON-INCOME TAX LAWS, OR UNDER ANY APPLICABLE INCOME TAX TREATY.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 of Non-U.S. Holder</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not a “U.S. person” or a partnership (including any entity or arrangement treated as a partnership) for U.S. federal income tax purposes. A U.S. person is any person that, for U.S. federal income tax purposes, is or is treated as any of the following:</w:t>
      </w:r>
    </w:p>
    <w:p>
      <w:pPr>
        <w:spacing w:after="0" w:line="89" w:lineRule="exact"/>
        <w:rPr>
          <w:sz w:val="20"/>
          <w:szCs w:val="20"/>
          <w:color w:val="auto"/>
        </w:rPr>
      </w:pPr>
    </w:p>
    <w:p>
      <w:pPr>
        <w:ind w:left="1080" w:hanging="532"/>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corporation (or entity treated as a corporation for U.S. federal income tax purposes) created or organized under the laws of the United States, any state thereof or the District of Columbia;</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30"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trust (1) whose administration is subject to the primary supervision of a U.S. court and which has one or more U.S. persons who have the authority to control all substantial decisions of the trust or (2) that has a valid election in effect under applicable Treasury Regulations to be treated as a U.S. person.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 on Our Common Stock</w:t>
      </w:r>
    </w:p>
    <w:p>
      <w:pPr>
        <w:spacing w:after="0" w:line="121"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As described in the section titled “Dividend Policy,” we have not paid and do not anticipate paying dividends in the foreseeable future. However, if we make cash or other property distributions on our common stock, such distributions will constitute dividends for U.S. federal income tax purposes to the extent paid from our current or accumulated earnings and profits, as determined under U.S. federal income tax principles. Amounts that exceed such current and accumulated earnings and profits and, therefore, are not treated as dividends for U.S. federal income tax purposes will constitute a return of capital and will first be applied against and reduce a holder’s tax basis in our common stock, but not below zero. Any amount distributed in excess of basis will be treated as gain realized on the sale or other disposition of our common stock and will be treated as described under the section titled “—Gain on Disposition of Our Common Stock” below.</w:t>
      </w:r>
    </w:p>
    <w:p>
      <w:pPr>
        <w:spacing w:after="0" w:line="17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Subject to the discussions below regarding effectively connected income, backup withholding, and Sections 1471 through 1474 of the Code, or FATCA, 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us or the applicable withholding agent with a valid IRS Form W-8BEN or IRS Form W-8BEN-E (or applicable successor form) certifying such holder’s qualification for the reduced rate. This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40"/>
          </w:cols>
          <w:pgMar w:left="320" w:top="459"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certification must be provided to us or the applicable withholding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the applicable withholding agent, either directly or through other intermediaries.</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170"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If a non-U.S. holder holds our common stock in connection with the conduct of a trade or business in the United States, and dividends paid on our common stock are effectively connected with such holder’s U.S. trade or business (and are attributable to such holder’s permanent establishment in the United States, if required by an applicable tax treaty), the non-U.S. holder will generally be exempt from U.S. federal withholding tax. To claim the exemption, the non-U.S. holder must generally furnish a valid IRS Form W-8ECI (or applicable successor form) to the applicable withholding agent.</w:t>
      </w:r>
    </w:p>
    <w:p>
      <w:pPr>
        <w:spacing w:after="0" w:line="15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However, any such effectively connected dividends paid on our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any applicable income tax treaties that may provide for different rules.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Subject to the discussions below regarding backup withholding and FATCA, a non-U.S. holder generally will not be subject to U.S. federal income tax on any gain realized on the sale or other disposition of our common stock, unless:</w:t>
      </w:r>
    </w:p>
    <w:p>
      <w:pPr>
        <w:spacing w:after="0" w:line="76" w:lineRule="exact"/>
        <w:rPr>
          <w:sz w:val="20"/>
          <w:szCs w:val="20"/>
          <w:color w:val="auto"/>
        </w:rPr>
      </w:pPr>
    </w:p>
    <w:p>
      <w:pPr>
        <w:ind w:left="1080" w:hanging="532"/>
        <w:spacing w:after="0" w:line="308" w:lineRule="auto"/>
        <w:tabs>
          <w:tab w:leader="none" w:pos="108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trade or business in the United States and, if required by an applicable income tax treaty, is attributable to a permanent establishment maintained by the non-U.S. holder in the United States;</w:t>
      </w:r>
    </w:p>
    <w:p>
      <w:pPr>
        <w:spacing w:after="0" w:line="51"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75"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the disposition or the non-U.S. holder’s holding period for our common stock, and our common stock is not regularly traded on an established securities market as defined by applicable Treasury Regulations.</w:t>
      </w:r>
    </w:p>
    <w:p>
      <w:pPr>
        <w:spacing w:after="0" w:line="187"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Determining whether we are a USRPHC depends on the fair market value of our U.S. real property interests relative to the fair market value of our other trade or business assets and our foreign real property interests. We do not believe that we are, or have been, and do not anticipate becoming, a USRPHC for U.S. federal income tax purposes, although there can be no assurance we will not in the future become a USRPHC. Even if we are or were to become a USRPHC, gain arising from the sale or other taxable disposition by a non-U.S. holder of our common stock may not be subject to U.S. federal income tax if our common stock is “regularly traded,” as defined by applicable Treasury Regulations, on an established securities market.</w:t>
      </w:r>
    </w:p>
    <w:p>
      <w:pPr>
        <w:spacing w:after="0" w:line="161"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U.S. federal income tax rates in the same manner as if such holder were a resident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140"/>
          </w:cols>
          <w:pgMar w:left="320" w:top="459"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auto"/>
        </w:rPr>
        <w:t>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Annual reports are required to be filed with the IRS and provided to each non-U.S. holder indicating the amount of distributions on our common stock paid to such holder and the amount of any tax withheld with respect to those distributions. These information reporting requirements apply even if no withholding was required (because the distributions were effectively connected with the holder’s conduct of a U.S. trade or business, or withholding was reduced or eliminated by an applicable income tax treaty) and regardless of whether such distributions constitute dividends.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common stock provided the non-U.S. holder furnishes the required certification for its non-U.S. status, such as by providing a valid IRS Form W-8BEN, IRS Form W-8BEN-E, or IRS Form W-8ECI, or certain other requirements are met. Backup withholding may apply if the payor has actual knowledge, or reason to know, that the holder is a U.S. person who is not an exempt recipient.</w:t>
      </w:r>
    </w:p>
    <w:p>
      <w:pPr>
        <w:spacing w:after="0" w:line="166"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Withholding on Foreign Entities</w:t>
      </w:r>
    </w:p>
    <w:p>
      <w:pPr>
        <w:spacing w:after="0" w:line="121" w:lineRule="exact"/>
        <w:rPr>
          <w:sz w:val="20"/>
          <w:szCs w:val="20"/>
          <w:color w:val="auto"/>
        </w:rPr>
      </w:pPr>
    </w:p>
    <w:p>
      <w:pPr>
        <w:jc w:val="both"/>
        <w:ind w:left="120" w:right="20" w:firstLine="440"/>
        <w:spacing w:after="0" w:line="287" w:lineRule="auto"/>
        <w:rPr>
          <w:sz w:val="20"/>
          <w:szCs w:val="20"/>
          <w:color w:val="auto"/>
        </w:rPr>
      </w:pPr>
      <w:r>
        <w:rPr>
          <w:rFonts w:ascii="Arial" w:cs="Arial" w:eastAsia="Arial" w:hAnsi="Arial"/>
          <w:sz w:val="16"/>
          <w:szCs w:val="16"/>
          <w:color w:val="auto"/>
        </w:rPr>
        <w:t>FATCA imposes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applies to dividends paid on our common stock and, subject to the proposed Treasury Regulations described below, also applies to gross proceeds from sales or other dispositions of our common stock. The U.S. Treasury Department released proposed Treasury Regulations which, if finalized in their present form, would eliminate the federal withholding tax of 30% applicable to the gross proceeds of a disposition of our common stock. In its preamble to such proposed Treasury Regulations, the U.S. Treasury Department stated that taxpayers may generally rely on the proposed Treasury Regulations until final regulations are issued.</w:t>
      </w:r>
    </w:p>
    <w:p>
      <w:pPr>
        <w:spacing w:after="0" w:line="168"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Prospective investors are encouraged to consult with their own tax advisors regarding the possible implications of this legislation on their investment in our common stock.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40"/>
          </w:cols>
          <w:pgMar w:left="320" w:top="459"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Morgan Stanley &amp; Co. LLC, Jefferies LLC, Stifel, Nicolaus &amp; Company, Incorporated and Guggenheim Securities, LLC are acting as representatives, have severally agreed to purchase, and we have agreed to sell to them, severally, the number of shares indicated below:</w:t>
      </w:r>
    </w:p>
    <w:p>
      <w:pPr>
        <w:spacing w:after="0" w:line="171"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6900" w:type="dxa"/>
            <w:vAlign w:val="bottom"/>
            <w:vMerge w:val="restart"/>
          </w:tcPr>
          <w:p>
            <w:pPr>
              <w:spacing w:after="0"/>
              <w:rPr>
                <w:sz w:val="14"/>
                <w:szCs w:val="14"/>
                <w:color w:val="auto"/>
              </w:rPr>
            </w:pPr>
          </w:p>
        </w:tc>
        <w:tc>
          <w:tcPr>
            <w:tcW w:w="1000" w:type="dxa"/>
            <w:vAlign w:val="bottom"/>
            <w:gridSpan w:val="4"/>
          </w:tcPr>
          <w:p>
            <w:pPr>
              <w:ind w:left="12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1"/>
        </w:trPr>
        <w:tc>
          <w:tcPr>
            <w:tcW w:w="360" w:type="dxa"/>
            <w:vAlign w:val="bottom"/>
            <w:tcBorders>
              <w:bottom w:val="single" w:sz="8" w:color="auto"/>
            </w:tcBorders>
            <w:vMerge w:val="continue"/>
          </w:tcPr>
          <w:p>
            <w:pPr>
              <w:spacing w:after="0"/>
              <w:rPr>
                <w:sz w:val="14"/>
                <w:szCs w:val="14"/>
                <w:color w:val="auto"/>
              </w:rPr>
            </w:pPr>
          </w:p>
        </w:tc>
        <w:tc>
          <w:tcPr>
            <w:tcW w:w="69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Shares</w:t>
            </w:r>
          </w:p>
        </w:tc>
        <w:tc>
          <w:tcPr>
            <w:tcW w:w="3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Jefferies LLC</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Stifel, Nicolaus &amp; Company, Incorporated</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60" w:type="dxa"/>
            <w:vAlign w:val="bottom"/>
            <w:gridSpan w:val="2"/>
          </w:tcPr>
          <w:p>
            <w:pPr>
              <w:spacing w:after="0"/>
              <w:rPr>
                <w:sz w:val="20"/>
                <w:szCs w:val="20"/>
                <w:color w:val="auto"/>
              </w:rPr>
            </w:pPr>
            <w:r>
              <w:rPr>
                <w:rFonts w:ascii="Arial" w:cs="Arial" w:eastAsia="Arial" w:hAnsi="Arial"/>
                <w:sz w:val="18"/>
                <w:szCs w:val="18"/>
                <w:color w:val="auto"/>
              </w:rPr>
              <w:t>Guggenheim Securities, LLC</w:t>
            </w: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w w:val="95"/>
              </w:rPr>
              <w:t>17,700,000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underwriters initially propose to offer part of the shares of common stock directly to the public at the offering price listed on the cover page of</w:t>
      </w:r>
    </w:p>
    <w:p>
      <w:pPr>
        <w:spacing w:after="0" w:line="46" w:lineRule="exact"/>
        <w:rPr>
          <w:sz w:val="20"/>
          <w:szCs w:val="20"/>
          <w:color w:val="auto"/>
        </w:rPr>
      </w:pPr>
    </w:p>
    <w:p>
      <w:pPr>
        <w:jc w:val="both"/>
        <w:ind w:left="120" w:right="20"/>
        <w:spacing w:after="0" w:line="323" w:lineRule="auto"/>
        <w:rPr>
          <w:sz w:val="20"/>
          <w:szCs w:val="20"/>
          <w:color w:val="auto"/>
        </w:rPr>
      </w:pPr>
      <w:r>
        <w:rPr>
          <w:rFonts w:ascii="Arial" w:cs="Arial" w:eastAsia="Arial" w:hAnsi="Arial"/>
          <w:sz w:val="16"/>
          <w:szCs w:val="16"/>
          <w:color w:val="auto"/>
        </w:rPr>
        <w:t>this prospectus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representatives.</w:t>
      </w:r>
    </w:p>
    <w:p>
      <w:pPr>
        <w:spacing w:after="0" w:line="138" w:lineRule="exact"/>
        <w:rPr>
          <w:sz w:val="20"/>
          <w:szCs w:val="20"/>
          <w:color w:val="auto"/>
        </w:rPr>
      </w:pPr>
    </w:p>
    <w:p>
      <w:pPr>
        <w:jc w:val="both"/>
        <w:ind w:left="120" w:right="20" w:firstLine="440"/>
        <w:spacing w:after="0" w:line="293" w:lineRule="auto"/>
        <w:rPr>
          <w:sz w:val="20"/>
          <w:szCs w:val="20"/>
          <w:color w:val="auto"/>
        </w:rPr>
      </w:pPr>
      <w:r>
        <w:rPr>
          <w:rFonts w:ascii="Arial" w:cs="Arial" w:eastAsia="Arial" w:hAnsi="Arial"/>
          <w:sz w:val="16"/>
          <w:szCs w:val="16"/>
          <w:color w:val="auto"/>
        </w:rPr>
        <w:t>We have granted to the underwriters an option, exercisable for 30 days from the date of this prospectus, to purchase up to 2,655,000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6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2,655,000 shares of common stock.</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Per</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gridSpan w:val="4"/>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476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111"/>
              <w:spacing w:after="0" w:line="119" w:lineRule="exact"/>
              <w:rPr>
                <w:sz w:val="20"/>
                <w:szCs w:val="20"/>
                <w:color w:val="auto"/>
              </w:rPr>
            </w:pPr>
            <w:r>
              <w:rPr>
                <w:rFonts w:ascii="Arial" w:cs="Arial" w:eastAsia="Arial" w:hAnsi="Arial"/>
                <w:sz w:val="13"/>
                <w:szCs w:val="13"/>
                <w:b w:val="1"/>
                <w:bCs w:val="1"/>
                <w:color w:val="auto"/>
              </w:rPr>
              <w:t>No</w:t>
            </w:r>
          </w:p>
        </w:tc>
        <w:tc>
          <w:tcPr>
            <w:tcW w:w="5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rPr>
              <w:t>Full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Exercise</w:t>
            </w:r>
          </w:p>
        </w:tc>
        <w:tc>
          <w:tcPr>
            <w:tcW w:w="54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51"/>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5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3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60" w:type="dxa"/>
            <w:vAlign w:val="bottom"/>
            <w:gridSpan w:val="3"/>
          </w:tcPr>
          <w:p>
            <w:pPr>
              <w:jc w:val="right"/>
              <w:ind w:right="451"/>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5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51"/>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5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760" w:type="dxa"/>
            <w:vAlign w:val="bottom"/>
          </w:tcPr>
          <w:p>
            <w:pPr>
              <w:spacing w:after="0"/>
              <w:rPr>
                <w:sz w:val="24"/>
                <w:szCs w:val="24"/>
                <w:color w:val="auto"/>
              </w:rPr>
            </w:pPr>
          </w:p>
        </w:tc>
        <w:tc>
          <w:tcPr>
            <w:tcW w:w="3540" w:type="dxa"/>
            <w:vAlign w:val="bottom"/>
          </w:tcPr>
          <w:p>
            <w:pPr>
              <w:jc w:val="right"/>
              <w:ind w:right="2570"/>
              <w:spacing w:after="0"/>
              <w:rPr>
                <w:sz w:val="20"/>
                <w:szCs w:val="20"/>
                <w:color w:val="auto"/>
              </w:rPr>
            </w:pPr>
            <w:r>
              <w:rPr>
                <w:rFonts w:ascii="Arial" w:cs="Arial" w:eastAsia="Arial" w:hAnsi="Arial"/>
                <w:sz w:val="18"/>
                <w:szCs w:val="18"/>
                <w:color w:val="auto"/>
              </w:rPr>
              <w:t>208</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estimated offering expenses payable by us, exclusive of the underwriting discounts and commissions, are approximately $3.8 million. We have agreed to reimburse the underwriters for expense relating to clearance of this offering with the Financial Industry Regulatory Authority up to $35,000.</w:t>
      </w:r>
    </w:p>
    <w:p>
      <w:pPr>
        <w:spacing w:after="0" w:line="18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applied to list our common stock on the Nasdaq Global Market under the trading symbol “ADGI.”</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and all directors and officers and the holders of approximately 100% of our outstanding stock and stock options have agreed that, without the prior written consent of Morgan Stanley &amp; Co. LLC and Jefferies LLC, on behalf of the underwriters, we and they will not, and will not publicly disclose an intention to, during the period ending 180 days after the date of this prospectus (the “restricted period”):</w:t>
      </w:r>
    </w:p>
    <w:p>
      <w:pPr>
        <w:spacing w:after="0" w:line="89" w:lineRule="exact"/>
        <w:rPr>
          <w:sz w:val="20"/>
          <w:szCs w:val="20"/>
          <w:color w:val="auto"/>
        </w:rPr>
      </w:pPr>
    </w:p>
    <w:p>
      <w:pPr>
        <w:jc w:val="both"/>
        <w:ind w:left="1080" w:hanging="532"/>
        <w:spacing w:after="0" w:line="263"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9"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any shares of common stock or any securities convertible into or exercisable or exchangeable for common stock; or</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whether any such transaction described above is to be settled by delivery of common stock or such other securities, in cash or otherwise. In addition, we and each such person agrees that, without the prior written consent of Morgan Stanley &amp; Co. LLC and Jefferies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restrictions described in the immediately preceding paragraph to do not apply to:</w:t>
      </w:r>
    </w:p>
    <w:p>
      <w:pPr>
        <w:spacing w:after="0" w:line="131" w:lineRule="exact"/>
        <w:rPr>
          <w:sz w:val="20"/>
          <w:szCs w:val="20"/>
          <w:color w:val="auto"/>
        </w:rPr>
      </w:pPr>
    </w:p>
    <w:p>
      <w:pPr>
        <w:jc w:val="both"/>
        <w:ind w:left="1080" w:right="20" w:hanging="532"/>
        <w:spacing w:after="0" w:line="279" w:lineRule="auto"/>
        <w:tabs>
          <w:tab w:leader="none" w:pos="10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transactions relating to shares of common stock or other securities acquired in this offering or in open market transactions after the completion of this offering; provided, with respect to our directors, officers and certain of our holders, that no filing under Section 16(a) of the Exchange Act shall be required or shall be voluntarily made during the restricted period in connection with subsequent sales of common stock or other securities acquired in this offering or in such open market transactions;</w:t>
      </w:r>
    </w:p>
    <w:p>
      <w:pPr>
        <w:spacing w:after="0" w:line="76" w:lineRule="exact"/>
        <w:rPr>
          <w:rFonts w:ascii="Arial" w:cs="Arial" w:eastAsia="Arial" w:hAnsi="Arial"/>
          <w:sz w:val="17"/>
          <w:szCs w:val="17"/>
          <w:color w:val="auto"/>
        </w:rPr>
      </w:pPr>
    </w:p>
    <w:p>
      <w:pPr>
        <w:jc w:val="both"/>
        <w:ind w:left="1080" w:hanging="532"/>
        <w:spacing w:after="0" w:line="269" w:lineRule="auto"/>
        <w:tabs>
          <w:tab w:leader="none" w:pos="10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 xml:space="preserve">transfers or distributions of shares of common stock or any security convertible into or exercisable or exchangeable for common stock (i) as a bona fide gift or charitable contribution, (ii) by will or intestacy or to any immediate family member or to a trust for the direct or indirect benefit of such person and/or any immediate family member of such person, (iii) to general or limited partners, members or stockholders, or holders of similar equity interests, of such person, (iv) in certain cases, if such person is an entity, to partners, members, shareholders, beneficiaries or holders of similar equity interests in such person, or to the estate of any such partners, members, shareholders beneficiaries or holders of similar equity interests or (v) to another corporation, partnership, limited liability company, trust or other business entity, including the subsidiaries of such person, that is a direct or indirect affiliate (as defined in Rule 405 promulgated under the Securities Act of 1933, as amended) of such person, or to any investment fund or other entity that controls or manages, is controlled or managed by or is under common control or common management with such person or affiliates of such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each transferee or distributee shall sign and deliver a lock-up agreement substantially in the form of this agreement and (B) no filing under Section 16(a) of the Exchange Act, reporting a reduction in beneficial ownership of shares of common stock, shall be required or shall be voluntarily</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40"/>
          </w:cols>
          <w:pgMar w:left="32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100" w:right="20"/>
        <w:spacing w:after="0" w:line="311" w:lineRule="auto"/>
        <w:rPr>
          <w:sz w:val="20"/>
          <w:szCs w:val="20"/>
          <w:color w:val="auto"/>
        </w:rPr>
      </w:pPr>
      <w:r>
        <w:rPr>
          <w:rFonts w:ascii="Arial" w:cs="Arial" w:eastAsia="Arial" w:hAnsi="Arial"/>
          <w:sz w:val="16"/>
          <w:szCs w:val="16"/>
          <w:color w:val="auto"/>
        </w:rPr>
        <w:t>made during the restricted period (other than, in certain cases of a transfer or distribution pursuant to clause (iii) or (v) above, any Form 5 required to be filed under the Exchange Act following the restricted period if such person is subject to Section 16 reporting with respect to the company under the Exchange Act and indicating by footnote disclosure or otherwise the nature of the transfer or distribution);</w:t>
      </w:r>
    </w:p>
    <w:p>
      <w:pPr>
        <w:spacing w:after="0" w:line="54" w:lineRule="exact"/>
        <w:rPr>
          <w:sz w:val="20"/>
          <w:szCs w:val="20"/>
          <w:color w:val="auto"/>
        </w:rPr>
      </w:pPr>
    </w:p>
    <w:p>
      <w:pPr>
        <w:jc w:val="both"/>
        <w:ind w:left="1080" w:right="20" w:hanging="532"/>
        <w:spacing w:after="0" w:line="296" w:lineRule="auto"/>
        <w:tabs>
          <w:tab w:leader="none" w:pos="108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facilitating the establishment of a trading plan on behalf of a stockholder, officer or director of the company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or on behalf of such person or the company regarding the establishment of such plan, such announcement or filing shall include a statement to the effect that no transfer of common stock may be made under such plan during the restricted period;</w:t>
      </w:r>
    </w:p>
    <w:p>
      <w:pPr>
        <w:spacing w:after="0" w:line="66" w:lineRule="exact"/>
        <w:rPr>
          <w:rFonts w:ascii="Arial" w:cs="Arial" w:eastAsia="Arial" w:hAnsi="Arial"/>
          <w:sz w:val="16"/>
          <w:szCs w:val="16"/>
          <w:color w:val="auto"/>
        </w:rPr>
      </w:pPr>
    </w:p>
    <w:p>
      <w:pPr>
        <w:jc w:val="both"/>
        <w:ind w:left="1080" w:hanging="532"/>
        <w:spacing w:after="0" w:line="255"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transfers of common stock or any security convertible into or exercisable or exchangeable for common stock by operation of law pursuant to a qualified domestic order or other court order or in connection with a divorce settlement; provided that (i) no filing under Section 16(a) of the Exchange Act or any other public filing or disclosure shall be voluntarily made during the restricted period, and any required filing shall clearly indicate in the footnotes thereto that (A) the filing relates to the circumstances described herein and (B) no securities were sold by such person, and (ii) such person does not otherwise voluntarily effect any other public filing or report regarding such transfers during the restricted period;</w:t>
      </w:r>
    </w:p>
    <w:p>
      <w:pPr>
        <w:spacing w:after="0" w:line="97" w:lineRule="exact"/>
        <w:rPr>
          <w:rFonts w:ascii="Arial" w:cs="Arial" w:eastAsia="Arial" w:hAnsi="Arial"/>
          <w:sz w:val="18"/>
          <w:szCs w:val="18"/>
          <w:color w:val="auto"/>
        </w:rPr>
      </w:pPr>
    </w:p>
    <w:p>
      <w:pPr>
        <w:jc w:val="both"/>
        <w:ind w:left="1080" w:hanging="532"/>
        <w:spacing w:after="0" w:line="269" w:lineRule="auto"/>
        <w:tabs>
          <w:tab w:leader="none" w:pos="108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receipt by such person from the company of shares of common stock upon the transfer or disposition of shares of common stock or any securities convertible into common stock to the company upon a vesting or settlement event of the company’s securities or vesting of restricted stock unit awards or upon the exercise of options to purchase the company’s securities on a “cashless” or “net exercise” basis, in each case pursuant to any equity incentive plan of the company described in this prospectus and to the extent permitted by the instruments representing such restricted stock unit awards or options outstanding as of the date hereof (and solely to cover the exercise price or withholding tax obligations in connection with such transaction and any transfer to the company for the payment of the exercise price or taxes as a result of such transaction); provided that (i) the shares received upon exercise or settlement of the option are subject to the terms of the lock-up agreement, (ii) no public disclosure or filing under Section 16(a) of the Exchange Act shall be voluntarily made during the restricted period and (iii) to the extent a filing under Section 16(a) of the Exchange Act is required during the restricted period as a result of transfers described herein, it shall clearly indicate that (A) the filing relates to the circumstances described herein, including that the securities remain subject to the terms of a lock-up agreement and (B) no securities were sold by such person other than as contemplated hereby;</w:t>
      </w:r>
    </w:p>
    <w:p>
      <w:pPr>
        <w:spacing w:after="0" w:line="84" w:lineRule="exact"/>
        <w:rPr>
          <w:rFonts w:ascii="Arial" w:cs="Arial" w:eastAsia="Arial" w:hAnsi="Arial"/>
          <w:sz w:val="17"/>
          <w:szCs w:val="17"/>
          <w:color w:val="auto"/>
        </w:rPr>
      </w:pPr>
    </w:p>
    <w:p>
      <w:pPr>
        <w:jc w:val="both"/>
        <w:ind w:left="1080" w:hanging="532"/>
        <w:spacing w:after="0" w:line="259"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transfers to the company in connection with the repurchase of common stock in connection with the termination of such person’s employment with the company pursuant to contractual agreements with the company as in effect as of the date hereof and (in certain cases) disclosed to Morgan Stanley &amp; Co. LLC and Jefferies LLC; provided that no public disclosure or filing under Section 16(a) of the Exchange Act shall be required or shall be voluntarily made during the restricted period;</w:t>
      </w:r>
    </w:p>
    <w:p>
      <w:pPr>
        <w:spacing w:after="0" w:line="92"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conversion of the outstanding preferred stock of the company described in this prospectus into shares of common stock of the company; provided that such shares of common stock remain subject to the terms of the lock-up agreement; or</w:t>
      </w:r>
    </w:p>
    <w:p>
      <w:pPr>
        <w:spacing w:after="0" w:line="75" w:lineRule="exact"/>
        <w:rPr>
          <w:rFonts w:ascii="Arial" w:cs="Arial" w:eastAsia="Arial" w:hAnsi="Arial"/>
          <w:sz w:val="18"/>
          <w:szCs w:val="18"/>
          <w:color w:val="auto"/>
        </w:rPr>
      </w:pPr>
    </w:p>
    <w:p>
      <w:pPr>
        <w:jc w:val="both"/>
        <w:ind w:left="1080" w:right="20" w:hanging="532"/>
        <w:spacing w:after="0" w:line="257"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transfers pursuant to a bona fide third-party tender offer, merger, consolidation or other similar transaction approved by the company’s board of directors and made to all holders of the company’s securities involving a change of control of the company (including, without limitation, the entering into any lock-up, voting or similar agreement pursuant to which such person may agree to transfer, sell, tender or otherwise dispose of common stock or other such securities in connection with such transaction, or vote any common stock or other such securities in favor of any such transaction);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40"/>
          </w:cols>
          <w:pgMar w:left="320" w:top="459"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100" w:right="20"/>
        <w:spacing w:after="0" w:line="263" w:lineRule="auto"/>
        <w:rPr>
          <w:sz w:val="20"/>
          <w:szCs w:val="20"/>
          <w:color w:val="auto"/>
        </w:rPr>
      </w:pPr>
      <w:r>
        <w:rPr>
          <w:rFonts w:ascii="Arial" w:cs="Arial" w:eastAsia="Arial" w:hAnsi="Arial"/>
          <w:sz w:val="18"/>
          <w:szCs w:val="18"/>
          <w:color w:val="auto"/>
        </w:rPr>
        <w:t>provided that in the event that such tender offer, merger, consolidation or other such transaction is not completed, such securities held by such person shall remain subject to the provisions of the lock-up agreement. The lock-ups of certain significant shareholders are subject to a pro rata release.</w:t>
      </w:r>
    </w:p>
    <w:p>
      <w:pPr>
        <w:spacing w:after="0" w:line="18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Morgan Stanley &amp; Co. LLC and Jefferies LLC, in their joint discretion, may release the common stock and other securities subject to the lock-up agreements described above in whole or in part at any time.</w:t>
      </w:r>
    </w:p>
    <w:p>
      <w:pPr>
        <w:spacing w:after="0" w:line="170"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7"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40"/>
          </w:cols>
          <w:pgMar w:left="320" w:top="459"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In relation to each Member State of the European Economic Area, each a Member State, no securities have been offered or will be offered pursuant to the offering to the public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offers of securities may be made to the public in that Member State at any time under the following exemptions under the Prospectus Regulation:</w:t>
      </w:r>
    </w:p>
    <w:p>
      <w:pPr>
        <w:spacing w:after="0" w:line="93" w:lineRule="exact"/>
        <w:rPr>
          <w:sz w:val="20"/>
          <w:szCs w:val="20"/>
          <w:color w:val="auto"/>
        </w:rPr>
      </w:pPr>
    </w:p>
    <w:p>
      <w:pPr>
        <w:ind w:left="1080" w:hanging="408"/>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130" w:lineRule="exact"/>
        <w:rPr>
          <w:rFonts w:ascii="Arial" w:cs="Arial" w:eastAsia="Arial" w:hAnsi="Arial"/>
          <w:sz w:val="18"/>
          <w:szCs w:val="18"/>
          <w:color w:val="auto"/>
        </w:rPr>
      </w:pPr>
    </w:p>
    <w:p>
      <w:pPr>
        <w:ind w:left="1080" w:right="20" w:hanging="418"/>
        <w:spacing w:after="0" w:line="277"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representatives; or</w:t>
      </w:r>
    </w:p>
    <w:p>
      <w:pPr>
        <w:spacing w:after="0" w:line="75" w:lineRule="exact"/>
        <w:rPr>
          <w:rFonts w:ascii="Arial" w:cs="Arial" w:eastAsia="Arial" w:hAnsi="Arial"/>
          <w:sz w:val="18"/>
          <w:szCs w:val="18"/>
          <w:color w:val="auto"/>
        </w:rPr>
      </w:pPr>
    </w:p>
    <w:p>
      <w:pPr>
        <w:ind w:left="1080" w:hanging="408"/>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provided that no such offer of shares shall require us or any of our representatives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representatives and us that it is a “qualified investor” as defined in the Prospectus Regulation.</w:t>
      </w:r>
    </w:p>
    <w:p>
      <w:pPr>
        <w:spacing w:after="0" w:line="187"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In the case of any shares being offered to a financial intermediary as that term is used in Article 5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representatives has been obtained to each such proposed offer or resale.</w:t>
      </w:r>
    </w:p>
    <w:p>
      <w:pPr>
        <w:spacing w:after="0" w:line="176"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For the purposes of this provision, the expression an “offer of shares to the public” in relation to any shares in any Member State means the communication in any form and by means of sufficient information on the terms of the offer and the shares to be offered so as to enable an investor to decide to purchase shares, the expression “Prospectus Regulation” means Regulation (EU) 2017/1129 (as amended).</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In relation to the United Kingdom, no securities have been offered or will be offered pursuant to this offering to the public in the United Kingdom prior to the publication of a prospectus in relation to the securities that either (i) has been approved by the Financial Conduct Authority, or (ii) is to be treated as if it had been approved by the Financial Conduct Authority in accordance with the transitional provision in Regulation 74 of the Prospectus (Amendment etc.) (EU Exit) Regulations 2019, except that offers of securities may be made to the public in the United Kingdom at any time under the following exemptions under the UK Prospectus Regulation:</w:t>
      </w:r>
    </w:p>
    <w:p>
      <w:pPr>
        <w:spacing w:after="0" w:line="93" w:lineRule="exact"/>
        <w:rPr>
          <w:sz w:val="20"/>
          <w:szCs w:val="20"/>
          <w:color w:val="auto"/>
        </w:rPr>
      </w:pPr>
    </w:p>
    <w:p>
      <w:pPr>
        <w:ind w:left="1080" w:hanging="408"/>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Article 2 of the UK Prospectus Regulation;</w:t>
      </w:r>
    </w:p>
    <w:p>
      <w:pPr>
        <w:spacing w:after="0" w:line="130" w:lineRule="exact"/>
        <w:rPr>
          <w:rFonts w:ascii="Arial" w:cs="Arial" w:eastAsia="Arial" w:hAnsi="Arial"/>
          <w:sz w:val="18"/>
          <w:szCs w:val="18"/>
          <w:color w:val="auto"/>
        </w:rPr>
      </w:pPr>
    </w:p>
    <w:p>
      <w:pPr>
        <w:ind w:left="1080" w:right="20" w:hanging="418"/>
        <w:spacing w:after="0" w:line="277"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Article 2 of the UK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80" w:hanging="408"/>
        <w:spacing w:after="0"/>
        <w:tabs>
          <w:tab w:leader="none" w:pos="108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in any other circumstances falling within section 86 of the Financial Services and Markets Act 2000, as amended, or the FSMA,</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140"/>
          </w:cols>
          <w:pgMar w:left="320" w:top="459"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provided that no such offer of shares shall require the issuer or any underwriter to publish a prospectus pursuant to section 85 of the FSMA or supplement a prospectus pursuant to Article 23 of the UK Prospectus Regulation.</w:t>
      </w:r>
    </w:p>
    <w:p>
      <w:pPr>
        <w:spacing w:after="0" w:line="170"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jc w:val="both"/>
        <w:ind w:left="1080" w:right="20" w:hanging="408"/>
        <w:spacing w:after="0" w:line="259"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shares of our common stock in circumstances in which Section 21(1) of the FSMA does not apply to us; and</w:t>
      </w:r>
    </w:p>
    <w:p>
      <w:pPr>
        <w:spacing w:after="0" w:line="92" w:lineRule="exact"/>
        <w:rPr>
          <w:rFonts w:ascii="Arial" w:cs="Arial" w:eastAsia="Arial" w:hAnsi="Arial"/>
          <w:sz w:val="18"/>
          <w:szCs w:val="18"/>
          <w:color w:val="auto"/>
        </w:rPr>
      </w:pPr>
    </w:p>
    <w:p>
      <w:pPr>
        <w:ind w:left="1080" w:right="20" w:hanging="418"/>
        <w:spacing w:after="0" w:line="277"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The shares of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must be made in accordance with an exemption from, or in a transaction not subject to, the prospectus requirements of applicable securities laws.</w:t>
      </w:r>
    </w:p>
    <w:p>
      <w:pPr>
        <w:spacing w:after="0" w:line="157"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jc w:val="both"/>
        <w:ind w:left="120" w:firstLine="440"/>
        <w:spacing w:after="0" w:line="342"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or the FIEL, has been made or will be made with respect to the solicitation of the application for the acquisition of the shares of common stock.</w:t>
      </w:r>
    </w:p>
    <w:p>
      <w:pPr>
        <w:spacing w:after="0" w:line="124"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40"/>
          </w:cols>
          <w:pgMar w:left="32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 Qualified Institutional Investors (“QII”)</w:t>
      </w:r>
    </w:p>
    <w:p>
      <w:pPr>
        <w:spacing w:after="0" w:line="11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Please note that the solicitation for newly 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 Non-QII Investors</w:t>
      </w:r>
    </w:p>
    <w:p>
      <w:pPr>
        <w:spacing w:after="0" w:line="11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Please note that the solicitation for newly 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Shares of our common stock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shares of our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of our common stock which are or are intended to be disposed of only to persons outside Hong Kong or only to “professional investors” in Hong Kong as defined in the Securities and Futures Ordinance and any rules made thereunder.</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common stock may not be circulated or distributed, nor may the shares of our common stock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92"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Where shares of our common stock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shares of our common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140"/>
          </w:cols>
          <w:pgMar w:left="32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4" w:lineRule="auto"/>
        <w:rPr>
          <w:sz w:val="20"/>
          <w:szCs w:val="20"/>
          <w:color w:val="auto"/>
        </w:rPr>
      </w:pPr>
      <w:r>
        <w:rPr>
          <w:rFonts w:ascii="Arial" w:cs="Arial" w:eastAsia="Arial" w:hAnsi="Arial"/>
          <w:sz w:val="17"/>
          <w:szCs w:val="17"/>
          <w:color w:val="auto"/>
        </w:rPr>
        <w:t>stock under Section 275 of the SFA except: (1) to an institutional investor under Section 274 of the SFA or to a relevant person (as defined in Section 275(2) of the SFA), (2) where such transfer arises from an offer in that corporation’s securities pursuant to Section 275(1A) of the SFA,</w:t>
      </w:r>
    </w:p>
    <w:p>
      <w:pPr>
        <w:jc w:val="both"/>
        <w:ind w:left="120" w:right="20" w:hanging="4"/>
        <w:spacing w:after="0" w:line="255" w:lineRule="auto"/>
        <w:tabs>
          <w:tab w:leader="none" w:pos="37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90"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Where shares of our common stock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shares of our common stock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78"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i w:val="1"/>
          <w:iCs w:val="1"/>
          <w:color w:val="auto"/>
        </w:rPr>
        <w:t>Solely for purposes of the notification requirements under Section 309B(1)(c) of the Securities and Futures Act, Chapter 289 of Singapore, the shares of our common stock are “prescribed capital markets products” (as defined in the Securities and Futures (Capital Markets Products) Regulations 2018) and Excluded Investment Products (as defined in MAS Notice SFA 04-N12: Notice on the Sale of Investment Products and MAS Notice FAA-N16:</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Notice on Recommendations on Investment Products).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Israel</w:t>
      </w:r>
    </w:p>
    <w:p>
      <w:pPr>
        <w:spacing w:after="0" w:line="117"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In the State of Israel this prospectus shall not be regarded as an offer to the public to purchase shares of common stock under the Israeli Securities Law, 5728 – 1968, which requires a prospectus to be published and authorized by the Israel Securities Authority, if it complies with certain provisions of Section 15 of the Israeli Securities Law, 5728 – 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 – 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 – 1968. We have not and will not distribute this prospectus or make, distribute or direct an offer to subscribe for our common stock to any person within the State of Israel, other than to Qualified Investors and up to 35 Addressed Investors.</w:t>
      </w:r>
    </w:p>
    <w:p>
      <w:pPr>
        <w:spacing w:after="0" w:line="73"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Qualified Investors may have to submit written evidence that they meet the definitions set out in of the First Addendum to the Israeli Securities Law, 5728 – 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 – 1968; (ii) which of the categories listed in the First Addendum to the Israeli Securities Law, 5728 – 1968 regarding Qualified Investors is applicable to it; (iii) that it will abide by all provisions set forth in the Israeli Securities Law, 5728 – 1968 and the regulations promulgated thereunder in connection with the offer to be issued common stock; (iv) that the shares of common stock that it will be issued are, subject to exemptions available under the Israeli Securities Law, 5728 – 1968: (a) for its own account; (b) for investment purposes only; and (c)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This document is not intended to constitute an offer or solicitation to purchase or invest in the securities. The securities may not be publicly offered, directly or indirectly, in Switzerland within the meaning of the Swiss Financial Services Act (“FinSA”) and no application has or will be made to admit the securities to trading on any trading venue (exchange or multilateral trading facility) in Switzerland. Neither this document nor any other offering or marketing material relating to the securities constitutes a prospectus pursuant to the FinSA, and neither this document nor any other offering or marketing material relating to the securities may be publicly distributed or otherwise made publicly available in Switzerland.</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40"/>
          </w:cols>
          <w:pgMar w:left="32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The validity of the shares of common stock offered hereby will be passed upon for us by Cooley LLP, New York, New York. Certain legal matters will be passed upon for the underwriters by Davis Polk &amp; Wardwell LLP, New York, New York. As of the date of this prospectus, GC&amp;H Investments, L.P. and GC&amp;H Investments A1, L.P., entities consisting of current and former partners and associates of Cooley LLP, collectively beneficially hold an aggregate of 64,030 shares of our common stock on an as-converted basis.</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The financial statements as of December 31, 2020 and for the period from June 3, 2020 (inception) to December 31, 2020 included in this prospectus have been so included in reliance on the report (which contains an explanatory paragraph relating to the Company’s ability to continue as a going concern as described in Note 1 to the consolidated financial statements) of PricewaterhouseCoopers LLP, an independent registered public accounting firm, given on the authority of said firm as experts in auditing and accounting.</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being offered by this prospectus. This prospectus, which constitutes part of the registration statement, does not contain all of the information in the registration statement and its exhibits. For further information with respect to our company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7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You can read our SEC filings, including the registration statement, over the internet at the SEC’s website at www.sec.gov. Upon completion of this offering, we will be subject to the information reporting requirements of the Exchange Act, and we will file reports, proxy statements and other information with the SEC. These reports, proxy statements and other information will be available at www.sec.gov.</w:t>
      </w:r>
    </w:p>
    <w:p>
      <w:pPr>
        <w:spacing w:after="0" w:line="184"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We also maintain a website at adagiotx.com, at which you may access these materials free of charge as soon as reasonably practicable after they are electronically filed with, or furnished to, the SEC. The information contained in, or that can be accessed through, our website is not part of, and is not incorporated into, this prospectus. We have included our website in this prospectus solely as an inactive textual reference.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40"/>
          </w:cols>
          <w:pgMar w:left="320" w:top="459"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20" w:type="dxa"/>
            <w:vAlign w:val="bottom"/>
            <w:gridSpan w:val="4"/>
            <w:vMerge w:val="restart"/>
          </w:tcPr>
          <w:p>
            <w:pPr>
              <w:spacing w:after="0"/>
              <w:rPr>
                <w:rFonts w:ascii="Arial" w:cs="Arial" w:eastAsia="Arial" w:hAnsi="Arial"/>
                <w:sz w:val="18"/>
                <w:szCs w:val="18"/>
                <w:color w:val="0000EE"/>
                <w:w w:val="91"/>
              </w:rPr>
            </w:pPr>
            <w:hyperlink w:anchor="page222">
              <w:r>
                <w:rPr>
                  <w:rFonts w:ascii="Arial" w:cs="Arial" w:eastAsia="Arial" w:hAnsi="Arial"/>
                  <w:sz w:val="18"/>
                  <w:szCs w:val="18"/>
                  <w:color w:val="0000EE"/>
                  <w:w w:val="91"/>
                </w:rPr>
                <w:t>Report of Independent Registered Public Accounting Firm</w:t>
              </w:r>
            </w:hyperlink>
          </w:p>
        </w:tc>
        <w:tc>
          <w:tcPr>
            <w:tcW w:w="6420" w:type="dxa"/>
            <w:vAlign w:val="bottom"/>
            <w:gridSpan w:val="3"/>
            <w:vMerge w:val="restart"/>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0"/>
        </w:trPr>
        <w:tc>
          <w:tcPr>
            <w:tcW w:w="4220" w:type="dxa"/>
            <w:vAlign w:val="bottom"/>
            <w:tcBorders>
              <w:bottom w:val="single" w:sz="8" w:color="0000EE"/>
            </w:tcBorders>
            <w:gridSpan w:val="4"/>
            <w:vMerge w:val="continue"/>
          </w:tcPr>
          <w:p>
            <w:pPr>
              <w:spacing w:after="0"/>
              <w:rPr>
                <w:sz w:val="13"/>
                <w:szCs w:val="13"/>
                <w:color w:val="auto"/>
              </w:rPr>
            </w:pPr>
          </w:p>
        </w:tc>
        <w:tc>
          <w:tcPr>
            <w:tcW w:w="6420" w:type="dxa"/>
            <w:vAlign w:val="bottom"/>
            <w:gridSpan w:val="3"/>
            <w:vMerge w:val="continue"/>
          </w:tcPr>
          <w:p>
            <w:pPr>
              <w:spacing w:after="0"/>
              <w:rPr>
                <w:sz w:val="13"/>
                <w:szCs w:val="13"/>
                <w:color w:val="auto"/>
              </w:rPr>
            </w:pPr>
          </w:p>
        </w:tc>
        <w:tc>
          <w:tcPr>
            <w:tcW w:w="32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6"/>
                <w:szCs w:val="16"/>
                <w:color w:val="auto"/>
                <w:w w:val="99"/>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640" w:type="dxa"/>
            <w:vAlign w:val="bottom"/>
            <w:gridSpan w:val="7"/>
          </w:tcPr>
          <w:p>
            <w:pPr>
              <w:spacing w:after="0"/>
              <w:rPr>
                <w:rFonts w:ascii="Arial" w:cs="Arial" w:eastAsia="Arial" w:hAnsi="Arial"/>
                <w:sz w:val="18"/>
                <w:szCs w:val="18"/>
                <w:color w:val="0000EE"/>
              </w:rPr>
            </w:pPr>
            <w:hyperlink w:anchor="page223">
              <w:r>
                <w:rPr>
                  <w:rFonts w:ascii="Arial" w:cs="Arial" w:eastAsia="Arial" w:hAnsi="Arial"/>
                  <w:sz w:val="18"/>
                  <w:szCs w:val="18"/>
                  <w:color w:val="0000EE"/>
                </w:rPr>
                <w:t>Consolidated Balance Sheets</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224">
              <w:r>
                <w:rPr>
                  <w:rFonts w:ascii="Arial" w:cs="Arial" w:eastAsia="Arial" w:hAnsi="Arial"/>
                  <w:sz w:val="18"/>
                  <w:szCs w:val="18"/>
                  <w:color w:val="0000EE"/>
                  <w:w w:val="89"/>
                </w:rPr>
                <w:t>Consolidated Statements of Operations and Comprehensive Loss</w:t>
              </w:r>
            </w:hyperlink>
          </w:p>
        </w:tc>
        <w:tc>
          <w:tcPr>
            <w:tcW w:w="5960" w:type="dxa"/>
            <w:vAlign w:val="bottom"/>
            <w:gridSpan w:val="2"/>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196"/>
        </w:trPr>
        <w:tc>
          <w:tcPr>
            <w:tcW w:w="59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225">
              <w:r>
                <w:rPr>
                  <w:rFonts w:ascii="Arial" w:cs="Arial" w:eastAsia="Arial" w:hAnsi="Arial"/>
                  <w:sz w:val="18"/>
                  <w:szCs w:val="18"/>
                  <w:color w:val="0000EE"/>
                  <w:w w:val="90"/>
                </w:rPr>
                <w:t>Consolidated Statements of Convertible Preferred Stock and Stockholders’ Deficit</w:t>
              </w:r>
            </w:hyperlink>
          </w:p>
        </w:tc>
        <w:tc>
          <w:tcPr>
            <w:tcW w:w="4720" w:type="dxa"/>
            <w:vAlign w:val="bottom"/>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196"/>
        </w:trPr>
        <w:tc>
          <w:tcPr>
            <w:tcW w:w="10640" w:type="dxa"/>
            <w:vAlign w:val="bottom"/>
            <w:gridSpan w:val="7"/>
          </w:tcPr>
          <w:p>
            <w:pPr>
              <w:spacing w:after="0" w:line="196" w:lineRule="exact"/>
              <w:rPr>
                <w:rFonts w:ascii="Arial" w:cs="Arial" w:eastAsia="Arial" w:hAnsi="Arial"/>
                <w:sz w:val="18"/>
                <w:szCs w:val="18"/>
                <w:color w:val="0000EE"/>
              </w:rPr>
            </w:pPr>
            <w:hyperlink w:anchor="page227">
              <w:r>
                <w:rPr>
                  <w:rFonts w:ascii="Arial" w:cs="Arial" w:eastAsia="Arial" w:hAnsi="Arial"/>
                  <w:sz w:val="18"/>
                  <w:szCs w:val="18"/>
                  <w:color w:val="0000EE"/>
                </w:rPr>
                <w:t>Consolidated Statements of Cash Flows</w:t>
              </w:r>
            </w:hyperlink>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20"/>
        </w:trPr>
        <w:tc>
          <w:tcPr>
            <w:tcW w:w="28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50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7"/>
          </w:tcPr>
          <w:p>
            <w:pPr>
              <w:spacing w:after="0" w:line="196" w:lineRule="exact"/>
              <w:rPr>
                <w:rFonts w:ascii="Arial" w:cs="Arial" w:eastAsia="Arial" w:hAnsi="Arial"/>
                <w:sz w:val="18"/>
                <w:szCs w:val="18"/>
                <w:color w:val="0000EE"/>
              </w:rPr>
            </w:pPr>
            <w:hyperlink w:anchor="page228">
              <w:r>
                <w:rPr>
                  <w:rFonts w:ascii="Arial" w:cs="Arial" w:eastAsia="Arial" w:hAnsi="Arial"/>
                  <w:sz w:val="18"/>
                  <w:szCs w:val="18"/>
                  <w:color w:val="0000EE"/>
                </w:rPr>
                <w:t>Notes to Consolidated Financial Statements</w:t>
              </w:r>
            </w:hyperlink>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F-8</w:t>
            </w:r>
          </w:p>
        </w:tc>
        <w:tc>
          <w:tcPr>
            <w:tcW w:w="0" w:type="dxa"/>
            <w:vAlign w:val="bottom"/>
          </w:tcPr>
          <w:p>
            <w:pPr>
              <w:spacing w:after="0"/>
              <w:rPr>
                <w:sz w:val="1"/>
                <w:szCs w:val="1"/>
                <w:color w:val="auto"/>
              </w:rPr>
            </w:pPr>
          </w:p>
        </w:tc>
      </w:tr>
      <w:tr>
        <w:trPr>
          <w:trHeight w:val="385"/>
        </w:trPr>
        <w:tc>
          <w:tcPr>
            <w:tcW w:w="208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960" w:type="dxa"/>
            <w:vAlign w:val="bottom"/>
            <w:gridSpan w:val="2"/>
          </w:tcPr>
          <w:p>
            <w:pPr>
              <w:ind w:left="700"/>
              <w:spacing w:after="0"/>
              <w:rPr>
                <w:sz w:val="20"/>
                <w:szCs w:val="20"/>
                <w:color w:val="auto"/>
              </w:rPr>
            </w:pPr>
            <w:r>
              <w:rPr>
                <w:rFonts w:ascii="Arial" w:cs="Arial" w:eastAsia="Arial" w:hAnsi="Arial"/>
                <w:sz w:val="18"/>
                <w:szCs w:val="18"/>
                <w:color w:val="auto"/>
              </w:rPr>
              <w:t>F-1</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Stockholders of Adagio Therapeutics, Inc.</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17"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We have audited the accompanying consolidated balance sheet of Adagio Therapeutics, Inc. and its subsidiary (the “Company”) as of December 31, 2020, and the related consolidated statements of operations and comprehensive loss, of convertible preferred stock and stockholders’ deficit and of cash flows for the period from June 3, 2020 (inception) to December 31, 2020, including the related notes (collectively referred to as the “consolidated financial statements”). In our opinion, the consolidated financial statements present fairly, in all material respects, the financial position of the Company as of December 31, 2020, and the results of its operations and its cash flows for the period from June 3, 2020 (inception) to December 31, 2020 in conformity with accounting principles generally accepted in the United States of America.</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Substantial Doubt about the Company’s Ability to Continue as a Going Concern</w:t>
      </w:r>
    </w:p>
    <w:p>
      <w:pPr>
        <w:spacing w:after="0" w:line="117"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1 to the consolidated financial statements, the Company has incurred recurring losses from operations since inception, expects to continue to generate operating losses for the foreseeable future and will require additional capital to finance its future operations. These conditions raise substantial doubt about the Company’s ability to continue as a going concern. Management’s plans in regard to these matters are also described in Note 1. The consolidated financial statements do not include any adjustments that might result from the outcome of this uncertainty.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conducted our audit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4"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jc w:val="both"/>
        <w:ind w:left="560" w:right="20" w:hanging="422"/>
        <w:spacing w:after="0" w:line="260" w:lineRule="auto"/>
        <w:rPr>
          <w:sz w:val="20"/>
          <w:szCs w:val="20"/>
          <w:color w:val="auto"/>
        </w:rPr>
      </w:pPr>
      <w:r>
        <w:rPr>
          <w:rFonts w:ascii="Arial" w:cs="Arial" w:eastAsia="Arial" w:hAnsi="Arial"/>
          <w:sz w:val="18"/>
          <w:szCs w:val="18"/>
          <w:color w:val="auto"/>
        </w:rPr>
        <w:t>May 21, 2021, except for the effects of the stock split discussed in Note 15 to the consolidated financial statements, as to which the date is August 2, 2021</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2021.</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40"/>
          </w:cols>
          <w:pgMar w:left="320" w:top="459"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860" w:type="dxa"/>
            <w:vAlign w:val="bottom"/>
            <w:gridSpan w:val="3"/>
          </w:tcPr>
          <w:p>
            <w:pPr>
              <w:jc w:val="right"/>
              <w:ind w:right="101"/>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8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r>
      <w:tr>
        <w:trPr>
          <w:trHeight w:val="142"/>
        </w:trPr>
        <w:tc>
          <w:tcPr>
            <w:tcW w:w="8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(unaudited)</w:t>
            </w:r>
          </w:p>
        </w:tc>
        <w:tc>
          <w:tcPr>
            <w:tcW w:w="120" w:type="dxa"/>
            <w:vAlign w:val="bottom"/>
          </w:tcPr>
          <w:p>
            <w:pPr>
              <w:spacing w:after="0"/>
              <w:rPr>
                <w:sz w:val="12"/>
                <w:szCs w:val="12"/>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114,988</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91,247</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2,394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3,627</w:t>
            </w:r>
          </w:p>
        </w:tc>
      </w:tr>
      <w:tr>
        <w:trPr>
          <w:trHeight w:val="27"/>
        </w:trPr>
        <w:tc>
          <w:tcPr>
            <w:tcW w:w="8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117,382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94,874</w:t>
            </w:r>
          </w:p>
        </w:tc>
      </w:tr>
      <w:tr>
        <w:trPr>
          <w:trHeight w:val="223"/>
        </w:trPr>
        <w:tc>
          <w:tcPr>
            <w:tcW w:w="880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117,382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94,874</w:t>
            </w:r>
          </w:p>
        </w:tc>
        <w:tc>
          <w:tcPr>
            <w:tcW w:w="120" w:type="dxa"/>
            <w:vAlign w:val="bottom"/>
          </w:tcPr>
          <w:p>
            <w:pPr>
              <w:spacing w:after="0"/>
              <w:rPr>
                <w:sz w:val="19"/>
                <w:szCs w:val="19"/>
                <w:color w:val="auto"/>
              </w:rPr>
            </w:pPr>
          </w:p>
        </w:tc>
      </w:tr>
      <w:tr>
        <w:trPr>
          <w:trHeight w:val="20"/>
        </w:trPr>
        <w:tc>
          <w:tcPr>
            <w:tcW w:w="8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8,153</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11,317</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4,919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17,360</w:t>
            </w:r>
          </w:p>
        </w:tc>
      </w:tr>
      <w:tr>
        <w:trPr>
          <w:trHeight w:val="27"/>
        </w:trPr>
        <w:tc>
          <w:tcPr>
            <w:tcW w:w="8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28,677</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Early-exercise liability</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11</w:t>
            </w:r>
          </w:p>
        </w:tc>
      </w:tr>
      <w:tr>
        <w:trPr>
          <w:trHeight w:val="27"/>
        </w:trPr>
        <w:tc>
          <w:tcPr>
            <w:tcW w:w="8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28,688</w:t>
            </w:r>
          </w:p>
        </w:tc>
      </w:tr>
      <w:tr>
        <w:trPr>
          <w:trHeight w:val="223"/>
        </w:trPr>
        <w:tc>
          <w:tcPr>
            <w:tcW w:w="8800" w:type="dxa"/>
            <w:vAlign w:val="bottom"/>
          </w:tcPr>
          <w:p>
            <w:pPr>
              <w:spacing w:after="0"/>
              <w:rPr>
                <w:sz w:val="20"/>
                <w:szCs w:val="20"/>
                <w:color w:val="auto"/>
              </w:rPr>
            </w:pPr>
            <w:r>
              <w:rPr>
                <w:rFonts w:ascii="Arial" w:cs="Arial" w:eastAsia="Arial" w:hAnsi="Arial"/>
                <w:sz w:val="18"/>
                <w:szCs w:val="18"/>
                <w:color w:val="auto"/>
              </w:rPr>
              <w:t>Commitments and contingencies (Note 7)</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2"/>
        </w:trPr>
        <w:tc>
          <w:tcPr>
            <w:tcW w:w="8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Series A convertible preferred stock, $0.0001 par value; 11,237,500 shares authorized, issued and outstanding as of</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December 31, 2020 and March 31, 2021 (unaudited); liquidation preference of $89,900 as of December 31, 2020</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March 31, 2021 (unaudited)</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89,706</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89,706</w:t>
            </w:r>
          </w:p>
        </w:tc>
      </w:tr>
      <w:tr>
        <w:trPr>
          <w:trHeight w:val="209"/>
        </w:trPr>
        <w:tc>
          <w:tcPr>
            <w:tcW w:w="8800" w:type="dxa"/>
            <w:vAlign w:val="bottom"/>
          </w:tcPr>
          <w:p>
            <w:pPr>
              <w:spacing w:after="0"/>
              <w:rPr>
                <w:sz w:val="20"/>
                <w:szCs w:val="20"/>
                <w:color w:val="auto"/>
              </w:rPr>
            </w:pPr>
            <w:r>
              <w:rPr>
                <w:rFonts w:ascii="Arial" w:cs="Arial" w:eastAsia="Arial" w:hAnsi="Arial"/>
                <w:sz w:val="18"/>
                <w:szCs w:val="18"/>
                <w:color w:val="auto"/>
                <w:w w:val="95"/>
              </w:rPr>
              <w:t>Series B convertible preferred stock, $0.0001 par value; 1,410,434 shares authorized, issued and outstanding as of</w:t>
            </w: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0" w:type="dxa"/>
            <w:vAlign w:val="bottom"/>
          </w:tcPr>
          <w:p>
            <w:pPr>
              <w:ind w:left="180"/>
              <w:spacing w:after="0"/>
              <w:rPr>
                <w:sz w:val="20"/>
                <w:szCs w:val="20"/>
                <w:color w:val="auto"/>
              </w:rPr>
            </w:pPr>
            <w:r>
              <w:rPr>
                <w:rFonts w:ascii="Arial" w:cs="Arial" w:eastAsia="Arial" w:hAnsi="Arial"/>
                <w:sz w:val="18"/>
                <w:szCs w:val="18"/>
                <w:color w:val="auto"/>
                <w:w w:val="95"/>
              </w:rPr>
              <w:t>December 31, 2020 and March 31, 2021 (unaudited); liquidation preference of $80,000 as of December 31, 2020</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and March 31, 2021 (unaudited)</w:t>
            </w:r>
          </w:p>
        </w:tc>
        <w:tc>
          <w:tcPr>
            <w:tcW w:w="18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79,842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79,842</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8800" w:type="dxa"/>
            <w:vAlign w:val="bottom"/>
          </w:tcPr>
          <w:p>
            <w:pPr>
              <w:ind w:left="360"/>
              <w:spacing w:after="0" w:line="201" w:lineRule="exact"/>
              <w:rPr>
                <w:sz w:val="20"/>
                <w:szCs w:val="20"/>
                <w:color w:val="auto"/>
              </w:rPr>
            </w:pPr>
            <w:r>
              <w:rPr>
                <w:rFonts w:ascii="Arial" w:cs="Arial" w:eastAsia="Arial" w:hAnsi="Arial"/>
                <w:sz w:val="18"/>
                <w:szCs w:val="18"/>
                <w:color w:val="auto"/>
                <w:w w:val="96"/>
              </w:rPr>
              <w:t>Common stock, $0.0001 par value; 150,000,000 shares authorized, 28,193,240 shares issued and 5,593,240</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800" w:type="dxa"/>
            <w:vAlign w:val="bottom"/>
          </w:tcPr>
          <w:p>
            <w:pPr>
              <w:ind w:left="540"/>
              <w:spacing w:after="0"/>
              <w:rPr>
                <w:sz w:val="20"/>
                <w:szCs w:val="20"/>
                <w:color w:val="auto"/>
              </w:rPr>
            </w:pPr>
            <w:r>
              <w:rPr>
                <w:rFonts w:ascii="Arial" w:cs="Arial" w:eastAsia="Arial" w:hAnsi="Arial"/>
                <w:sz w:val="18"/>
                <w:szCs w:val="18"/>
                <w:color w:val="auto"/>
              </w:rPr>
              <w:t>shares outstanding as of December 31, 2020 and March 31, 2021 (unaudited)</w:t>
            </w:r>
          </w:p>
        </w:tc>
        <w:tc>
          <w:tcPr>
            <w:tcW w:w="18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stock, at cost; 22,600,000 shares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741</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(65,319)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(104,019)</w:t>
            </w:r>
          </w:p>
        </w:tc>
      </w:tr>
      <w:tr>
        <w:trPr>
          <w:trHeight w:val="230"/>
        </w:trPr>
        <w:tc>
          <w:tcPr>
            <w:tcW w:w="8800" w:type="dxa"/>
            <w:vAlign w:val="bottom"/>
          </w:tcPr>
          <w:p>
            <w:pPr>
              <w:ind w:left="720"/>
              <w:spacing w:after="0"/>
              <w:rPr>
                <w:sz w:val="20"/>
                <w:szCs w:val="20"/>
                <w:color w:val="auto"/>
              </w:rPr>
            </w:pPr>
            <w:r>
              <w:rPr>
                <w:rFonts w:ascii="Arial" w:cs="Arial" w:eastAsia="Arial" w:hAnsi="Arial"/>
                <w:sz w:val="18"/>
                <w:szCs w:val="18"/>
                <w:color w:val="auto"/>
              </w:rPr>
              <w:t>Total stockholders’ deficit</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(65,249)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(103,362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117,382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94,874</w:t>
            </w:r>
          </w:p>
        </w:tc>
      </w:tr>
      <w:tr>
        <w:trPr>
          <w:trHeight w:val="20"/>
        </w:trPr>
        <w:tc>
          <w:tcPr>
            <w:tcW w:w="8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4"/>
              </w:rPr>
              <w:t>Period from</w:t>
            </w:r>
          </w:p>
        </w:tc>
        <w:tc>
          <w:tcPr>
            <w:tcW w:w="360" w:type="dxa"/>
            <w:vAlign w:val="bottom"/>
          </w:tcPr>
          <w:p>
            <w:pPr>
              <w:spacing w:after="0"/>
              <w:rPr>
                <w:sz w:val="14"/>
                <w:szCs w:val="14"/>
                <w:color w:val="auto"/>
              </w:rPr>
            </w:pPr>
          </w:p>
        </w:tc>
        <w:tc>
          <w:tcPr>
            <w:tcW w:w="1080" w:type="dxa"/>
            <w:vAlign w:val="bottom"/>
            <w:gridSpan w:val="3"/>
            <w:vMerge w:val="restart"/>
          </w:tcPr>
          <w:p>
            <w:pPr>
              <w:jc w:val="center"/>
              <w:ind w:right="41"/>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June 3, 2020</w:t>
            </w:r>
          </w:p>
        </w:tc>
        <w:tc>
          <w:tcPr>
            <w:tcW w:w="3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61"/>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0" w:type="dxa"/>
            <w:vAlign w:val="bottom"/>
            <w:gridSpan w:val="4"/>
          </w:tcPr>
          <w:p>
            <w:pPr>
              <w:spacing w:after="0"/>
              <w:rPr>
                <w:sz w:val="20"/>
                <w:szCs w:val="20"/>
                <w:color w:val="auto"/>
              </w:rPr>
            </w:pPr>
            <w:r>
              <w:rPr>
                <w:rFonts w:ascii="Arial" w:cs="Arial" w:eastAsia="Arial" w:hAnsi="Arial"/>
                <w:sz w:val="14"/>
                <w:szCs w:val="14"/>
                <w:b w:val="1"/>
                <w:bCs w:val="1"/>
                <w:color w:val="auto"/>
              </w:rPr>
              <w:t>December 31, 2020</w:t>
            </w:r>
          </w:p>
        </w:tc>
        <w:tc>
          <w:tcPr>
            <w:tcW w:w="3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ind w:right="33"/>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36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1480" w:type="dxa"/>
            <w:vAlign w:val="bottom"/>
            <w:gridSpan w:val="2"/>
          </w:tcPr>
          <w:p>
            <w:pPr>
              <w:ind w:left="136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21,992</w:t>
            </w:r>
          </w:p>
        </w:tc>
        <w:tc>
          <w:tcPr>
            <w:tcW w:w="420" w:type="dxa"/>
            <w:vAlign w:val="bottom"/>
          </w:tcPr>
          <w:p>
            <w:pPr>
              <w:spacing w:after="0"/>
              <w:rPr>
                <w:sz w:val="18"/>
                <w:szCs w:val="18"/>
                <w:color w:val="auto"/>
              </w:rPr>
            </w:pP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34,032</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Acquired in-process research and development</w:t>
            </w:r>
            <w:r>
              <w:rPr>
                <w:rFonts w:ascii="Arial" w:cs="Arial" w:eastAsia="Arial" w:hAnsi="Arial"/>
                <w:sz w:val="15"/>
                <w:szCs w:val="15"/>
                <w:color w:val="auto"/>
              </w:rPr>
              <w:t>(2)</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40,125</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6620" w:type="dxa"/>
            <w:vAlign w:val="bottom"/>
            <w:gridSpan w:val="2"/>
          </w:tcPr>
          <w:p>
            <w:pPr>
              <w:ind w:left="360"/>
              <w:spacing w:after="0"/>
              <w:rPr>
                <w:sz w:val="20"/>
                <w:szCs w:val="20"/>
                <w:color w:val="auto"/>
              </w:rPr>
            </w:pPr>
            <w:r>
              <w:rPr>
                <w:rFonts w:ascii="Arial" w:cs="Arial" w:eastAsia="Arial" w:hAnsi="Arial"/>
                <w:sz w:val="18"/>
                <w:szCs w:val="18"/>
                <w:color w:val="auto"/>
              </w:rPr>
              <w:t>Selling, general and administrative</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3,210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3,677</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65,327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38,709</w:t>
            </w:r>
          </w:p>
        </w:tc>
        <w:tc>
          <w:tcPr>
            <w:tcW w:w="0" w:type="dxa"/>
            <w:vAlign w:val="bottom"/>
          </w:tcPr>
          <w:p>
            <w:pPr>
              <w:spacing w:after="0"/>
              <w:rPr>
                <w:sz w:val="1"/>
                <w:szCs w:val="1"/>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(65,327)</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360"/>
              <w:spacing w:after="0"/>
              <w:rPr>
                <w:sz w:val="20"/>
                <w:szCs w:val="20"/>
                <w:color w:val="auto"/>
              </w:rPr>
            </w:pPr>
            <w:r>
              <w:rPr>
                <w:rFonts w:ascii="Arial" w:cs="Arial" w:eastAsia="Arial" w:hAnsi="Arial"/>
                <w:sz w:val="18"/>
                <w:szCs w:val="18"/>
                <w:color w:val="auto"/>
              </w:rPr>
              <w:t>Interest income</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other income</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6620" w:type="dxa"/>
            <w:vAlign w:val="bottom"/>
            <w:gridSpan w:val="2"/>
          </w:tcPr>
          <w:p>
            <w:pPr>
              <w:spacing w:after="0"/>
              <w:rPr>
                <w:sz w:val="20"/>
                <w:szCs w:val="20"/>
                <w:color w:val="auto"/>
              </w:rPr>
            </w:pPr>
            <w:r>
              <w:rPr>
                <w:rFonts w:ascii="Arial" w:cs="Arial" w:eastAsia="Arial" w:hAnsi="Arial"/>
                <w:sz w:val="18"/>
                <w:szCs w:val="18"/>
                <w:color w:val="auto"/>
              </w:rPr>
              <w:t>Net loss and comprehensive loss</w:t>
            </w:r>
          </w:p>
        </w:tc>
        <w:tc>
          <w:tcPr>
            <w:tcW w:w="1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(65,319)</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(38,700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48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w w:val="99"/>
              </w:rPr>
              <w:t>$</w:t>
            </w: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(18.10)</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1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gridSpan w:val="2"/>
            <w:vMerge w:val="continue"/>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3,608,491</w:t>
            </w:r>
          </w:p>
        </w:tc>
        <w:tc>
          <w:tcPr>
            <w:tcW w:w="2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54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line="258" w:lineRule="auto"/>
        <w:tabs>
          <w:tab w:leader="none" w:pos="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Includes related-party amounts of $595 for the period from June 3, 2020 (inception) to December 31, 2020 and $188 for the three months ended March 31, 2021 (see Note 6).</w:t>
      </w:r>
    </w:p>
    <w:p>
      <w:pPr>
        <w:spacing w:after="0" w:line="1" w:lineRule="exact"/>
        <w:rPr>
          <w:rFonts w:ascii="Arial" w:cs="Arial" w:eastAsia="Arial" w:hAnsi="Arial"/>
          <w:sz w:val="18"/>
          <w:szCs w:val="18"/>
          <w:color w:val="auto"/>
        </w:rPr>
      </w:pPr>
    </w:p>
    <w:p>
      <w:pPr>
        <w:ind w:left="540" w:right="20" w:hanging="424"/>
        <w:spacing w:after="0" w:line="260" w:lineRule="auto"/>
        <w:tabs>
          <w:tab w:leader="none" w:pos="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Includes related-party amounts of $39,915 for the period from June 3, 2020 (inception) to December 31, 2020 and $1,000 for the three months ended March 31, 2021 (see Note 6).</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amounts)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26"/>
        </w:trPr>
        <w:tc>
          <w:tcPr>
            <w:tcW w:w="1280" w:type="dxa"/>
            <w:vAlign w:val="bottom"/>
          </w:tcPr>
          <w:p>
            <w:pPr>
              <w:spacing w:after="0"/>
              <w:rPr>
                <w:sz w:val="2"/>
                <w:szCs w:val="2"/>
                <w:color w:val="auto"/>
              </w:rPr>
            </w:pPr>
          </w:p>
        </w:tc>
        <w:tc>
          <w:tcPr>
            <w:tcW w:w="170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w w:val="91"/>
              </w:rPr>
              <w:t>Series A Convertible</w:t>
            </w:r>
          </w:p>
        </w:tc>
        <w:tc>
          <w:tcPr>
            <w:tcW w:w="168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91"/>
              </w:rPr>
              <w:t>Series B Convertible</w:t>
            </w:r>
          </w:p>
        </w:tc>
        <w:tc>
          <w:tcPr>
            <w:tcW w:w="20" w:type="dxa"/>
            <w:vAlign w:val="bottom"/>
          </w:tcPr>
          <w:p>
            <w:pPr>
              <w:spacing w:after="0"/>
              <w:rPr>
                <w:sz w:val="2"/>
                <w:szCs w:val="2"/>
                <w:color w:val="auto"/>
              </w:rPr>
            </w:pPr>
          </w:p>
        </w:tc>
        <w:tc>
          <w:tcPr>
            <w:tcW w:w="142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w w:val="97"/>
              </w:rPr>
              <w:t>Common Stock</w:t>
            </w: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Treasury Stock</w:t>
            </w: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2"/>
                <w:szCs w:val="2"/>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35"/>
        </w:trPr>
        <w:tc>
          <w:tcPr>
            <w:tcW w:w="1280" w:type="dxa"/>
            <w:vAlign w:val="bottom"/>
          </w:tcPr>
          <w:p>
            <w:pPr>
              <w:spacing w:after="0"/>
              <w:rPr>
                <w:sz w:val="11"/>
                <w:szCs w:val="11"/>
                <w:color w:val="auto"/>
              </w:rPr>
            </w:pPr>
          </w:p>
        </w:tc>
        <w:tc>
          <w:tcPr>
            <w:tcW w:w="1700" w:type="dxa"/>
            <w:vAlign w:val="bottom"/>
            <w:gridSpan w:val="5"/>
            <w:vMerge w:val="continue"/>
          </w:tcPr>
          <w:p>
            <w:pPr>
              <w:spacing w:after="0"/>
              <w:rPr>
                <w:sz w:val="11"/>
                <w:szCs w:val="11"/>
                <w:color w:val="auto"/>
              </w:rPr>
            </w:pPr>
          </w:p>
        </w:tc>
        <w:tc>
          <w:tcPr>
            <w:tcW w:w="1680" w:type="dxa"/>
            <w:vAlign w:val="bottom"/>
            <w:gridSpan w:val="5"/>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17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Preferred Stock</w:t>
            </w:r>
          </w:p>
        </w:tc>
        <w:tc>
          <w:tcPr>
            <w:tcW w:w="16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Preferred Stock</w:t>
            </w:r>
          </w:p>
        </w:tc>
        <w:tc>
          <w:tcPr>
            <w:tcW w:w="20" w:type="dxa"/>
            <w:vAlign w:val="bottom"/>
            <w:shd w:val="clear" w:color="auto" w:fill="000000"/>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Paid-in</w:t>
            </w:r>
          </w:p>
        </w:tc>
        <w:tc>
          <w:tcPr>
            <w:tcW w:w="6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Shares</w:t>
            </w: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Shares</w:t>
            </w: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18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94"/>
              </w:rPr>
              <w:t>Capital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78"/>
        </w:trPr>
        <w:tc>
          <w:tcPr>
            <w:tcW w:w="128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Balances at</w:t>
            </w: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1000" w:type="dxa"/>
            <w:vAlign w:val="bottom"/>
            <w:tcBorders>
              <w:top w:val="single" w:sz="8" w:color="auto"/>
              <w:left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June 3, 2020</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(Inception)</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1180" w:type="dxa"/>
            <w:vAlign w:val="bottom"/>
            <w:tcBorders>
              <w:lef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79"/>
              <w:spacing w:after="0"/>
              <w:rPr>
                <w:sz w:val="20"/>
                <w:szCs w:val="20"/>
                <w:color w:val="auto"/>
              </w:rPr>
            </w:pPr>
            <w:r>
              <w:rPr>
                <w:rFonts w:ascii="Arial" w:cs="Arial" w:eastAsia="Arial" w:hAnsi="Arial"/>
                <w:sz w:val="18"/>
                <w:szCs w:val="18"/>
                <w:color w:val="auto"/>
              </w:rPr>
              <w:t>—  $</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280" w:type="dxa"/>
            <w:vAlign w:val="bottom"/>
          </w:tcPr>
          <w:p>
            <w:pPr>
              <w:spacing w:after="0" w:line="201" w:lineRule="exact"/>
              <w:rPr>
                <w:sz w:val="20"/>
                <w:szCs w:val="20"/>
                <w:color w:val="auto"/>
              </w:rPr>
            </w:pPr>
            <w:r>
              <w:rPr>
                <w:rFonts w:ascii="Arial" w:cs="Arial" w:eastAsia="Arial" w:hAnsi="Arial"/>
                <w:sz w:val="18"/>
                <w:szCs w:val="18"/>
                <w:color w:val="auto"/>
              </w:rPr>
              <w:t>Issuance of</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common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stock at</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ind w:left="180"/>
              <w:spacing w:after="0"/>
              <w:rPr>
                <w:sz w:val="20"/>
                <w:szCs w:val="20"/>
                <w:color w:val="auto"/>
              </w:rPr>
            </w:pPr>
            <w:r>
              <w:rPr>
                <w:rFonts w:ascii="Arial" w:cs="Arial" w:eastAsia="Arial" w:hAnsi="Arial"/>
                <w:sz w:val="18"/>
                <w:szCs w:val="18"/>
                <w:color w:val="auto"/>
              </w:rPr>
              <w:t>inception</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21,250,000</w:t>
            </w:r>
          </w:p>
        </w:tc>
        <w:tc>
          <w:tcPr>
            <w:tcW w:w="24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0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Series A</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in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exchange for</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assigned</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rights, license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repurchased</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40,000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118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(21,250,000)</w:t>
            </w:r>
          </w:p>
        </w:tc>
        <w:tc>
          <w:tcPr>
            <w:tcW w:w="2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21,250,000</w:t>
            </w:r>
          </w:p>
        </w:tc>
        <w:tc>
          <w:tcPr>
            <w:tcW w:w="2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(85)</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2"/>
        </w:trPr>
        <w:tc>
          <w:tcPr>
            <w:tcW w:w="1280" w:type="dxa"/>
            <w:vAlign w:val="bottom"/>
          </w:tcPr>
          <w:p>
            <w:pPr>
              <w:spacing w:after="0" w:line="201" w:lineRule="exact"/>
              <w:rPr>
                <w:sz w:val="20"/>
                <w:szCs w:val="20"/>
                <w:color w:val="auto"/>
              </w:rPr>
            </w:pPr>
            <w:r>
              <w:rPr>
                <w:rFonts w:ascii="Arial" w:cs="Arial" w:eastAsia="Arial" w:hAnsi="Arial"/>
                <w:sz w:val="18"/>
                <w:szCs w:val="18"/>
                <w:color w:val="auto"/>
              </w:rPr>
              <w:t>Issuance of</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Series A</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convertible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preferred</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stock, net of</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w w:val="91"/>
              </w:rPr>
              <w:t>issuance costs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ind w:left="180"/>
              <w:spacing w:after="0"/>
              <w:rPr>
                <w:sz w:val="20"/>
                <w:szCs w:val="20"/>
                <w:color w:val="auto"/>
              </w:rPr>
            </w:pPr>
            <w:r>
              <w:rPr>
                <w:rFonts w:ascii="Arial" w:cs="Arial" w:eastAsia="Arial" w:hAnsi="Arial"/>
                <w:sz w:val="18"/>
                <w:szCs w:val="18"/>
                <w:color w:val="auto"/>
              </w:rPr>
              <w:t>of $194</w:t>
            </w:r>
          </w:p>
        </w:tc>
        <w:tc>
          <w:tcPr>
            <w:tcW w:w="860" w:type="dxa"/>
            <w:vAlign w:val="bottom"/>
          </w:tcPr>
          <w:p>
            <w:pPr>
              <w:jc w:val="right"/>
              <w:spacing w:after="0"/>
              <w:rPr>
                <w:sz w:val="20"/>
                <w:szCs w:val="20"/>
                <w:color w:val="auto"/>
              </w:rPr>
            </w:pPr>
            <w:r>
              <w:rPr>
                <w:rFonts w:ascii="Arial" w:cs="Arial" w:eastAsia="Arial" w:hAnsi="Arial"/>
                <w:sz w:val="18"/>
                <w:szCs w:val="18"/>
                <w:color w:val="auto"/>
              </w:rPr>
              <w:t>6,237,500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49,706</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0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Series B</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net of</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issuance costs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$158</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1,410,434</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79,842</w:t>
            </w:r>
          </w:p>
        </w:tc>
        <w:tc>
          <w:tcPr>
            <w:tcW w:w="20" w:type="dxa"/>
            <w:vAlign w:val="bottom"/>
            <w:shd w:val="clear" w:color="auto" w:fill="000000"/>
          </w:tcPr>
          <w:p>
            <w:pPr>
              <w:spacing w:after="0"/>
              <w:rPr>
                <w:sz w:val="20"/>
                <w:szCs w:val="20"/>
                <w:color w:val="auto"/>
              </w:rPr>
            </w:pPr>
          </w:p>
        </w:tc>
        <w:tc>
          <w:tcPr>
            <w:tcW w:w="1180" w:type="dxa"/>
            <w:vAlign w:val="bottom"/>
            <w:tcBorders>
              <w:lef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280" w:type="dxa"/>
            <w:vAlign w:val="bottom"/>
          </w:tcPr>
          <w:p>
            <w:pPr>
              <w:spacing w:after="0" w:line="201" w:lineRule="exact"/>
              <w:rPr>
                <w:sz w:val="20"/>
                <w:szCs w:val="20"/>
                <w:color w:val="auto"/>
              </w:rPr>
            </w:pPr>
            <w:r>
              <w:rPr>
                <w:rFonts w:ascii="Arial" w:cs="Arial" w:eastAsia="Arial" w:hAnsi="Arial"/>
                <w:sz w:val="18"/>
                <w:szCs w:val="18"/>
                <w:color w:val="auto"/>
              </w:rPr>
              <w:t>Issuance of</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restricted</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common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stock upon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w w:val="97"/>
              </w:rPr>
              <w:t>early exercise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of stock</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ind w:left="180"/>
              <w:spacing w:after="0"/>
              <w:rPr>
                <w:sz w:val="20"/>
                <w:szCs w:val="20"/>
                <w:color w:val="auto"/>
              </w:rPr>
            </w:pPr>
            <w:r>
              <w:rPr>
                <w:rFonts w:ascii="Arial" w:cs="Arial" w:eastAsia="Arial" w:hAnsi="Arial"/>
                <w:sz w:val="18"/>
                <w:szCs w:val="18"/>
                <w:color w:val="auto"/>
              </w:rPr>
              <w:t>options</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6,943,240</w:t>
            </w:r>
          </w:p>
        </w:tc>
        <w:tc>
          <w:tcPr>
            <w:tcW w:w="24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Repurchase of</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0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unvested</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118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(1,350,000)</w:t>
            </w:r>
          </w:p>
        </w:tc>
        <w:tc>
          <w:tcPr>
            <w:tcW w:w="2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1,350,000</w:t>
            </w:r>
          </w:p>
        </w:tc>
        <w:tc>
          <w:tcPr>
            <w:tcW w:w="2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28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w w:val="96"/>
              </w:rPr>
              <w:t>compensation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ind w:left="180"/>
              <w:spacing w:after="0"/>
              <w:rPr>
                <w:sz w:val="20"/>
                <w:szCs w:val="20"/>
                <w:color w:val="auto"/>
              </w:rPr>
            </w:pPr>
            <w:r>
              <w:rPr>
                <w:rFonts w:ascii="Arial" w:cs="Arial" w:eastAsia="Arial" w:hAnsi="Arial"/>
                <w:sz w:val="18"/>
                <w:szCs w:val="18"/>
                <w:color w:val="auto"/>
              </w:rPr>
              <w:t>expense</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1180" w:type="dxa"/>
            <w:vAlign w:val="bottom"/>
            <w:tcBorders>
              <w:lef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(65,319)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(65,319)</w:t>
            </w:r>
          </w:p>
        </w:tc>
        <w:tc>
          <w:tcPr>
            <w:tcW w:w="0" w:type="dxa"/>
            <w:vAlign w:val="bottom"/>
          </w:tcPr>
          <w:p>
            <w:pPr>
              <w:spacing w:after="0"/>
              <w:rPr>
                <w:sz w:val="1"/>
                <w:szCs w:val="1"/>
                <w:color w:val="auto"/>
              </w:rPr>
            </w:pPr>
          </w:p>
        </w:tc>
      </w:tr>
      <w:tr>
        <w:trPr>
          <w:trHeight w:val="205"/>
        </w:trPr>
        <w:tc>
          <w:tcPr>
            <w:tcW w:w="1280" w:type="dxa"/>
            <w:vAlign w:val="bottom"/>
          </w:tcPr>
          <w:p>
            <w:pPr>
              <w:spacing w:after="0" w:line="205" w:lineRule="exact"/>
              <w:rPr>
                <w:sz w:val="20"/>
                <w:szCs w:val="20"/>
                <w:color w:val="auto"/>
              </w:rPr>
            </w:pPr>
            <w:r>
              <w:rPr>
                <w:rFonts w:ascii="Arial" w:cs="Arial" w:eastAsia="Arial" w:hAnsi="Arial"/>
                <w:sz w:val="18"/>
                <w:szCs w:val="18"/>
                <w:b w:val="1"/>
                <w:bCs w:val="1"/>
                <w:color w:val="auto"/>
              </w:rPr>
              <w:t>Balances at</w:t>
            </w: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b w:val="1"/>
                <w:bCs w:val="1"/>
                <w:color w:val="auto"/>
                <w:w w:val="92"/>
              </w:rPr>
              <w:t>December 31,</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ind w:left="180"/>
              <w:spacing w:after="0"/>
              <w:rPr>
                <w:sz w:val="20"/>
                <w:szCs w:val="20"/>
                <w:color w:val="auto"/>
              </w:rPr>
            </w:pPr>
            <w:r>
              <w:rPr>
                <w:rFonts w:ascii="Arial" w:cs="Arial" w:eastAsia="Arial" w:hAnsi="Arial"/>
                <w:sz w:val="18"/>
                <w:szCs w:val="18"/>
                <w:b w:val="1"/>
                <w:bCs w:val="1"/>
                <w:color w:val="auto"/>
              </w:rPr>
              <w:t>2020</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11,237,500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89,706</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1,410,434</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79,842</w:t>
            </w:r>
          </w:p>
        </w:tc>
        <w:tc>
          <w:tcPr>
            <w:tcW w:w="20" w:type="dxa"/>
            <w:vAlign w:val="bottom"/>
            <w:shd w:val="clear" w:color="auto" w:fill="000000"/>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5,593,240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22,600,000</w:t>
            </w:r>
          </w:p>
        </w:tc>
        <w:tc>
          <w:tcPr>
            <w:tcW w:w="260" w:type="dxa"/>
            <w:vAlign w:val="bottom"/>
          </w:tcPr>
          <w:p>
            <w:pPr>
              <w:jc w:val="right"/>
              <w:ind w:right="79"/>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(85)</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154</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(65,319)</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(65,249)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ADAGIO THERAPEUTICS,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26"/>
        </w:trPr>
        <w:tc>
          <w:tcPr>
            <w:tcW w:w="1280" w:type="dxa"/>
            <w:vAlign w:val="bottom"/>
          </w:tcPr>
          <w:p>
            <w:pPr>
              <w:spacing w:after="0"/>
              <w:rPr>
                <w:sz w:val="2"/>
                <w:szCs w:val="2"/>
                <w:color w:val="auto"/>
              </w:rPr>
            </w:pPr>
          </w:p>
        </w:tc>
        <w:tc>
          <w:tcPr>
            <w:tcW w:w="168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rPr>
              <w:t>Series A Convertible</w:t>
            </w:r>
          </w:p>
        </w:tc>
        <w:tc>
          <w:tcPr>
            <w:tcW w:w="1660" w:type="dxa"/>
            <w:vAlign w:val="bottom"/>
            <w:gridSpan w:val="5"/>
            <w:vMerge w:val="restart"/>
          </w:tcPr>
          <w:p>
            <w:pPr>
              <w:jc w:val="center"/>
              <w:ind w:right="200"/>
              <w:spacing w:after="0"/>
              <w:rPr>
                <w:sz w:val="20"/>
                <w:szCs w:val="20"/>
                <w:color w:val="auto"/>
              </w:rPr>
            </w:pPr>
            <w:r>
              <w:rPr>
                <w:rFonts w:ascii="Arial" w:cs="Arial" w:eastAsia="Arial" w:hAnsi="Arial"/>
                <w:sz w:val="14"/>
                <w:szCs w:val="14"/>
                <w:b w:val="1"/>
                <w:bCs w:val="1"/>
                <w:color w:val="auto"/>
                <w:w w:val="91"/>
              </w:rPr>
              <w:t>Series B Convertible</w:t>
            </w:r>
          </w:p>
        </w:tc>
        <w:tc>
          <w:tcPr>
            <w:tcW w:w="20" w:type="dxa"/>
            <w:vAlign w:val="bottom"/>
          </w:tcPr>
          <w:p>
            <w:pPr>
              <w:spacing w:after="0"/>
              <w:rPr>
                <w:sz w:val="2"/>
                <w:szCs w:val="2"/>
                <w:color w:val="auto"/>
              </w:rPr>
            </w:pPr>
          </w:p>
        </w:tc>
        <w:tc>
          <w:tcPr>
            <w:tcW w:w="126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w w:val="93"/>
              </w:rPr>
              <w:t>Common Stock</w:t>
            </w: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w w:val="92"/>
              </w:rPr>
              <w:t>Treasury Stock</w:t>
            </w: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Additional</w:t>
            </w:r>
          </w:p>
        </w:tc>
        <w:tc>
          <w:tcPr>
            <w:tcW w:w="60" w:type="dxa"/>
            <w:vAlign w:val="bottom"/>
          </w:tcPr>
          <w:p>
            <w:pPr>
              <w:spacing w:after="0"/>
              <w:rPr>
                <w:sz w:val="2"/>
                <w:szCs w:val="2"/>
                <w:color w:val="auto"/>
              </w:rPr>
            </w:pPr>
          </w:p>
        </w:tc>
        <w:tc>
          <w:tcPr>
            <w:tcW w:w="152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2"/>
                <w:szCs w:val="2"/>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35"/>
        </w:trPr>
        <w:tc>
          <w:tcPr>
            <w:tcW w:w="1280" w:type="dxa"/>
            <w:vAlign w:val="bottom"/>
          </w:tcPr>
          <w:p>
            <w:pPr>
              <w:spacing w:after="0"/>
              <w:rPr>
                <w:sz w:val="11"/>
                <w:szCs w:val="11"/>
                <w:color w:val="auto"/>
              </w:rPr>
            </w:pPr>
          </w:p>
        </w:tc>
        <w:tc>
          <w:tcPr>
            <w:tcW w:w="1680" w:type="dxa"/>
            <w:vAlign w:val="bottom"/>
            <w:gridSpan w:val="4"/>
            <w:vMerge w:val="continue"/>
          </w:tcPr>
          <w:p>
            <w:pPr>
              <w:spacing w:after="0"/>
              <w:rPr>
                <w:sz w:val="11"/>
                <w:szCs w:val="11"/>
                <w:color w:val="auto"/>
              </w:rPr>
            </w:pPr>
          </w:p>
        </w:tc>
        <w:tc>
          <w:tcPr>
            <w:tcW w:w="1660" w:type="dxa"/>
            <w:vAlign w:val="bottom"/>
            <w:gridSpan w:val="5"/>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16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Preferred Stock</w:t>
            </w:r>
          </w:p>
        </w:tc>
        <w:tc>
          <w:tcPr>
            <w:tcW w:w="16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Preferred Stock</w:t>
            </w:r>
          </w:p>
        </w:tc>
        <w:tc>
          <w:tcPr>
            <w:tcW w:w="20" w:type="dxa"/>
            <w:vAlign w:val="bottom"/>
            <w:shd w:val="clear" w:color="auto" w:fill="000000"/>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860" w:type="dxa"/>
            <w:vAlign w:val="bottom"/>
            <w:tcBorders>
              <w:top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2"/>
                <w:szCs w:val="12"/>
                <w:color w:val="auto"/>
              </w:rPr>
            </w:pPr>
          </w:p>
        </w:tc>
        <w:tc>
          <w:tcPr>
            <w:tcW w:w="82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940" w:type="dxa"/>
            <w:vAlign w:val="bottom"/>
            <w:tcBorders>
              <w:top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2"/>
                <w:szCs w:val="12"/>
                <w:color w:val="auto"/>
              </w:rPr>
            </w:pPr>
          </w:p>
        </w:tc>
        <w:tc>
          <w:tcPr>
            <w:tcW w:w="1520" w:type="dxa"/>
            <w:vAlign w:val="bottom"/>
            <w:gridSpan w:val="3"/>
          </w:tcPr>
          <w:p>
            <w:pPr>
              <w:jc w:val="right"/>
              <w:ind w:right="640"/>
              <w:spacing w:after="0" w:line="142"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2"/>
                <w:szCs w:val="12"/>
                <w:color w:val="auto"/>
              </w:rPr>
            </w:pPr>
          </w:p>
        </w:tc>
        <w:tc>
          <w:tcPr>
            <w:tcW w:w="80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78"/>
        </w:trPr>
        <w:tc>
          <w:tcPr>
            <w:tcW w:w="128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Balances at</w:t>
            </w: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840" w:type="dxa"/>
            <w:vAlign w:val="bottom"/>
            <w:tcBorders>
              <w:top w:val="single" w:sz="8" w:color="auto"/>
              <w:lef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2"/>
              </w:rPr>
              <w:t>December 31,</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11,237,500</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$89,706</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1,410,434</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8"/>
              </w:rPr>
              <w:t>$79,842</w:t>
            </w:r>
          </w:p>
        </w:tc>
        <w:tc>
          <w:tcPr>
            <w:tcW w:w="20" w:type="dxa"/>
            <w:vAlign w:val="bottom"/>
            <w:shd w:val="clear" w:color="auto" w:fill="000000"/>
          </w:tcPr>
          <w:p>
            <w:pPr>
              <w:spacing w:after="0"/>
              <w:rPr>
                <w:sz w:val="20"/>
                <w:szCs w:val="20"/>
                <w:color w:val="auto"/>
              </w:rPr>
            </w:pPr>
          </w:p>
        </w:tc>
        <w:tc>
          <w:tcPr>
            <w:tcW w:w="94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5,593,240</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22,600,000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(85)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w w:val="90"/>
              </w:rPr>
              <w:t>$(65,319)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(65,319)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(65,249)</w:t>
            </w:r>
          </w:p>
        </w:tc>
        <w:tc>
          <w:tcPr>
            <w:tcW w:w="0" w:type="dxa"/>
            <w:vAlign w:val="bottom"/>
          </w:tcPr>
          <w:p>
            <w:pPr>
              <w:spacing w:after="0"/>
              <w:rPr>
                <w:sz w:val="1"/>
                <w:szCs w:val="1"/>
                <w:color w:val="auto"/>
              </w:rPr>
            </w:pPr>
          </w:p>
        </w:tc>
      </w:tr>
      <w:tr>
        <w:trPr>
          <w:trHeight w:val="202"/>
        </w:trPr>
        <w:tc>
          <w:tcPr>
            <w:tcW w:w="128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w w:val="96"/>
              </w:rPr>
              <w:t>compensation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auto"/>
              </w:rPr>
              <w:t>expense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ind w:left="180"/>
              <w:spacing w:after="0"/>
              <w:rPr>
                <w:sz w:val="20"/>
                <w:szCs w:val="20"/>
                <w:color w:val="auto"/>
              </w:rPr>
            </w:pPr>
            <w:r>
              <w:rPr>
                <w:rFonts w:ascii="Arial" w:cs="Arial" w:eastAsia="Arial" w:hAnsi="Arial"/>
                <w:sz w:val="18"/>
                <w:szCs w:val="18"/>
                <w:color w:val="auto"/>
              </w:rPr>
              <w:t>(unaudited)</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587</w:t>
            </w: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02"/>
        </w:trPr>
        <w:tc>
          <w:tcPr>
            <w:tcW w:w="1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(unaudited)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94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(38,700)</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(38,700)</w:t>
            </w:r>
          </w:p>
        </w:tc>
        <w:tc>
          <w:tcPr>
            <w:tcW w:w="0" w:type="dxa"/>
            <w:vAlign w:val="bottom"/>
          </w:tcPr>
          <w:p>
            <w:pPr>
              <w:spacing w:after="0"/>
              <w:rPr>
                <w:sz w:val="1"/>
                <w:szCs w:val="1"/>
                <w:color w:val="auto"/>
              </w:rPr>
            </w:pPr>
          </w:p>
        </w:tc>
      </w:tr>
      <w:tr>
        <w:trPr>
          <w:trHeight w:val="205"/>
        </w:trPr>
        <w:tc>
          <w:tcPr>
            <w:tcW w:w="1280" w:type="dxa"/>
            <w:vAlign w:val="bottom"/>
          </w:tcPr>
          <w:p>
            <w:pPr>
              <w:spacing w:after="0" w:line="205" w:lineRule="exact"/>
              <w:rPr>
                <w:sz w:val="20"/>
                <w:szCs w:val="20"/>
                <w:color w:val="auto"/>
              </w:rPr>
            </w:pPr>
            <w:r>
              <w:rPr>
                <w:rFonts w:ascii="Arial" w:cs="Arial" w:eastAsia="Arial" w:hAnsi="Arial"/>
                <w:sz w:val="18"/>
                <w:szCs w:val="18"/>
                <w:b w:val="1"/>
                <w:bCs w:val="1"/>
                <w:color w:val="auto"/>
              </w:rPr>
              <w:t>Balances at</w:t>
            </w: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b w:val="1"/>
                <w:bCs w:val="1"/>
                <w:color w:val="auto"/>
              </w:rPr>
              <w:t>March 31,</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b w:val="1"/>
                <w:bCs w:val="1"/>
                <w:color w:val="auto"/>
              </w:rPr>
              <w:t>2021</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ind w:left="180"/>
              <w:spacing w:after="0"/>
              <w:rPr>
                <w:sz w:val="20"/>
                <w:szCs w:val="20"/>
                <w:color w:val="auto"/>
              </w:rPr>
            </w:pPr>
            <w:r>
              <w:rPr>
                <w:rFonts w:ascii="Arial" w:cs="Arial" w:eastAsia="Arial" w:hAnsi="Arial"/>
                <w:sz w:val="18"/>
                <w:szCs w:val="18"/>
                <w:b w:val="1"/>
                <w:bCs w:val="1"/>
                <w:color w:val="auto"/>
              </w:rPr>
              <w:t>(unaudited)</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11,237,500</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89,706</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1,410,434</w:t>
            </w:r>
          </w:p>
        </w:tc>
        <w:tc>
          <w:tcPr>
            <w:tcW w:w="84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79,842</w:t>
            </w:r>
          </w:p>
        </w:tc>
        <w:tc>
          <w:tcPr>
            <w:tcW w:w="20" w:type="dxa"/>
            <w:vAlign w:val="bottom"/>
            <w:shd w:val="clear" w:color="auto" w:fill="000000"/>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5,593,240</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22,600,000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(85)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741</w:t>
            </w:r>
          </w:p>
        </w:tc>
        <w:tc>
          <w:tcPr>
            <w:tcW w:w="7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(104,019)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(103,362)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20"/>
          </w:cols>
          <w:pgMar w:left="320" w:top="459" w:right="3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Period from</w:t>
            </w:r>
          </w:p>
        </w:tc>
        <w:tc>
          <w:tcPr>
            <w:tcW w:w="360" w:type="dxa"/>
            <w:vAlign w:val="bottom"/>
          </w:tcPr>
          <w:p>
            <w:pPr>
              <w:spacing w:after="0"/>
              <w:rPr>
                <w:sz w:val="14"/>
                <w:szCs w:val="14"/>
                <w:color w:val="auto"/>
              </w:rPr>
            </w:pPr>
          </w:p>
        </w:tc>
        <w:tc>
          <w:tcPr>
            <w:tcW w:w="10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9"/>
        </w:trPr>
        <w:tc>
          <w:tcPr>
            <w:tcW w:w="7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June 3, 2020</w:t>
            </w:r>
          </w:p>
        </w:tc>
        <w:tc>
          <w:tcPr>
            <w:tcW w:w="3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7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3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42"/>
        </w:trPr>
        <w:tc>
          <w:tcPr>
            <w:tcW w:w="7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Net loss</w:t>
            </w:r>
          </w:p>
        </w:tc>
        <w:tc>
          <w:tcPr>
            <w:tcW w:w="800" w:type="dxa"/>
            <w:vAlign w:val="bottom"/>
            <w:gridSpan w:val="2"/>
          </w:tcPr>
          <w:p>
            <w:pPr>
              <w:ind w:left="68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(65,319)</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(38,700)</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360"/>
              <w:spacing w:after="0"/>
              <w:rPr>
                <w:sz w:val="20"/>
                <w:szCs w:val="20"/>
                <w:color w:val="auto"/>
              </w:rPr>
            </w:pPr>
            <w:r>
              <w:rPr>
                <w:rFonts w:ascii="Arial" w:cs="Arial" w:eastAsia="Arial" w:hAnsi="Arial"/>
                <w:sz w:val="18"/>
                <w:szCs w:val="18"/>
                <w:color w:val="auto"/>
              </w:rPr>
              <w:t>Non-cash acquired in-process research and development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39,915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730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(2,394)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16"/>
        </w:trPr>
        <w:tc>
          <w:tcPr>
            <w:tcW w:w="730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8,153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3,164</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expenses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4,919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12,386</w:t>
            </w:r>
          </w:p>
        </w:tc>
        <w:tc>
          <w:tcPr>
            <w:tcW w:w="0" w:type="dxa"/>
            <w:vAlign w:val="bottom"/>
          </w:tcPr>
          <w:p>
            <w:pPr>
              <w:spacing w:after="0"/>
              <w:rPr>
                <w:sz w:val="1"/>
                <w:szCs w:val="1"/>
                <w:color w:val="auto"/>
              </w:rPr>
            </w:pPr>
          </w:p>
        </w:tc>
      </w:tr>
      <w:tr>
        <w:trPr>
          <w:trHeight w:val="230"/>
        </w:trPr>
        <w:tc>
          <w:tcPr>
            <w:tcW w:w="7300" w:type="dxa"/>
            <w:vAlign w:val="bottom"/>
          </w:tcPr>
          <w:p>
            <w:pPr>
              <w:ind w:left="360"/>
              <w:spacing w:after="0"/>
              <w:rPr>
                <w:sz w:val="20"/>
                <w:szCs w:val="20"/>
                <w:color w:val="auto"/>
              </w:rPr>
            </w:pPr>
            <w:r>
              <w:rPr>
                <w:rFonts w:ascii="Arial" w:cs="Arial" w:eastAsia="Arial" w:hAnsi="Arial"/>
                <w:sz w:val="18"/>
                <w:szCs w:val="18"/>
                <w:color w:val="auto"/>
              </w:rPr>
              <w:t>Net cash used in operating activities</w:t>
            </w:r>
          </w:p>
        </w:tc>
        <w:tc>
          <w:tcPr>
            <w:tcW w:w="6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(14,571)</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Proceeds from issuance of convertible preferred stock, net of issuance costs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129,548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early exercises of stock options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Payments for repurchases of restricted common stock</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129,559</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114,988</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114,988</w:t>
            </w:r>
          </w:p>
        </w:tc>
        <w:tc>
          <w:tcPr>
            <w:tcW w:w="0" w:type="dxa"/>
            <w:vAlign w:val="bottom"/>
          </w:tcPr>
          <w:p>
            <w:pPr>
              <w:spacing w:after="0"/>
              <w:rPr>
                <w:sz w:val="1"/>
                <w:szCs w:val="1"/>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114,988</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91,247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financing activities: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Deferred offering costs included in accrued expenses</w:t>
            </w:r>
          </w:p>
        </w:tc>
        <w:tc>
          <w:tcPr>
            <w:tcW w:w="800" w:type="dxa"/>
            <w:vAlign w:val="bottom"/>
            <w:gridSpan w:val="2"/>
          </w:tcPr>
          <w:p>
            <w:pPr>
              <w:ind w:left="68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2"/>
        </w:trPr>
        <w:tc>
          <w:tcPr>
            <w:tcW w:w="7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Issuance of Series A convertible preferred stock in exchange for assigned rights, license and</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repurchased common stock</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40,000</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Adagio Therapeutics, Inc., together with its consolidated subsidiary (the “Company”), is a clinical-stage biopharmaceutical company focused on the discovery, development and commercialization of antibody-based solutions for infectious diseases with pandemic potential. The Company’s initial focus is on the virus SARS-CoV-2, its variants and the disease caused by this virus, which is known as Coronavirus Infectious Disease (“COVID-19”). The Company initiated clinical trials for its lead product candidate, ADG20, in February 2021. The Company was incorporated in the State of Delaware in June 2020. The Company operates as a virtual company and, thus, does not maintain a corporate headquarters or other significant facilities. In addition, the Company engages third parties, including Adimab, LLC (“Adimab”), to perform ongoing research and development and other services on its behalf.</w:t>
      </w:r>
    </w:p>
    <w:p>
      <w:pPr>
        <w:spacing w:after="0" w:line="195"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In July 2020, the Company entered into an assignment and license agreement with Adimab pursuant to which it acquired certain rights to Adimab’s antibodies relating to COVID-19 and severe acute respiratory syndrome (“SARS”) as well as related provisional patent applications, know-how and data generated with respect to the associated antibodies. In addition, Adimab granted to the Company a non-exclusive, worldwide license to certain of Adimab’s platform patents and technology for use in research and development. In connection with the transfer of the rights acquired and license received, the Company issued 5,000,000 shares of its Series A convertible preferred stock to Adimab (see Note 6). As of December 31, 2020 and March 31, 2021 (unaudited), Adimab, a related party, held approximately 39.5% of the Company’s outstanding capital stock.</w:t>
      </w:r>
    </w:p>
    <w:p>
      <w:pPr>
        <w:spacing w:after="0" w:line="164"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The Company is subject to risks and uncertainties common to early-stage companies in the biopharmaceutical industry, including, but not limited to, completing preclinical studies and clinical trials, the ability to raise additional capital to fund operations, obtaining regulatory approval for product candidates, market acceptance of products, competition from substitute products, protection of proprietary intellectual property, compliance with government regulations, the impact of the COVID-19 coronavirus, dependence on key personnel, the ability to attract and retain qualified employees, reliance on third-party organizations and the clinical and commercial success of its product candidates.</w:t>
      </w:r>
    </w:p>
    <w:p>
      <w:pPr>
        <w:spacing w:after="0" w:line="176"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The Company has not generated any revenue since inception. The Company’s lead product candidate will require significant additional research and development efforts, including extensive clinical testing and regulatory approval prior to commercialization. These efforts require significant amounts of additional capital, adequate personnel and infrastructure and compliance-reporting capabilities. Even if the Company’s development efforts are successful, it is uncertain when, if ever, the Company will generate revenue from product sales, including government supply contracts.</w:t>
      </w:r>
    </w:p>
    <w:p>
      <w:pPr>
        <w:spacing w:after="0" w:line="15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(“GAAP”) and include the accounts of Adagio Therapeutics, Inc. and its wholly owned subsidiary, Adagio Therapeutics Security Corporation. All intercompany balances and transactions have been eliminated in consolidation.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The Company has evaluated whether there are certain conditions and events, considered in the aggregate, that raise substantial doubt about the Company’s ability to continue as a going concern within one year after the date that the consolidated financial statements are issued.</w:t>
      </w:r>
    </w:p>
    <w:p>
      <w:pPr>
        <w:spacing w:after="0" w:line="146"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Through December 31, 2020 and March 31, 2021 (unaudited), the Company has funded its operations with proceeds from sales of its convertible preferred stock. The Company has incurred recurring losses since its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color w:val="auto"/>
        </w:rPr>
        <w:t>inception, including net losses of $65.3 million for the period from June 3, 2020 (inception) to December 31, 2020 and $38.7 million for the three months ended March 31, 2021 (unaudited). In addition, as of December 31, 2020 and March 31, 2021 (unaudited), the Company had an accumulated deficit of $65.3 million and $104.0 million, respectively. The Company expects to continue to generate significant operating losses for the foreseeable future. As of May 21, 2021, the issuance date of the consolidated financial statements for the period from June 3, 2020 (inception) to December 31, 2020 and of the interim consolidated financial statements for the three months ended March 31, 2021, the Company expects that its existing cash and cash equivalents, including the $335.5 million of gross proceeds it received from the issuance and sale of its Series C convertible preferred stock in April 2021 (see Note 15), will be sufficient to fund its operating expenses and capital expenditure requirements through March 31, 2022. The future viability of the Company beyond that point is dependent on its ability to raise additional capital to finance its operations.</w:t>
      </w:r>
    </w:p>
    <w:p>
      <w:pPr>
        <w:spacing w:after="0" w:line="165"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The Company is seeking to complete an initial public offering (“IPO”) of its common stock. Upon the closing of a qualifying public offering on specified terms, the Company’s outstanding convertible preferred stock will automatically convert into common stock (see Notes 8 and 15).</w:t>
      </w:r>
    </w:p>
    <w:p>
      <w:pPr>
        <w:spacing w:after="0" w:line="146"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In the event the Company does not complete an IPO, the Company expects to seek additional funding through private equity financings, government or private-party grants, debt financings or other capital sources, including collaborations with other companies or other strategic transactions. The Company may not be able to obtain financing on acceptable terms, or at all, and the Company may not be able to enter into collaborations or other arrangements. The terms of any financing may adversely affect the holdings or rights of the Company’s stockholders.</w:t>
      </w:r>
    </w:p>
    <w:p>
      <w:pPr>
        <w:spacing w:after="0" w:line="171"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If the Company is unable to obtain sufficient capital, the Company will be forced to delay, reduce or eliminate some or all of its research and development programs, product portfolio expansion or future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171"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Based on its recurring losses from operations incurred since inception, expectation of continuing operating losses for the foreseeable future, and the need to raise additional capital to finance its future operations, as of May 21, 2021, the issuance date of the consolidated financial statements for the period from June 3, 2020 (inception) to December 31, 2020 and of the interim consolidated financial statements for the three months ended March 31, 2021, the Company has concluded that there is substantial doubt about its ability to continue as a going concern for a period of one year from the date that these consolidated financial statements are issued.</w:t>
      </w:r>
    </w:p>
    <w:p>
      <w:pPr>
        <w:spacing w:after="0" w:line="188"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The accompanying consolidated financial statements do not include any adjustments relating to the recoverability and classification of recorded asset amounts or the amounts and classification of liabilities that might result from the outcome of this uncertainty. Accordingly, the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Impact of the COVID-19 Coronavirus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March 2020, the World Health Organization declared the outbreak of COVID-19 a global pandemic. The evolving and constantly changing impact of the pandemic will directly affect the potential commercial prospects of ADG20 for the treatment and prevention of COVID-19. The severity of the COVID-19 pandemic and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continued emergence of variants of concern, the availability, administration and acceptance of vaccines and monoclonal antibodies and the potential development of “herd immunity” by the global population will affect the design and enrollment of the Company’s clinical trials, the potential regulatory authorization or approval of the Company’s product candidates and the commercialization of the Company’s product candidates, if approved.</w:t>
      </w:r>
    </w:p>
    <w:p>
      <w:pPr>
        <w:spacing w:after="0" w:line="149"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auto"/>
        </w:rPr>
        <w:t>In addition, the Company’s business and operations may be more broadly adversely affected by the COVID-19 pandemic. The COVID-19 outbreak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ultimate extent of the impact of the COVID-19 pandemic on the Company’s business, financial condition, operations and product development timelines and plans remains highly uncertain and will depend on future developments, including the duration and spread of the outbreak and its impact on the Company’s clinical trial design and enrollment, trial sites, contract research organizations, contract manufacturing organizations and other third parties with which it does business, as well as its impact on regulatory authorities and the Company’s key scientific and management personnel. To date, the Company has not experienced significant delays or disruptions in its development activities as a result of the COVID-19 pandemic but may in the future as the outbreak progresses and some of its contract research organizations, contract manufacturing organizations and other service providers continue to be impacted. The Company will continue to monitor developments as it addresses the disruptions, delays and uncertainties relating to the COVID-19 pandemic. These developments and the impact of the COVID-19 pandemic on the financial markets and the overall economy are highly uncertain and may materially adversely affect the Company’s results and operations and its ability to raise capital.</w:t>
      </w:r>
    </w:p>
    <w:p>
      <w:pPr>
        <w:spacing w:after="0" w:line="278" w:lineRule="exact"/>
        <w:rPr>
          <w:sz w:val="20"/>
          <w:szCs w:val="20"/>
          <w:color w:val="auto"/>
        </w:rPr>
      </w:pPr>
    </w:p>
    <w:p>
      <w:pPr>
        <w:ind w:left="560" w:right="7460" w:hanging="444"/>
        <w:spacing w:after="0" w:line="378" w:lineRule="auto"/>
        <w:tabs>
          <w:tab w:leader="none" w:pos="30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Use of Estimates</w:t>
      </w:r>
    </w:p>
    <w:p>
      <w:pPr>
        <w:jc w:val="both"/>
        <w:ind w:left="120" w:firstLine="440"/>
        <w:spacing w:after="0" w:line="271" w:lineRule="auto"/>
        <w:rPr>
          <w:sz w:val="20"/>
          <w:szCs w:val="20"/>
          <w:color w:val="auto"/>
        </w:rPr>
      </w:pPr>
      <w:r>
        <w:rPr>
          <w:rFonts w:ascii="Arial" w:cs="Arial" w:eastAsia="Arial" w:hAnsi="Arial"/>
          <w:sz w:val="17"/>
          <w:szCs w:val="17"/>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research and development expenses and related prepaid or accrued costs and the valuation of common stock and resulting stock-based compensation expense. The Company bases its estimates on historical experience, known trends and other market-specific or relevant factors it believes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spacing w:after="0" w:line="178"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The Company is monitoring the potential impact of the COVID-19 pandemic on its business and consolidated financial statements. The Company is not aware of any specific event or circumstance that would require any update to its estimates or judgments reflected in these consolidated financial statements or a revision of the carrying value of its assets or liabilities as of May 21, 2021, the issuance date of these consolidated financial statements. These estimates may change as new events occur and additional information is obtained.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The accompanying consolidated balance sheet as of March 31, 2021 and the consolidated statements of operations and comprehensive loss, of cash flows and of convertible preferred stock and stockholders’ deficit for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40"/>
          </w:cols>
          <w:pgMar w:left="320" w:top="459" w:right="4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the three months ended March 31, 2021 are unaudited. The unaudited interim consolidated financial statements have been prepared on the same basis as the audited consolidated financial statements for the period from June 3, 2020 (inception) to December 31, 2020 and, in the opinion of management, reflect all adjustments, which include only normal recurring adjustments, necessary for the fair statement of the Company’s financial position as of March 31, 2021 and the results of its operations and its cash flows for the three months ended March 31, 2021. The financial data and other information disclosed in these notes related to the three months ended March 31, 2021 are also unaudited. The results for the three months ended March 31, 2021 are not necessarily indicative of results to be expected for the year ending December 31, 2021, any other interim periods, or any future year or period.</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The Company capitalizes certain legal, accounting and other third-party fees that are directly associated with in-process equity financings as deferred offering costs until such financings are consummated. After consummation of the equity financing, these costs are recorded as a reduction of the proceeds from the offering, either as a reduction of the carrying value of preferred stock or in stockholders’ deficit as a reduction of additional paid-in capital generated as a result of the offering. Should the in-process equity financing be abandoned, the deferred offering costs would be expensed immediately as a charge to operating expenses in the consolidated statement of operations and comprehensive loss. The Company had no deferred offering costs recorded as of December 31, 2020. As of March 31, 2021 (unaudited), the Company had deferred offering costs totaling $0.1 million.</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Concentrations of Credit Risk, Significant Suppliers and License Rights</w:t>
      </w:r>
    </w:p>
    <w:p>
      <w:pPr>
        <w:spacing w:after="0" w:line="117"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Financial instruments that potentially expose the Company to concentrations of credit risk consist of cash and cash equivalents. The Company invests its excess cash in money market funds that are subject to minimal credit and market risks. The Company maintains its cash and cash equivalents at one accredited financial institution that it believes is creditworthy. From time to time, these deposits may exceed federally insured limits. The Company has not experienced any losses historically in these accounts. Accordingly, the Company does not believe it is exposed to unusual credit risk related to its cash and cash equivalents beyond the normal credit risk associated with commercial banking relationships.</w:t>
      </w:r>
    </w:p>
    <w:p>
      <w:pPr>
        <w:spacing w:after="0" w:line="161" w:lineRule="exact"/>
        <w:rPr>
          <w:sz w:val="20"/>
          <w:szCs w:val="20"/>
          <w:color w:val="auto"/>
        </w:rPr>
      </w:pPr>
    </w:p>
    <w:p>
      <w:pPr>
        <w:jc w:val="both"/>
        <w:ind w:left="120" w:right="20" w:firstLine="440"/>
        <w:spacing w:after="0" w:line="293" w:lineRule="auto"/>
        <w:rPr>
          <w:sz w:val="20"/>
          <w:szCs w:val="20"/>
          <w:color w:val="auto"/>
        </w:rPr>
      </w:pPr>
      <w:r>
        <w:rPr>
          <w:rFonts w:ascii="Arial" w:cs="Arial" w:eastAsia="Arial" w:hAnsi="Arial"/>
          <w:sz w:val="16"/>
          <w:szCs w:val="16"/>
          <w:color w:val="auto"/>
        </w:rPr>
        <w:t>The Company is dependent on third-party organizations to manufacture and process its product candidates for its development programs. In particular, the Company relies on a single third-party contract manufacturer to produce and process its current product candidate, ADG20, and to manufacture supply of its current product candidate for preclinical and clinical activities (see Note 7). The Company also currently relies on this same third-party contract manufacturer for any anticipated requirements of commercial supply. The Company expects to continue to be dependent on a small number of manufacturers to supply it with its requirements for all products. The Company’s research and development programs, including any associated potential commercialization efforts, could be adversely affected by a significant interruption in the supply of the necessary materials.</w:t>
      </w:r>
    </w:p>
    <w:p>
      <w:pPr>
        <w:spacing w:after="0" w:line="164"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The Company is dependent on a limited number of third parties that provide license rights used by the Company in the development and potential commercialization of its product candidates and programs. Through December 31, 2020 and March 31, 2021 (unaudited), the Company’s research and development programs primarily relate to rights conveyed by Adimab (see Note 6). The Company could experience delays in the development and potential commercialization of its product candidates and programs if the Adimab license arrangement or any other license agreement utilized in the Company’s research and development activities is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terminated, if the Company fails to meet the obligations required under its arrangements, or if the Company is unable to successfully secure new strategic alliances or licensing agreements.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considers all highly liquid investments with original maturities of three months or less at the acquisition date to be cash equivalents.</w:t>
      </w:r>
    </w:p>
    <w:p>
      <w:pPr>
        <w:spacing w:after="0" w:line="35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Certain assets of the Company are carried at fair value under GAAP.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67" w:lineRule="exact"/>
        <w:rPr>
          <w:sz w:val="20"/>
          <w:szCs w:val="20"/>
          <w:color w:val="auto"/>
        </w:rPr>
      </w:pPr>
    </w:p>
    <w:p>
      <w:pPr>
        <w:ind w:left="1080" w:hanging="532"/>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30"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89"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jc w:val="both"/>
        <w:ind w:left="120" w:right="20" w:firstLine="440"/>
        <w:spacing w:after="0" w:line="342" w:lineRule="auto"/>
        <w:rPr>
          <w:sz w:val="20"/>
          <w:szCs w:val="20"/>
          <w:color w:val="auto"/>
        </w:rPr>
      </w:pPr>
      <w:r>
        <w:rPr>
          <w:rFonts w:ascii="Arial" w:cs="Arial" w:eastAsia="Arial" w:hAnsi="Arial"/>
          <w:sz w:val="16"/>
          <w:szCs w:val="16"/>
          <w:color w:val="auto"/>
        </w:rPr>
        <w:t>The Company’s cash equivalents are carried at fair value, determined according to the fair value hierarchy described above (see Note 3). The carrying values of the Company’s accounts payable and accrued expenses approximate their fair values due to the short-term nature of these liabilities.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Patent Costs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Costs to secure, defend and maintain patents, including those incurred in connection with filing and prosecuting patent applications, are expensed as incurred due to the uncertainty about the recovery of the expenditure. Amounts incurred for patent-related expenditures are classified as general and administrative expenses.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 Company manages its operations as a single segment for the purposes of assessing performance and making operating decisions. The Company is focused on the discovery, development and commercialization of antibody-based solutions for infectious diseases with pandemic potential. The Company’s chief operating decision maker reviews the Company’s financial information on an aggregated basis for purposes of assessing performance and allocating resources.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Research and development costs are expensed as incurred. Research and development expenses consist of costs incurred in performing research and development activities, including expenses incurred under agreements with external vendors and consultants engaged to perform non-clinical studies, preclinical studies and clinical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40"/>
          </w:cols>
          <w:pgMar w:left="32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trials as well as to manufacture research and development materials for use in such studies and trials; salaries and related personnel costs; stock-based compensation; consultant fees; and third-party license fees.</w:t>
      </w:r>
    </w:p>
    <w:p>
      <w:pPr>
        <w:spacing w:after="0" w:line="170"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Nonrefundable advance payments for goods and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Accrued Research and Development Costs</w:t>
      </w:r>
    </w:p>
    <w:p>
      <w:pPr>
        <w:spacing w:after="0" w:line="117"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The Company has entered into various research, development and manufacturing contracts with third-party service providers, including contract research organizations and contract manufacturing organizations. With the exception of the Company’s manufacturing arrangement with WuXi Biologics (Hong Kong) Limited (see Note 6), these agreements are generally cancelable. The Company recognizes research and development expense associated with such arrangements as the costs are incurred and records accruals for estimated ongoing research, development and manufacturing costs, where necessary. When billing terms under these contracts do not coincide with the timing of when the work is performed, the Company is required to make estimates of outstanding obligations to those third parties as of period end. Any accrual estimates are based on a number of factors, including the Company’s knowledge of the progress towards completion of the specific tasks to be performed, invoicing to date under the contracts, communication from the vendors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the Company. The historical accrual estimates made by the Company have not been materially different from the actual costs.</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Asset Acquisitions and Acquired In-Process Research and Development Expenses</w:t>
      </w:r>
    </w:p>
    <w:p>
      <w:pPr>
        <w:spacing w:after="0" w:line="117"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The Company measures and recognizes asset acquisitions that are not deemed to be business combinations based on the cost to acquire the asset or group of assets, which includes transaction costs. Goodwill is not recognized in asset acquisitions. In an asset acquisition, the cost allocated to acquire in-process research and development (“IPR&amp;D”) with no alternative future use is recognized as expense on the acquisition date.</w:t>
      </w:r>
    </w:p>
    <w:p>
      <w:pPr>
        <w:spacing w:after="0" w:line="14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Contingent consideration in asset acquisitions payable in the form of cash is recognized in the period the triggering event is determined to be probable of occurrence and the related amount is reasonably estimable. Such amounts are expensed or capitalized based on the nature of the associated asset at the date the related contingency is resolved.</w:t>
      </w:r>
    </w:p>
    <w:p>
      <w:pPr>
        <w:spacing w:after="0" w:line="184"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Acquired IPR&amp;D expense recognized for the period from June 3, 2020 (inception) to December 31, 2020 consisted of the upfront consideration paid in connection with the Company’s acquisition of assigned rights and an intellectual property license from Adimab and other in-licensing arrangements executed during the period (see Note 6). Acquired IPR&amp;D expense recognized for the three months ended March 31, 2021 consisted solely of the payment due for a milestone achieved under the Adimab arrangement (see Note 6).</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Classification and Accretion of Convertible Preferred Stock</w:t>
      </w:r>
    </w:p>
    <w:p>
      <w:pPr>
        <w:spacing w:after="0" w:line="117"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The Company’s convertible preferred stock is classified outside of stockholders’ deficit on the consolidated balance sheets because the holders of such shares have liquidation rights in the event of a deemed liquidation that, in certain situations, is not solely within the control of the Company and would require the redemption of the then-outstanding convertible preferred stock. The Company’s Series A and Series B convertible preferred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320" w:top="459"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stock are not redeemable, except in the event of deemed liquidation (see Note 8). Because the occurrence of a deemed liquidation event is not currently probable, the carrying values of the convertible preferred stock are not being accreted to their redemption values. Subsequent adjustments to the carrying values of the convertible preferred stock would be made only when a deemed liquidation event becomes probable.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 Company grants stock-based awards to employees, directors and non-employee consultants in the form of stock options to purchase shares of its common stock. The Company measures stock options with service-based vesting granted to employees, non-employees and directors based on the fair value on the date of grant using the Black-Scholes option-pricing model. The Company has issued awards with only service-based vesting conditions through December 31, 2020 and March 31, 2021 (unaudited).</w:t>
      </w:r>
    </w:p>
    <w:p>
      <w:pPr>
        <w:spacing w:after="0" w:line="18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Compensation expense for awards granted to employees and directors for their service on the board of directors is recognized on a straight-line basis over the requisite service period of the respective award, which is generally the vesting period of the award. Compensation expense for awards granted to non-employees is recognized in the same period and manner as if the Company had paid cash for the goods or services provided, which is generally the vesting period of the award. The Company accounts for forfeitures of stock-based awards as they occur.</w:t>
      </w:r>
    </w:p>
    <w:p>
      <w:pPr>
        <w:spacing w:after="0" w:line="171"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The Company classifies stock-based compensation expense in its statements of operations and comprehensive loss in the same manner in which the award recipient’s salary and related costs are classified or in which the award recipient’s service payments are classified.</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on the basis of the differences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profits expected and considering prudent and feasible tax planning strategies.</w:t>
      </w:r>
    </w:p>
    <w:p>
      <w:pPr>
        <w:spacing w:after="0" w:line="165"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The Company had no amounts accrued for interest and penalties on its consolidated balance sheets as of December 31, 2020 and March 31, 2021 (unaudited).</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59"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Comprehensive loss includes net loss as well as other changes in stockholders’ equity (deficit) that result from transactions and economic events other than those with stockholders. There was no difference between net loss and comprehensive loss for each of the periods presented in the accompanying consolidated financial statements.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The Company follows the two-class method when computing net income (loss) per share attributable to common stockholders as the Company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(loss) for the period to be allocated between common and participating securities based upon their respective rights to share in the undistributed earnings as if all income (loss) for the period had been distributed. The Company considers its convertible preferred stock to be participating securities as, in the event a dividend is paid on common stock, the holders of convertible preferred stock would be entitled to receive dividends on a basis consistent with the common stockholders. The Company also considers the shares issued upon the early exercise of stock options that are subject to repurchase to be participating securities because holders of such shares have non-forfeitable dividend rights in the event a dividend is paid on common stock. There is no allocation required under the two-class method during periods of loss since the participating securities do not have a contractual obligation to share in the losses of the Company.</w:t>
      </w:r>
    </w:p>
    <w:p>
      <w:pPr>
        <w:spacing w:after="0" w:line="185"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Basic net income (loss) per share attributable to common stockholders is computed by dividing the net income (loss) attributable to common stockholders by the weighted-average number of common shares outstanding for the period, excluding shares of unvested restricted common stock. Diluted net income (loss) per share attributable to common stockholders is computed by adjusting net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weighted-average number of common shares outstanding for the period, including potential dilutive common shares. For the purposes of this calculation, the Company’s outstanding stock options, convertible preferred stock and unvested restricted common stock are considered potential dilutive common shares.</w:t>
      </w:r>
    </w:p>
    <w:p>
      <w:pPr>
        <w:spacing w:after="0" w:line="166"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The Company has generated a net loss for each of the periods presented. Accordingly, basic and diluted net loss per share attributable to common stockholders are the same because the inclusion of the potentially dilutive securities would be anti-dilutive.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 xml:space="preserve">In July 2017, the Financial Accounting Standards Board (“FASB”) issued Accounting Standards Update (“ASU”) No. 2017-11, </w:t>
      </w:r>
      <w:r>
        <w:rPr>
          <w:rFonts w:ascii="Arial" w:cs="Arial" w:eastAsia="Arial" w:hAnsi="Arial"/>
          <w:sz w:val="17"/>
          <w:szCs w:val="17"/>
          <w:i w:val="1"/>
          <w:iCs w:val="1"/>
          <w:color w:val="auto"/>
        </w:rPr>
        <w:t>Earnings Per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Share (Topic 260), Distinguishing Liabilities from Equity (Topic 480) and Derivatives and Hedging (Topic 815): I. Accounting for Certain Financial Instruments with Down Round Features and II. Replacement of the Indefinite Deferral for Mandatorily Redeemable Financial Instruments of Certain Nonpublic Entities and Certain Mandatorily Redeemable Noncontrolling Interests with a Scope Exception </w:t>
      </w:r>
      <w:r>
        <w:rPr>
          <w:rFonts w:ascii="Arial" w:cs="Arial" w:eastAsia="Arial" w:hAnsi="Arial"/>
          <w:sz w:val="17"/>
          <w:szCs w:val="17"/>
          <w:color w:val="auto"/>
        </w:rPr>
        <w:t>(“ASU 2017-11”). Part I of this update</w:t>
      </w:r>
      <w:r>
        <w:rPr>
          <w:rFonts w:ascii="Arial" w:cs="Arial" w:eastAsia="Arial" w:hAnsi="Arial"/>
          <w:sz w:val="17"/>
          <w:szCs w:val="17"/>
          <w:i w:val="1"/>
          <w:iCs w:val="1"/>
          <w:color w:val="auto"/>
        </w:rPr>
        <w:t xml:space="preserve"> </w:t>
      </w:r>
      <w:r>
        <w:rPr>
          <w:rFonts w:ascii="Arial" w:cs="Arial" w:eastAsia="Arial" w:hAnsi="Arial"/>
          <w:sz w:val="17"/>
          <w:szCs w:val="17"/>
          <w:color w:val="auto"/>
        </w:rPr>
        <w:t>addresses the complexity of accounting for certain financial instruments with down round features. Down round features are features of certain equity-linked instruments (or embedded features) that result in the strike price being reduced on the basis of the pricing of future equity offerings. Current accounting guidance creates cost and complexity for entities that issue financial instruments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40"/>
          </w:cols>
          <w:pgMar w:left="32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right="20"/>
        <w:spacing w:after="0" w:line="289" w:lineRule="auto"/>
        <w:rPr>
          <w:sz w:val="20"/>
          <w:szCs w:val="20"/>
          <w:color w:val="auto"/>
        </w:rPr>
      </w:pPr>
      <w:r>
        <w:rPr>
          <w:rFonts w:ascii="Arial" w:cs="Arial" w:eastAsia="Arial" w:hAnsi="Arial"/>
          <w:sz w:val="16"/>
          <w:szCs w:val="16"/>
          <w:color w:val="auto"/>
        </w:rPr>
        <w:t>(such as warrants and convertible instruments) with down round features that require fair value measurement of the entire instrument or conversion option. Pursuant to the amendments in Part I of this update, when determining whether certain financial instruments should be classified as liabilities or equity instruments, a down round feature no longer precludes equity classification when assessing whether the instrument is indexed to an entity’s own stock. Part II of this update replaces the indefinite deferral for certain mandatorily redeemable noncontrolling interests and mandatorily redeemable financial instruments of nonpublic entities contained within ASC No. 480 with a scope exception. The amendments in Part II of this update do not have an accounting effect. For public entities, ASU 2017-11 was required to be adopted for annual periods beginning after December 15, 2018, including interim periods within those fiscal years. For nonpublic entities, ASU 2017-11 is effective for annual periods beginning after December 15, 2019, and interim periods within fiscal years beginning after December 15, 2020. Early adoption was permitted. The Company adopted ASU 2017-11 on June 3, 2020 (inception) and the adoption did not have a material impact on the Company’s consolidated financial statements.</w:t>
      </w:r>
    </w:p>
    <w:p>
      <w:pPr>
        <w:spacing w:after="0" w:line="166"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Compensation—Stock Compensation (Topic 718): Improvements to Nonemployee 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Payment Accounting </w:t>
      </w:r>
      <w:r>
        <w:rPr>
          <w:rFonts w:ascii="Arial" w:cs="Arial" w:eastAsia="Arial" w:hAnsi="Arial"/>
          <w:sz w:val="16"/>
          <w:szCs w:val="16"/>
          <w:color w:val="auto"/>
        </w:rPr>
        <w:t>(“ASU 2018-07”). ASU 2018-07 is intended to simplify several aspects of the accounting for non-employee share-based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ASU 2018-07 expands the scope of ASC 718 to include share-based payments issued to non-employees for goods and services. Under ASU 2018-07, entities should apply the requirements of ASC 718 to non-employee awards except for specific guidance on inputs to an option pricing model and the attribution of compensation cost. Accordingly, the accounting for share-based payments to employees and non-employees will be substantially aligned based on this update. The cost of non-employee awards is recorded as if the grantor had paid cash for the goods or services. For public entities, ASU 2018-07 was required to be adopted for annual periods beginning after December 15, 2018, including interim periods within those fiscal years. For nonpublic entities, ASU 2018-07 is effective for annual periods beginning after December 15, 2019, and interim periods within fiscal years beginning after December 15, 2020. Early adoption is permitted. The Company adopted ASU 2018-07 on June 3, 2020 (inception) and the adoption did not have a material impact on the Company’s consolidated financial statements.</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From time to time, new accounting pronouncements are issued by the FASB or other standard setting bodies and adopted by the Company as of the specified effective date. The Company qualifies as an “emerging growth company” as defined in the Jumpstart Our Business Startups Act of 2012 and has elected not to “opt out” of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nonpublic companies.</w:t>
      </w:r>
    </w:p>
    <w:p>
      <w:pPr>
        <w:spacing w:after="0" w:line="177"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or “ASC 842”), as subsequently amended. ASC 842 sets forth the principles for the recognition, measurement, presentation and disclosure of leases for both parties to a contract (i.e., lessees and lessors). ASC 842 replaces the existing guidance in ASC No.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840”). ASC 842 requires lessees to apply a dual approach, classifying leases as either finance or operating leases based on the principle of whether or not the lease is effectively a financed purchase by the lessee. This classification determines whether lease expense is recognized based on an effective interest method for finance leases or on a straight-line basis over the term of the lease for operating leases. In addition, a lessee is also required to record (i) a right-of-use asset and a lease liability on its balance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40"/>
          </w:cols>
          <w:pgMar w:left="320" w:top="459"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 xml:space="preserve">sheets for all leases with a term of greater than 12 months regardless of their classification and (ii) lease expense on its statement of operations for operating leases and amortization and interest expense on its statement of operations for financing leases. Leases with a term of 12 months or less may be accounted for similar to existing guidance for operating leases under ASC 840. ASC 842 also requires lessees and lessors to disclose key information about their leasing transactions. In July 2018, the FASB issued ASU No. 2018-11,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added an optional transition method that allows companies to adopt the standard as of the beginning of the year of adoption as opposed to the earliest comparative period presented. In November 2019, the FASB issued guidance delaying the effective date for all entities, except for public entities. For public entities, ASU 2016-02 was effective for annual periods beginning after December 15, 2018, including interim periods within those fiscal years. In June 2020, the FASB issued ASU No. 2020-05, </w:t>
      </w:r>
      <w:r>
        <w:rPr>
          <w:rFonts w:ascii="Arial" w:cs="Arial" w:eastAsia="Arial" w:hAnsi="Arial"/>
          <w:sz w:val="16"/>
          <w:szCs w:val="16"/>
          <w:i w:val="1"/>
          <w:iCs w:val="1"/>
          <w:color w:val="auto"/>
        </w:rPr>
        <w:t>Revenue from Contracts with Customers (Topic 606) and Leases (Topic 842): Effective Dates for Certain Entities</w:t>
      </w:r>
      <w:r>
        <w:rPr>
          <w:rFonts w:ascii="Arial" w:cs="Arial" w:eastAsia="Arial" w:hAnsi="Arial"/>
          <w:sz w:val="16"/>
          <w:szCs w:val="16"/>
          <w:color w:val="auto"/>
        </w:rPr>
        <w:t xml:space="preserve"> (“ASU 2020-05”), which delayed the adoption date of ASU 2016-02 for nonpublic entities. For nonpublic entities, ASU 2016-02 is effective for annual periods beginning after December 15, 2021, including interim periods within annual periods beginning after December 15, 2022. Early adoption is permitted, including in an interim period. Entities are required to adopt ASC 842 using a modified retrospective transition method. The Company is currently evaluating the potential impact that the adoption of this standard may have on its consolidated financial statements and related disclosures.</w:t>
      </w:r>
    </w:p>
    <w:p>
      <w:pPr>
        <w:spacing w:after="0" w:line="168"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and also issued subsequent amendments to the initial guidance: ASU 2018-19, ASU 2019-04 and ASU 2019-05</w:t>
      </w:r>
      <w:r>
        <w:rPr>
          <w:rFonts w:ascii="Arial" w:cs="Arial" w:eastAsia="Arial" w:hAnsi="Arial"/>
          <w:sz w:val="16"/>
          <w:szCs w:val="16"/>
          <w:i w:val="1"/>
          <w:iCs w:val="1"/>
          <w:color w:val="auto"/>
        </w:rPr>
        <w:t xml:space="preserve"> </w:t>
      </w:r>
      <w:r>
        <w:rPr>
          <w:rFonts w:ascii="Arial" w:cs="Arial" w:eastAsia="Arial" w:hAnsi="Arial"/>
          <w:sz w:val="16"/>
          <w:szCs w:val="16"/>
          <w:color w:val="auto"/>
        </w:rPr>
        <w:t>(collectively, “Topic 326”). The main objective of this update is to provide financial statement users with more decision-useful information about the expected credit losses on financial instruments and other commitments to extend credit held by a reporting entity at each reporting date. To achieve this objective, the amendments in this update replace the incurred loss impairment methodology in current guidance with a methodology that reflects expected credit losses and requires consideration of a broader range of reasonable and supportable information to inform credit loss estimates. Under ASU 2016-13, expected credit losses relating to financial assets measured on an amortized cost basis and available-for-sale debt securities are required to be recorded through an allowance for credit losses. The update also limits the amount of credit losses to be recognized for available-for-sale debt securities to the amount by which the carrying value exceeds fair value. The measurement of expected credit losses will be based on relevant information about past events, including historical experience, current conditions and reasonable and supportable forecasts that affect the collectability of the reported amount. ASU 2016-13 also establishes additional disclosure requirements related to credit risks. For public entities that qualify as a filer with the Securities and Exchange Commission, excluding entities eligible to be smaller reporting companies, ASU 2016-13 is effective for annual periods beginning after December 15, 2019, including interim periods within those fiscal years. Early adoption is permitted. In November 2019, the FASB issued ASU No. 2019-10, which deferred the effective date for nonpublic entities to annual reporting periods beginning after December 15, 2022, including interim periods within those fiscal years. ASU 2016-13 is applied by means of a cumulative-effect adjustment to the opening retained earnings as of the beginning of the first reporting period in which the guidance is effective. The Company is currently evaluating the potential impact that the adoption of this standard may have on its consolidated financial statements and related disclosures.</w:t>
      </w:r>
    </w:p>
    <w:p>
      <w:pPr>
        <w:spacing w:after="0" w:line="174"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Implementation Costs Incurred in a Cloud Computing Arrangement That is a Service Contract </w:t>
      </w:r>
      <w:r>
        <w:rPr>
          <w:rFonts w:ascii="Arial" w:cs="Arial" w:eastAsia="Arial" w:hAnsi="Arial"/>
          <w:sz w:val="18"/>
          <w:szCs w:val="18"/>
          <w:color w:val="auto"/>
        </w:rPr>
        <w:t>(“ASU 2018-15”). The amendments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ASU 2018-15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Accordingly, the update requires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59" w:right="4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 xml:space="preserve">entities in a hosting arrangement that is a service contract to follow the guidance in ASC 350-40, </w:t>
      </w:r>
      <w:r>
        <w:rPr>
          <w:rFonts w:ascii="Arial" w:cs="Arial" w:eastAsia="Arial" w:hAnsi="Arial"/>
          <w:sz w:val="16"/>
          <w:szCs w:val="16"/>
          <w:i w:val="1"/>
          <w:iCs w:val="1"/>
          <w:color w:val="auto"/>
        </w:rPr>
        <w:t>Internal-Use Software</w:t>
      </w:r>
      <w:r>
        <w:rPr>
          <w:rFonts w:ascii="Arial" w:cs="Arial" w:eastAsia="Arial" w:hAnsi="Arial"/>
          <w:sz w:val="16"/>
          <w:szCs w:val="16"/>
          <w:color w:val="auto"/>
        </w:rPr>
        <w:t xml:space="preserve"> (“ASC 350-40”) to determine which implementation costs to capitalize as an asset related to the service contract and which costs to expense. Costs to develop or obtain internal-use software that cannot be capitalized under ASC 350-40, such as training costs and certain data conversion costs, also cannot be capitalized for a hosting arrangement that is a service contract. Therefore, an entity in a hosting arrangement that is a service contract determines which project stage an implementation activity relates to. Costs for implementation activities in the application development stage are capitalized depending on the nature of the costs, while costs incurred during the preliminary project and post-implementation stages are expensed as the activities are performed. ASU 2018-15 also requires entities to expense the capitalized implementation costs of a hosting arrangement that is a service contract over the term of the hosting arrangement. ASU 2018-15 was effective for public entities for annual periods beginning after December 15, 2019, including interim periods within those fiscal years. For nonpublic entities, ASU 2018-15 is effective for annual reporting periods beginning after December 15, 2020, and interim periods within annual periods beginning after December 15, 2021. Early adoption is permitted, including adoption in any interim period. ASU 2018-15 is applied either retrospectively or prospectively to all implementation costs incurred after the date of adoption. The Company is currently evaluating the potential impact that the adoption of this standard may have on its consolidated financial statements and related disclosures.</w:t>
      </w:r>
    </w:p>
    <w:p>
      <w:pPr>
        <w:spacing w:after="0" w:line="168"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xml:space="preserve"> (“ASU 2019-12”). ASU 2019-12 eliminates certain exceptions related to the approach for intraperiod tax allocation, the methodology for calculating income taxes in an interim period and the recognition of deferred tax liabilities for outside basis differences. The update also clarifies and simplifies other aspects of the accounting for income taxes. For public entities, ASU 2019-12 is required to be adopted for annual periods beginning after December 15, 2020, including interim periods within those fiscal years. For nonpublic entities, ASU 2019-12 is effective for annual periods beginning after December 15, 2021, and interim periods within fiscal years beginning after December 15, 2022. Early adoption is permitted, including adoption in any interim period for which financial statements have not yet been issued or made available for issuance. An entity that elects to early adopt the update in an interim period should reflect any adjustments as of the beginning of the annual period that includes that interim period. Additionally, an entity that elects early adoption must adopt all the amendments in the update in the same period. The Company is currently evaluating the potential impact that the adoption of this standard may have on its consolidated financial statements and related disclosures.</w:t>
      </w:r>
    </w:p>
    <w:p>
      <w:pPr>
        <w:spacing w:after="0" w:line="168"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 xml:space="preserve">In August 2020, the FASB issued ASU No. 2020-06, </w:t>
      </w:r>
      <w:r>
        <w:rPr>
          <w:rFonts w:ascii="Arial" w:cs="Arial" w:eastAsia="Arial" w:hAnsi="Arial"/>
          <w:sz w:val="16"/>
          <w:szCs w:val="16"/>
          <w:i w:val="1"/>
          <w:iCs w:val="1"/>
          <w:color w:val="auto"/>
        </w:rPr>
        <w:t>Debt—Debt with Conversion and Other Options (Subtopic 470-20) and 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Hedging—Contracts in Entity’s Own Equity (Subtopic 815-40): Accounting for Convertible Instruments and Contracts in an Entity’s Own Equity </w:t>
      </w:r>
      <w:r>
        <w:rPr>
          <w:rFonts w:ascii="Arial" w:cs="Arial" w:eastAsia="Arial" w:hAnsi="Arial"/>
          <w:sz w:val="16"/>
          <w:szCs w:val="16"/>
          <w:color w:val="auto"/>
        </w:rPr>
        <w:t>(“ASU</w:t>
      </w:r>
      <w:r>
        <w:rPr>
          <w:rFonts w:ascii="Arial" w:cs="Arial" w:eastAsia="Arial" w:hAnsi="Arial"/>
          <w:sz w:val="16"/>
          <w:szCs w:val="16"/>
          <w:i w:val="1"/>
          <w:iCs w:val="1"/>
          <w:color w:val="auto"/>
        </w:rPr>
        <w:t xml:space="preserve"> </w:t>
      </w:r>
      <w:r>
        <w:rPr>
          <w:rFonts w:ascii="Arial" w:cs="Arial" w:eastAsia="Arial" w:hAnsi="Arial"/>
          <w:sz w:val="16"/>
          <w:szCs w:val="16"/>
          <w:color w:val="auto"/>
        </w:rPr>
        <w:t>2020-06”). ASU 2020-06 was issued to reduce the complexity associated with accounting for certain financial instruments with characteristics of liabilities and equity. ASU 2020-06 reduces the number of accounting models for convertible debt instruments and convertible preferred stock and improves the disclosures for convertible instruments and related earnings per share guidance. ASU 2020-06 also amends the guidance for the derivatives scope exception for contracts in an entity’s own equity and improves and amends the related earnings per share guidance. For public entities that qualify as a filer with the Securities and Exchange Commission, excluding entities eligible to be smaller reporting companies, ASU 2020-06 is effective for fiscal annual periods beginning after December 15, 2021, including interim periods within those fiscal years. For nonpublic entities, ASU 2020-06 is effective for fiscal years beginning after December 15, 2023, including interim periods within those fiscal years. Early adoption is permitted, but no earlier than fiscal years beginning after December 15, 2020, including interim periods within those fiscal years. ASU 2020-06 must be adopted as of the beginning of its annual fiscal year. ASU 2020-06 may be adopted through either a modified retrospective method of transition or a fully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40"/>
          </w:cols>
          <w:pgMar w:left="320" w:top="459" w:right="4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retrospective method of transition. The Company is currently evaluating the potential impact that the adoption of this standard may have on its consolidated financial statements and related disclosures.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following tables present the Company’s fair value hierarchy for its assets and liabilities that are measured at fair value on a recurring basis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93"/>
              </w:rPr>
              <w:t>Fair Value Measurements at</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7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w w:val="91"/>
              </w:rPr>
              <w:t>December 31, 2020 Using:</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2"/>
          </w:tcPr>
          <w:p>
            <w:pPr>
              <w:jc w:val="center"/>
              <w:ind w:right="40"/>
              <w:spacing w:after="0" w:line="142" w:lineRule="exact"/>
              <w:rPr>
                <w:sz w:val="20"/>
                <w:szCs w:val="20"/>
                <w:color w:val="auto"/>
              </w:rPr>
            </w:pPr>
            <w:r>
              <w:rPr>
                <w:rFonts w:ascii="Arial" w:cs="Arial" w:eastAsia="Arial" w:hAnsi="Arial"/>
                <w:sz w:val="14"/>
                <w:szCs w:val="14"/>
                <w:b w:val="1"/>
                <w:bCs w:val="1"/>
                <w:color w:val="auto"/>
                <w:w w:val="92"/>
              </w:rPr>
              <w:t>Level 1</w:t>
            </w:r>
          </w:p>
        </w:tc>
        <w:tc>
          <w:tcPr>
            <w:tcW w:w="340" w:type="dxa"/>
            <w:vAlign w:val="bottom"/>
          </w:tcPr>
          <w:p>
            <w:pPr>
              <w:spacing w:after="0"/>
              <w:rPr>
                <w:sz w:val="12"/>
                <w:szCs w:val="12"/>
                <w:color w:val="auto"/>
              </w:rPr>
            </w:pPr>
          </w:p>
        </w:tc>
        <w:tc>
          <w:tcPr>
            <w:tcW w:w="8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Level 2</w:t>
            </w:r>
          </w:p>
        </w:tc>
        <w:tc>
          <w:tcPr>
            <w:tcW w:w="8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Level 3</w:t>
            </w:r>
          </w:p>
        </w:tc>
        <w:tc>
          <w:tcPr>
            <w:tcW w:w="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2"/>
                <w:szCs w:val="12"/>
                <w:color w:val="auto"/>
              </w:rPr>
            </w:pPr>
          </w:p>
        </w:tc>
      </w:tr>
      <w:tr>
        <w:trPr>
          <w:trHeight w:val="196"/>
        </w:trPr>
        <w:tc>
          <w:tcPr>
            <w:tcW w:w="7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780" w:type="dxa"/>
            <w:vAlign w:val="bottom"/>
          </w:tcPr>
          <w:p>
            <w:pPr>
              <w:ind w:left="360"/>
              <w:spacing w:after="0"/>
              <w:rPr>
                <w:sz w:val="20"/>
                <w:szCs w:val="20"/>
                <w:color w:val="auto"/>
              </w:rPr>
            </w:pPr>
            <w:r>
              <w:rPr>
                <w:rFonts w:ascii="Arial" w:cs="Arial" w:eastAsia="Arial" w:hAnsi="Arial"/>
                <w:sz w:val="18"/>
                <w:szCs w:val="18"/>
                <w:color w:val="auto"/>
              </w:rPr>
              <w:t>Cash equivalents:</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Money market fund</w:t>
            </w:r>
          </w:p>
        </w:tc>
        <w:tc>
          <w:tcPr>
            <w:tcW w:w="6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39,006</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39,006</w:t>
            </w:r>
          </w:p>
        </w:tc>
      </w:tr>
      <w:tr>
        <w:trPr>
          <w:trHeight w:val="223"/>
        </w:trPr>
        <w:tc>
          <w:tcPr>
            <w:tcW w:w="7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39,006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39,006</w:t>
            </w:r>
          </w:p>
        </w:tc>
        <w:tc>
          <w:tcPr>
            <w:tcW w:w="6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7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93"/>
              </w:rPr>
              <w:t>Fair Value Measurements at</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1"/>
        </w:trPr>
        <w:tc>
          <w:tcPr>
            <w:tcW w:w="7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20" w:type="dxa"/>
            <w:vAlign w:val="bottom"/>
            <w:gridSpan w:val="11"/>
          </w:tcPr>
          <w:p>
            <w:pPr>
              <w:jc w:val="center"/>
              <w:ind w:right="80"/>
              <w:spacing w:after="0"/>
              <w:rPr>
                <w:sz w:val="20"/>
                <w:szCs w:val="20"/>
                <w:color w:val="auto"/>
              </w:rPr>
            </w:pPr>
            <w:r>
              <w:rPr>
                <w:rFonts w:ascii="Arial" w:cs="Arial" w:eastAsia="Arial" w:hAnsi="Arial"/>
                <w:sz w:val="14"/>
                <w:szCs w:val="14"/>
                <w:b w:val="1"/>
                <w:bCs w:val="1"/>
                <w:color w:val="auto"/>
                <w:w w:val="94"/>
              </w:rPr>
              <w:t>March 31, 2021 (unaudited) Using:</w:t>
            </w:r>
          </w:p>
        </w:tc>
      </w:tr>
      <w:tr>
        <w:trPr>
          <w:trHeight w:val="142"/>
        </w:trPr>
        <w:tc>
          <w:tcPr>
            <w:tcW w:w="7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top w:val="single" w:sz="8" w:color="auto"/>
            </w:tcBorders>
            <w:gridSpan w:val="2"/>
          </w:tcPr>
          <w:p>
            <w:pPr>
              <w:jc w:val="center"/>
              <w:ind w:right="40"/>
              <w:spacing w:after="0" w:line="142" w:lineRule="exact"/>
              <w:rPr>
                <w:sz w:val="20"/>
                <w:szCs w:val="20"/>
                <w:color w:val="auto"/>
              </w:rPr>
            </w:pPr>
            <w:r>
              <w:rPr>
                <w:rFonts w:ascii="Arial" w:cs="Arial" w:eastAsia="Arial" w:hAnsi="Arial"/>
                <w:sz w:val="14"/>
                <w:szCs w:val="14"/>
                <w:b w:val="1"/>
                <w:bCs w:val="1"/>
                <w:color w:val="auto"/>
                <w:w w:val="92"/>
              </w:rPr>
              <w:t>Level 1</w:t>
            </w: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Level 2</w:t>
            </w:r>
          </w:p>
        </w:tc>
        <w:tc>
          <w:tcPr>
            <w:tcW w:w="8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Level 3</w:t>
            </w: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2"/>
                <w:szCs w:val="12"/>
                <w:color w:val="auto"/>
              </w:rPr>
            </w:pPr>
          </w:p>
        </w:tc>
      </w:tr>
      <w:tr>
        <w:trPr>
          <w:trHeight w:val="196"/>
        </w:trPr>
        <w:tc>
          <w:tcPr>
            <w:tcW w:w="7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780" w:type="dxa"/>
            <w:vAlign w:val="bottom"/>
          </w:tcPr>
          <w:p>
            <w:pPr>
              <w:ind w:left="360"/>
              <w:spacing w:after="0"/>
              <w:rPr>
                <w:sz w:val="20"/>
                <w:szCs w:val="20"/>
                <w:color w:val="auto"/>
              </w:rPr>
            </w:pPr>
            <w:r>
              <w:rPr>
                <w:rFonts w:ascii="Arial" w:cs="Arial" w:eastAsia="Arial" w:hAnsi="Arial"/>
                <w:sz w:val="18"/>
                <w:szCs w:val="18"/>
                <w:color w:val="auto"/>
              </w:rPr>
              <w:t>Cash equivalents:</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Money market fund</w:t>
            </w:r>
          </w:p>
        </w:tc>
        <w:tc>
          <w:tcPr>
            <w:tcW w:w="6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15,274</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15,274</w:t>
            </w:r>
          </w:p>
        </w:tc>
      </w:tr>
      <w:tr>
        <w:trPr>
          <w:trHeight w:val="223"/>
        </w:trPr>
        <w:tc>
          <w:tcPr>
            <w:tcW w:w="77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15,274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15,274</w:t>
            </w:r>
          </w:p>
        </w:tc>
        <w:tc>
          <w:tcPr>
            <w:tcW w:w="6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The money market fund was valued by the Company based on quoted market prices, which represent a Level 1 measurement within the fair value hierarchy. There were no changes to the valuation methods for the period from June 3, 2020 (inception) to December 31, 2020 and for the three months ended March 31, 2021 (unaudited). The Company evaluates transfers between levels at the end of each reporting period. There were no transfers between Level 1 or Level 2 during the period from June 3, 2020 (inception) to December 31, 2020 and the three months ended March 31, 2021 (unaudited).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Prepaid Expenses and Other Current Assets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49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42"/>
        </w:trPr>
        <w:tc>
          <w:tcPr>
            <w:tcW w:w="49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(unaudited)</w:t>
            </w:r>
          </w:p>
        </w:tc>
        <w:tc>
          <w:tcPr>
            <w:tcW w:w="60" w:type="dxa"/>
            <w:vAlign w:val="bottom"/>
          </w:tcPr>
          <w:p>
            <w:pPr>
              <w:spacing w:after="0"/>
              <w:rPr>
                <w:sz w:val="12"/>
                <w:szCs w:val="12"/>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w w:val="95"/>
              </w:rPr>
              <w:t>Prepaid external research, development and manufacturing costs</w:t>
            </w:r>
          </w:p>
        </w:tc>
        <w:tc>
          <w:tcPr>
            <w:tcW w:w="4020" w:type="dxa"/>
            <w:vAlign w:val="bottom"/>
            <w:gridSpan w:val="2"/>
            <w:shd w:val="clear" w:color="auto" w:fill="CCEEFF"/>
          </w:tcPr>
          <w:p>
            <w:pPr>
              <w:ind w:left="38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2,253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3,070</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Other</w:t>
            </w:r>
          </w:p>
        </w:tc>
        <w:tc>
          <w:tcPr>
            <w:tcW w:w="3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557</w:t>
            </w:r>
          </w:p>
        </w:tc>
      </w:tr>
      <w:tr>
        <w:trPr>
          <w:trHeight w:val="27"/>
        </w:trPr>
        <w:tc>
          <w:tcPr>
            <w:tcW w:w="49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98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2,394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3,627</w:t>
            </w:r>
          </w:p>
        </w:tc>
      </w:tr>
      <w:tr>
        <w:trPr>
          <w:trHeight w:val="20"/>
        </w:trPr>
        <w:tc>
          <w:tcPr>
            <w:tcW w:w="49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980" w:type="dxa"/>
            <w:vAlign w:val="bottom"/>
          </w:tcPr>
          <w:p>
            <w:pPr>
              <w:spacing w:after="0"/>
              <w:rPr>
                <w:sz w:val="24"/>
                <w:szCs w:val="24"/>
                <w:color w:val="auto"/>
              </w:rPr>
            </w:pPr>
          </w:p>
        </w:tc>
        <w:tc>
          <w:tcPr>
            <w:tcW w:w="4020" w:type="dxa"/>
            <w:vAlign w:val="bottom"/>
            <w:gridSpan w:val="2"/>
          </w:tcPr>
          <w:p>
            <w:pPr>
              <w:ind w:left="360"/>
              <w:spacing w:after="0"/>
              <w:rPr>
                <w:sz w:val="20"/>
                <w:szCs w:val="20"/>
                <w:color w:val="auto"/>
              </w:rPr>
            </w:pPr>
            <w:r>
              <w:rPr>
                <w:rFonts w:ascii="Arial" w:cs="Arial" w:eastAsia="Arial" w:hAnsi="Arial"/>
                <w:sz w:val="18"/>
                <w:szCs w:val="18"/>
                <w:color w:val="auto"/>
              </w:rPr>
              <w:t>F-19</w:t>
            </w: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Accrued Expenses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67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42"/>
        </w:trPr>
        <w:tc>
          <w:tcPr>
            <w:tcW w:w="67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(unaudited)</w:t>
            </w:r>
          </w:p>
        </w:tc>
        <w:tc>
          <w:tcPr>
            <w:tcW w:w="60" w:type="dxa"/>
            <w:vAlign w:val="bottom"/>
          </w:tcPr>
          <w:p>
            <w:pPr>
              <w:spacing w:after="0"/>
              <w:rPr>
                <w:sz w:val="12"/>
                <w:szCs w:val="12"/>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Accrued external research, development and manufacturing costs</w:t>
            </w:r>
          </w:p>
        </w:tc>
        <w:tc>
          <w:tcPr>
            <w:tcW w:w="224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3,853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15,774</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Accrued professional and consultant fees</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237</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1,084</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compensation</w:t>
            </w: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794</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485</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Other</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r>
        <w:trPr>
          <w:trHeight w:val="27"/>
        </w:trPr>
        <w:tc>
          <w:tcPr>
            <w:tcW w:w="67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76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4,919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17,360</w:t>
            </w:r>
          </w:p>
        </w:tc>
      </w:tr>
      <w:tr>
        <w:trPr>
          <w:trHeight w:val="20"/>
        </w:trPr>
        <w:tc>
          <w:tcPr>
            <w:tcW w:w="6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License Agreements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Adimab Assignment Agreement</w:t>
      </w:r>
    </w:p>
    <w:p>
      <w:pPr>
        <w:spacing w:after="0" w:line="117" w:lineRule="exact"/>
        <w:rPr>
          <w:sz w:val="20"/>
          <w:szCs w:val="20"/>
          <w:color w:val="auto"/>
        </w:rPr>
      </w:pPr>
    </w:p>
    <w:p>
      <w:pPr>
        <w:jc w:val="both"/>
        <w:ind w:left="120" w:right="20" w:firstLine="440"/>
        <w:spacing w:after="0" w:line="289" w:lineRule="auto"/>
        <w:rPr>
          <w:sz w:val="20"/>
          <w:szCs w:val="20"/>
          <w:color w:val="auto"/>
        </w:rPr>
      </w:pPr>
      <w:r>
        <w:rPr>
          <w:rFonts w:ascii="Arial" w:cs="Arial" w:eastAsia="Arial" w:hAnsi="Arial"/>
          <w:sz w:val="16"/>
          <w:szCs w:val="16"/>
          <w:color w:val="auto"/>
        </w:rPr>
        <w:t>In July 2020, the Company entered into an Assignment and License Agreement with Adimab (“Adimab Assignment Agreement”). Under the terms of the agreement, Adimab assigned to the Company all rights, title and interest in and to certain of its coronavirus-specific antibodies (“CoV Antibodies”), including modified or derivative forms thereof, and related intellectual property (“Adimab CoV Assets”). In addition, Adimab granted to the Company a non-exclusive, worldwide, royalty-bearing, sublicensable license to certain of its platform patents and technology for the development, manufacture and commercialization of the CoV Antibodies and pharmaceutical products containing or comprising one or more CoV Antibodies (each, a “Product”) for all indications and uses, with the exception of certain diagnostic uses and use as a research reagent (the “Field”). The Company is entitled to sublicense the assigned rights and licensed intellectual property solely with respect to any CoV Antibody or Product, subject to specified conditions of the agreement. The Company is obligated to use commercially reasonable efforts to achieve specified development and regulatory milestones for Products in certain major markets and to commercialize a product in any country in which the Company obtains marketing approval.</w:t>
      </w:r>
    </w:p>
    <w:p>
      <w:pPr>
        <w:spacing w:after="0" w:line="166"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Pursuant to the terms of the Adimab Assignment Agreement, the parties will establish one or more work plans that set forth the activities to be performed under the agreement (each, a “Work Plan”), and each party is responsible for performing the obligations to which it is assigned under such Work Plans. Upon execution of the Adimab Assignment Agreement, the Company and Adimab agreed on an initial work plan that outlined the services that will be performed commencing at inception of the arrangement. The Company is obligated to pay Adimab quarterly for its services performed under each Work Plan at a specified full-time equivalent rate. Otherwise, the Company is solely responsible for the development, manufacture and commercialization of the CoV Antibodies and associated Products at its own cost and expense. The Company is solely responsible for preparing and submitting all investigational new drug applications, new drug applications, biologics license applications and other regulatory filings for the CoV Antibodies and Products in the Field, and for obtaining and maintaining all marketing approvals for Products in the Field, at its sole expense. Additionally, the Company has the sole right to prosecute, maintain, enforce and defend patents covering the CoV Antibodies and Products, all at its own expense.</w:t>
      </w:r>
    </w:p>
    <w:p>
      <w:pPr>
        <w:spacing w:after="0" w:line="194"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In July 2020, in consideration for the rights assigned and license conveyed under the Adimab Assignment Agreement, the Company issued 5,000,000 shares of its Series A convertible preferred stock (the “Series A Preferred Stock”), then having a fair value of $40.0 million, to Adimab. Concurrently, Adimab relinquished 21,250,000 shares of the Company’s common stock to the Company, then having a fair value of $85,000. Additionally, the Company is obligated to pay Adimab up to $16.5 million upon the achievement of specified development and regulatory milestones for the first Product under the agreement that achieves such specified milestones and up to $8.1 million upon the achievement of specified development and regulatory milestones for</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 xml:space="preserve">the second Product under the agreement that achieves such specified milestones. The maximum aggregate amount of milestone payments payable under the agreement for any and all Products is $24.6 million; however, milestone payments do not accrue for certain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devices consisting of or containing CoV Antibodies.</w:t>
      </w:r>
    </w:p>
    <w:p>
      <w:pPr>
        <w:spacing w:after="0" w:line="184"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auto"/>
        </w:rPr>
        <w:t>In February 2021, the Company achieved the first specified milestone under the agreement upon dosing of the first patient in a Phase 1 clinical trial evaluating ADG20, which obligated the Company to make a $1.0 million milestone payment to Adimab. In April 2021, the Company achieved the second specified milestone under the agreement upon dosing of the first patient in a Phase 2 clinical trial evaluating ADG20 for the prevention of COVID-19, which obligated the Company to make a $2.5 million milestone payment. The Company recognized the expense related to the expected achievement of the second milestone in early April, when certain Phase 1 clinical trial data was submitted to the FDA for review and the second milestone under the agreement became probable of achievement. The next potential milestone payment that the Company may be obligated to make under the agreement is a $4.0 million milestone payment for the first dosing of the first subject in the first Phase 3 clinical trial of a Product.</w:t>
      </w:r>
    </w:p>
    <w:p>
      <w:pPr>
        <w:spacing w:after="0" w:line="166"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The Company is also obligated to pay Adimab royalties of a mid single-digit percentage based on net sales of any Products, once commercialized. The royalty rate is subject to reductions specified under the agreement. Royalties are due on a Product-by-Product and country-by-country basis beginning upon the first commercial sale of each Product and ending on the later of (i) 12 years after the first commercial sale of such Product in such country and (ii) expiration of the last valid claim of a patent covering such Product in such country (“Royalty Term”). In addition, the Company is obligated to pay Adimab royalties of a specified percentage in the range of 45% to 55% of any compulsory sublicense consideration received by the Company in lieu of certain royalty payments. Except for the first milestone payment of $1.0 million, which was paid by the Company to Adimab in March 2021, no other milestone, royalty or other contingent payments had become due to Adimab through December 31, 2020 or March 31, 2021 (unaudited).</w:t>
      </w:r>
    </w:p>
    <w:p>
      <w:pPr>
        <w:spacing w:after="0" w:line="192"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Unless earlier terminated, the Adimab Assignment Agreement remains in effect until the expiration of the last-to-expire Royalty Term for any and all Products. The Company may terminate the agreement at any time for any or no reason upon advance written notice to Adimab. Either party may terminate the agreement in the event of a material breach by the other party that is not cured within specified periods, except that after the initiation of the first clinical trial of a Product, Adimab may only terminate the agreement for an uncured material breach by the Company for its due diligence obligation or a payment obligation. Upon any termination of the agreement prior to its expiration, all licenses and rights granted pursuant to the arrangement will automatically terminate and revert to the granting party and all other rights and obligations of the parties will terminate.</w:t>
      </w:r>
    </w:p>
    <w:p>
      <w:pPr>
        <w:spacing w:after="0" w:line="164"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The Company concluded that the Adimab Assignment Agreement represented an asset acquisition of IPR&amp;D assets with no alternative future use. The arrangement did not qualify as a business combination because substantially all of the fair value of the assets acquired was concentrated in a single asset. Therefore, the aggregate acquisition cost was recognized as acquired in-process research and development expense. For the period from June 3, 2020 (inception) to December 31, 2020 and for the three months ended March 31, 2021 (unaudited), the Company recognized $39.9 million and $1.0 million, respectively, as IPR&amp;D expense in connection with upfront consideration and contingent consideration payable under the Adimab Assignment Agreement. The $39.9 million of costs to acquire the IPR&amp;D assets was determined as a result of the Company’s allocation of the $40.0 million aggregate fair value of the 5,000,000 shares of the Series A Preferred Stock that the Company issued to Adimab on the acquisition date in exchange for (i) the IPR&amp;D assets acquired from Adimab and (ii) 21,250,000 shares of the Company’s common stock that it repurchased from Adimab on that same date. The Company allocated the $40.0 million fair value of the 5,000,000 shares of Series A Preferred Stock to the IPR&amp;D assets and to the repurchased common stock based on their relative fair values on the acquisition</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59" w:right="4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date. As of that date and before allocation, the Company determined that the fair value of the repurchased common stock was $85,000, based on the results of a third-party valuation, and that the fair value of the IPR&amp;D assets was $40.0 million. The Company determined the fair value of the 5,000,000 shares of Series A Preferred Stock based on the $8.00 price per share paid for the stock by new investors in the Company’s Series A Preferred Stock financing, which closed on the same date as the date on which the Company acquired the CoV Antibodies and Adimab CoV Assets under the Adimab Assignment Agreement.</w:t>
      </w:r>
    </w:p>
    <w:p>
      <w:pPr>
        <w:spacing w:after="0" w:line="188"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Amounts paid with respect to services performed by Adimab on the Company’s behalf under the Adimab Assignment Agreement are recognized as research and development expense as such amounts are incurred. For the period from June 3, 2020 (inception) to December 31, 2020 and for the three months ended March 31, 2021 (unaudited), the Company recognized $0.6 million and $0.2 million, respectively, of expense in connection with services provided by Adimab.</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WuXi Cell Line License Agreement</w:t>
      </w:r>
    </w:p>
    <w:p>
      <w:pPr>
        <w:spacing w:after="0" w:line="11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In December 2020, the Company entered into a Cell Line License Agreement with WuXi Biologics (Hong Kong) Limited (“WuXi”) (the “Cell Line License Agreement”), under which WuXi granted to the Company a non-exclusive, non-transferable, worldwide, royalty-bearing, sublicensable license to certain of its intellectual property, including certain patent rights associated with a proprietary cell line developed by WuXi for the exploitation of certain recombinant antibodies developed using such proprietary cell line (each, a “Licensed Product”). Each Licensed Product generated under the arrangement will be produced from a transformed or transfected version of the proprietary cell line derived by WuXi (each of such transformed or transfected cell lines, a “Licensed Cell Line”).</w:t>
      </w:r>
    </w:p>
    <w:p>
      <w:pPr>
        <w:spacing w:after="0" w:line="192"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The Company was obligated to pay an upfront fee of $0.2 million to WuXi upon completion of cell bank generation for the first Licensed Cell Line created under the arrangement. Such amount became due in December 2020 and was an accrued expense as of December 31, 2020 and March 31, 2021 (unaudited). The Company is also obligated to pay royalties in the range of 0.3% to 0.5% to WuXi based on net sales of any Licensed Products manufactured by the Company or a third party on its behalf. However, if the Company uses WuXi to manufacture all of its commercial supplies, no royalties would be owed by the Company to WuXi for net sales of Licensed Products. The Company has an option to buy out its royalty obligations on a Licensed Cell Line-by-Licensed Cell Line basis by making a one-time payment of $15.0 million to WuXi. Royalties are due on a Licensed Product-by-Licensed Product basis commencing on the date of the first commercial sale of the applicable product and continue for so long as the Company commercializes Licensed Products or until the Company exercises its option to buy out the royalty obligations. Through December 31, 2020 and March 31, 2021 (unaudited), no royalties had become due to WuXi.</w:t>
      </w:r>
    </w:p>
    <w:p>
      <w:pPr>
        <w:spacing w:after="0" w:line="181"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The Cell Line License Agreement remains in effect until it is terminated. The Company may terminate the Cell Line License Agreement at any time with notice to WuXi. WuXi may terminate the Cell Line License Agreement in the event the Company fails to make a payment when due under the arrangement and such non-payment is not cured within a specified period after notice. Either party may terminate the Cell Line License Agreement in the event of a material breach by the other party that is not cured within a specified period after notice. Upon termination of the Cell Line License Agreement, the license conveyed by WuXi to the Company will continue in full force and effect with respect to all Licensed Products manufactured using the Licensed Cell Line already generated under the arrangement, provided that the Company continues to pay its royalty obligations, if any.</w:t>
      </w:r>
    </w:p>
    <w:p>
      <w:pPr>
        <w:spacing w:after="0" w:line="16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Company concluded that the Cell Line License Agreement represented an asset acquisition of IPR&amp;D with no alternative future use. The arrangement did not qualify as a business combination because substantially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9" w:right="4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all of the fair value of the assets acquired was concentrated in a single asset. Therefore, the aggregate acquisition cost of $0.2 million, consisting solely of the upfront fee, was recognized as acquired IPR&amp;D expense for the period from June 3, 2020 (inception) to December 31, 2020.</w:t>
      </w:r>
    </w:p>
    <w:p>
      <w:pPr>
        <w:spacing w:after="0" w:line="250" w:lineRule="exact"/>
        <w:rPr>
          <w:sz w:val="20"/>
          <w:szCs w:val="20"/>
          <w:color w:val="auto"/>
        </w:rPr>
      </w:pPr>
    </w:p>
    <w:p>
      <w:pPr>
        <w:ind w:left="560" w:right="8300" w:hanging="444"/>
        <w:spacing w:after="0" w:line="453" w:lineRule="auto"/>
        <w:tabs>
          <w:tab w:leader="none" w:pos="300" w:val="left"/>
        </w:tabs>
        <w:numPr>
          <w:ilvl w:val="0"/>
          <w:numId w:val="15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License Agreements</w:t>
      </w:r>
    </w:p>
    <w:p>
      <w:pPr>
        <w:ind w:left="560"/>
        <w:spacing w:after="0"/>
        <w:rPr>
          <w:rFonts w:ascii="Arial" w:cs="Arial" w:eastAsia="Arial" w:hAnsi="Arial"/>
          <w:sz w:val="15"/>
          <w:szCs w:val="15"/>
          <w:b w:val="1"/>
          <w:bCs w:val="1"/>
          <w:color w:val="auto"/>
        </w:rPr>
      </w:pPr>
      <w:r>
        <w:rPr>
          <w:rFonts w:ascii="Arial" w:cs="Arial" w:eastAsia="Arial" w:hAnsi="Arial"/>
          <w:sz w:val="18"/>
          <w:szCs w:val="18"/>
          <w:color w:val="auto"/>
        </w:rPr>
        <w:t>The Company has entered into license agreements with Adimab and WuXi (see Note 6).</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Manufacturing Agreements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December 2020, the Company entered into a Commercial Manufacturing Services Agreement with WuXi (the “Commercial Manufacturing Agreement”). The Commercial Manufacturing Agreement outlines the terms and conditions under which WuXi will manufacture ADG20 drug substance for commercial use.</w:t>
      </w:r>
    </w:p>
    <w:p>
      <w:pPr>
        <w:spacing w:after="0" w:line="184"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As of December 31, 2020 and March 31, 2021 (unaudited), the Company committed to minimum non-cancelable purchase obligations of $142.4 million related to batches of ADG20 drug substance and $0.5 million related to certain services with respect to the product requirements for 2021 and 2022, the payments for which will extend into 2023. Future minimum payments under non-cancelable purchase obligations associated with the Commercial Manufacturing Agreement as of December 31, 2020 are expected to be as follows (in thousands):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Year Ending December 31,</w:t>
            </w:r>
          </w:p>
        </w:tc>
        <w:tc>
          <w:tcPr>
            <w:tcW w:w="8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9"/>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8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21,799</w:t>
            </w:r>
          </w:p>
        </w:tc>
        <w:tc>
          <w:tcPr>
            <w:tcW w:w="60" w:type="dxa"/>
            <w:vAlign w:val="bottom"/>
            <w:shd w:val="clear" w:color="auto" w:fill="CCEEFF"/>
          </w:tcPr>
          <w:p>
            <w:pPr>
              <w:spacing w:after="0"/>
              <w:rPr>
                <w:sz w:val="18"/>
                <w:szCs w:val="18"/>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2022</w:t>
            </w:r>
          </w:p>
        </w:tc>
        <w:tc>
          <w:tcPr>
            <w:tcW w:w="8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66,972</w:t>
            </w:r>
          </w:p>
        </w:tc>
        <w:tc>
          <w:tcPr>
            <w:tcW w:w="60" w:type="dxa"/>
            <w:vAlign w:val="bottom"/>
          </w:tcPr>
          <w:p>
            <w:pPr>
              <w:spacing w:after="0"/>
              <w:rPr>
                <w:sz w:val="18"/>
                <w:szCs w:val="18"/>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8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54,094</w:t>
            </w:r>
          </w:p>
        </w:tc>
        <w:tc>
          <w:tcPr>
            <w:tcW w:w="60" w:type="dxa"/>
            <w:vAlign w:val="bottom"/>
            <w:shd w:val="clear" w:color="auto" w:fill="CCEEFF"/>
          </w:tcPr>
          <w:p>
            <w:pPr>
              <w:spacing w:after="0"/>
              <w:rPr>
                <w:sz w:val="18"/>
                <w:szCs w:val="18"/>
                <w:color w:val="auto"/>
              </w:rPr>
            </w:pPr>
          </w:p>
        </w:tc>
      </w:tr>
      <w:tr>
        <w:trPr>
          <w:trHeight w:val="223"/>
        </w:trPr>
        <w:tc>
          <w:tcPr>
            <w:tcW w:w="1640" w:type="dxa"/>
            <w:vAlign w:val="bottom"/>
          </w:tcPr>
          <w:p>
            <w:pPr>
              <w:spacing w:after="0"/>
              <w:rPr>
                <w:sz w:val="19"/>
                <w:szCs w:val="19"/>
                <w:color w:val="auto"/>
              </w:rPr>
            </w:pPr>
          </w:p>
        </w:tc>
        <w:tc>
          <w:tcPr>
            <w:tcW w:w="85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142,865</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64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As of December 31, 2020 and March 31, 2021 (unaudited), the Company had neither made any payments under the Commercial Manufacturing Agreement nor made any incremental purchases under the Commercial Manufacturing Agreement.</w:t>
      </w:r>
    </w:p>
    <w:p>
      <w:pPr>
        <w:spacing w:after="0" w:line="170"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Unless earlier terminated, the Commercial Manufacturing Agreement remains in effect for an initial period of five years and thereafter automatically renews for further successive periods of five years each. Either party may terminate the agreement upon the breach or default by the other party, other than a non-payment breach, that is not cured within 90 days after notice. Both parties are also entitled to terminate the Commercial Manufacturing Agreement if the other party becomes insolvent or is the subject of a petition in bankruptcy or of any other related proceeding or event. Either party may terminate either the Commercial Manufacturing Agreement in its entirety, or an individual order, (i) to the extent the other party suffers a force majeure event that is continuing for a predefined period of time and (ii) if the other party fails to make a payment when due under the arrangement and such non-payment is not cured within 30 days after notice.</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Contracts</w:t>
      </w:r>
    </w:p>
    <w:p>
      <w:pPr>
        <w:spacing w:after="0" w:line="117"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The Company has agreements with third parties that it enters into in the ordinary course of business for various products and services, including those related to research, preclinical and clinical operations, manufacturing and support. These contracts do not contain any minimum purchase commitments. Certain of these agreements provide for termination rights subject to the payment of termination fees and/or wind-down</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9" w:right="4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costs. Under such agreements, the Company is contractually obligated to make certain payments to vendors upon early termination, primarily to reimburse them for their unrecoverable outlays incurred prior to cancellation as well as any amounts owed by the Company prior to early termination. The actual amounts the Company could pay in the future to the vendors under such agreements may differ from the purchase order amounts due to cancellation provisions.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 As of December 31, 2020 and March 31, 2021 (unaudited), the Company was not a party to any material legal proceedings.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In the ordinary course of business, the Company may provide indemnification of varying scope and terms to its vendors, lessors, contract research organizations, contract manufacturing organizations,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executive officers that require the Company, among other things, to indemnify them against certain liabilities that may arise by reason of their status or service as directors or officers. The maximum potential amount of future payments that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Convertible Preferred Stock</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Company has issued Series A Preferred Stock and Series B convertible preferred stock (the “Series B Preferred Stock” and, together with the Series A Preferred Stock, the “Preferred Stock”).</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July 2020, the Company issued and sold 6,237,500 shares of Series A Preferred Stock, at a price of $8.00 per share, for gross proceeds of $49.9 million and incurred $0.2 million of issuance costs. Concurrently, the Company issued 5,000,000 shares of Series A Preferred Stock to Adimab as consideration payable pursuant to the Adimab Assignment Agreement (see Note 6).</w:t>
      </w:r>
    </w:p>
    <w:p>
      <w:pPr>
        <w:spacing w:after="0" w:line="184"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In October and November 2020, the Company issued and sold 1,410,434 shares of Series B Preferred Stock, at a price of $56.72 per share, for gross proceeds of $80.0 million and incurred $0.2 million of issuance costs. The issuance of the Series B Preferred Stock resulted in changes to certain terms of the Series A Preferred Stock. The Company concluded that such changes were not significant and resulted in a modification, rather than an extinguishment, of the Series A Preferred Stock. The changes to the terms of the Series A Preferred Stock did not result in incremental value to the stockholders. Therefore, there was no impact to the accounting for the Series A Preferred Stock.</w:t>
      </w:r>
    </w:p>
    <w:p>
      <w:pPr>
        <w:spacing w:after="0" w:line="176"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Upon issuance of each series of Preferred Stock, the Company assessed the embedded conversion and liquidation features of the securities and determined that such features did not require the Company to separately account for these features. The Company also concluded that no beneficial conversion feature existed on the issuance date of each series of Preferred Stock.</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9" w:right="4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April 2021, the Company issued and sold 4,296,550 shares of Series C convertible preferred stock, at a purchase price of $78.08578 per share, for aggregate gross proceeds of $335.5 million (see Note 15).</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the balance sheet dates, Preferred Stock consisted of the following (in thousands, except share amounts):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8"/>
          </w:tcPr>
          <w:p>
            <w:pPr>
              <w:jc w:val="center"/>
              <w:ind w:right="100"/>
              <w:spacing w:after="0"/>
              <w:rPr>
                <w:sz w:val="20"/>
                <w:szCs w:val="20"/>
                <w:color w:val="auto"/>
              </w:rPr>
            </w:pPr>
            <w:r>
              <w:rPr>
                <w:rFonts w:ascii="Arial" w:cs="Arial" w:eastAsia="Arial" w:hAnsi="Arial"/>
                <w:sz w:val="14"/>
                <w:szCs w:val="14"/>
                <w:b w:val="1"/>
                <w:bCs w:val="1"/>
                <w:color w:val="auto"/>
                <w:w w:val="93"/>
              </w:rPr>
              <w:t>December 31, 2020 and March 31, 2021 (unaudited)</w:t>
            </w:r>
          </w:p>
        </w:tc>
        <w:tc>
          <w:tcPr>
            <w:tcW w:w="1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80" w:type="dxa"/>
            <w:vAlign w:val="bottom"/>
          </w:tcPr>
          <w:p>
            <w:pPr>
              <w:spacing w:after="0"/>
              <w:rPr>
                <w:sz w:val="10"/>
                <w:szCs w:val="10"/>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12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5"/>
              </w:rPr>
              <w:t>Shares Issued</w:t>
            </w:r>
          </w:p>
        </w:tc>
        <w:tc>
          <w:tcPr>
            <w:tcW w:w="100" w:type="dxa"/>
            <w:vAlign w:val="bottom"/>
          </w:tcPr>
          <w:p>
            <w:pPr>
              <w:spacing w:after="0"/>
              <w:rPr>
                <w:sz w:val="10"/>
                <w:szCs w:val="10"/>
                <w:color w:val="auto"/>
              </w:rPr>
            </w:pPr>
          </w:p>
        </w:tc>
        <w:tc>
          <w:tcPr>
            <w:tcW w:w="9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Carrying</w:t>
            </w:r>
          </w:p>
        </w:tc>
        <w:tc>
          <w:tcPr>
            <w:tcW w:w="11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Liquidation</w:t>
            </w:r>
          </w:p>
        </w:tc>
        <w:tc>
          <w:tcPr>
            <w:tcW w:w="11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Common Stock</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and</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1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Issuable Upon</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Authorized</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Outstanding</w:t>
            </w:r>
          </w:p>
        </w:tc>
        <w:tc>
          <w:tcPr>
            <w:tcW w:w="100" w:type="dxa"/>
            <w:vAlign w:val="bottom"/>
          </w:tcPr>
          <w:p>
            <w:pPr>
              <w:spacing w:after="0"/>
              <w:rPr>
                <w:sz w:val="14"/>
                <w:szCs w:val="14"/>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1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9"/>
              </w:rPr>
              <w:t>Preference</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Preferred Stock</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11,237,500</w:t>
            </w:r>
          </w:p>
        </w:tc>
        <w:tc>
          <w:tcPr>
            <w:tcW w:w="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11,237,500</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89,706</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89,900</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56,187,500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Series B Preferred Stock</w:t>
            </w:r>
          </w:p>
        </w:tc>
        <w:tc>
          <w:tcPr>
            <w:tcW w:w="940" w:type="dxa"/>
            <w:vAlign w:val="bottom"/>
          </w:tcPr>
          <w:p>
            <w:pPr>
              <w:jc w:val="right"/>
              <w:spacing w:after="0"/>
              <w:rPr>
                <w:sz w:val="20"/>
                <w:szCs w:val="20"/>
                <w:color w:val="auto"/>
              </w:rPr>
            </w:pPr>
            <w:r>
              <w:rPr>
                <w:rFonts w:ascii="Arial" w:cs="Arial" w:eastAsia="Arial" w:hAnsi="Arial"/>
                <w:sz w:val="18"/>
                <w:szCs w:val="18"/>
                <w:color w:val="auto"/>
              </w:rPr>
              <w:t>1,410,434</w:t>
            </w:r>
          </w:p>
        </w:tc>
        <w:tc>
          <w:tcPr>
            <w:tcW w:w="2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1,410,434</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79,842</w:t>
            </w: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80,000</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7,052,170</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12,647,934</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12,647,934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169,548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169,900</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63,239,670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holders of Preferred Stock have the following rights and preferences: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The holders of the Preferred Stock are entitled to vote, together with the holders of common stock, on matters submitted to stockholders for a vote. Each holder of Preferred Stock is entitled to the number of votes equal to the number of whole shares of common stock into which the shares of Preferred Stock held by such holder is convertible as of the record date for determination of stockholders entitled to vote. The holders of Preferred Stock vote together with the holders of common stock as a single class on an as-converted basis. At any time when there are at least 2,250,000 shares of Series A Preferred Stock or at least 300,000 shares of Series B Preferred Stock (in each case, subject to appropriate adjustment in the event of any stock dividend, stock split, combination or other similar recapitalization) outstanding, certain actions such as mergers, acquisition, liquidation, dissolution, winding-up of the business, and deemed liquidation events, must be approved by a majority in voting power of the outstanding shares of Preferred Stock, voting as a single class.</w:t>
      </w:r>
    </w:p>
    <w:p>
      <w:pPr>
        <w:spacing w:after="0" w:line="17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addition, the holders of shares of Series A Preferred Stock, voting exclusively and as a separate class, are entitled to elect four directors of the Company. The holders of shares of common stock and any other class or series of voting stock (including the Preferred Stock), exclusively and voting together as a single class, are entitled to elect the balance of the total number of directors of the Company.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Each share of Preferred Stock is convertible at the option of the holder, at any time, and without the payment of additional consideration by the holder. In addition, each share of Preferred Stock will be automatically converted into shares of common stock at the then-effective applicable conversion ratio upon either (i) the closing of a firm commitment public offering of common stock at a price of at least $17.02 per share (subject to appropriate adjustment in the event of any stock dividend, stock split, combination or other similar recapitalization), or (ii) the date specified by vote or written consent of the holders of a majority in voting power of the outstanding shares of Preferred Stock, voting as a single class.</w:t>
      </w:r>
    </w:p>
    <w:p>
      <w:pPr>
        <w:spacing w:after="0" w:line="176"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The conversion ratio of each series of Preferred Stock is determined by dividing the Original Issue Price of each series by the Conversion Price of each series. The Original Issue Price is $8.00 per share for the Series A Preferred Stock and $56.72 per share for the Series B Preferred Stock. The Conversion Price is $1.60 per share for the Series A Preferred Stock and $11.344 per share for the Series B Preferred Stock (in each case subject to appropriate adjustment in the event of any stock dividend, stock split, combination or other similar recapitalization and other adjustments as set forth in the Company’s certificate of incorporation, as amended and</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9" w:right="4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restated). As of December 31, 2020 and March 31, 2021 (unaudited), each share of Preferred Stock was convertible into common stock on a five-for-one basis.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left="120" w:right="20" w:firstLine="440"/>
        <w:spacing w:after="0" w:line="270" w:lineRule="auto"/>
        <w:rPr>
          <w:sz w:val="20"/>
          <w:szCs w:val="20"/>
          <w:color w:val="auto"/>
        </w:rPr>
      </w:pPr>
      <w:r>
        <w:rPr>
          <w:rFonts w:ascii="Arial" w:cs="Arial" w:eastAsia="Arial" w:hAnsi="Arial"/>
          <w:sz w:val="17"/>
          <w:szCs w:val="17"/>
          <w:color w:val="auto"/>
        </w:rPr>
        <w:t>The Company may not declare, pay or set aside any dividends on shares of any other class or series of capital stock (other than dividends on shares of common stock payable in shares of common stock) unless the holders of the Preferred Stock then outstanding first receive, or simultaneously receive, a dividend on each outstanding share of Preferred Stock in an amount at least equal to (i) in the case of a dividend being distributed to common stock or any class or series that is convertible into common stock, the equivalent dividend on an as-converted basis or (ii) in the case of a dividend being distributed on a class or series that is not convertible into common stock, a dividend equal to a dividend rate on each series of Preferred Stock calculated based on the respective Original Issue Price of each series of Preferred Stock. If the Company declares, pays or sets aside dividends on more than one class or series of capital stock, then the dividend payable to the holders of Preferred Stock will be calculated based on the dividend on the class or series of capital stock that would result in the highest dividend to the holders of Preferred Stock. Through December 31, 2020 and March 31, 2021 (unaudited), no dividends had been declared or paid by the Company.</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 xml:space="preserve">In the event of any voluntary or involuntary liquidation, dissolution or winding up of the Company, or upon the occurrence of a Deemed Liquidation Event (as defined below), the holders of shares of Preferred Stock then outstanding are entitled,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to be paid out of the assets or funds of the Company available for distribution to stockholders before any payment is made to the holders of common stock. The holders of Preferred Stock are entitled to an amount per share equal to the greater of (i) the applicable Original Issue Price of such series of Preferred Stock, plus any dividends declared but unpaid thereon, or (ii) the amount that would have been payable had all shares of each series of Preferred Stock been converted into common stock immediately prior to such liquidation, dissolution, winding up or Deemed Liquidation Event. If upon any such liquidation event, the assets or funds of the Company available for distribution to stockholders are insufficient to pay the holders of shares of Preferred Stock the full amount to which they are entitled, then the holders of shares of Preferred Stock will share ratably in any distribution of the assets or funds available for distribution in proportion to the respective amounts which would otherwise be payable if it were paid in full.</w:t>
      </w:r>
    </w:p>
    <w:p>
      <w:pPr>
        <w:spacing w:after="0" w:line="166"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Unless (i) the holders of a majority in voting power of the outstanding shares of Preferred Stock and (ii) with respect to the Series B Preferred Stock only, the holders of at least 65% of the outstanding shares of Series B Preferred Stock, elect otherwise, a Deemed Liquidation Event shall include a merger, consolidation, or share exchange (other than one in which stockholders of the Company own a majority by voting power of the outstanding shares of the surviving or acquiring corporation) or a sale, lease, transfer, exclusive license or other disposition of all or substantially all of the assets of the Company.</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Preferred Stock does not have redemption rights, except for the contingent redemption upon the occurrence of a Deemed Liquidation Event.</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Common Stock</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voting, dividend and liquidation rights of the holders of shares of the Company’s common stock are subject to and qualified by the rights, powers and preferences of the holders of the Preferred Stock set forth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above. Each share of common stock entitles the holder to one vote for each share of common stock, together with the holders of Preferred Stock, on all matters submitted to the stockholders for a vote.</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As of December 31, 2020 and March 31, 2021 (unaudited), the Company had reserved 80,466,735 shares of common stock for the potential conversion of shares of Preferred Stock into common stock, the exercise of outstanding stock options and the issuance of awards available for grant under the 2020 Equity Incentive Plan.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Treasury Stock</w:t>
      </w:r>
    </w:p>
    <w:p>
      <w:pPr>
        <w:spacing w:after="0" w:line="117"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In June 2020, the Company issued and sold 21,250,000 shares of its common stock to Adimab upon formation of the Company for $0.00002 per share. In July 2020, such shares of common stock were repurchased by the Company from Adimab contemporaneous with the execution of the Adimab Assignment Agreement, pursuant to which the Company acquired certain intellectual property rights in exchange for the issuance of 5,000,000 shares of its Series A Preferred Stock. As of December 31, 2020 and March 31, 2021 (unaudited), the shares of common stock repurchased from Adimab were recorded as treasury stock in the accompanying consolidated balance sheets and consolidated statements of convertible preferred stock and stockholders’ deficit as such shares were not retired. The fair value of the repurchased common stock was $0.004 per share, or $85,000 in the aggregate, as determined based on a third-party valuation (see Note 6).</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April and May 2021, an aggregate of 22,600,000 shares of common stock held in treasury were retired (see Note 15).</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1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The Company’s 2020 Equity Incentive Plan (the “2020 Plan”) provides for the Company to grant incentive stock options, non-qualified stock options, restricted stock awards, restricted stock units and other stock-based awards to employees, members of the board of directors and consultants. The 2020 Plan is administered by the board of directors or, at the discretion of the board of directors, by a committee of the board of directors. The board of directors may also delegate to one or more officers of the Company the power to grant awards to employees and certain officers of the Company. The exercise prices, vesting and other restrictions are determined at the discretion of the board of directors, or its committee or any such officer if so delegated.</w:t>
      </w:r>
    </w:p>
    <w:p>
      <w:pPr>
        <w:spacing w:after="0" w:line="192"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The number of shares of common stock initially reserved for issuances under the 2020 Plan was 9,926,470 shares. In October 2020, the Company’s board of directors increased the number of shares of common stock reserved for issuance under the plan from 9,926,470 shares to 22,820,305 shares. Accordingly, there were a total of 22,820,305 shares of common stock authorized for issuance under the 2020 Plan at December 31, 2020 and March 31, 2021 (unaudited). Shares of unused common stock that cover awards that expire or lapse or are terminated, surrendered or canceled without having been fully exercised or are forfeited will again be available for the grant of awards under the 2020 Plan. As of December 31, 2020 and March 31, 2021 (unaudited), there were 14,258,995 shares and 11,860,995 shares, respectively, remaining available for future grant under the 2020 Plan.</w:t>
      </w:r>
    </w:p>
    <w:p>
      <w:pPr>
        <w:spacing w:after="0" w:line="164"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The exercise price for stock options granted may not be less than the fair market value of the Company’s common stock on the date of grant, as determined by the board of directors, or at least 110% of the fair market value of the Company’s common stock on the date of grant in the case of an incentive stock option granted to an employee who owns stock representing more than 10% of the voting power of all classes of stock as determined by the board of directors as of the date of grant. The Company’s board of directors determines the fair value the Company’s common stock, taking into consideration its most recently available valuation of common stock performed by third parties as well as additional factors which may have changed since the date of the most recent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9" w:right="4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contemporaneous valuation through the date of grant. Stock options granted under the 2020 Plan expire after ten years and typically vest over a four-year period with the first 25% vesting upon the first anniversary of a specified vesting commencement date and the remainder vesting in 36 equal monthly installments over the succeeding three years, contingent on the recipient’s continued employment or service. Certain awards of stock options permit the holders to exercise the option in whole or in part prior to the full vesting of the option in exchange for unvested shares of restricted common stock with respect to any unvested portion of the option so exercised.</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17"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color w:val="auto"/>
        </w:rPr>
        <w:t>The fair value of stock option grants is estimated using the Black-Scholes option-pricing model. The Company historically has been a private company and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17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following table presents, on a weighted-average basis, the assumptions used in the Black-Scholes option-pricing model to determine the fair value of stock options granted:</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w w:val="94"/>
              </w:rPr>
              <w:t>Period from</w:t>
            </w:r>
          </w:p>
        </w:tc>
        <w:tc>
          <w:tcPr>
            <w:tcW w:w="11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Three Months</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gridSpan w:val="2"/>
          </w:tcPr>
          <w:p>
            <w:pPr>
              <w:jc w:val="center"/>
              <w:ind w:right="1320"/>
              <w:spacing w:after="0" w:line="149" w:lineRule="exact"/>
              <w:rPr>
                <w:sz w:val="20"/>
                <w:szCs w:val="20"/>
                <w:color w:val="auto"/>
              </w:rPr>
            </w:pPr>
            <w:r>
              <w:rPr>
                <w:rFonts w:ascii="Arial" w:cs="Arial" w:eastAsia="Arial" w:hAnsi="Arial"/>
                <w:sz w:val="14"/>
                <w:szCs w:val="14"/>
                <w:b w:val="1"/>
                <w:bCs w:val="1"/>
                <w:color w:val="auto"/>
                <w:w w:val="91"/>
              </w:rPr>
              <w:t>June 3, 2020</w:t>
            </w: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gridSpan w:val="2"/>
          </w:tcPr>
          <w:p>
            <w:pPr>
              <w:jc w:val="center"/>
              <w:ind w:right="132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1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36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91"/>
              </w:rPr>
              <w:t>December 31, 2020</w:t>
            </w: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March 31, 2021</w:t>
            </w: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stock</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4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right"/>
              <w:ind w:right="120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right"/>
              <w:ind w:right="104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3680" w:type="dxa"/>
            <w:vAlign w:val="bottom"/>
          </w:tcPr>
          <w:p>
            <w:pPr>
              <w:spacing w:after="0"/>
              <w:rPr>
                <w:sz w:val="24"/>
                <w:szCs w:val="24"/>
                <w:color w:val="auto"/>
              </w:rPr>
            </w:pPr>
          </w:p>
        </w:tc>
        <w:tc>
          <w:tcPr>
            <w:tcW w:w="3940" w:type="dxa"/>
            <w:vAlign w:val="bottom"/>
            <w:gridSpan w:val="2"/>
          </w:tcPr>
          <w:p>
            <w:pPr>
              <w:jc w:val="right"/>
              <w:ind w:right="1868"/>
              <w:spacing w:after="0"/>
              <w:rPr>
                <w:sz w:val="20"/>
                <w:szCs w:val="20"/>
                <w:color w:val="auto"/>
              </w:rPr>
            </w:pPr>
            <w:r>
              <w:rPr>
                <w:rFonts w:ascii="Arial" w:cs="Arial" w:eastAsia="Arial" w:hAnsi="Arial"/>
                <w:sz w:val="18"/>
                <w:szCs w:val="18"/>
                <w:color w:val="auto"/>
              </w:rPr>
              <w:t>F-28</w:t>
            </w: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Company’s stock option activity since June 3, 2020: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11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2"/>
                <w:szCs w:val="12"/>
                <w:color w:val="auto"/>
              </w:rPr>
            </w:pPr>
          </w:p>
        </w:tc>
        <w:tc>
          <w:tcPr>
            <w:tcW w:w="10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Exercise</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Price</w:t>
            </w: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Term</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 2020 (inception)</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Granted</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9,911,310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0.24</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(6,943,240)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0.01</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2,968,070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0.78</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11,362</w:t>
            </w:r>
          </w:p>
        </w:tc>
        <w:tc>
          <w:tcPr>
            <w:tcW w:w="0" w:type="dxa"/>
            <w:vAlign w:val="bottom"/>
          </w:tcPr>
          <w:p>
            <w:pPr>
              <w:spacing w:after="0"/>
              <w:rPr>
                <w:sz w:val="1"/>
                <w:szCs w:val="1"/>
                <w:color w:val="auto"/>
              </w:rPr>
            </w:pP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Granted (unaudited)</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2,513,000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4.61</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 (unaudited)</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Forfeited (unaudited)</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4.61</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2021 (unaudited)</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5,366,070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2.49</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31,495</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8"/>
                <w:szCs w:val="18"/>
                <w:color w:val="auto"/>
              </w:rPr>
              <w:t>Vested and expected to vest at December 31, 2020</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vMerge w:val="restart"/>
          </w:tcPr>
          <w:p>
            <w:pPr>
              <w:ind w:left="220"/>
              <w:spacing w:after="0"/>
              <w:rPr>
                <w:sz w:val="20"/>
                <w:szCs w:val="20"/>
                <w:color w:val="auto"/>
              </w:rPr>
            </w:pPr>
            <w:r>
              <w:rPr>
                <w:rFonts w:ascii="Arial" w:cs="Arial" w:eastAsia="Arial" w:hAnsi="Arial"/>
                <w:sz w:val="18"/>
                <w:szCs w:val="18"/>
                <w:color w:val="auto"/>
                <w:w w:val="99"/>
              </w:rPr>
              <w:t>$</w:t>
            </w:r>
          </w:p>
        </w:tc>
        <w:tc>
          <w:tcPr>
            <w:tcW w:w="960" w:type="dxa"/>
            <w:vAlign w:val="bottom"/>
            <w:gridSpan w:val="2"/>
            <w:vMerge w:val="restart"/>
          </w:tcPr>
          <w:p>
            <w:pPr>
              <w:jc w:val="right"/>
              <w:ind w:right="440"/>
              <w:spacing w:after="0"/>
              <w:rPr>
                <w:sz w:val="20"/>
                <w:szCs w:val="20"/>
                <w:color w:val="auto"/>
              </w:rPr>
            </w:pPr>
            <w:r>
              <w:rPr>
                <w:rFonts w:ascii="Arial" w:cs="Arial" w:eastAsia="Arial" w:hAnsi="Arial"/>
                <w:sz w:val="18"/>
                <w:szCs w:val="18"/>
                <w:color w:val="auto"/>
              </w:rPr>
              <w:t>0.78</w:t>
            </w: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9.8</w:t>
            </w:r>
          </w:p>
        </w:tc>
        <w:tc>
          <w:tcPr>
            <w:tcW w:w="320" w:type="dxa"/>
            <w:vAlign w:val="bottom"/>
            <w:gridSpan w:val="2"/>
            <w:vMerge w:val="restart"/>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11,362</w:t>
            </w:r>
          </w:p>
        </w:tc>
        <w:tc>
          <w:tcPr>
            <w:tcW w:w="0" w:type="dxa"/>
            <w:vAlign w:val="bottom"/>
          </w:tcPr>
          <w:p>
            <w:pPr>
              <w:spacing w:after="0" w:line="20" w:lineRule="exact"/>
              <w:rPr>
                <w:sz w:val="1"/>
                <w:szCs w:val="1"/>
                <w:color w:val="auto"/>
              </w:rPr>
            </w:pPr>
          </w:p>
        </w:tc>
      </w:tr>
      <w:tr>
        <w:trPr>
          <w:trHeight w:val="210"/>
        </w:trPr>
        <w:tc>
          <w:tcPr>
            <w:tcW w:w="6440" w:type="dxa"/>
            <w:vAlign w:val="bottom"/>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2,968,070</w:t>
            </w:r>
          </w:p>
        </w:tc>
        <w:tc>
          <w:tcPr>
            <w:tcW w:w="280" w:type="dxa"/>
            <w:vAlign w:val="bottom"/>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December 31, 2020</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Vested and expected to vest at March 31, 2021 (unaudited)</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5,366,070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2.49</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9.6</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31,495</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March 31, 2021 (unaudited)</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The aggregate intrinsic value is calculated as the difference between the exercise price of the underlying stock options and the estimated fair value of the Company’s common stock for those stock options that had exercise prices lower than the estimated fair value of the Company’s common stock at December 31, 2020 and March 31, 2021 (unaudited), as applicable. All stock options exercised during the period from June 3, 2020 (inception) to December 31, 2020 were made pursuant to awards that contain early-exercise provisions. The intrinsic value of the options that were exercised for the period from June 3, 2020 (inception) to December 31, 2020 was $14,000.</w:t>
      </w:r>
    </w:p>
    <w:p>
      <w:pPr>
        <w:spacing w:after="0" w:line="188"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The weighted-average grant date fair value of stock options granted during the period from June 3, 2020 (inception) to December 31, 2020 and for the three months ended March 31, 2021 (unaudited) was $0.21 and $2.95, respectively, per option.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Early Exercise of Stock Options into Restricted Stock</w:t>
      </w:r>
    </w:p>
    <w:p>
      <w:pPr>
        <w:spacing w:after="0" w:line="11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The Company’s restricted stock activity during the period from June 3, 2020 (inception) to December 31, 2020 is solely due to shares of restricted common stock issued pursuant to the permitted early exercise of stock options. Shares of common stock issued upon exercise of unvested stock options are restricted and continue to vest in accordance with the original vesting schedule applicable to the associated stock option award. The Company has the right to repurchase any unvested shares of restricted common stock, at the original purchase price, upon any voluntary or involuntary termination of the service relationship during the vesting period.</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A summary of the Company’s unvested common stock from option early exercises that is subject to repurchase by the Company is as follows: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90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Number</w:t>
            </w:r>
          </w:p>
        </w:tc>
      </w:tr>
      <w:tr>
        <w:trPr>
          <w:trHeight w:val="171"/>
        </w:trPr>
        <w:tc>
          <w:tcPr>
            <w:tcW w:w="990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of Shares</w:t>
            </w:r>
          </w:p>
        </w:tc>
      </w:tr>
      <w:tr>
        <w:trPr>
          <w:trHeight w:val="209"/>
        </w:trPr>
        <w:tc>
          <w:tcPr>
            <w:tcW w:w="9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stock at June 3, 2020 (inception)</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9900" w:type="dxa"/>
            <w:vAlign w:val="bottom"/>
          </w:tcPr>
          <w:p>
            <w:pPr>
              <w:ind w:left="360"/>
              <w:spacing w:after="0"/>
              <w:rPr>
                <w:sz w:val="20"/>
                <w:szCs w:val="20"/>
                <w:color w:val="auto"/>
              </w:rPr>
            </w:pPr>
            <w:r>
              <w:rPr>
                <w:rFonts w:ascii="Arial" w:cs="Arial" w:eastAsia="Arial" w:hAnsi="Arial"/>
                <w:sz w:val="18"/>
                <w:szCs w:val="18"/>
                <w:color w:val="auto"/>
              </w:rPr>
              <w:t>Issued</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6,943,240</w:t>
            </w:r>
          </w:p>
        </w:tc>
      </w:tr>
      <w:tr>
        <w:trPr>
          <w:trHeight w:val="216"/>
        </w:trPr>
        <w:tc>
          <w:tcPr>
            <w:tcW w:w="9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9900" w:type="dxa"/>
            <w:vAlign w:val="bottom"/>
          </w:tcPr>
          <w:p>
            <w:pPr>
              <w:ind w:left="360"/>
              <w:spacing w:after="0"/>
              <w:rPr>
                <w:sz w:val="20"/>
                <w:szCs w:val="20"/>
                <w:color w:val="auto"/>
              </w:rPr>
            </w:pPr>
            <w:r>
              <w:rPr>
                <w:rFonts w:ascii="Arial" w:cs="Arial" w:eastAsia="Arial" w:hAnsi="Arial"/>
                <w:sz w:val="18"/>
                <w:szCs w:val="18"/>
                <w:color w:val="auto"/>
              </w:rPr>
              <w:t>Repurchased</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(1,350,000)</w:t>
            </w: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 at December 31, 2020</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5,593,240</w:t>
            </w:r>
          </w:p>
        </w:tc>
        <w:tc>
          <w:tcPr>
            <w:tcW w:w="140" w:type="dxa"/>
            <w:vAlign w:val="bottom"/>
            <w:shd w:val="clear" w:color="auto" w:fill="CCEEFF"/>
          </w:tcPr>
          <w:p>
            <w:pPr>
              <w:spacing w:after="0"/>
              <w:rPr>
                <w:sz w:val="18"/>
                <w:szCs w:val="18"/>
                <w:color w:val="auto"/>
              </w:rPr>
            </w:pPr>
          </w:p>
        </w:tc>
      </w:tr>
      <w:tr>
        <w:trPr>
          <w:trHeight w:val="216"/>
        </w:trPr>
        <w:tc>
          <w:tcPr>
            <w:tcW w:w="9900" w:type="dxa"/>
            <w:vAlign w:val="bottom"/>
          </w:tcPr>
          <w:p>
            <w:pPr>
              <w:ind w:left="360"/>
              <w:spacing w:after="0"/>
              <w:rPr>
                <w:sz w:val="20"/>
                <w:szCs w:val="20"/>
                <w:color w:val="auto"/>
              </w:rPr>
            </w:pPr>
            <w:r>
              <w:rPr>
                <w:rFonts w:ascii="Arial" w:cs="Arial" w:eastAsia="Arial" w:hAnsi="Arial"/>
                <w:sz w:val="18"/>
                <w:szCs w:val="18"/>
                <w:color w:val="auto"/>
              </w:rPr>
              <w:t>Issued (unaudited)</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9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 (unaudited)</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9900" w:type="dxa"/>
            <w:vAlign w:val="bottom"/>
          </w:tcPr>
          <w:p>
            <w:pPr>
              <w:ind w:left="360"/>
              <w:spacing w:after="0"/>
              <w:rPr>
                <w:sz w:val="20"/>
                <w:szCs w:val="20"/>
                <w:color w:val="auto"/>
              </w:rPr>
            </w:pPr>
            <w:r>
              <w:rPr>
                <w:rFonts w:ascii="Arial" w:cs="Arial" w:eastAsia="Arial" w:hAnsi="Arial"/>
                <w:sz w:val="18"/>
                <w:szCs w:val="18"/>
                <w:color w:val="auto"/>
              </w:rPr>
              <w:t>Repurchased (unaudited)</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 at March 31, 2021 (unaudited)</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5,593,240</w:t>
            </w:r>
          </w:p>
        </w:tc>
      </w:tr>
      <w:tr>
        <w:trPr>
          <w:trHeight w:val="20"/>
        </w:trPr>
        <w:tc>
          <w:tcPr>
            <w:tcW w:w="99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Proceeds from the early exercise of stock options are recorded as an early-exercise liability on the consolidated balance sheets. The liability for unvested common stock subject to repurchase is then reclassified to common stock and additional paid-in capital as the Company’s repurchase right lapses. Shares issued pursuant to the early exercise of stock options are not considered to be outstanding for accounting purposes until the shares vest. As of December 31, 2020 and March 31, 2021 (unaudited), the liability related to the payments for unvested shares from early-exercised options was $11,000 at each date.</w:t>
      </w:r>
    </w:p>
    <w:p>
      <w:pPr>
        <w:spacing w:after="0" w:line="188"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December 2020, the Company repurchased 1,350,000 shares of restricted common stock for $2,700, which was recorded as a reduction of the early-exercise liability and as shares of treasury stock.</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The Company recorded stock-based compensation expense in the following expense categories of its consolidated statements of operations and comprehensive loss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Period from</w:t>
            </w:r>
          </w:p>
        </w:tc>
        <w:tc>
          <w:tcPr>
            <w:tcW w:w="540" w:type="dxa"/>
            <w:vAlign w:val="bottom"/>
          </w:tcPr>
          <w:p>
            <w:pPr>
              <w:spacing w:after="0"/>
              <w:rPr>
                <w:sz w:val="14"/>
                <w:szCs w:val="14"/>
                <w:color w:val="auto"/>
              </w:rPr>
            </w:pPr>
          </w:p>
        </w:tc>
        <w:tc>
          <w:tcPr>
            <w:tcW w:w="10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9"/>
        </w:trPr>
        <w:tc>
          <w:tcPr>
            <w:tcW w:w="7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June 3, 2020</w:t>
            </w:r>
          </w:p>
        </w:tc>
        <w:tc>
          <w:tcPr>
            <w:tcW w:w="5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7780" w:type="dxa"/>
            <w:vAlign w:val="bottom"/>
          </w:tcPr>
          <w:p>
            <w:pPr>
              <w:spacing w:after="0"/>
              <w:rPr>
                <w:sz w:val="14"/>
                <w:szCs w:val="14"/>
                <w:color w:val="auto"/>
              </w:rPr>
            </w:pPr>
          </w:p>
        </w:tc>
        <w:tc>
          <w:tcPr>
            <w:tcW w:w="16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1"/>
              </w:rPr>
              <w:t>December 31, 2020</w:t>
            </w:r>
          </w:p>
        </w:tc>
        <w:tc>
          <w:tcPr>
            <w:tcW w:w="540" w:type="dxa"/>
            <w:vAlign w:val="bottom"/>
          </w:tcPr>
          <w:p>
            <w:pPr>
              <w:spacing w:after="0"/>
              <w:rPr>
                <w:sz w:val="14"/>
                <w:szCs w:val="14"/>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4"/>
              </w:rPr>
              <w:t>March 31, 2021</w:t>
            </w:r>
          </w:p>
        </w:tc>
        <w:tc>
          <w:tcPr>
            <w:tcW w:w="0" w:type="dxa"/>
            <w:vAlign w:val="bottom"/>
          </w:tcPr>
          <w:p>
            <w:pPr>
              <w:spacing w:after="0"/>
              <w:rPr>
                <w:sz w:val="1"/>
                <w:szCs w:val="1"/>
                <w:color w:val="auto"/>
              </w:rPr>
            </w:pPr>
          </w:p>
        </w:tc>
      </w:tr>
      <w:tr>
        <w:trPr>
          <w:trHeight w:val="142"/>
        </w:trPr>
        <w:tc>
          <w:tcPr>
            <w:tcW w:w="77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94"/>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As of December 31, 2020, total unrecognized stock-based compensation cost related to unvested awards was $1.9 million and the weighted-average period over which such expense is expected to be recognized is 3.5 years. As of March 31, 2021 (unaudited), total unrecognized stock-based compensation cost related to unvested awards was $8.4 million and the weighted-average period over which such expense is expected to be recognized is 3.3 years.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9" w:right="4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During the period from June 3, 2020 (inception) to December 31, 2020 and three months ended March 31, 2021 (unaudited), the Company did not record income tax benefits for the net operating losses incurred or for the research and development tax credits generated in each period, due to its uncertainty of realizing a benefit from those items. All of the Company’s operating losses since inception have been generated in the United States.</w:t>
      </w:r>
    </w:p>
    <w:p>
      <w:pPr>
        <w:spacing w:after="0" w:line="149"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In March 2020, the Coronavirus Aid, Relief, and Economic Security (“CARES”) Act was enacted. Among the business provisions, the CARES Act provided for various payroll tax incentives, changes to net operating loss carryback and carryforward rules, business interest expense limitation increases, and bonus depreciation on qualified improvement property. The Company determined that the CARES Act did not have a significant impact on its provision for income taxes.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reconciliation of the U.S. federal statutory income tax rate to the Company’s effective income tax rate is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4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9600" w:type="dxa"/>
            <w:vAlign w:val="bottom"/>
          </w:tcPr>
          <w:p>
            <w:pPr>
              <w:spacing w:after="0"/>
              <w:rPr>
                <w:sz w:val="12"/>
                <w:szCs w:val="12"/>
                <w:color w:val="auto"/>
              </w:rPr>
            </w:pPr>
          </w:p>
        </w:tc>
        <w:tc>
          <w:tcPr>
            <w:tcW w:w="142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June 3, 2020</w:t>
            </w:r>
          </w:p>
        </w:tc>
        <w:tc>
          <w:tcPr>
            <w:tcW w:w="0" w:type="dxa"/>
            <w:vAlign w:val="bottom"/>
          </w:tcPr>
          <w:p>
            <w:pPr>
              <w:spacing w:after="0"/>
              <w:rPr>
                <w:sz w:val="1"/>
                <w:szCs w:val="1"/>
                <w:color w:val="auto"/>
              </w:rPr>
            </w:pPr>
          </w:p>
        </w:tc>
      </w:tr>
      <w:tr>
        <w:trPr>
          <w:trHeight w:val="148"/>
        </w:trPr>
        <w:tc>
          <w:tcPr>
            <w:tcW w:w="9600" w:type="dxa"/>
            <w:vAlign w:val="bottom"/>
          </w:tcPr>
          <w:p>
            <w:pPr>
              <w:spacing w:after="0"/>
              <w:rPr>
                <w:sz w:val="12"/>
                <w:szCs w:val="12"/>
                <w:color w:val="auto"/>
              </w:rPr>
            </w:pPr>
          </w:p>
        </w:tc>
        <w:tc>
          <w:tcPr>
            <w:tcW w:w="142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0" w:type="dxa"/>
            <w:vAlign w:val="bottom"/>
          </w:tcPr>
          <w:p>
            <w:pPr>
              <w:spacing w:after="0"/>
              <w:rPr>
                <w:sz w:val="1"/>
                <w:szCs w:val="1"/>
                <w:color w:val="auto"/>
              </w:rPr>
            </w:pPr>
          </w:p>
        </w:tc>
      </w:tr>
      <w:tr>
        <w:trPr>
          <w:trHeight w:val="171"/>
        </w:trPr>
        <w:tc>
          <w:tcPr>
            <w:tcW w:w="96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26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income tax rate</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auto"/>
              </w:rPr>
              <w:t>State income taxes, net of federal benefit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 and state research and development tax credits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auto"/>
              </w:rPr>
              <w:t>Non-deductible IPR&amp;D expense</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deferred tax asset valuation allowance</w:t>
            </w:r>
          </w:p>
        </w:tc>
        <w:tc>
          <w:tcPr>
            <w:tcW w:w="4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0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600" w:type="dxa"/>
            <w:vAlign w:val="bottom"/>
            <w:vMerge w:val="restart"/>
          </w:tcPr>
          <w:p>
            <w:pPr>
              <w:ind w:left="440"/>
              <w:spacing w:after="0"/>
              <w:rPr>
                <w:sz w:val="20"/>
                <w:szCs w:val="20"/>
                <w:color w:val="auto"/>
              </w:rPr>
            </w:pPr>
            <w:r>
              <w:rPr>
                <w:rFonts w:ascii="Arial" w:cs="Arial" w:eastAsia="Arial" w:hAnsi="Arial"/>
                <w:sz w:val="18"/>
                <w:szCs w:val="18"/>
                <w:color w:val="auto"/>
              </w:rPr>
              <w:t>The Company’s net deferred tax assets consisted of the following (in thousands):</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6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6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auto"/>
              </w:rPr>
              <w:t>Net operating loss carryforwards</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5,340</w:t>
            </w: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tax credits carryforwards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deferred tax assets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5,682</w:t>
            </w:r>
          </w:p>
        </w:tc>
        <w:tc>
          <w:tcPr>
            <w:tcW w:w="0" w:type="dxa"/>
            <w:vAlign w:val="bottom"/>
          </w:tcPr>
          <w:p>
            <w:pPr>
              <w:spacing w:after="0"/>
              <w:rPr>
                <w:sz w:val="1"/>
                <w:szCs w:val="1"/>
                <w:color w:val="auto"/>
              </w:rPr>
            </w:pPr>
          </w:p>
        </w:tc>
      </w:tr>
      <w:tr>
        <w:trPr>
          <w:trHeight w:val="230"/>
        </w:trPr>
        <w:tc>
          <w:tcPr>
            <w:tcW w:w="96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4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deferred tax liabilities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600" w:type="dxa"/>
            <w:vAlign w:val="bottom"/>
          </w:tcPr>
          <w:p>
            <w:pPr>
              <w:spacing w:after="0"/>
              <w:rPr>
                <w:sz w:val="20"/>
                <w:szCs w:val="20"/>
                <w:color w:val="auto"/>
              </w:rPr>
            </w:pPr>
            <w:r>
              <w:rPr>
                <w:rFonts w:ascii="Arial" w:cs="Arial" w:eastAsia="Arial" w:hAnsi="Arial"/>
                <w:sz w:val="18"/>
                <w:szCs w:val="18"/>
                <w:color w:val="auto"/>
              </w:rPr>
              <w:t>Valuation allowance</w:t>
            </w:r>
          </w:p>
        </w:tc>
        <w:tc>
          <w:tcPr>
            <w:tcW w:w="4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(5,682)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deferred tax assets</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auto"/>
        </w:rPr>
        <w:t>As of December 31, 2020, the Company had U.S. federal net operating loss carryforwards of $24.4 million, which may be available to reduce future taxable income. All of the U.S. federal net operating loss carryforwards have an indefinite carryforward period but are limited in their usage to an annual deduction equal to 80% of annual taxable income. In addition, as of December 31, 2020, the Company had state net operating loss carryforwards of $3.7 million, which may be available to reduce future taxable income, of which $0.3 million have an indefinite carryforward period while the remaining $3.4 million begin to expire in 2040. As of December 31, 2020, the Company also had U.S. federal and state research and development tax credit carryforwards of $0.1 million and $16,000, respectively, which may be available to reduce future tax liabilities</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59" w:right="4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ind w:left="120" w:right="3160" w:firstLine="3150"/>
        <w:spacing w:after="0" w:line="454" w:lineRule="auto"/>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and expire at various dates beginning in 2040 and 2035, respectively.</w:t>
      </w:r>
    </w:p>
    <w:p>
      <w:pPr>
        <w:spacing w:after="0" w:line="17"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Utilization of the U.S. federal and state net operating loss carryforwards and research and development tax credit carryforwards may be subject to a substantial annual limitation under Sections 382 and 383 of the Internal Revenue Code of 1986, and corresponding provisions of state law, due to ownership changes that have occurred previously or that could occur in the future. These ownership changes may limit the amount of carryforwards that can be utilized annually to offset future taxable income or tax liabilities. In general, an ownership change, as defined by Section 382, results from transactions increasing the ownership of certain stockholders or public groups in the stock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research and development tax credit carryforwards before their utilization. Further, until a study is completed by the Company and any limitation is known, no amounts are being presented as an uncertain tax position.</w:t>
      </w:r>
    </w:p>
    <w:p>
      <w:pPr>
        <w:spacing w:after="0" w:line="168"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The Company has evaluated the positive and negative evidence bearing upon its ability to realize the deferred tax assets. Management has considered the Company’s history of cumulative losses since inception, expectation of future losses and lack of other positive evidence and has concluded that it is more likely than not that the Company will not realize the benefits of the deferred tax assets. Accordingly, a full valuation allowance has been established against the net deferred tax assets as of December 31, 2020 and March 31, 2021 (unaudited). Management reevaluates the positive and negative evidence at each reporting period. During the period from June 3, 2020 (inception) to December 31, 2020, the Company increased its valuation allowance by $5.7 million, with such increase recognized as income tax expense, in order to maintain a full valuation allowance against its deferred tax assets, and there were no changes recorded to the allowance during the period.</w:t>
      </w:r>
    </w:p>
    <w:p>
      <w:pPr>
        <w:spacing w:after="0" w:line="177"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The Company assesses the uncertainty in its income tax positions to determine whether a tax position of the Company is more likely than not to be sustained upon examination, including resolution of any related appeals of litigation processes, based on the technical merits of the position. For tax positions meeting the more-likely-than-not threshold, the tax amount recognized in the financial statements is reduced by the largest benefit that has a greater than 50% likelihood of being realized upon the ultimate settlement with the relevant taxing authority. As of December 31, 2020 and March 31, 2021 (unaudited), the Company had not recorded any reserves for uncertain tax positions or related interest and penalties.</w:t>
      </w:r>
    </w:p>
    <w:p>
      <w:pPr>
        <w:spacing w:after="0" w:line="161"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The Company files income tax returns in the U.S. federal and various state jurisdictions and is not currently under examination by any taxing authority for any open tax year. Due to net operating loss carryforwards, all years remain open for income tax examination. To the extent the Company has tax attribute carryforwards, the tax years in which the attribute was generated may still be adjusted upon examination by the federal or state tax authorities to the extent utilized in a future period. No federal or state tax audits are currently in process.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Defined Contribution Plan</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Company maintains a 401(k) Plan (the “401(k) Plan”) for the benefit of eligible employees. The 401(k) Plan is a defined contribution plan under Section 401(k) of the Internal Revenue Code of 1986 that covers all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9" w:right="4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employees who meet defined minimum age and service requirements and allows participants to defer a portion of their annual compensation on a pre-tax basis. Pursuant to the terms of the 401(k) Plan, the Company is required to make non-elective contributions of 3% of eligible participants’ compensation. For the period from June 3, 2020 (inception) to December 31, 2020 and the three months ended March 31, 2021 (unaudited), the Company made contributions of $36,000 and $0.1 million, respectively, to the 401(k) Plan.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Net Loss per Share</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Basic and diluted net loss per share attributable to common stockholders was calculated as follows (in thousands, except share and per share amounts):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Period from</w:t>
            </w:r>
          </w:p>
        </w:tc>
      </w:tr>
      <w:tr>
        <w:trPr>
          <w:trHeight w:val="148"/>
        </w:trPr>
        <w:tc>
          <w:tcPr>
            <w:tcW w:w="9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June 3, 2020</w:t>
            </w:r>
          </w:p>
        </w:tc>
      </w:tr>
      <w:tr>
        <w:trPr>
          <w:trHeight w:val="148"/>
        </w:trPr>
        <w:tc>
          <w:tcPr>
            <w:tcW w:w="9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(Inception) to</w:t>
            </w:r>
          </w:p>
        </w:tc>
      </w:tr>
      <w:tr>
        <w:trPr>
          <w:trHeight w:val="171"/>
        </w:trPr>
        <w:tc>
          <w:tcPr>
            <w:tcW w:w="9740" w:type="dxa"/>
            <w:vAlign w:val="bottom"/>
          </w:tcPr>
          <w:p>
            <w:pPr>
              <w:spacing w:after="0"/>
              <w:rPr>
                <w:sz w:val="14"/>
                <w:szCs w:val="14"/>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31, 2020</w:t>
            </w:r>
          </w:p>
        </w:tc>
      </w:tr>
      <w:tr>
        <w:trPr>
          <w:trHeight w:val="196"/>
        </w:trPr>
        <w:tc>
          <w:tcPr>
            <w:tcW w:w="9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Net loss attributable to common stockholders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(65,319)</w:t>
            </w:r>
          </w:p>
        </w:tc>
      </w:tr>
      <w:tr>
        <w:trPr>
          <w:trHeight w:val="20"/>
        </w:trPr>
        <w:tc>
          <w:tcPr>
            <w:tcW w:w="9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Weighted-average common shares outstanding, basic and diluted</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3,608,491</w:t>
            </w:r>
          </w:p>
        </w:tc>
      </w:tr>
      <w:tr>
        <w:trPr>
          <w:trHeight w:val="20"/>
        </w:trPr>
        <w:tc>
          <w:tcPr>
            <w:tcW w:w="9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(18.10)</w:t>
            </w:r>
          </w:p>
        </w:tc>
      </w:tr>
      <w:tr>
        <w:trPr>
          <w:trHeight w:val="20"/>
        </w:trPr>
        <w:tc>
          <w:tcPr>
            <w:tcW w:w="9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Net loss per share data is not applicable for the three months ended March 31, 2021 (unaudited) as the Company had no shares of common stock outstanding for accounting purposes during that period. All of the 5,593,240 shares of common stock issued and outstanding as of December 31, 2020 and March 31, 2021 (unaudited) were shares of unvested restricted common stock issued by the Company upon the early exercise of stock options granted in June 2020. As a result, such shares are not considered outstanding for accounting purposes until vested and were excluded from the calculations of basic net loss per share attributable to common stockholders for the period from June 3, 2020 (inception) to December 31, 2020 and for the three months ended March 31, 2021 (unaudited). For the period from June 3, 2020 (inception) to December 31, 2020, the 3,608,491 shares of common stock outstanding solely reflect the weighted-average period that 21,250,000 shares of common stock repurchased by the Company from Adimab (see Note 6) were outstanding during that period.</w:t>
      </w:r>
    </w:p>
    <w:p>
      <w:pPr>
        <w:spacing w:after="0" w:line="178"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Period from</w:t>
            </w:r>
          </w:p>
        </w:tc>
      </w:tr>
      <w:tr>
        <w:trPr>
          <w:trHeight w:val="149"/>
        </w:trPr>
        <w:tc>
          <w:tcPr>
            <w:tcW w:w="48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June 3, 2020</w:t>
            </w:r>
          </w:p>
        </w:tc>
      </w:tr>
      <w:tr>
        <w:trPr>
          <w:trHeight w:val="148"/>
        </w:trPr>
        <w:tc>
          <w:tcPr>
            <w:tcW w:w="48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(Inception) to</w:t>
            </w:r>
          </w:p>
        </w:tc>
      </w:tr>
      <w:tr>
        <w:trPr>
          <w:trHeight w:val="171"/>
        </w:trPr>
        <w:tc>
          <w:tcPr>
            <w:tcW w:w="48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December 31, 2020</w:t>
            </w:r>
          </w:p>
        </w:tc>
      </w:tr>
      <w:tr>
        <w:trPr>
          <w:trHeight w:val="209"/>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preferred stock (as converted to common stock)</w:t>
            </w:r>
          </w:p>
        </w:tc>
        <w:tc>
          <w:tcPr>
            <w:tcW w:w="49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63,239,670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Stock options to purchase common stock</w:t>
            </w:r>
          </w:p>
        </w:tc>
        <w:tc>
          <w:tcPr>
            <w:tcW w:w="6180" w:type="dxa"/>
            <w:vAlign w:val="bottom"/>
            <w:gridSpan w:val="3"/>
          </w:tcPr>
          <w:p>
            <w:pPr>
              <w:jc w:val="right"/>
              <w:ind w:right="60"/>
              <w:spacing w:after="0"/>
              <w:rPr>
                <w:sz w:val="20"/>
                <w:szCs w:val="20"/>
                <w:color w:val="auto"/>
              </w:rPr>
            </w:pPr>
            <w:r>
              <w:rPr>
                <w:rFonts w:ascii="Arial" w:cs="Arial" w:eastAsia="Arial" w:hAnsi="Arial"/>
                <w:sz w:val="18"/>
                <w:szCs w:val="18"/>
                <w:color w:val="auto"/>
              </w:rPr>
              <w:t>2,968,070</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common stock</w:t>
            </w:r>
          </w:p>
        </w:tc>
        <w:tc>
          <w:tcPr>
            <w:tcW w:w="6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5,593,240</w:t>
            </w:r>
          </w:p>
        </w:tc>
      </w:tr>
      <w:tr>
        <w:trPr>
          <w:trHeight w:val="223"/>
        </w:trPr>
        <w:tc>
          <w:tcPr>
            <w:tcW w:w="484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71,800,980</w:t>
            </w:r>
          </w:p>
        </w:tc>
        <w:tc>
          <w:tcPr>
            <w:tcW w:w="60" w:type="dxa"/>
            <w:vAlign w:val="bottom"/>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840" w:type="dxa"/>
            <w:vAlign w:val="bottom"/>
          </w:tcPr>
          <w:p>
            <w:pPr>
              <w:spacing w:after="0"/>
              <w:rPr>
                <w:sz w:val="24"/>
                <w:szCs w:val="24"/>
                <w:color w:val="auto"/>
              </w:rPr>
            </w:pPr>
          </w:p>
        </w:tc>
        <w:tc>
          <w:tcPr>
            <w:tcW w:w="6180" w:type="dxa"/>
            <w:vAlign w:val="bottom"/>
            <w:gridSpan w:val="3"/>
          </w:tcPr>
          <w:p>
            <w:pPr>
              <w:ind w:left="500"/>
              <w:spacing w:after="0"/>
              <w:rPr>
                <w:sz w:val="20"/>
                <w:szCs w:val="20"/>
                <w:color w:val="auto"/>
              </w:rPr>
            </w:pPr>
            <w:r>
              <w:rPr>
                <w:rFonts w:ascii="Arial" w:cs="Arial" w:eastAsia="Arial" w:hAnsi="Arial"/>
                <w:sz w:val="18"/>
                <w:szCs w:val="18"/>
                <w:color w:val="auto"/>
              </w:rPr>
              <w:t>F-33</w:t>
            </w:r>
          </w:p>
        </w:tc>
      </w:tr>
    </w:tbl>
    <w:p>
      <w:pPr>
        <w:sectPr>
          <w:pgSz w:w="11900" w:h="16838" w:orient="portrait"/>
          <w:cols w:equalWidth="0" w:num="1">
            <w:col w:w="11140"/>
          </w:cols>
          <w:pgMar w:left="320" w:top="459" w:right="4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Related Party Transactions</w:t>
      </w:r>
    </w:p>
    <w:p>
      <w:pPr>
        <w:spacing w:after="0" w:line="121"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Under the Adimab Assignment Agreement, Adimab, a principal stockholder of the Company, received upfront consideration in the form of Series A Preferred Stock, is entitled to receive milestone and royalty payments upon specified conditions, and receives payments from the Company for providing ongoing services under the agreement (see Note 6). As of December 31, 2020 and March 31, 2021 (unaudited), $0.6 million and $0.2 million, respectively, was due to Adimab by the Company. As of December 31, 2020 and March 31, 2021 (unaudited), no amounts were due from Adimab to the Company.</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May 21, 2021, the Company entered into a collaboration agreement with Adimab (see Note 15).</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For its consolidated financial statements as of December 31, 2020 for the period from June 3, 2020 (inception) to December 31, 2020 and for its interim consolidated financial statements as of March 31, 2021 and for the three months then ended, the Company evaluated subsequent events through May 21, 2021, the date on which those financial statements were issued.</w:t>
      </w:r>
    </w:p>
    <w:p>
      <w:pPr>
        <w:spacing w:after="0" w:line="25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Grant of Stock Options under the 2020 Plan</w:t>
      </w:r>
    </w:p>
    <w:p>
      <w:pPr>
        <w:spacing w:after="0" w:line="117"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In January 2021, the Company granted options for the purchase of an aggregate of 2,513,000 shares of common stock, at an exercise price of $4.61 per share. In April 2021, the Company granted options for the purchase of an aggregate of 1,198,750 shares of common stock, at an exercise price of $8.36 per share. On May 7, 2021, the Company granted options for the purchase of an aggregate of 6,341,740 shares of common stock, at an exercise price of $10.14 per share. The aggregate grant-date fair value of the options granted under these three option grants was $56.3 million, which is expected to be recognized as stock-based compensation expense over a weighted-average period of approximately 3.8 years.</w:t>
      </w:r>
    </w:p>
    <w:p>
      <w:pPr>
        <w:spacing w:after="0" w:line="24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Milestone Achievements under the Adimab Assignment Agreement</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February 2021, the Company dosed the first patient in a Phase 1 clinical trial evaluating ADG20, which resulted in a milestone payment of $1.0 million being due by the Company under the Adimab Assignment Agreement. In March 2021, the Company made the $1.0 million payment to Adimab.</w:t>
      </w:r>
    </w:p>
    <w:p>
      <w:pPr>
        <w:spacing w:after="0" w:line="18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April 2021, the Company dosed the first patient in a Phase 2 clinical trial evaluating ADG20 for the prevention of COVID-19, which resulted in a milestone payment of $2.5 million being due by the Company under the Adimab Assignment Agreement.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Increase in Authorized Number of Shares of Common Stock and Preferred Stock</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April 2021, the Company increased the number of shares of common stock authorized for issuance from 19,000,000 shares to 23,251,555 shares and increased the number of shares of preferred stock authorized for issuance from 12,647,934 shares to 16,944,484 shares, of which 4,296,550 shares were designated as Series C convertible preferred stock (the “Series C Preferred Stock”).</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Increase in Shares Reserved for Issuance under the 2020 Plan</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April 2021, the Company’s board of directors increased the number of shares of common stock reserved for issuance under the plan from 22,820,305 shares to 29,254,790 shares.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320" w:top="459" w:right="4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Treasury Stock Retirement</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April and May 2021, the Company retired an aggregate of 22,600,000 shares of its common stock held in treasury. Upon retirement, the shares were redesignated as authorized but unissued shares of the Company’s common stock.</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Issuance and Sale of Series C Convertible Preferred Stock</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April 2021, the Company issued and sold 4,296,550 shares of its Series C Preferred Stock, at a purchase price of $78.08578 per share, for aggregate gross proceeds of $335.5 million. Adimab, a related party, participated in the Series C Preferred Stock financing by purchasing 128,064 shares of Series C Preferred Stock for an aggregate purchase price of $10.0 million.</w:t>
      </w:r>
    </w:p>
    <w:p>
      <w:pPr>
        <w:spacing w:after="0" w:line="184" w:lineRule="exact"/>
        <w:rPr>
          <w:sz w:val="20"/>
          <w:szCs w:val="20"/>
          <w:color w:val="auto"/>
        </w:rPr>
      </w:pPr>
    </w:p>
    <w:p>
      <w:pPr>
        <w:jc w:val="both"/>
        <w:ind w:left="120" w:right="20" w:firstLine="440"/>
        <w:spacing w:after="0" w:line="293" w:lineRule="auto"/>
        <w:rPr>
          <w:sz w:val="20"/>
          <w:szCs w:val="20"/>
          <w:color w:val="auto"/>
        </w:rPr>
      </w:pPr>
      <w:r>
        <w:rPr>
          <w:rFonts w:ascii="Arial" w:cs="Arial" w:eastAsia="Arial" w:hAnsi="Arial"/>
          <w:sz w:val="16"/>
          <w:szCs w:val="16"/>
          <w:color w:val="auto"/>
        </w:rPr>
        <w:t>The terms of the Series C Preferred Stock are substantially the same as the terms of the Series A Preferred Stock and Series B Preferred Stock (see Note 8), except that the Original Issue Price per share of the Series C Preferred Stock is $78.08578 and the Conversion Price per share of the Series C Preferred Stock is $15.61716. In addition, in connection with the Series C Preferred Stock financing, the definition of a qualifying initial public offering requiring the automatic conversion of all shares of outstanding preferred stock into common stock was amended to be the closing of a firm commitment public offering of common stock at a price of at least $17.02 per share (subject to appropriate adjustment in the event of any stock dividend, stock split, combination or other similar recapitalization), resulting in at least $75.0 million of gross proceeds to the Company.</w:t>
      </w:r>
    </w:p>
    <w:p>
      <w:pPr>
        <w:spacing w:after="0" w:line="16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Upon issuance of these shares of Series C Preferred Stock, the Company assessed the embedded conversion and liquidation features of the shares and determined that such features did not require the Company to separately account for these features. The Company also concluded that no beneficial conversion feature existed as of the issuance date of the shares of Series C Preferred Stock.</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Adimab Collaboration Agreement</w:t>
      </w:r>
    </w:p>
    <w:p>
      <w:pPr>
        <w:spacing w:after="0" w:line="117"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On May 21, 2021, the Company entered into a collaboration agreement with Adimab (the “Adimab Collaboration Agreement”) for the discovery and optimization of proprietary antibodies as potential therapeutic product candidates. Under the agreement, the Company and Adimab will collaborate on research programs for a specified number of targets selected by the Company within a specified time period. Under the Adimab Collaboration Agreement, Adimab granted the Company a worldwide, non-exclusive license to certain of its platform patents and technology and antibody patents to perform the Company’s responsibilities during the ongoing research period and for a specified evaluation period thereafter (the “Evaluation Term”). In addition, the Company granted Adimab a non-exclusive, non-sublicensable license to certain of the Company’s patents and intellectual property solely to perform Adimab’s responsibilities under the research plans. Under the agreement, the Company has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exercise of an option by the Company, Adimab will assign to the Company all right, title and interest in the antibodies of the optioned research program and will grant the Company a worldwide, royalty-free, fully paid-up, non-exclusive, sublicensable license under the Adimab platform technology for the development, manufacture and commercialization of the antibodies for which the Company has exercised its options and products containing or comprising those antibodies. The Company is obligated to use commercially reasonable efforts to develop, seek marketing approval for, and commercialize one product that contains an antibody discovered in each research program.</w:t>
      </w:r>
    </w:p>
    <w:p>
      <w:pPr>
        <w:spacing w:after="0" w:line="18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Company is obligated to pay Adimab a quarterly fee of $1.3 million, which obligation may be cancelled at the Company’s option at any time. For so long as the Company is paying such quarterly fee (or earlier if (i)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9" w:right="4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Company experiences a change of control after the third anniversary of the Adimab Collaboration Agreement or (ii) Adimab owns less than a specified percentage of the Company’s equity), Adimab and its affiliates will not assist or direct certain third parties to discover or optimize antibodies that are intended to bind to coronaviruses or influenza viruses. The Company may also elect to decrease the scope of Adimab’s exclusivity obligations and obtain a corresponding decrease in the quarterly fee. For each agreed upon research program that is commenced, the Company is obligated to pay Adimab quarterly for its services performed during a given research program at a specified full-time equivalent rate; a discovery delivery fee of $0.2 million; and an optimization completion fee of $0.2 million. For each option exercised by the Company to commercialize a specific research program, the Company is obligated to pay Adimab an exercise fee of $1.0 million.</w:t>
      </w:r>
    </w:p>
    <w:p>
      <w:pPr>
        <w:spacing w:after="0" w:line="17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The Company is obligated to pay Adimab up to $18.0 million upon the achievement of specified development and regulatory milestones for each product under the agreement that achieves such milestones. The Company is also obligated to pay Adimab royalties of a mid single-digit percentage based on net sales of any product under the agreement, subject to reductions for third-party licenses. The royalty term will expire for each product on a country-by-country basis upon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spacing w:after="0" w:line="192"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In addition, the Company is obligated to pay Adimab for Adimab’s performance of certain validation work with respect to certain antigens acquired from a third party. In consideration for this work, the Company is obligated to pay Adimab royalties of a low single-digit percentage based on net sales of products that contain such antigens for the same royalty term as antibody-based products, but the Company is not obligated to make any milestone payments for such antigen products.</w:t>
      </w:r>
    </w:p>
    <w:p>
      <w:pPr>
        <w:spacing w:after="0" w:line="18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The Adimab Collaboration Agreement will expire (i) if the Company does not exercise any option, upon the conclusion of the last Evaluation Term for the research programs, or (ii) if the Company exercises an option, on the expiration of the last royalty term for a product in a particular country, unless the agreement is earlier terminated. The Company may terminate the Adimab Collaboration Agreement at any time upon advance written notice to Adimab. In addition, subject to certain conditions, either party may terminate the Adimab Collaboration Agreement in the event of a material breach by the other party that is not cured within specified periods.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 Split</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On July 30, 2021, the Company effected a five-for-one stock split of its issued and outstanding shares of common stock and a proportional adjustment to the existing conversion ratios of each series of the Company’s preferred stock (see Note 8). Accordingly, all share and per share amounts for all periods presented in the accompanying consolidated financial statements and notes thereto have been adjusted retroactively, where applicable, to reflect this stock split and adjustment of the preferred stock conversion ratios.</w:t>
      </w:r>
    </w:p>
    <w:p>
      <w:pPr>
        <w:spacing w:after="0" w:line="18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connection with the stock split, on July 30, 2021, the Company also increased the number of shares of common stock authorized for issuance from 19,000,000 shares to 150,000,000 shares. References to the number of shares of authorized common stock on the accompanying consolidated balance sheets have been adjusted retroactively to reflect this increase to 150,000,000 shares.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Subsequent Events (Unaudited)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Grant of Stock Options under the 2020 Plan</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June 2021, the Company granted options for the purchase of an aggregate of 2,025,070 shares of common stock, at an exercise price of $12.81 per share. On July 4, 2021, the Company granted options for the purchase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59" w:right="4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an aggregate of 1,861,460 shares of common stock, at an exercise price of $12.81 per share. The aggregate grant-date fair value of the options granted under these two option grants was $32.0 million, which is expected to be recognized as stock-based compensation expense over a weighted-average period of approximately 3.9 years.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auto"/>
        </w:rPr>
        <w:t>On July 27, 2021, the Company’s board of directors adopted, and on July 29, 2021 its stockholders approved, the 2021 Equity Incentive Plan (the “2021 Plan”), which will become effective immediately prior to and contingent upon the execution of the underwriting agreement related to the Company’s initial public offering. The 2021 Plan provides for the grant of incentive stock options, non-statutory stock options, stock appreciation rights, restricted stock awards, restricted stock units and other stock-based awards. The number of shares reserved for issuance under the 2021 Plan is initially equal to 35,075,122, which is the sum of 11,413,572 new shares; plus the number of shares (not to exceed 23,661,550 shares), which represents (i) the number of shares that remain available for issuance under the 2020 Plan, at the time the 2021 Plan becomes effective, and (ii) any shares subject to outstanding stock options or other stock awards that were granted under the 2020 Plan that are forfeited, terminate, expire or are otherwise not issued. In addition, the number of shares of the Company’s common stock reserved for issuance under the 2021 Plan will automatically increase on the first day of each calendar year, beginning on January 1, 2022 and continuing through January 1, 2031, in an amount equal to 5% of the shares of common stock outstanding on the last day of the calendar month before the date of each automatic increase, or a lesser number of shares determined by the board of directors. The shares of common stock underlying any awards that are forfeited, cancelled, held back upon exercise or settlement of an award to satisfy the exercise price or tax withholding, repurchased or are otherwise terminated by the Company under the 2021 Plan will be added back to the shares of common stock available for issuance under the 2021 Plan.</w:t>
      </w:r>
    </w:p>
    <w:p>
      <w:pPr>
        <w:spacing w:after="0" w:line="28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17"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On July 27, 2021, the Company’s board of directors adopted, and on July 29, 2021 its stockholders approved, the 2021 Employee Stock Purchase Plan (the ‘‘2021 ESPP’’), which will become effective immediately prior to and contingent upon the execution of the underwriting agreement related to the Company’s initial public offering. A total of 1,342,773 shares of common stock were initially reserved for issuance under this plan. The number of shares of common stock that may be issued under the 2021 ESPP will automatically increase on the first day of each calendar year, beginning on January 1, 2022 and continuing through January 1, 2031, by an amount equal to the lesser of (i) 1% of the shares of common stock outstanding on the last day of the calendar month before the date of each automatic increase, (ii) 2,685,546 shares and (iii) an amount determined by the Company’s board of directors.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40"/>
          </w:cols>
          <w:pgMar w:left="320" w:top="459" w:right="4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32"/>
          <w:szCs w:val="32"/>
          <w:i w:val="1"/>
          <w:iCs w:val="1"/>
          <w:color w:val="auto"/>
        </w:rPr>
        <w:t>17,700,000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490220</wp:posOffset>
            </wp:positionV>
            <wp:extent cx="1388745" cy="3771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38874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22"/>
          <w:szCs w:val="22"/>
          <w:i w:val="1"/>
          <w:i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29"/>
          <w:szCs w:val="29"/>
          <w:i w:val="1"/>
          <w:iCs w:val="1"/>
          <w:color w:val="auto"/>
        </w:rPr>
        <w:t>PROSPECTUS</w:t>
      </w: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Joint Book-Running Managers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spacing w:after="0"/>
        <w:tabs>
          <w:tab w:leader="none" w:pos="3720" w:val="left"/>
          <w:tab w:leader="none" w:pos="5560" w:val="left"/>
          <w:tab w:leader="none" w:pos="7900" w:val="left"/>
        </w:tabs>
        <w:rPr>
          <w:sz w:val="20"/>
          <w:szCs w:val="20"/>
          <w:color w:val="auto"/>
        </w:rPr>
      </w:pPr>
      <w:r>
        <w:rPr>
          <w:rFonts w:ascii="Arial" w:cs="Arial" w:eastAsia="Arial" w:hAnsi="Arial"/>
          <w:sz w:val="21"/>
          <w:szCs w:val="21"/>
          <w:i w:val="1"/>
          <w:iCs w:val="1"/>
          <w:color w:val="auto"/>
        </w:rPr>
        <w:t>MORGAN STANLEY</w:t>
      </w:r>
      <w:r>
        <w:rPr>
          <w:sz w:val="20"/>
          <w:szCs w:val="20"/>
          <w:color w:val="auto"/>
        </w:rPr>
        <w:tab/>
      </w:r>
      <w:r>
        <w:rPr>
          <w:rFonts w:ascii="Arial" w:cs="Arial" w:eastAsia="Arial" w:hAnsi="Arial"/>
          <w:sz w:val="21"/>
          <w:szCs w:val="21"/>
          <w:i w:val="1"/>
          <w:iCs w:val="1"/>
          <w:color w:val="auto"/>
        </w:rPr>
        <w:t>JEFFERIES</w:t>
      </w:r>
      <w:r>
        <w:rPr>
          <w:sz w:val="20"/>
          <w:szCs w:val="20"/>
          <w:color w:val="auto"/>
        </w:rPr>
        <w:tab/>
      </w:r>
      <w:r>
        <w:rPr>
          <w:rFonts w:ascii="Arial" w:cs="Arial" w:eastAsia="Arial" w:hAnsi="Arial"/>
          <w:sz w:val="21"/>
          <w:szCs w:val="21"/>
          <w:i w:val="1"/>
          <w:iCs w:val="1"/>
          <w:color w:val="auto"/>
        </w:rPr>
        <w:t>STIFEL</w:t>
      </w:r>
      <w:r>
        <w:rPr>
          <w:sz w:val="20"/>
          <w:szCs w:val="20"/>
          <w:color w:val="auto"/>
        </w:rPr>
        <w:tab/>
      </w:r>
      <w:r>
        <w:rPr>
          <w:rFonts w:ascii="Arial" w:cs="Arial" w:eastAsia="Arial" w:hAnsi="Arial"/>
          <w:sz w:val="19"/>
          <w:szCs w:val="19"/>
          <w:i w:val="1"/>
          <w:iCs w:val="1"/>
          <w:color w:val="auto"/>
        </w:rPr>
        <w:t>GUGGENHEIM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i w:val="1"/>
          <w:iCs w:val="1"/>
          <w:color w:val="auto"/>
        </w:rPr>
        <w:t>Until , 2021 (25 days after the date of this prospectus),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2021</w:t>
      </w:r>
    </w:p>
    <w:p>
      <w:pPr>
        <w:sectPr>
          <w:pgSz w:w="11900" w:h="16838" w:orient="portrait"/>
          <w:cols w:equalWidth="0" w:num="1">
            <w:col w:w="11140"/>
          </w:cols>
          <w:pgMar w:left="320" w:top="459" w:right="4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The following table indicates the expenses to be incurred in connection with the offering described in this registration statement, other than underwriting discounts and commissions, all of which will be paid by us. All amounts are estimated except the Securities and Exchange Commission, or SEC, registration fee, the Financial Industry Regulatory Authority, Inc., or FINRA, filing fee and the Nasdaq Global Market initial listing fee.</w:t>
      </w:r>
    </w:p>
    <w:p>
      <w:pPr>
        <w:spacing w:after="0" w:line="167" w:lineRule="exact"/>
        <w:rPr>
          <w:sz w:val="20"/>
          <w:szCs w:val="20"/>
          <w:color w:val="auto"/>
        </w:rPr>
      </w:pPr>
    </w:p>
    <w:tbl>
      <w:tblPr>
        <w:tblLayout w:type="fixed"/>
        <w:tblInd w:w="1500" w:type="dxa"/>
        <w:tblCellMar>
          <w:top w:w="0" w:type="dxa"/>
          <w:left w:w="0" w:type="dxa"/>
          <w:bottom w:w="0" w:type="dxa"/>
          <w:right w:w="0" w:type="dxa"/>
        </w:tblCellMar>
      </w:tblPr>
      <w:tr>
        <w:trPr>
          <w:trHeight w:val="171"/>
        </w:trPr>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Amount</w:t>
            </w:r>
          </w:p>
        </w:tc>
      </w:tr>
      <w:tr>
        <w:trPr>
          <w:trHeight w:val="20"/>
        </w:trPr>
        <w:tc>
          <w:tcPr>
            <w:tcW w:w="7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39,974</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FINRA filing fee</w:t>
            </w:r>
          </w:p>
        </w:tc>
        <w:tc>
          <w:tcPr>
            <w:tcW w:w="100" w:type="dxa"/>
            <w:vAlign w:val="bottom"/>
          </w:tcPr>
          <w:p>
            <w:pPr>
              <w:spacing w:after="0"/>
              <w:rPr>
                <w:sz w:val="18"/>
                <w:szCs w:val="18"/>
                <w:color w:val="auto"/>
              </w:rPr>
            </w:pPr>
          </w:p>
        </w:tc>
        <w:tc>
          <w:tcPr>
            <w:tcW w:w="820" w:type="dxa"/>
            <w:vAlign w:val="bottom"/>
            <w:gridSpan w:val="4"/>
          </w:tcPr>
          <w:p>
            <w:pPr>
              <w:jc w:val="right"/>
              <w:ind w:right="80"/>
              <w:spacing w:after="0"/>
              <w:rPr>
                <w:sz w:val="20"/>
                <w:szCs w:val="20"/>
                <w:color w:val="auto"/>
              </w:rPr>
            </w:pPr>
            <w:r>
              <w:rPr>
                <w:rFonts w:ascii="Arial" w:cs="Arial" w:eastAsia="Arial" w:hAnsi="Arial"/>
                <w:sz w:val="18"/>
                <w:szCs w:val="18"/>
                <w:color w:val="auto"/>
              </w:rPr>
              <w:t>55,459</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Nasdaq Global Market initial listing fee</w:t>
            </w: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295,000</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Accountants’ fees and expenses</w:t>
            </w:r>
          </w:p>
        </w:tc>
        <w:tc>
          <w:tcPr>
            <w:tcW w:w="100" w:type="dxa"/>
            <w:vAlign w:val="bottom"/>
          </w:tcPr>
          <w:p>
            <w:pPr>
              <w:spacing w:after="0"/>
              <w:rPr>
                <w:sz w:val="18"/>
                <w:szCs w:val="18"/>
                <w:color w:val="auto"/>
              </w:rPr>
            </w:pPr>
          </w:p>
        </w:tc>
        <w:tc>
          <w:tcPr>
            <w:tcW w:w="820" w:type="dxa"/>
            <w:vAlign w:val="bottom"/>
            <w:gridSpan w:val="4"/>
          </w:tcPr>
          <w:p>
            <w:pPr>
              <w:jc w:val="right"/>
              <w:ind w:right="80"/>
              <w:spacing w:after="0"/>
              <w:rPr>
                <w:sz w:val="20"/>
                <w:szCs w:val="20"/>
                <w:color w:val="auto"/>
              </w:rPr>
            </w:pPr>
            <w:r>
              <w:rPr>
                <w:rFonts w:ascii="Arial" w:cs="Arial" w:eastAsia="Arial" w:hAnsi="Arial"/>
                <w:sz w:val="18"/>
                <w:szCs w:val="18"/>
                <w:color w:val="auto"/>
                <w:w w:val="89"/>
              </w:rPr>
              <w:t>1,250,000</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89"/>
              </w:rPr>
              <w:t>1,600,000</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Printing expenses</w:t>
            </w:r>
          </w:p>
        </w:tc>
        <w:tc>
          <w:tcPr>
            <w:tcW w:w="100" w:type="dxa"/>
            <w:vAlign w:val="bottom"/>
          </w:tcPr>
          <w:p>
            <w:pPr>
              <w:spacing w:after="0"/>
              <w:rPr>
                <w:sz w:val="18"/>
                <w:szCs w:val="18"/>
                <w:color w:val="auto"/>
              </w:rPr>
            </w:pPr>
          </w:p>
        </w:tc>
        <w:tc>
          <w:tcPr>
            <w:tcW w:w="820" w:type="dxa"/>
            <w:vAlign w:val="bottom"/>
            <w:gridSpan w:val="4"/>
          </w:tcPr>
          <w:p>
            <w:pPr>
              <w:jc w:val="right"/>
              <w:ind w:right="80"/>
              <w:spacing w:after="0"/>
              <w:rPr>
                <w:sz w:val="20"/>
                <w:szCs w:val="20"/>
                <w:color w:val="auto"/>
              </w:rPr>
            </w:pPr>
            <w:r>
              <w:rPr>
                <w:rFonts w:ascii="Arial" w:cs="Arial" w:eastAsia="Arial" w:hAnsi="Arial"/>
                <w:sz w:val="18"/>
                <w:szCs w:val="18"/>
                <w:color w:val="auto"/>
              </w:rPr>
              <w:t>220,000</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Transfer agent’s fees and expenses</w:t>
            </w: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10,000</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Miscellaneous</w:t>
            </w:r>
          </w:p>
        </w:tc>
        <w:tc>
          <w:tcPr>
            <w:tcW w:w="100" w:type="dxa"/>
            <w:vAlign w:val="bottom"/>
          </w:tcPr>
          <w:p>
            <w:pPr>
              <w:spacing w:after="0"/>
              <w:rPr>
                <w:sz w:val="18"/>
                <w:szCs w:val="18"/>
                <w:color w:val="auto"/>
              </w:rPr>
            </w:pPr>
          </w:p>
        </w:tc>
        <w:tc>
          <w:tcPr>
            <w:tcW w:w="820" w:type="dxa"/>
            <w:vAlign w:val="bottom"/>
            <w:gridSpan w:val="4"/>
          </w:tcPr>
          <w:p>
            <w:pPr>
              <w:jc w:val="right"/>
              <w:ind w:right="80"/>
              <w:spacing w:after="0"/>
              <w:rPr>
                <w:sz w:val="20"/>
                <w:szCs w:val="20"/>
                <w:color w:val="auto"/>
              </w:rPr>
            </w:pPr>
            <w:r>
              <w:rPr>
                <w:rFonts w:ascii="Arial" w:cs="Arial" w:eastAsia="Arial" w:hAnsi="Arial"/>
                <w:sz w:val="18"/>
                <w:szCs w:val="18"/>
                <w:color w:val="auto"/>
              </w:rPr>
              <w:t>329,567</w:t>
            </w:r>
          </w:p>
        </w:tc>
      </w:tr>
      <w:tr>
        <w:trPr>
          <w:trHeight w:val="27"/>
        </w:trPr>
        <w:tc>
          <w:tcPr>
            <w:tcW w:w="7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89"/>
              </w:rPr>
              <w:t>3,800,000</w:t>
            </w:r>
          </w:p>
        </w:tc>
      </w:tr>
      <w:tr>
        <w:trPr>
          <w:trHeight w:val="20"/>
        </w:trPr>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We are incorporated under the laws of the State of Delaware. Section 102 of the Delaware General Corporation Law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w:t>
      </w:r>
    </w:p>
    <w:p>
      <w:pPr>
        <w:spacing w:after="0" w:line="188"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Section 145 of the Delaware General Corporation Law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is or is threatened to be made a party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66" w:lineRule="exact"/>
        <w:rPr>
          <w:sz w:val="20"/>
          <w:szCs w:val="20"/>
          <w:color w:val="auto"/>
        </w:rPr>
      </w:pPr>
    </w:p>
    <w:p>
      <w:pPr>
        <w:jc w:val="both"/>
        <w:ind w:left="120" w:right="20" w:firstLine="440"/>
        <w:spacing w:after="0" w:line="287" w:lineRule="auto"/>
        <w:rPr>
          <w:sz w:val="20"/>
          <w:szCs w:val="20"/>
          <w:color w:val="auto"/>
        </w:rPr>
      </w:pPr>
      <w:r>
        <w:rPr>
          <w:rFonts w:ascii="Arial" w:cs="Arial" w:eastAsia="Arial" w:hAnsi="Arial"/>
          <w:sz w:val="16"/>
          <w:szCs w:val="16"/>
          <w:color w:val="auto"/>
        </w:rPr>
        <w:t>As permitted by the Delaware General Corporation Law, our amended and restated certificate of incorporation and bylaws to be in effect upon the closing of this offering will provide that: (i) we are required to indemnify our directors to the fullest extent permitted by the Delaware General Corporation Law; (ii) we may, in our discretion, indemnify our officers, employees and agents as set forth in the Delaware General Corporation Law;</w:t>
      </w:r>
    </w:p>
    <w:p>
      <w:pPr>
        <w:spacing w:after="0" w:line="2" w:lineRule="exact"/>
        <w:rPr>
          <w:sz w:val="20"/>
          <w:szCs w:val="20"/>
          <w:color w:val="auto"/>
        </w:rPr>
      </w:pPr>
    </w:p>
    <w:p>
      <w:pPr>
        <w:jc w:val="both"/>
        <w:ind w:left="120" w:right="20" w:hanging="4"/>
        <w:spacing w:after="0" w:line="255" w:lineRule="auto"/>
        <w:tabs>
          <w:tab w:leader="none" w:pos="47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we are required, upon satisfaction of certain conditions, to advance all expenses incurred by our directors in connection with certain legal proceedings; (iv) the rights conferred in the bylaws are not exclusive; and (v) we are authorized to enter into indemnification agreements with our directors, officers, employees and agents.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9" w:right="4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In connection with this offering, we expect to enter into indemnification agreements with each of our directors and executive officers that require us to indemnify them against expenses, judgments, fines, settlements and other amounts that any such person becomes legally obligated to pay (including with respect to a derivative action) in connection with any proceeding, whether actual or threatened, to which such person may be made a party by reason of the fact that such person is or was a director or officer of us or any of our affiliates, provided such person acted in good faith and in a manner such person reasonably believed to be in, or not opposed to, our best interests. The indemnification agreements will also set forth certain procedures that will apply in the event of a claim for indemnification thereunder. We intend to enter into similar indemnification agreements with our executive officers prior to the completion of this offering. At present, no litigation or proceeding is pending that involves any of our directors or officers regarding which indemnification is sought, nor are we aware of any threatened litigation that may result in claims for indemnification.</w:t>
      </w:r>
    </w:p>
    <w:p>
      <w:pPr>
        <w:spacing w:after="0" w:line="16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maintain a directors’ and officers’ liability insurance policy. The policy insures directors and officers against unindemnified losses arising from certain wrongful acts in their capacities as directors and officers and reimburses us for those losses for which we have lawfully indemnified the directors and officers. The policy contains various exclusions.</w:t>
      </w:r>
    </w:p>
    <w:p>
      <w:pPr>
        <w:spacing w:after="0" w:line="184"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In addition, the underwriting agreement filed as Exhibit 1.1 to this Registration Statement provides for indemnification by the underwriters of us and our officers and directors for certain liabilities arising under the Securities Act, or otherwise. Our amended and restated investor rights agreement with certain investors also provides for cross-indemnification in connection with the registration of our common stock on behalf of such investors.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following list sets forth information regarding all unregistered securities sold by us since our inception through the date of the prospectus that forms a part of this registration statement.</w:t>
      </w:r>
    </w:p>
    <w:p>
      <w:pPr>
        <w:spacing w:after="0" w:line="170"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July 2020, we issued and sold an aggregate of 6,237,500 shares of our Series A preferred stock to 24 investors at a purchase price of $8.00 per share, for aggregate consideration of $49.9 million.</w:t>
      </w:r>
    </w:p>
    <w:p>
      <w:pPr>
        <w:spacing w:after="0" w:line="170"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In July 2020, we issued 5,000,000 shares of our Series A preferred stock to Adimab in connection with the assignment and license agreement pursuant to which Adimab assigned to us all coronavirus antibodies controlled by it and certain related intellectual property and granted us a license to its platform technology to research, develop, make, use and sell coronavirus antibodies and products containing or comprising coronavirus antibodies.</w:t>
      </w:r>
    </w:p>
    <w:p>
      <w:pPr>
        <w:spacing w:after="0" w:line="149"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In October and November 2020, we issued and sold an aggregate of 1,410,434 shares of our Series B preferred stock to 16 investors at a purchase price of $56.72 per share, for aggregate consideration of $80.0 million.</w:t>
      </w:r>
    </w:p>
    <w:p>
      <w:pPr>
        <w:spacing w:after="0" w:line="170"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April 2021, we issued and sold an aggregate of 4,296,550 shares of our Series C preferred stock to 36 investors at a purchase price of $78.08578 per share, for aggregate consideration of $335.5 million.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April 2021, we issued and sold 1,000 shares of our common stock at a price of $15.88 per share, for consideration of $15,871.</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May 2021, we issued 5,000 shares of our common stock to a consultant in exchange for services.</w:t>
      </w:r>
    </w:p>
    <w:p>
      <w:pPr>
        <w:spacing w:after="0" w:line="225"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From June 3, 2020 (the date of our inception) through the date of this registration statement, we granted options under our 2020 Equity Incentive Plan to purchase an aggregate of 23,851,330 shares of common stock, at a weighted-average exercise price of $5.79 per share, to our employees, directors and consultants. Of these, 6,943,240 shares have been issued upon the exercise of options for aggregate consideration of $13,886 and options for the purchase of 115,000 shares of common stock have been forfeited, expired or cancelled.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40"/>
          </w:cols>
          <w:pgMar w:left="320" w:top="459" w:right="4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Exhibits.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exhibits listed below are filed as part of this registration.</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0" w:type="dxa"/>
            <w:vAlign w:val="bottom"/>
            <w:gridSpan w:val="13"/>
            <w:vMerge w:val="restart"/>
          </w:tcPr>
          <w:p>
            <w:pPr>
              <w:ind w:left="100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0" w:type="dxa"/>
            <w:vAlign w:val="bottom"/>
            <w:gridSpan w:val="1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80" w:type="dxa"/>
            <w:vAlign w:val="bottom"/>
            <w:gridSpan w:val="2"/>
          </w:tcPr>
          <w:p>
            <w:pPr>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24"/>
                <w:szCs w:val="24"/>
                <w:color w:val="auto"/>
              </w:rPr>
            </w:pPr>
          </w:p>
        </w:tc>
        <w:tc>
          <w:tcPr>
            <w:tcW w:w="250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265">
              <w:r>
                <w:rPr>
                  <w:rFonts w:ascii="Arial" w:cs="Arial" w:eastAsia="Arial" w:hAnsi="Arial"/>
                  <w:sz w:val="18"/>
                  <w:szCs w:val="18"/>
                  <w:color w:val="0000EE"/>
                  <w:w w:val="93"/>
                </w:rPr>
                <w:t>Form of Underwriting Agreement.</w:t>
              </w:r>
            </w:hyperlink>
          </w:p>
        </w:tc>
        <w:tc>
          <w:tcPr>
            <w:tcW w:w="71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3.1*</w:t>
            </w:r>
          </w:p>
        </w:tc>
        <w:tc>
          <w:tcPr>
            <w:tcW w:w="520" w:type="dxa"/>
            <w:vAlign w:val="bottom"/>
          </w:tcPr>
          <w:p>
            <w:pPr>
              <w:spacing w:after="0"/>
              <w:rPr>
                <w:sz w:val="24"/>
                <w:szCs w:val="24"/>
                <w:color w:val="auto"/>
              </w:rPr>
            </w:pPr>
          </w:p>
        </w:tc>
        <w:tc>
          <w:tcPr>
            <w:tcW w:w="9680" w:type="dxa"/>
            <w:vAlign w:val="bottom"/>
            <w:gridSpan w:val="20"/>
          </w:tcPr>
          <w:p>
            <w:pPr>
              <w:spacing w:after="0"/>
              <w:rPr>
                <w:rFonts w:ascii="Arial" w:cs="Arial" w:eastAsia="Arial" w:hAnsi="Arial"/>
                <w:sz w:val="18"/>
                <w:szCs w:val="18"/>
                <w:color w:val="0000EE"/>
              </w:rPr>
            </w:pPr>
            <w:hyperlink r:id="rId323">
              <w:r>
                <w:rPr>
                  <w:rFonts w:ascii="Arial" w:cs="Arial" w:eastAsia="Arial" w:hAnsi="Arial"/>
                  <w:sz w:val="18"/>
                  <w:szCs w:val="18"/>
                  <w:color w:val="0000EE"/>
                </w:rPr>
                <w:t>Amended and Restated Certificate of Incorporation of the Registrant (as amended and currently in effect).</w:t>
              </w:r>
            </w:hyperlink>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24"/>
                <w:szCs w:val="24"/>
                <w:color w:val="auto"/>
              </w:rPr>
            </w:pPr>
          </w:p>
        </w:tc>
        <w:tc>
          <w:tcPr>
            <w:tcW w:w="7620" w:type="dxa"/>
            <w:vAlign w:val="bottom"/>
            <w:tcBorders>
              <w:top w:val="single" w:sz="8" w:color="0000EE"/>
            </w:tcBorders>
            <w:gridSpan w:val="13"/>
          </w:tcPr>
          <w:p>
            <w:pPr>
              <w:spacing w:after="0"/>
              <w:rPr>
                <w:rFonts w:ascii="Arial" w:cs="Arial" w:eastAsia="Arial" w:hAnsi="Arial"/>
                <w:sz w:val="18"/>
                <w:szCs w:val="18"/>
                <w:color w:val="0000EE"/>
                <w:w w:val="98"/>
              </w:rPr>
            </w:pPr>
            <w:hyperlink w:anchor="page311">
              <w:r>
                <w:rPr>
                  <w:rFonts w:ascii="Arial" w:cs="Arial" w:eastAsia="Arial" w:hAnsi="Arial"/>
                  <w:sz w:val="18"/>
                  <w:szCs w:val="18"/>
                  <w:color w:val="0000EE"/>
                  <w:w w:val="98"/>
                </w:rPr>
                <w:t>Certificate of Amendment to Amended and Restated Certificate of Incorporation of the Registrant.</w:t>
              </w:r>
            </w:hyperlink>
          </w:p>
        </w:tc>
        <w:tc>
          <w:tcPr>
            <w:tcW w:w="20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3.3</w:t>
            </w:r>
          </w:p>
        </w:tc>
        <w:tc>
          <w:tcPr>
            <w:tcW w:w="520" w:type="dxa"/>
            <w:vAlign w:val="bottom"/>
          </w:tcPr>
          <w:p>
            <w:pPr>
              <w:spacing w:after="0"/>
              <w:rPr>
                <w:sz w:val="24"/>
                <w:szCs w:val="24"/>
                <w:color w:val="auto"/>
              </w:rPr>
            </w:pPr>
          </w:p>
        </w:tc>
        <w:tc>
          <w:tcPr>
            <w:tcW w:w="7100" w:type="dxa"/>
            <w:vAlign w:val="bottom"/>
            <w:tcBorders>
              <w:top w:val="single" w:sz="8" w:color="0000EE"/>
            </w:tcBorders>
            <w:gridSpan w:val="12"/>
          </w:tcPr>
          <w:p>
            <w:pPr>
              <w:spacing w:after="0"/>
              <w:rPr>
                <w:rFonts w:ascii="Arial" w:cs="Arial" w:eastAsia="Arial" w:hAnsi="Arial"/>
                <w:sz w:val="18"/>
                <w:szCs w:val="18"/>
                <w:color w:val="0000EE"/>
              </w:rPr>
            </w:pPr>
            <w:hyperlink w:anchor="page314">
              <w:r>
                <w:rPr>
                  <w:rFonts w:ascii="Arial" w:cs="Arial" w:eastAsia="Arial" w:hAnsi="Arial"/>
                  <w:sz w:val="18"/>
                  <w:szCs w:val="18"/>
                  <w:color w:val="0000EE"/>
                </w:rPr>
                <w:t>Bylaws of the Registrant (currently in effect).</w:t>
              </w:r>
            </w:hyperlink>
          </w:p>
        </w:tc>
        <w:tc>
          <w:tcPr>
            <w:tcW w:w="25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3.4</w:t>
            </w:r>
          </w:p>
        </w:tc>
        <w:tc>
          <w:tcPr>
            <w:tcW w:w="520" w:type="dxa"/>
            <w:vAlign w:val="bottom"/>
          </w:tcPr>
          <w:p>
            <w:pPr>
              <w:spacing w:after="0"/>
              <w:rPr>
                <w:sz w:val="24"/>
                <w:szCs w:val="24"/>
                <w:color w:val="auto"/>
              </w:rPr>
            </w:pPr>
          </w:p>
        </w:tc>
        <w:tc>
          <w:tcPr>
            <w:tcW w:w="916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341">
              <w:r>
                <w:rPr>
                  <w:rFonts w:ascii="Arial" w:cs="Arial" w:eastAsia="Arial" w:hAnsi="Arial"/>
                  <w:sz w:val="18"/>
                  <w:szCs w:val="18"/>
                  <w:color w:val="0000EE"/>
                  <w:w w:val="91"/>
                </w:rPr>
                <w:t>Form of Amended and Restated Certificate of Incorporation of the Registrant (to be effective upon the closing of this offering).</w:t>
              </w:r>
            </w:hyperlink>
          </w:p>
        </w:tc>
        <w:tc>
          <w:tcPr>
            <w:tcW w:w="5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3.5</w:t>
            </w:r>
          </w:p>
        </w:tc>
        <w:tc>
          <w:tcPr>
            <w:tcW w:w="520" w:type="dxa"/>
            <w:vAlign w:val="bottom"/>
          </w:tcPr>
          <w:p>
            <w:pPr>
              <w:spacing w:after="0"/>
              <w:rPr>
                <w:sz w:val="24"/>
                <w:szCs w:val="24"/>
                <w:color w:val="auto"/>
              </w:rPr>
            </w:pPr>
          </w:p>
        </w:tc>
        <w:tc>
          <w:tcPr>
            <w:tcW w:w="9680" w:type="dxa"/>
            <w:vAlign w:val="bottom"/>
            <w:gridSpan w:val="20"/>
          </w:tcPr>
          <w:p>
            <w:pPr>
              <w:spacing w:after="0"/>
              <w:rPr>
                <w:rFonts w:ascii="Arial" w:cs="Arial" w:eastAsia="Arial" w:hAnsi="Arial"/>
                <w:sz w:val="18"/>
                <w:szCs w:val="18"/>
                <w:color w:val="0000EE"/>
              </w:rPr>
            </w:pPr>
            <w:hyperlink w:anchor="page347">
              <w:r>
                <w:rPr>
                  <w:rFonts w:ascii="Arial" w:cs="Arial" w:eastAsia="Arial" w:hAnsi="Arial"/>
                  <w:sz w:val="18"/>
                  <w:szCs w:val="18"/>
                  <w:color w:val="0000EE"/>
                </w:rPr>
                <w:t>Form of Amended and Restated Bylaws of the Registrant (to be effective upon the closing of this offering).</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760" w:type="dxa"/>
            <w:vAlign w:val="bottom"/>
            <w:gridSpan w:val="3"/>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24"/>
                <w:szCs w:val="24"/>
                <w:color w:val="auto"/>
              </w:rPr>
            </w:pPr>
          </w:p>
        </w:tc>
        <w:tc>
          <w:tcPr>
            <w:tcW w:w="9680" w:type="dxa"/>
            <w:vAlign w:val="bottom"/>
            <w:tcBorders>
              <w:bottom w:val="single" w:sz="8" w:color="0000EE"/>
            </w:tcBorders>
            <w:gridSpan w:val="20"/>
          </w:tcPr>
          <w:p>
            <w:pPr>
              <w:spacing w:after="0"/>
              <w:rPr>
                <w:rFonts w:ascii="Arial" w:cs="Arial" w:eastAsia="Arial" w:hAnsi="Arial"/>
                <w:sz w:val="18"/>
                <w:szCs w:val="18"/>
                <w:color w:val="0000EE"/>
                <w:w w:val="90"/>
              </w:rPr>
            </w:pPr>
            <w:hyperlink r:id="rId324">
              <w:r>
                <w:rPr>
                  <w:rFonts w:ascii="Arial" w:cs="Arial" w:eastAsia="Arial" w:hAnsi="Arial"/>
                  <w:sz w:val="18"/>
                  <w:szCs w:val="18"/>
                  <w:color w:val="0000EE"/>
                  <w:w w:val="90"/>
                </w:rPr>
                <w:t>Second Amended and Restated Investors’ Rights Agreement, by and among the Registrant and certain of its stockholders, dated April</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324">
              <w:r>
                <w:rPr>
                  <w:rFonts w:ascii="Arial" w:cs="Arial" w:eastAsia="Arial" w:hAnsi="Arial"/>
                  <w:sz w:val="18"/>
                  <w:szCs w:val="18"/>
                  <w:color w:val="0000EE"/>
                  <w:w w:val="87"/>
                </w:rPr>
                <w:t>16, 2021.</w:t>
              </w:r>
            </w:hyperlink>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24"/>
                <w:szCs w:val="24"/>
                <w:color w:val="auto"/>
              </w:rPr>
            </w:pPr>
          </w:p>
        </w:tc>
        <w:tc>
          <w:tcPr>
            <w:tcW w:w="9680" w:type="dxa"/>
            <w:vAlign w:val="bottom"/>
            <w:gridSpan w:val="20"/>
          </w:tcPr>
          <w:p>
            <w:pPr>
              <w:spacing w:after="0"/>
              <w:rPr>
                <w:rFonts w:ascii="Arial" w:cs="Arial" w:eastAsia="Arial" w:hAnsi="Arial"/>
                <w:sz w:val="18"/>
                <w:szCs w:val="18"/>
                <w:color w:val="0000EE"/>
              </w:rPr>
            </w:pPr>
            <w:hyperlink w:anchor="page371">
              <w:r>
                <w:rPr>
                  <w:rFonts w:ascii="Arial" w:cs="Arial" w:eastAsia="Arial" w:hAnsi="Arial"/>
                  <w:sz w:val="18"/>
                  <w:szCs w:val="18"/>
                  <w:color w:val="0000EE"/>
                </w:rPr>
                <w:t>Opinion of Cooley LLP.</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w:t>
            </w:r>
          </w:p>
        </w:tc>
        <w:tc>
          <w:tcPr>
            <w:tcW w:w="520" w:type="dxa"/>
            <w:vAlign w:val="bottom"/>
          </w:tcPr>
          <w:p>
            <w:pPr>
              <w:spacing w:after="0"/>
              <w:rPr>
                <w:sz w:val="24"/>
                <w:szCs w:val="24"/>
                <w:color w:val="auto"/>
              </w:rPr>
            </w:pPr>
          </w:p>
        </w:tc>
        <w:tc>
          <w:tcPr>
            <w:tcW w:w="9680" w:type="dxa"/>
            <w:vAlign w:val="bottom"/>
            <w:gridSpan w:val="20"/>
          </w:tcPr>
          <w:p>
            <w:pPr>
              <w:spacing w:after="0"/>
              <w:rPr>
                <w:rFonts w:ascii="Arial" w:cs="Arial" w:eastAsia="Arial" w:hAnsi="Arial"/>
                <w:sz w:val="18"/>
                <w:szCs w:val="18"/>
                <w:color w:val="0000EE"/>
              </w:rPr>
            </w:pPr>
            <w:hyperlink r:id="rId325">
              <w:r>
                <w:rPr>
                  <w:rFonts w:ascii="Arial" w:cs="Arial" w:eastAsia="Arial" w:hAnsi="Arial"/>
                  <w:sz w:val="18"/>
                  <w:szCs w:val="18"/>
                  <w:color w:val="0000EE"/>
                </w:rPr>
                <w:t>2020 Equity Incentive Plan and Forms of Stock Option Agreement, Notice of Stock Option Grant and Notice of Exercise.</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760" w:type="dxa"/>
            <w:vAlign w:val="bottom"/>
            <w:gridSpan w:val="3"/>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10.2+</w:t>
            </w:r>
          </w:p>
        </w:tc>
        <w:tc>
          <w:tcPr>
            <w:tcW w:w="520" w:type="dxa"/>
            <w:vAlign w:val="bottom"/>
          </w:tcPr>
          <w:p>
            <w:pPr>
              <w:spacing w:after="0"/>
              <w:rPr>
                <w:sz w:val="24"/>
                <w:szCs w:val="24"/>
                <w:color w:val="auto"/>
              </w:rPr>
            </w:pPr>
          </w:p>
        </w:tc>
        <w:tc>
          <w:tcPr>
            <w:tcW w:w="9680" w:type="dxa"/>
            <w:vAlign w:val="bottom"/>
            <w:tcBorders>
              <w:bottom w:val="single" w:sz="8" w:color="0000EE"/>
            </w:tcBorders>
            <w:gridSpan w:val="20"/>
          </w:tcPr>
          <w:p>
            <w:pPr>
              <w:spacing w:after="0"/>
              <w:rPr>
                <w:rFonts w:ascii="Arial" w:cs="Arial" w:eastAsia="Arial" w:hAnsi="Arial"/>
                <w:sz w:val="18"/>
                <w:szCs w:val="18"/>
                <w:color w:val="0000EE"/>
                <w:w w:val="91"/>
              </w:rPr>
            </w:pPr>
            <w:hyperlink w:anchor="page373">
              <w:r>
                <w:rPr>
                  <w:rFonts w:ascii="Arial" w:cs="Arial" w:eastAsia="Arial" w:hAnsi="Arial"/>
                  <w:sz w:val="18"/>
                  <w:szCs w:val="18"/>
                  <w:color w:val="0000EE"/>
                  <w:w w:val="91"/>
                </w:rPr>
                <w:t>2021 Equity Incentive Plan and Forms of Stock Option Grant Notice, Stock Option Agreement, Notice of Exercise, RSU Award Grant</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80" w:type="dxa"/>
            <w:vAlign w:val="bottom"/>
            <w:gridSpan w:val="20"/>
          </w:tcPr>
          <w:p>
            <w:pPr>
              <w:spacing w:after="0" w:line="196" w:lineRule="exact"/>
              <w:rPr>
                <w:rFonts w:ascii="Arial" w:cs="Arial" w:eastAsia="Arial" w:hAnsi="Arial"/>
                <w:sz w:val="18"/>
                <w:szCs w:val="18"/>
                <w:color w:val="0000EE"/>
              </w:rPr>
            </w:pPr>
            <w:hyperlink w:anchor="page373">
              <w:r>
                <w:rPr>
                  <w:rFonts w:ascii="Arial" w:cs="Arial" w:eastAsia="Arial" w:hAnsi="Arial"/>
                  <w:sz w:val="18"/>
                  <w:szCs w:val="18"/>
                  <w:color w:val="0000EE"/>
                </w:rPr>
                <w:t>Notice and RSU Award Agreement.</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10.3+</w:t>
            </w:r>
          </w:p>
        </w:tc>
        <w:tc>
          <w:tcPr>
            <w:tcW w:w="520" w:type="dxa"/>
            <w:vAlign w:val="bottom"/>
          </w:tcPr>
          <w:p>
            <w:pPr>
              <w:spacing w:after="0"/>
              <w:rPr>
                <w:sz w:val="24"/>
                <w:szCs w:val="24"/>
                <w:color w:val="auto"/>
              </w:rPr>
            </w:pPr>
          </w:p>
        </w:tc>
        <w:tc>
          <w:tcPr>
            <w:tcW w:w="27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435">
              <w:r>
                <w:rPr>
                  <w:rFonts w:ascii="Arial" w:cs="Arial" w:eastAsia="Arial" w:hAnsi="Arial"/>
                  <w:sz w:val="18"/>
                  <w:szCs w:val="18"/>
                  <w:color w:val="0000EE"/>
                  <w:w w:val="88"/>
                </w:rPr>
                <w:t>2021 Employee Stock Purchase Plan.</w:t>
              </w:r>
            </w:hyperlink>
          </w:p>
        </w:tc>
        <w:tc>
          <w:tcPr>
            <w:tcW w:w="69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10.4+</w:t>
            </w:r>
          </w:p>
        </w:tc>
        <w:tc>
          <w:tcPr>
            <w:tcW w:w="520" w:type="dxa"/>
            <w:vAlign w:val="bottom"/>
          </w:tcPr>
          <w:p>
            <w:pPr>
              <w:spacing w:after="0"/>
              <w:rPr>
                <w:sz w:val="24"/>
                <w:szCs w:val="24"/>
                <w:color w:val="auto"/>
              </w:rPr>
            </w:pPr>
          </w:p>
        </w:tc>
        <w:tc>
          <w:tcPr>
            <w:tcW w:w="546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448">
              <w:r>
                <w:rPr>
                  <w:rFonts w:ascii="Arial" w:cs="Arial" w:eastAsia="Arial" w:hAnsi="Arial"/>
                  <w:sz w:val="18"/>
                  <w:szCs w:val="18"/>
                  <w:color w:val="0000EE"/>
                  <w:w w:val="92"/>
                </w:rPr>
                <w:t>Form of Indemnification Agreement with Executive Officers and Directors.</w:t>
              </w:r>
            </w:hyperlink>
          </w:p>
        </w:tc>
        <w:tc>
          <w:tcPr>
            <w:tcW w:w="42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w w:val="90"/>
              </w:rPr>
              <w:t>10.5†#*</w:t>
            </w:r>
          </w:p>
        </w:tc>
        <w:tc>
          <w:tcPr>
            <w:tcW w:w="520" w:type="dxa"/>
            <w:vAlign w:val="bottom"/>
          </w:tcPr>
          <w:p>
            <w:pPr>
              <w:spacing w:after="0"/>
              <w:rPr>
                <w:sz w:val="24"/>
                <w:szCs w:val="24"/>
                <w:color w:val="auto"/>
              </w:rPr>
            </w:pPr>
          </w:p>
        </w:tc>
        <w:tc>
          <w:tcPr>
            <w:tcW w:w="7720" w:type="dxa"/>
            <w:vAlign w:val="bottom"/>
            <w:tcBorders>
              <w:bottom w:val="single" w:sz="8" w:color="0000EE"/>
            </w:tcBorders>
            <w:gridSpan w:val="14"/>
          </w:tcPr>
          <w:p>
            <w:pPr>
              <w:spacing w:after="0"/>
              <w:rPr>
                <w:rFonts w:ascii="Arial" w:cs="Arial" w:eastAsia="Arial" w:hAnsi="Arial"/>
                <w:sz w:val="18"/>
                <w:szCs w:val="18"/>
                <w:color w:val="0000EE"/>
                <w:w w:val="90"/>
              </w:rPr>
            </w:pPr>
            <w:hyperlink r:id="rId326">
              <w:r>
                <w:rPr>
                  <w:rFonts w:ascii="Arial" w:cs="Arial" w:eastAsia="Arial" w:hAnsi="Arial"/>
                  <w:sz w:val="18"/>
                  <w:szCs w:val="18"/>
                  <w:color w:val="0000EE"/>
                  <w:w w:val="90"/>
                </w:rPr>
                <w:t>Assignment and License Agreement by and between the Registrant and Adimab, LLC, dated July 8, 2020.</w:t>
              </w:r>
            </w:hyperlink>
          </w:p>
        </w:tc>
        <w:tc>
          <w:tcPr>
            <w:tcW w:w="19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w w:val="90"/>
              </w:rPr>
              <w:t>10.6†#*</w:t>
            </w:r>
          </w:p>
        </w:tc>
        <w:tc>
          <w:tcPr>
            <w:tcW w:w="520" w:type="dxa"/>
            <w:vAlign w:val="bottom"/>
          </w:tcPr>
          <w:p>
            <w:pPr>
              <w:spacing w:after="0"/>
              <w:rPr>
                <w:sz w:val="24"/>
                <w:szCs w:val="24"/>
                <w:color w:val="auto"/>
              </w:rPr>
            </w:pPr>
          </w:p>
        </w:tc>
        <w:tc>
          <w:tcPr>
            <w:tcW w:w="7000" w:type="dxa"/>
            <w:vAlign w:val="bottom"/>
            <w:tcBorders>
              <w:bottom w:val="single" w:sz="8" w:color="0000EE"/>
            </w:tcBorders>
            <w:gridSpan w:val="11"/>
          </w:tcPr>
          <w:p>
            <w:pPr>
              <w:spacing w:after="0"/>
              <w:rPr>
                <w:rFonts w:ascii="Arial" w:cs="Arial" w:eastAsia="Arial" w:hAnsi="Arial"/>
                <w:sz w:val="18"/>
                <w:szCs w:val="18"/>
                <w:color w:val="0000EE"/>
                <w:w w:val="91"/>
              </w:rPr>
            </w:pPr>
            <w:hyperlink r:id="rId327">
              <w:r>
                <w:rPr>
                  <w:rFonts w:ascii="Arial" w:cs="Arial" w:eastAsia="Arial" w:hAnsi="Arial"/>
                  <w:sz w:val="18"/>
                  <w:szCs w:val="18"/>
                  <w:color w:val="0000EE"/>
                  <w:w w:val="91"/>
                </w:rPr>
                <w:t>Collaboration Agreement by and between the Registrant and Adimab, LLC, dated May 21, 2021.</w:t>
              </w:r>
            </w:hyperlink>
          </w:p>
        </w:tc>
        <w:tc>
          <w:tcPr>
            <w:tcW w:w="26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w w:val="90"/>
              </w:rPr>
              <w:t>10.7†#*</w:t>
            </w:r>
          </w:p>
        </w:tc>
        <w:tc>
          <w:tcPr>
            <w:tcW w:w="520" w:type="dxa"/>
            <w:vAlign w:val="bottom"/>
          </w:tcPr>
          <w:p>
            <w:pPr>
              <w:spacing w:after="0"/>
              <w:rPr>
                <w:sz w:val="24"/>
                <w:szCs w:val="24"/>
                <w:color w:val="auto"/>
              </w:rPr>
            </w:pPr>
          </w:p>
        </w:tc>
        <w:tc>
          <w:tcPr>
            <w:tcW w:w="9680" w:type="dxa"/>
            <w:vAlign w:val="bottom"/>
            <w:gridSpan w:val="20"/>
          </w:tcPr>
          <w:p>
            <w:pPr>
              <w:spacing w:after="0"/>
              <w:rPr>
                <w:rFonts w:ascii="Arial" w:cs="Arial" w:eastAsia="Arial" w:hAnsi="Arial"/>
                <w:sz w:val="18"/>
                <w:szCs w:val="18"/>
                <w:color w:val="0000EE"/>
                <w:w w:val="95"/>
              </w:rPr>
            </w:pPr>
            <w:hyperlink r:id="rId328">
              <w:r>
                <w:rPr>
                  <w:rFonts w:ascii="Arial" w:cs="Arial" w:eastAsia="Arial" w:hAnsi="Arial"/>
                  <w:sz w:val="18"/>
                  <w:szCs w:val="18"/>
                  <w:color w:val="0000EE"/>
                  <w:w w:val="95"/>
                </w:rPr>
                <w:t>Commercial Manufacturing Services Agreement by and between the Registrant and WuXi Biologics (Hong Kong) Limited, dated</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3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328">
              <w:r>
                <w:rPr>
                  <w:rFonts w:ascii="Arial" w:cs="Arial" w:eastAsia="Arial" w:hAnsi="Arial"/>
                  <w:sz w:val="18"/>
                  <w:szCs w:val="18"/>
                  <w:color w:val="0000EE"/>
                </w:rPr>
                <w:t>December 24, 2020.</w:t>
              </w:r>
            </w:hyperlink>
          </w:p>
        </w:tc>
        <w:tc>
          <w:tcPr>
            <w:tcW w:w="3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6440" w:type="dxa"/>
            <w:vAlign w:val="bottom"/>
            <w:gridSpan w:val="13"/>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w w:val="90"/>
              </w:rPr>
              <w:t>10.8†#*</w:t>
            </w:r>
          </w:p>
        </w:tc>
        <w:tc>
          <w:tcPr>
            <w:tcW w:w="520" w:type="dxa"/>
            <w:vAlign w:val="bottom"/>
          </w:tcPr>
          <w:p>
            <w:pPr>
              <w:spacing w:after="0"/>
              <w:rPr>
                <w:sz w:val="24"/>
                <w:szCs w:val="24"/>
                <w:color w:val="auto"/>
              </w:rPr>
            </w:pPr>
          </w:p>
        </w:tc>
        <w:tc>
          <w:tcPr>
            <w:tcW w:w="9680" w:type="dxa"/>
            <w:vAlign w:val="bottom"/>
            <w:gridSpan w:val="20"/>
          </w:tcPr>
          <w:p>
            <w:pPr>
              <w:spacing w:after="0"/>
              <w:rPr>
                <w:rFonts w:ascii="Arial" w:cs="Arial" w:eastAsia="Arial" w:hAnsi="Arial"/>
                <w:sz w:val="18"/>
                <w:szCs w:val="18"/>
                <w:color w:val="0000EE"/>
                <w:w w:val="94"/>
              </w:rPr>
            </w:pPr>
            <w:hyperlink r:id="rId329">
              <w:r>
                <w:rPr>
                  <w:rFonts w:ascii="Arial" w:cs="Arial" w:eastAsia="Arial" w:hAnsi="Arial"/>
                  <w:sz w:val="18"/>
                  <w:szCs w:val="18"/>
                  <w:color w:val="0000EE"/>
                  <w:w w:val="94"/>
                </w:rPr>
                <w:t>Cell Line License Agreement by and between the Registrant and WuXi Biologics (Hong Kong) Limited, dated December 2, 2020.</w:t>
              </w:r>
            </w:hyperlink>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10.9+</w:t>
            </w:r>
          </w:p>
        </w:tc>
        <w:tc>
          <w:tcPr>
            <w:tcW w:w="520" w:type="dxa"/>
            <w:vAlign w:val="bottom"/>
          </w:tcPr>
          <w:p>
            <w:pPr>
              <w:spacing w:after="0"/>
              <w:rPr>
                <w:sz w:val="24"/>
                <w:szCs w:val="24"/>
                <w:color w:val="auto"/>
              </w:rPr>
            </w:pPr>
          </w:p>
        </w:tc>
        <w:tc>
          <w:tcPr>
            <w:tcW w:w="790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0"/>
              </w:rPr>
            </w:pPr>
            <w:hyperlink w:anchor="page463">
              <w:r>
                <w:rPr>
                  <w:rFonts w:ascii="Arial" w:cs="Arial" w:eastAsia="Arial" w:hAnsi="Arial"/>
                  <w:sz w:val="18"/>
                  <w:szCs w:val="18"/>
                  <w:color w:val="0000EE"/>
                  <w:w w:val="90"/>
                </w:rPr>
                <w:t>Form of Employment Agreement to be entered into by and between the Registrant and Tillman U. Gerngross.</w:t>
              </w:r>
            </w:hyperlink>
          </w:p>
        </w:tc>
        <w:tc>
          <w:tcPr>
            <w:tcW w:w="1480" w:type="dxa"/>
            <w:vAlign w:val="bottom"/>
            <w:tcBorders>
              <w:top w:val="single" w:sz="8" w:color="0000EE"/>
            </w:tcBorders>
            <w:gridSpan w:val="4"/>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0" w:type="dxa"/>
            <w:vAlign w:val="bottom"/>
            <w:gridSpan w:val="13"/>
          </w:tcPr>
          <w:p>
            <w:pPr>
              <w:ind w:left="980"/>
              <w:spacing w:after="0"/>
              <w:rPr>
                <w:sz w:val="20"/>
                <w:szCs w:val="20"/>
                <w:color w:val="auto"/>
              </w:rPr>
            </w:pPr>
            <w:r>
              <w:rPr>
                <w:rFonts w:ascii="Arial" w:cs="Arial" w:eastAsia="Arial" w:hAnsi="Arial"/>
                <w:sz w:val="18"/>
                <w:szCs w:val="18"/>
                <w:color w:val="auto"/>
              </w:rPr>
              <w:t>II-3</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540" w:type="dxa"/>
            <w:vAlign w:val="bottom"/>
            <w:gridSpan w:val="5"/>
            <w:vMerge w:val="restart"/>
          </w:tcPr>
          <w:p>
            <w:pPr>
              <w:ind w:left="70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5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80" w:type="dxa"/>
            <w:vAlign w:val="bottom"/>
            <w:gridSpan w:val="2"/>
          </w:tcPr>
          <w:p>
            <w:pPr>
              <w:spacing w:after="0"/>
              <w:rPr>
                <w:sz w:val="20"/>
                <w:szCs w:val="20"/>
                <w:color w:val="auto"/>
              </w:rPr>
            </w:pPr>
            <w:r>
              <w:rPr>
                <w:rFonts w:ascii="Arial" w:cs="Arial" w:eastAsia="Arial" w:hAnsi="Arial"/>
                <w:sz w:val="18"/>
                <w:szCs w:val="18"/>
                <w:color w:val="auto"/>
              </w:rPr>
              <w:t>10.10+</w:t>
            </w:r>
          </w:p>
        </w:tc>
        <w:tc>
          <w:tcPr>
            <w:tcW w:w="520" w:type="dxa"/>
            <w:vAlign w:val="bottom"/>
          </w:tcPr>
          <w:p>
            <w:pPr>
              <w:spacing w:after="0"/>
              <w:rPr>
                <w:sz w:val="24"/>
                <w:szCs w:val="24"/>
                <w:color w:val="auto"/>
              </w:rPr>
            </w:pPr>
          </w:p>
        </w:tc>
        <w:tc>
          <w:tcPr>
            <w:tcW w:w="912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491">
              <w:r>
                <w:rPr>
                  <w:rFonts w:ascii="Arial" w:cs="Arial" w:eastAsia="Arial" w:hAnsi="Arial"/>
                  <w:sz w:val="18"/>
                  <w:szCs w:val="18"/>
                  <w:color w:val="0000EE"/>
                  <w:w w:val="90"/>
                </w:rPr>
                <w:t>Form of Amended and Restated Employment Agreement to be entered into by and between the Registrant and Lynn Connolly.</w:t>
              </w:r>
            </w:hyperlink>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10.11+</w:t>
            </w:r>
          </w:p>
        </w:tc>
        <w:tc>
          <w:tcPr>
            <w:tcW w:w="520" w:type="dxa"/>
            <w:vAlign w:val="bottom"/>
          </w:tcPr>
          <w:p>
            <w:pPr>
              <w:spacing w:after="0"/>
              <w:rPr>
                <w:sz w:val="24"/>
                <w:szCs w:val="24"/>
                <w:color w:val="auto"/>
              </w:rPr>
            </w:pPr>
          </w:p>
        </w:tc>
        <w:tc>
          <w:tcPr>
            <w:tcW w:w="9120" w:type="dxa"/>
            <w:vAlign w:val="bottom"/>
            <w:gridSpan w:val="8"/>
          </w:tcPr>
          <w:p>
            <w:pPr>
              <w:spacing w:after="0"/>
              <w:rPr>
                <w:rFonts w:ascii="Arial" w:cs="Arial" w:eastAsia="Arial" w:hAnsi="Arial"/>
                <w:sz w:val="18"/>
                <w:szCs w:val="18"/>
                <w:color w:val="0000EE"/>
              </w:rPr>
            </w:pPr>
            <w:hyperlink w:anchor="page518">
              <w:r>
                <w:rPr>
                  <w:rFonts w:ascii="Arial" w:cs="Arial" w:eastAsia="Arial" w:hAnsi="Arial"/>
                  <w:sz w:val="18"/>
                  <w:szCs w:val="18"/>
                  <w:color w:val="0000EE"/>
                </w:rPr>
                <w:t>Form of Employment Agreement to be entered into by and between the Registrant and Rebecca Dabora.</w:t>
              </w:r>
            </w:hyperlink>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21.1*</w:t>
            </w:r>
          </w:p>
        </w:tc>
        <w:tc>
          <w:tcPr>
            <w:tcW w:w="520" w:type="dxa"/>
            <w:vAlign w:val="bottom"/>
          </w:tcPr>
          <w:p>
            <w:pPr>
              <w:spacing w:after="0"/>
              <w:rPr>
                <w:sz w:val="24"/>
                <w:szCs w:val="24"/>
                <w:color w:val="auto"/>
              </w:rPr>
            </w:pPr>
          </w:p>
        </w:tc>
        <w:tc>
          <w:tcPr>
            <w:tcW w:w="2180" w:type="dxa"/>
            <w:vAlign w:val="bottom"/>
            <w:tcBorders>
              <w:top w:val="single" w:sz="8" w:color="0000EE"/>
              <w:bottom w:val="single" w:sz="8" w:color="0000EE"/>
            </w:tcBorders>
          </w:tcPr>
          <w:p>
            <w:pPr>
              <w:spacing w:after="0"/>
              <w:rPr>
                <w:rFonts w:ascii="Arial" w:cs="Arial" w:eastAsia="Arial" w:hAnsi="Arial"/>
                <w:sz w:val="18"/>
                <w:szCs w:val="18"/>
                <w:color w:val="0000EE"/>
                <w:w w:val="89"/>
              </w:rPr>
            </w:pPr>
            <w:hyperlink r:id="rId331">
              <w:r>
                <w:rPr>
                  <w:rFonts w:ascii="Arial" w:cs="Arial" w:eastAsia="Arial" w:hAnsi="Arial"/>
                  <w:sz w:val="18"/>
                  <w:szCs w:val="18"/>
                  <w:color w:val="0000EE"/>
                  <w:w w:val="89"/>
                </w:rPr>
                <w:t>Subsidiaries of the Registrant.</w:t>
              </w:r>
            </w:hyperlink>
          </w:p>
        </w:tc>
        <w:tc>
          <w:tcPr>
            <w:tcW w:w="5320" w:type="dxa"/>
            <w:vAlign w:val="bottom"/>
            <w:tcBorders>
              <w:top w:val="single" w:sz="8" w:color="0000EE"/>
            </w:tcBorders>
            <w:gridSpan w:val="6"/>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23.1</w:t>
            </w:r>
          </w:p>
        </w:tc>
        <w:tc>
          <w:tcPr>
            <w:tcW w:w="520" w:type="dxa"/>
            <w:vAlign w:val="bottom"/>
          </w:tcPr>
          <w:p>
            <w:pPr>
              <w:spacing w:after="0"/>
              <w:rPr>
                <w:sz w:val="24"/>
                <w:szCs w:val="24"/>
                <w:color w:val="auto"/>
              </w:rPr>
            </w:pPr>
          </w:p>
        </w:tc>
        <w:tc>
          <w:tcPr>
            <w:tcW w:w="642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548">
              <w:r>
                <w:rPr>
                  <w:rFonts w:ascii="Arial" w:cs="Arial" w:eastAsia="Arial" w:hAnsi="Arial"/>
                  <w:sz w:val="18"/>
                  <w:szCs w:val="18"/>
                  <w:color w:val="0000EE"/>
                  <w:w w:val="90"/>
                </w:rPr>
                <w:t>Consent of PricewaterhouseCoopers LLP, independent registered public accounting firm.</w:t>
              </w:r>
            </w:hyperlink>
          </w:p>
        </w:tc>
        <w:tc>
          <w:tcPr>
            <w:tcW w:w="27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23.2</w:t>
            </w:r>
          </w:p>
        </w:tc>
        <w:tc>
          <w:tcPr>
            <w:tcW w:w="520" w:type="dxa"/>
            <w:vAlign w:val="bottom"/>
          </w:tcPr>
          <w:p>
            <w:pPr>
              <w:spacing w:after="0"/>
              <w:rPr>
                <w:sz w:val="24"/>
                <w:szCs w:val="24"/>
                <w:color w:val="auto"/>
              </w:rPr>
            </w:pPr>
          </w:p>
        </w:tc>
        <w:tc>
          <w:tcPr>
            <w:tcW w:w="358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371">
              <w:r>
                <w:rPr>
                  <w:rFonts w:ascii="Arial" w:cs="Arial" w:eastAsia="Arial" w:hAnsi="Arial"/>
                  <w:sz w:val="18"/>
                  <w:szCs w:val="18"/>
                  <w:color w:val="0000EE"/>
                  <w:w w:val="93"/>
                </w:rPr>
                <w:t>Consent of Cooley LLP (included in Exhibit 5.1).</w:t>
              </w:r>
            </w:hyperlink>
          </w:p>
        </w:tc>
        <w:tc>
          <w:tcPr>
            <w:tcW w:w="55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24.1</w:t>
            </w:r>
          </w:p>
        </w:tc>
        <w:tc>
          <w:tcPr>
            <w:tcW w:w="520" w:type="dxa"/>
            <w:vAlign w:val="bottom"/>
          </w:tcPr>
          <w:p>
            <w:pPr>
              <w:spacing w:after="0"/>
              <w:rPr>
                <w:sz w:val="24"/>
                <w:szCs w:val="24"/>
                <w:color w:val="auto"/>
              </w:rPr>
            </w:pPr>
          </w:p>
        </w:tc>
        <w:tc>
          <w:tcPr>
            <w:tcW w:w="9120" w:type="dxa"/>
            <w:vAlign w:val="bottom"/>
            <w:gridSpan w:val="8"/>
          </w:tcPr>
          <w:p>
            <w:pPr>
              <w:spacing w:after="0"/>
              <w:rPr>
                <w:rFonts w:ascii="Arial" w:cs="Arial" w:eastAsia="Arial" w:hAnsi="Arial"/>
                <w:sz w:val="18"/>
                <w:szCs w:val="18"/>
                <w:color w:val="0000EE"/>
              </w:rPr>
            </w:pPr>
            <w:hyperlink r:id="rId332">
              <w:r>
                <w:rPr>
                  <w:rFonts w:ascii="Arial" w:cs="Arial" w:eastAsia="Arial" w:hAnsi="Arial"/>
                  <w:sz w:val="18"/>
                  <w:szCs w:val="18"/>
                  <w:color w:val="0000EE"/>
                </w:rPr>
                <w:t>Power of Attorney (included on signature page).</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540" w:hanging="424"/>
        <w:spacing w:after="0"/>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 w:lineRule="exact"/>
        <w:rPr>
          <w:sz w:val="20"/>
          <w:szCs w:val="20"/>
          <w:color w:val="auto"/>
        </w:rPr>
      </w:pPr>
    </w:p>
    <w:p>
      <w:pPr>
        <w:ind w:left="540" w:right="20" w:hanging="424"/>
        <w:spacing w:after="0" w:line="250" w:lineRule="auto"/>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Certain portions of this exhibit (indicated by asterisks) have been omitted because they are not material and are the type that the Registrant treats as private or confidential.</w:t>
      </w:r>
    </w:p>
    <w:p>
      <w:pPr>
        <w:spacing w:after="0" w:line="1" w:lineRule="exact"/>
        <w:rPr>
          <w:sz w:val="20"/>
          <w:szCs w:val="20"/>
          <w:color w:val="auto"/>
        </w:rPr>
      </w:pPr>
    </w:p>
    <w:p>
      <w:pPr>
        <w:ind w:left="540" w:hanging="424"/>
        <w:spacing w:after="0"/>
        <w:tabs>
          <w:tab w:leader="none" w:pos="5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9" w:lineRule="exact"/>
        <w:rPr>
          <w:sz w:val="20"/>
          <w:szCs w:val="20"/>
          <w:color w:val="auto"/>
        </w:rPr>
      </w:pPr>
    </w:p>
    <w:p>
      <w:pPr>
        <w:ind w:left="540" w:right="20" w:hanging="424"/>
        <w:spacing w:after="0" w:line="260" w:lineRule="auto"/>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Certain schedules to this agreement have been omitted in accordance with Item 601(b)(2) of Regulation S-K. A copy of any omitted schedules will be furnished supplementally to the SEC upon request.</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 Financial Statement Schedules.</w:t>
      </w:r>
    </w:p>
    <w:p>
      <w:pPr>
        <w:spacing w:after="0" w:line="22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thereto.</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46"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jc w:val="both"/>
        <w:ind w:left="1080" w:hanging="418"/>
        <w:spacing w:after="0" w:line="291" w:lineRule="auto"/>
        <w:tabs>
          <w:tab w:leader="none" w:pos="108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w:t>
      </w:r>
    </w:p>
    <w:p>
      <w:pPr>
        <w:ind w:left="1080" w:right="20" w:firstLine="8"/>
        <w:spacing w:after="0" w:line="260" w:lineRule="auto"/>
        <w:tabs>
          <w:tab w:leader="none" w:pos="136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or (4) or 497(h) under the Securities Act shall be deemed to be part of this Registration Statement as of the time it was declared effective.</w:t>
      </w:r>
    </w:p>
    <w:p>
      <w:pPr>
        <w:spacing w:after="0" w:line="90" w:lineRule="exact"/>
        <w:rPr>
          <w:rFonts w:ascii="Arial" w:cs="Arial" w:eastAsia="Arial" w:hAnsi="Arial"/>
          <w:sz w:val="18"/>
          <w:szCs w:val="18"/>
          <w:color w:val="auto"/>
        </w:rPr>
      </w:pPr>
    </w:p>
    <w:p>
      <w:pPr>
        <w:jc w:val="both"/>
        <w:ind w:left="1080" w:right="20" w:hanging="418"/>
        <w:spacing w:after="0" w:line="263"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9" w:right="4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left="120" w:right="20" w:firstLine="440"/>
        <w:spacing w:after="0" w:line="258"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Waltham, Massachusetts, on this 2nd day of August, 2021.</w:t>
      </w:r>
    </w:p>
    <w:p>
      <w:pPr>
        <w:spacing w:after="0" w:line="1"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ADAGIO THERAPEUTICS, INC.</w:t>
      </w:r>
    </w:p>
    <w:p>
      <w:pPr>
        <w:spacing w:after="0" w:line="211" w:lineRule="exact"/>
        <w:rPr>
          <w:sz w:val="20"/>
          <w:szCs w:val="20"/>
          <w:color w:val="auto"/>
        </w:rPr>
      </w:pPr>
    </w:p>
    <w:p>
      <w:pPr>
        <w:ind w:left="674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Tillman U. Gerngross,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14605</wp:posOffset>
            </wp:positionV>
            <wp:extent cx="253746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5">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16"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Tillman U. Gerngross, Ph.D.</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Co-Founder, Chief Executive Officer and Director</w:t>
      </w:r>
    </w:p>
    <w:p>
      <w:pPr>
        <w:spacing w:after="0" w:line="211"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KNOW ALL BY THESE PRESENTS, that each person whose signature appears below hereby constitutes and appoints Tillman U. Gerngross, Ph.D. and Jane Pritchett Henderson, and each of them, as his or her true and lawful agents, proxies and attorneys-in-fact, with full power of substitution and resubstitution, for him or her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he might or could do in person, hereby approving, ratifying and confirming all that such agent, proxy and attorney-in-fact or any of his substitutes may lawfully do or cause to be done by virtue thereof.</w:t>
      </w:r>
    </w:p>
    <w:p>
      <w:pPr>
        <w:spacing w:after="0" w:line="168"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Signature</w:t>
            </w:r>
          </w:p>
        </w:tc>
        <w:tc>
          <w:tcPr>
            <w:tcW w:w="21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Title</w:t>
            </w:r>
          </w:p>
        </w:tc>
        <w:tc>
          <w:tcPr>
            <w:tcW w:w="1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w:t>
            </w:r>
          </w:p>
        </w:tc>
        <w:tc>
          <w:tcPr>
            <w:tcW w:w="560" w:type="dxa"/>
            <w:vAlign w:val="bottom"/>
          </w:tcPr>
          <w:p>
            <w:pPr>
              <w:spacing w:after="0"/>
              <w:rPr>
                <w:sz w:val="14"/>
                <w:szCs w:val="14"/>
                <w:color w:val="auto"/>
              </w:rPr>
            </w:pPr>
          </w:p>
        </w:tc>
      </w:tr>
      <w:tr>
        <w:trPr>
          <w:trHeight w:val="209"/>
        </w:trPr>
        <w:tc>
          <w:tcPr>
            <w:tcW w:w="2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Tillman U. Gerngross, Ph.D.</w:t>
            </w:r>
          </w:p>
        </w:tc>
        <w:tc>
          <w:tcPr>
            <w:tcW w:w="2180" w:type="dxa"/>
            <w:vAlign w:val="bottom"/>
            <w:tcBorders>
              <w:bottom w:val="single" w:sz="8" w:color="auto"/>
            </w:tcBorders>
          </w:tcPr>
          <w:p>
            <w:pPr>
              <w:spacing w:after="0"/>
              <w:rPr>
                <w:sz w:val="18"/>
                <w:szCs w:val="18"/>
                <w:color w:val="auto"/>
              </w:rPr>
            </w:pPr>
          </w:p>
        </w:tc>
        <w:tc>
          <w:tcPr>
            <w:tcW w:w="4280" w:type="dxa"/>
            <w:vAlign w:val="bottom"/>
            <w:gridSpan w:val="3"/>
          </w:tcPr>
          <w:p>
            <w:pPr>
              <w:ind w:left="40"/>
              <w:spacing w:after="0"/>
              <w:rPr>
                <w:sz w:val="20"/>
                <w:szCs w:val="20"/>
                <w:color w:val="auto"/>
              </w:rPr>
            </w:pPr>
            <w:r>
              <w:rPr>
                <w:rFonts w:ascii="Arial" w:cs="Arial" w:eastAsia="Arial" w:hAnsi="Arial"/>
                <w:sz w:val="18"/>
                <w:szCs w:val="18"/>
                <w:color w:val="auto"/>
              </w:rPr>
              <w:t>Co-Founder, Chief Executive Officer and Director</w:t>
            </w:r>
          </w:p>
        </w:tc>
        <w:tc>
          <w:tcPr>
            <w:tcW w:w="1700" w:type="dxa"/>
            <w:vAlign w:val="bottom"/>
            <w:gridSpan w:val="3"/>
          </w:tcPr>
          <w:p>
            <w:pPr>
              <w:ind w:left="600"/>
              <w:spacing w:after="0"/>
              <w:rPr>
                <w:sz w:val="20"/>
                <w:szCs w:val="20"/>
                <w:color w:val="auto"/>
              </w:rPr>
            </w:pPr>
            <w:r>
              <w:rPr>
                <w:rFonts w:ascii="Arial" w:cs="Arial" w:eastAsia="Arial" w:hAnsi="Arial"/>
                <w:sz w:val="18"/>
                <w:szCs w:val="18"/>
                <w:color w:val="auto"/>
                <w:w w:val="89"/>
              </w:rPr>
              <w:t>August 2, 2021</w:t>
            </w:r>
          </w:p>
        </w:tc>
      </w:tr>
      <w:tr>
        <w:trPr>
          <w:trHeight w:val="224"/>
        </w:trPr>
        <w:tc>
          <w:tcPr>
            <w:tcW w:w="2780" w:type="dxa"/>
            <w:vAlign w:val="bottom"/>
            <w:gridSpan w:val="2"/>
          </w:tcPr>
          <w:p>
            <w:pPr>
              <w:spacing w:after="0"/>
              <w:rPr>
                <w:sz w:val="20"/>
                <w:szCs w:val="20"/>
                <w:color w:val="auto"/>
              </w:rPr>
            </w:pPr>
            <w:r>
              <w:rPr>
                <w:rFonts w:ascii="Arial" w:cs="Arial" w:eastAsia="Arial" w:hAnsi="Arial"/>
                <w:sz w:val="18"/>
                <w:szCs w:val="18"/>
                <w:color w:val="auto"/>
              </w:rPr>
              <w:t>Tillman U. Gerngross, Ph.D.</w:t>
            </w:r>
          </w:p>
        </w:tc>
        <w:tc>
          <w:tcPr>
            <w:tcW w:w="2180" w:type="dxa"/>
            <w:vAlign w:val="bottom"/>
          </w:tcPr>
          <w:p>
            <w:pPr>
              <w:spacing w:after="0"/>
              <w:rPr>
                <w:sz w:val="19"/>
                <w:szCs w:val="19"/>
                <w:color w:val="auto"/>
              </w:rPr>
            </w:pPr>
          </w:p>
        </w:tc>
        <w:tc>
          <w:tcPr>
            <w:tcW w:w="4280" w:type="dxa"/>
            <w:vAlign w:val="bottom"/>
            <w:gridSpan w:val="3"/>
          </w:tcPr>
          <w:p>
            <w:pPr>
              <w:ind w:left="40"/>
              <w:spacing w:after="0"/>
              <w:rPr>
                <w:sz w:val="20"/>
                <w:szCs w:val="20"/>
                <w:color w:val="auto"/>
              </w:rPr>
            </w:pPr>
            <w:r>
              <w:rPr>
                <w:rFonts w:ascii="Arial" w:cs="Arial" w:eastAsia="Arial" w:hAnsi="Arial"/>
                <w:sz w:val="18"/>
                <w:szCs w:val="18"/>
                <w:i w:val="1"/>
                <w:iCs w:val="1"/>
                <w:color w:val="auto"/>
              </w:rPr>
              <w:t>(Principal Executive Officer)</w:t>
            </w: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50"/>
        </w:trPr>
        <w:tc>
          <w:tcPr>
            <w:tcW w:w="2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Jane Pritchett Henderson</w:t>
            </w:r>
          </w:p>
        </w:tc>
        <w:tc>
          <w:tcPr>
            <w:tcW w:w="2180" w:type="dxa"/>
            <w:vAlign w:val="bottom"/>
            <w:tcBorders>
              <w:bottom w:val="single" w:sz="8" w:color="auto"/>
            </w:tcBorders>
          </w:tcPr>
          <w:p>
            <w:pPr>
              <w:spacing w:after="0"/>
              <w:rPr>
                <w:sz w:val="24"/>
                <w:szCs w:val="24"/>
                <w:color w:val="auto"/>
              </w:rPr>
            </w:pPr>
          </w:p>
        </w:tc>
        <w:tc>
          <w:tcPr>
            <w:tcW w:w="4280" w:type="dxa"/>
            <w:vAlign w:val="bottom"/>
            <w:gridSpan w:val="3"/>
          </w:tcPr>
          <w:p>
            <w:pPr>
              <w:ind w:left="40"/>
              <w:spacing w:after="0"/>
              <w:rPr>
                <w:sz w:val="20"/>
                <w:szCs w:val="20"/>
                <w:color w:val="auto"/>
              </w:rPr>
            </w:pPr>
            <w:r>
              <w:rPr>
                <w:rFonts w:ascii="Arial" w:cs="Arial" w:eastAsia="Arial" w:hAnsi="Arial"/>
                <w:sz w:val="18"/>
                <w:szCs w:val="18"/>
                <w:color w:val="auto"/>
              </w:rPr>
              <w:t>Chief Financial Officer</w:t>
            </w:r>
          </w:p>
        </w:tc>
        <w:tc>
          <w:tcPr>
            <w:tcW w:w="1700" w:type="dxa"/>
            <w:vAlign w:val="bottom"/>
            <w:gridSpan w:val="3"/>
          </w:tcPr>
          <w:p>
            <w:pPr>
              <w:ind w:left="600"/>
              <w:spacing w:after="0"/>
              <w:rPr>
                <w:sz w:val="20"/>
                <w:szCs w:val="20"/>
                <w:color w:val="auto"/>
              </w:rPr>
            </w:pPr>
            <w:r>
              <w:rPr>
                <w:rFonts w:ascii="Arial" w:cs="Arial" w:eastAsia="Arial" w:hAnsi="Arial"/>
                <w:sz w:val="18"/>
                <w:szCs w:val="18"/>
                <w:color w:val="auto"/>
                <w:w w:val="89"/>
              </w:rPr>
              <w:t>August 2, 2021</w:t>
            </w:r>
          </w:p>
        </w:tc>
      </w:tr>
      <w:tr>
        <w:trPr>
          <w:trHeight w:val="224"/>
        </w:trPr>
        <w:tc>
          <w:tcPr>
            <w:tcW w:w="2780" w:type="dxa"/>
            <w:vAlign w:val="bottom"/>
            <w:gridSpan w:val="2"/>
          </w:tcPr>
          <w:p>
            <w:pPr>
              <w:spacing w:after="0"/>
              <w:rPr>
                <w:sz w:val="20"/>
                <w:szCs w:val="20"/>
                <w:color w:val="auto"/>
              </w:rPr>
            </w:pPr>
            <w:r>
              <w:rPr>
                <w:rFonts w:ascii="Arial" w:cs="Arial" w:eastAsia="Arial" w:hAnsi="Arial"/>
                <w:sz w:val="18"/>
                <w:szCs w:val="18"/>
                <w:color w:val="auto"/>
              </w:rPr>
              <w:t>Jane Pritchett Henderson</w:t>
            </w:r>
          </w:p>
        </w:tc>
        <w:tc>
          <w:tcPr>
            <w:tcW w:w="2180" w:type="dxa"/>
            <w:vAlign w:val="bottom"/>
          </w:tcPr>
          <w:p>
            <w:pPr>
              <w:spacing w:after="0"/>
              <w:rPr>
                <w:sz w:val="19"/>
                <w:szCs w:val="19"/>
                <w:color w:val="auto"/>
              </w:rPr>
            </w:pPr>
          </w:p>
        </w:tc>
        <w:tc>
          <w:tcPr>
            <w:tcW w:w="4280" w:type="dxa"/>
            <w:vAlign w:val="bottom"/>
            <w:gridSpan w:val="3"/>
          </w:tcPr>
          <w:p>
            <w:pPr>
              <w:ind w:left="40"/>
              <w:spacing w:after="0"/>
              <w:rPr>
                <w:sz w:val="20"/>
                <w:szCs w:val="20"/>
                <w:color w:val="auto"/>
              </w:rPr>
            </w:pPr>
            <w:r>
              <w:rPr>
                <w:rFonts w:ascii="Arial" w:cs="Arial" w:eastAsia="Arial" w:hAnsi="Arial"/>
                <w:sz w:val="18"/>
                <w:szCs w:val="18"/>
                <w:i w:val="1"/>
                <w:iCs w:val="1"/>
                <w:color w:val="auto"/>
              </w:rPr>
              <w:t>(Principal Financial and Accounting Officer)</w:t>
            </w: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50"/>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4280" w:type="dxa"/>
            <w:vAlign w:val="bottom"/>
            <w:gridSpan w:val="3"/>
          </w:tcPr>
          <w:p>
            <w:pPr>
              <w:ind w:left="40"/>
              <w:spacing w:after="0"/>
              <w:rPr>
                <w:sz w:val="20"/>
                <w:szCs w:val="20"/>
                <w:color w:val="auto"/>
              </w:rPr>
            </w:pPr>
            <w:r>
              <w:rPr>
                <w:rFonts w:ascii="Arial" w:cs="Arial" w:eastAsia="Arial" w:hAnsi="Arial"/>
                <w:sz w:val="18"/>
                <w:szCs w:val="18"/>
                <w:color w:val="auto"/>
              </w:rPr>
              <w:t>Co-Founder, Director and Chair of the Board</w:t>
            </w:r>
          </w:p>
        </w:tc>
        <w:tc>
          <w:tcPr>
            <w:tcW w:w="1700" w:type="dxa"/>
            <w:vAlign w:val="bottom"/>
            <w:gridSpan w:val="3"/>
          </w:tcPr>
          <w:p>
            <w:pPr>
              <w:ind w:left="600"/>
              <w:spacing w:after="0"/>
              <w:rPr>
                <w:sz w:val="20"/>
                <w:szCs w:val="20"/>
                <w:color w:val="auto"/>
              </w:rPr>
            </w:pPr>
            <w:r>
              <w:rPr>
                <w:rFonts w:ascii="Arial" w:cs="Arial" w:eastAsia="Arial" w:hAnsi="Arial"/>
                <w:sz w:val="18"/>
                <w:szCs w:val="18"/>
                <w:color w:val="auto"/>
                <w:w w:val="89"/>
              </w:rPr>
              <w:t>August 2, 2021</w:t>
            </w:r>
          </w:p>
        </w:tc>
      </w:tr>
      <w:tr>
        <w:trPr>
          <w:trHeight w:val="224"/>
        </w:trPr>
        <w:tc>
          <w:tcPr>
            <w:tcW w:w="2780" w:type="dxa"/>
            <w:vAlign w:val="bottom"/>
            <w:gridSpan w:val="2"/>
          </w:tcPr>
          <w:p>
            <w:pPr>
              <w:spacing w:after="0"/>
              <w:rPr>
                <w:sz w:val="20"/>
                <w:szCs w:val="20"/>
                <w:color w:val="auto"/>
              </w:rPr>
            </w:pPr>
            <w:r>
              <w:rPr>
                <w:rFonts w:ascii="Arial" w:cs="Arial" w:eastAsia="Arial" w:hAnsi="Arial"/>
                <w:sz w:val="18"/>
                <w:szCs w:val="18"/>
                <w:color w:val="auto"/>
              </w:rPr>
              <w:t>René Russo, Pharm.D.</w:t>
            </w:r>
          </w:p>
        </w:tc>
        <w:tc>
          <w:tcPr>
            <w:tcW w:w="21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50"/>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4280" w:type="dxa"/>
            <w:vAlign w:val="bottom"/>
            <w:gridSpan w:val="3"/>
          </w:tcPr>
          <w:p>
            <w:pPr>
              <w:ind w:left="4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600"/>
              <w:spacing w:after="0"/>
              <w:rPr>
                <w:sz w:val="20"/>
                <w:szCs w:val="20"/>
                <w:color w:val="auto"/>
              </w:rPr>
            </w:pPr>
            <w:r>
              <w:rPr>
                <w:rFonts w:ascii="Arial" w:cs="Arial" w:eastAsia="Arial" w:hAnsi="Arial"/>
                <w:sz w:val="18"/>
                <w:szCs w:val="18"/>
                <w:color w:val="auto"/>
                <w:w w:val="89"/>
              </w:rPr>
              <w:t>August 2, 2021</w:t>
            </w:r>
          </w:p>
        </w:tc>
      </w:tr>
      <w:tr>
        <w:trPr>
          <w:trHeight w:val="224"/>
        </w:trPr>
        <w:tc>
          <w:tcPr>
            <w:tcW w:w="2780" w:type="dxa"/>
            <w:vAlign w:val="bottom"/>
            <w:gridSpan w:val="2"/>
          </w:tcPr>
          <w:p>
            <w:pPr>
              <w:spacing w:after="0"/>
              <w:rPr>
                <w:sz w:val="20"/>
                <w:szCs w:val="20"/>
                <w:color w:val="auto"/>
              </w:rPr>
            </w:pPr>
            <w:r>
              <w:rPr>
                <w:rFonts w:ascii="Arial" w:cs="Arial" w:eastAsia="Arial" w:hAnsi="Arial"/>
                <w:sz w:val="18"/>
                <w:szCs w:val="18"/>
                <w:color w:val="auto"/>
              </w:rPr>
              <w:t>Terrance McGuire</w:t>
            </w:r>
          </w:p>
        </w:tc>
        <w:tc>
          <w:tcPr>
            <w:tcW w:w="21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50"/>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4280" w:type="dxa"/>
            <w:vAlign w:val="bottom"/>
            <w:gridSpan w:val="3"/>
          </w:tcPr>
          <w:p>
            <w:pPr>
              <w:ind w:left="4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600"/>
              <w:spacing w:after="0"/>
              <w:rPr>
                <w:sz w:val="20"/>
                <w:szCs w:val="20"/>
                <w:color w:val="auto"/>
              </w:rPr>
            </w:pPr>
            <w:r>
              <w:rPr>
                <w:rFonts w:ascii="Arial" w:cs="Arial" w:eastAsia="Arial" w:hAnsi="Arial"/>
                <w:sz w:val="18"/>
                <w:szCs w:val="18"/>
                <w:color w:val="auto"/>
                <w:w w:val="89"/>
              </w:rPr>
              <w:t>August 2, 2021</w:t>
            </w:r>
          </w:p>
        </w:tc>
      </w:tr>
      <w:tr>
        <w:trPr>
          <w:trHeight w:val="224"/>
        </w:trPr>
        <w:tc>
          <w:tcPr>
            <w:tcW w:w="2780" w:type="dxa"/>
            <w:vAlign w:val="bottom"/>
            <w:gridSpan w:val="2"/>
          </w:tcPr>
          <w:p>
            <w:pPr>
              <w:spacing w:after="0"/>
              <w:rPr>
                <w:sz w:val="20"/>
                <w:szCs w:val="20"/>
                <w:color w:val="auto"/>
              </w:rPr>
            </w:pPr>
            <w:r>
              <w:rPr>
                <w:rFonts w:ascii="Arial" w:cs="Arial" w:eastAsia="Arial" w:hAnsi="Arial"/>
                <w:sz w:val="18"/>
                <w:szCs w:val="18"/>
                <w:color w:val="auto"/>
              </w:rPr>
              <w:t>Ajay Royan</w:t>
            </w:r>
          </w:p>
        </w:tc>
        <w:tc>
          <w:tcPr>
            <w:tcW w:w="21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50"/>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4280" w:type="dxa"/>
            <w:vAlign w:val="bottom"/>
            <w:gridSpan w:val="3"/>
          </w:tcPr>
          <w:p>
            <w:pPr>
              <w:ind w:left="4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600"/>
              <w:spacing w:after="0"/>
              <w:rPr>
                <w:sz w:val="20"/>
                <w:szCs w:val="20"/>
                <w:color w:val="auto"/>
              </w:rPr>
            </w:pPr>
            <w:r>
              <w:rPr>
                <w:rFonts w:ascii="Arial" w:cs="Arial" w:eastAsia="Arial" w:hAnsi="Arial"/>
                <w:sz w:val="18"/>
                <w:szCs w:val="18"/>
                <w:color w:val="auto"/>
                <w:w w:val="89"/>
              </w:rPr>
              <w:t>August 2, 2021</w:t>
            </w:r>
          </w:p>
        </w:tc>
      </w:tr>
      <w:tr>
        <w:trPr>
          <w:trHeight w:val="224"/>
        </w:trPr>
        <w:tc>
          <w:tcPr>
            <w:tcW w:w="2780" w:type="dxa"/>
            <w:vAlign w:val="bottom"/>
            <w:gridSpan w:val="2"/>
          </w:tcPr>
          <w:p>
            <w:pPr>
              <w:spacing w:after="0"/>
              <w:rPr>
                <w:sz w:val="20"/>
                <w:szCs w:val="20"/>
                <w:color w:val="auto"/>
              </w:rPr>
            </w:pPr>
            <w:r>
              <w:rPr>
                <w:rFonts w:ascii="Arial" w:cs="Arial" w:eastAsia="Arial" w:hAnsi="Arial"/>
                <w:sz w:val="18"/>
                <w:szCs w:val="18"/>
                <w:color w:val="auto"/>
              </w:rPr>
              <w:t>Howard Mayer, M.D.</w:t>
            </w:r>
          </w:p>
        </w:tc>
        <w:tc>
          <w:tcPr>
            <w:tcW w:w="21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50"/>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4280" w:type="dxa"/>
            <w:vAlign w:val="bottom"/>
            <w:gridSpan w:val="3"/>
          </w:tcPr>
          <w:p>
            <w:pPr>
              <w:ind w:left="4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600"/>
              <w:spacing w:after="0"/>
              <w:rPr>
                <w:sz w:val="20"/>
                <w:szCs w:val="20"/>
                <w:color w:val="auto"/>
              </w:rPr>
            </w:pPr>
            <w:r>
              <w:rPr>
                <w:rFonts w:ascii="Arial" w:cs="Arial" w:eastAsia="Arial" w:hAnsi="Arial"/>
                <w:sz w:val="18"/>
                <w:szCs w:val="18"/>
                <w:color w:val="auto"/>
                <w:w w:val="89"/>
              </w:rPr>
              <w:t>August 2, 2021</w:t>
            </w:r>
          </w:p>
        </w:tc>
      </w:tr>
      <w:tr>
        <w:trPr>
          <w:trHeight w:val="224"/>
        </w:trPr>
        <w:tc>
          <w:tcPr>
            <w:tcW w:w="2780" w:type="dxa"/>
            <w:vAlign w:val="bottom"/>
            <w:gridSpan w:val="2"/>
          </w:tcPr>
          <w:p>
            <w:pPr>
              <w:spacing w:after="0"/>
              <w:rPr>
                <w:sz w:val="20"/>
                <w:szCs w:val="20"/>
                <w:color w:val="auto"/>
              </w:rPr>
            </w:pPr>
            <w:r>
              <w:rPr>
                <w:rFonts w:ascii="Arial" w:cs="Arial" w:eastAsia="Arial" w:hAnsi="Arial"/>
                <w:sz w:val="18"/>
                <w:szCs w:val="18"/>
                <w:color w:val="auto"/>
              </w:rPr>
              <w:t>Anand Shah, M.D.</w:t>
            </w:r>
          </w:p>
        </w:tc>
        <w:tc>
          <w:tcPr>
            <w:tcW w:w="21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50"/>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4280" w:type="dxa"/>
            <w:vAlign w:val="bottom"/>
            <w:gridSpan w:val="3"/>
          </w:tcPr>
          <w:p>
            <w:pPr>
              <w:ind w:left="40"/>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ind w:left="600"/>
              <w:spacing w:after="0"/>
              <w:rPr>
                <w:sz w:val="20"/>
                <w:szCs w:val="20"/>
                <w:color w:val="auto"/>
              </w:rPr>
            </w:pPr>
            <w:r>
              <w:rPr>
                <w:rFonts w:ascii="Arial" w:cs="Arial" w:eastAsia="Arial" w:hAnsi="Arial"/>
                <w:sz w:val="18"/>
                <w:szCs w:val="18"/>
                <w:color w:val="auto"/>
                <w:w w:val="89"/>
              </w:rPr>
              <w:t>August 2, 2021</w:t>
            </w:r>
          </w:p>
        </w:tc>
      </w:tr>
      <w:tr>
        <w:trPr>
          <w:trHeight w:val="224"/>
        </w:trPr>
        <w:tc>
          <w:tcPr>
            <w:tcW w:w="2780" w:type="dxa"/>
            <w:vAlign w:val="bottom"/>
            <w:gridSpan w:val="2"/>
          </w:tcPr>
          <w:p>
            <w:pPr>
              <w:spacing w:after="0"/>
              <w:rPr>
                <w:sz w:val="20"/>
                <w:szCs w:val="20"/>
                <w:color w:val="auto"/>
              </w:rPr>
            </w:pPr>
            <w:r>
              <w:rPr>
                <w:rFonts w:ascii="Arial" w:cs="Arial" w:eastAsia="Arial" w:hAnsi="Arial"/>
                <w:sz w:val="18"/>
                <w:szCs w:val="18"/>
                <w:color w:val="auto"/>
              </w:rPr>
              <w:t>Tom Heyman</w:t>
            </w:r>
          </w:p>
        </w:tc>
        <w:tc>
          <w:tcPr>
            <w:tcW w:w="21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77"/>
        </w:trPr>
        <w:tc>
          <w:tcPr>
            <w:tcW w:w="2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280" w:type="dxa"/>
            <w:vAlign w:val="bottom"/>
            <w:gridSpan w:val="3"/>
          </w:tcPr>
          <w:p>
            <w:pPr>
              <w:ind w:left="400"/>
              <w:spacing w:after="0"/>
              <w:rPr>
                <w:sz w:val="20"/>
                <w:szCs w:val="20"/>
                <w:color w:val="auto"/>
              </w:rPr>
            </w:pPr>
            <w:r>
              <w:rPr>
                <w:rFonts w:ascii="Arial" w:cs="Arial" w:eastAsia="Arial" w:hAnsi="Arial"/>
                <w:sz w:val="18"/>
                <w:szCs w:val="18"/>
                <w:color w:val="auto"/>
              </w:rPr>
              <w:t>II-5</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Signature</w:t>
            </w:r>
          </w:p>
        </w:tc>
        <w:tc>
          <w:tcPr>
            <w:tcW w:w="1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Title</w:t>
            </w:r>
          </w:p>
        </w:tc>
        <w:tc>
          <w:tcPr>
            <w:tcW w:w="272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w:t>
            </w:r>
          </w:p>
        </w:tc>
        <w:tc>
          <w:tcPr>
            <w:tcW w:w="560" w:type="dxa"/>
            <w:vAlign w:val="bottom"/>
          </w:tcPr>
          <w:p>
            <w:pPr>
              <w:spacing w:after="0"/>
              <w:rPr>
                <w:sz w:val="14"/>
                <w:szCs w:val="14"/>
                <w:color w:val="auto"/>
              </w:rPr>
            </w:pPr>
          </w:p>
        </w:tc>
      </w:tr>
      <w:tr>
        <w:trPr>
          <w:trHeight w:val="345"/>
        </w:trPr>
        <w:tc>
          <w:tcPr>
            <w:tcW w:w="27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Michael Wyzga</w:t>
            </w:r>
          </w:p>
        </w:tc>
        <w:tc>
          <w:tcPr>
            <w:tcW w:w="16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3580" w:type="dxa"/>
            <w:vAlign w:val="bottom"/>
            <w:gridSpan w:val="3"/>
          </w:tcPr>
          <w:p>
            <w:pPr>
              <w:ind w:left="2480"/>
              <w:spacing w:after="0"/>
              <w:rPr>
                <w:sz w:val="20"/>
                <w:szCs w:val="20"/>
                <w:color w:val="auto"/>
              </w:rPr>
            </w:pPr>
            <w:r>
              <w:rPr>
                <w:rFonts w:ascii="Arial" w:cs="Arial" w:eastAsia="Arial" w:hAnsi="Arial"/>
                <w:sz w:val="18"/>
                <w:szCs w:val="18"/>
                <w:color w:val="auto"/>
                <w:w w:val="89"/>
              </w:rPr>
              <w:t>August 2, 2021</w:t>
            </w:r>
          </w:p>
        </w:tc>
      </w:tr>
      <w:tr>
        <w:trPr>
          <w:trHeight w:val="224"/>
        </w:trPr>
        <w:tc>
          <w:tcPr>
            <w:tcW w:w="2780" w:type="dxa"/>
            <w:vAlign w:val="bottom"/>
            <w:gridSpan w:val="3"/>
          </w:tcPr>
          <w:p>
            <w:pPr>
              <w:spacing w:after="0"/>
              <w:rPr>
                <w:sz w:val="20"/>
                <w:szCs w:val="20"/>
                <w:color w:val="auto"/>
              </w:rPr>
            </w:pPr>
            <w:r>
              <w:rPr>
                <w:rFonts w:ascii="Arial" w:cs="Arial" w:eastAsia="Arial" w:hAnsi="Arial"/>
                <w:sz w:val="18"/>
                <w:szCs w:val="18"/>
                <w:color w:val="auto"/>
              </w:rPr>
              <w:t>Michael Wyzga</w:t>
            </w:r>
          </w:p>
        </w:tc>
        <w:tc>
          <w:tcPr>
            <w:tcW w:w="1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566"/>
        </w:trPr>
        <w:tc>
          <w:tcPr>
            <w:tcW w:w="2780" w:type="dxa"/>
            <w:vAlign w:val="bottom"/>
            <w:gridSpan w:val="3"/>
          </w:tcPr>
          <w:p>
            <w:pPr>
              <w:spacing w:after="0"/>
              <w:rPr>
                <w:sz w:val="20"/>
                <w:szCs w:val="20"/>
                <w:color w:val="auto"/>
              </w:rPr>
            </w:pPr>
            <w:r>
              <w:rPr>
                <w:rFonts w:ascii="Arial" w:cs="Arial" w:eastAsia="Arial" w:hAnsi="Arial"/>
                <w:sz w:val="18"/>
                <w:szCs w:val="18"/>
                <w:color w:val="auto"/>
                <w:w w:val="94"/>
              </w:rPr>
              <w:t>*By:  /s/ Tillman U. Gerngross, Ph.D.</w:t>
            </w: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95"/>
        </w:trPr>
        <w:tc>
          <w:tcPr>
            <w:tcW w:w="420" w:type="dxa"/>
            <w:vAlign w:val="bottom"/>
          </w:tcPr>
          <w:p>
            <w:pPr>
              <w:spacing w:after="0"/>
              <w:rPr>
                <w:sz w:val="16"/>
                <w:szCs w:val="16"/>
                <w:color w:val="auto"/>
              </w:rPr>
            </w:pPr>
          </w:p>
        </w:tc>
        <w:tc>
          <w:tcPr>
            <w:tcW w:w="2360" w:type="dxa"/>
            <w:vAlign w:val="bottom"/>
            <w:tcBorders>
              <w:top w:val="single" w:sz="8" w:color="auto"/>
            </w:tcBorders>
            <w:gridSpan w:val="2"/>
          </w:tcPr>
          <w:p>
            <w:pPr>
              <w:ind w:left="60"/>
              <w:spacing w:after="0" w:line="195" w:lineRule="exact"/>
              <w:rPr>
                <w:sz w:val="20"/>
                <w:szCs w:val="20"/>
                <w:color w:val="auto"/>
              </w:rPr>
            </w:pPr>
            <w:r>
              <w:rPr>
                <w:rFonts w:ascii="Arial" w:cs="Arial" w:eastAsia="Arial" w:hAnsi="Arial"/>
                <w:sz w:val="18"/>
                <w:szCs w:val="18"/>
                <w:color w:val="auto"/>
              </w:rPr>
              <w:t>Tillman U. Gerngross, Ph.D.</w:t>
            </w:r>
          </w:p>
        </w:tc>
        <w:tc>
          <w:tcPr>
            <w:tcW w:w="162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30"/>
        </w:trPr>
        <w:tc>
          <w:tcPr>
            <w:tcW w:w="420" w:type="dxa"/>
            <w:vAlign w:val="bottom"/>
          </w:tcPr>
          <w:p>
            <w:pPr>
              <w:spacing w:after="0"/>
              <w:rPr>
                <w:sz w:val="20"/>
                <w:szCs w:val="20"/>
                <w:color w:val="auto"/>
              </w:rPr>
            </w:pPr>
          </w:p>
        </w:tc>
        <w:tc>
          <w:tcPr>
            <w:tcW w:w="2360" w:type="dxa"/>
            <w:vAlign w:val="bottom"/>
            <w:gridSpan w:val="2"/>
          </w:tcPr>
          <w:p>
            <w:pPr>
              <w:ind w:left="60"/>
              <w:spacing w:after="0"/>
              <w:rPr>
                <w:sz w:val="20"/>
                <w:szCs w:val="20"/>
                <w:color w:val="auto"/>
              </w:rPr>
            </w:pPr>
            <w:r>
              <w:rPr>
                <w:rFonts w:ascii="Arial" w:cs="Arial" w:eastAsia="Arial" w:hAnsi="Arial"/>
                <w:sz w:val="18"/>
                <w:szCs w:val="18"/>
                <w:color w:val="auto"/>
              </w:rPr>
              <w:t>Attorney-in-fact</w:t>
            </w:r>
          </w:p>
        </w:tc>
        <w:tc>
          <w:tcPr>
            <w:tcW w:w="1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65"/>
        </w:trPr>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0" w:type="dxa"/>
            <w:vAlign w:val="bottom"/>
            <w:gridSpan w:val="2"/>
          </w:tcPr>
          <w:p>
            <w:pPr>
              <w:ind w:left="400"/>
              <w:spacing w:after="0"/>
              <w:rPr>
                <w:sz w:val="20"/>
                <w:szCs w:val="20"/>
                <w:color w:val="auto"/>
              </w:rPr>
            </w:pPr>
            <w:r>
              <w:rPr>
                <w:rFonts w:ascii="Arial" w:cs="Arial" w:eastAsia="Arial" w:hAnsi="Arial"/>
                <w:sz w:val="18"/>
                <w:szCs w:val="18"/>
                <w:color w:val="auto"/>
              </w:rPr>
              <w:t>II-6</w:t>
            </w:r>
          </w:p>
        </w:tc>
        <w:tc>
          <w:tcPr>
            <w:tcW w:w="2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060"/>
          </w:cols>
          <w:pgMar w:left="320" w:top="459" w:right="519" w:bottom="1440" w:gutter="0" w:footer="0" w:header="0"/>
        </w:sectPr>
      </w:pPr>
    </w:p>
    <w:bookmarkStart w:id="264" w:name="page265"/>
    <w:bookmarkEnd w:id="264"/>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2021</w:t>
      </w:r>
    </w:p>
    <w:p>
      <w:pPr>
        <w:sectPr>
          <w:pgSz w:w="11900" w:h="16838" w:orient="portrait"/>
          <w:cols w:equalWidth="0" w:num="1">
            <w:col w:w="11020"/>
          </w:cols>
          <w:pgMar w:left="440" w:top="121" w:right="439" w:bottom="1440" w:gutter="0" w:footer="0" w:header="0"/>
        </w:sectPr>
      </w:pPr>
    </w:p>
    <w:bookmarkStart w:id="265" w:name="page266"/>
    <w:bookmarkEnd w:id="26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Stifel, Nicolaus &amp; Company,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Guggenheim Securities,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New York, NY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Stifel, Nicolaus &amp; Company, Incorporated</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787 7</w:t>
      </w:r>
      <w:r>
        <w:rPr>
          <w:rFonts w:ascii="Arial" w:cs="Arial" w:eastAsia="Arial" w:hAnsi="Arial"/>
          <w:sz w:val="15"/>
          <w:szCs w:val="15"/>
          <w:color w:val="auto"/>
        </w:rPr>
        <w:t>th</w:t>
      </w:r>
      <w:r>
        <w:rPr>
          <w:rFonts w:ascii="Arial" w:cs="Arial" w:eastAsia="Arial" w:hAnsi="Arial"/>
          <w:sz w:val="18"/>
          <w:szCs w:val="18"/>
          <w:color w:val="auto"/>
        </w:rPr>
        <w:t xml:space="preserve"> Avenue, 11</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Guggenheim Securities, LLC</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330 Madison Avenue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New York, NY 10017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Adagio Therapeutics,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proposes to issue and sell to the several Underwriters named in Schedule I hereto (the “</w:t>
      </w:r>
      <w:r>
        <w:rPr>
          <w:rFonts w:ascii="Arial" w:cs="Arial" w:eastAsia="Arial" w:hAnsi="Arial"/>
          <w:sz w:val="17"/>
          <w:szCs w:val="17"/>
          <w:b w:val="1"/>
          <w:bCs w:val="1"/>
          <w:color w:val="auto"/>
        </w:rPr>
        <w:t>Underwriters</w:t>
      </w:r>
      <w:r>
        <w:rPr>
          <w:rFonts w:ascii="Arial" w:cs="Arial" w:eastAsia="Arial" w:hAnsi="Arial"/>
          <w:sz w:val="17"/>
          <w:szCs w:val="17"/>
          <w:color w:val="auto"/>
        </w:rPr>
        <w:t>”), for whom Morgan Stanley &amp; Co. LLC (“</w:t>
      </w:r>
      <w:r>
        <w:rPr>
          <w:rFonts w:ascii="Arial" w:cs="Arial" w:eastAsia="Arial" w:hAnsi="Arial"/>
          <w:sz w:val="17"/>
          <w:szCs w:val="17"/>
          <w:b w:val="1"/>
          <w:bCs w:val="1"/>
          <w:color w:val="auto"/>
        </w:rPr>
        <w:t>Morgan Stanley</w:t>
      </w:r>
      <w:r>
        <w:rPr>
          <w:rFonts w:ascii="Arial" w:cs="Arial" w:eastAsia="Arial" w:hAnsi="Arial"/>
          <w:sz w:val="17"/>
          <w:szCs w:val="17"/>
          <w:color w:val="auto"/>
        </w:rPr>
        <w:t>”), Jefferies LLC (“</w:t>
      </w:r>
      <w:r>
        <w:rPr>
          <w:rFonts w:ascii="Arial" w:cs="Arial" w:eastAsia="Arial" w:hAnsi="Arial"/>
          <w:sz w:val="17"/>
          <w:szCs w:val="17"/>
          <w:b w:val="1"/>
          <w:bCs w:val="1"/>
          <w:color w:val="auto"/>
        </w:rPr>
        <w:t>Jefferies</w:t>
      </w:r>
      <w:r>
        <w:rPr>
          <w:rFonts w:ascii="Arial" w:cs="Arial" w:eastAsia="Arial" w:hAnsi="Arial"/>
          <w:sz w:val="17"/>
          <w:szCs w:val="17"/>
          <w:color w:val="auto"/>
        </w:rPr>
        <w:t>”), Stifel, Nicolaus &amp; Company, Incorporated (“</w:t>
      </w:r>
      <w:r>
        <w:rPr>
          <w:rFonts w:ascii="Arial" w:cs="Arial" w:eastAsia="Arial" w:hAnsi="Arial"/>
          <w:sz w:val="17"/>
          <w:szCs w:val="17"/>
          <w:b w:val="1"/>
          <w:bCs w:val="1"/>
          <w:color w:val="auto"/>
        </w:rPr>
        <w:t>Stifel</w:t>
      </w:r>
      <w:r>
        <w:rPr>
          <w:rFonts w:ascii="Arial" w:cs="Arial" w:eastAsia="Arial" w:hAnsi="Arial"/>
          <w:sz w:val="17"/>
          <w:szCs w:val="17"/>
          <w:color w:val="auto"/>
        </w:rPr>
        <w:t>”) and Guggenheim Securities, LLC (“</w:t>
      </w:r>
      <w:r>
        <w:rPr>
          <w:rFonts w:ascii="Arial" w:cs="Arial" w:eastAsia="Arial" w:hAnsi="Arial"/>
          <w:sz w:val="17"/>
          <w:szCs w:val="17"/>
          <w:b w:val="1"/>
          <w:bCs w:val="1"/>
          <w:color w:val="auto"/>
        </w:rPr>
        <w:t>Guggenheim</w:t>
      </w:r>
      <w:r>
        <w:rPr>
          <w:rFonts w:ascii="Arial" w:cs="Arial" w:eastAsia="Arial" w:hAnsi="Arial"/>
          <w:sz w:val="17"/>
          <w:szCs w:val="17"/>
          <w:color w:val="auto"/>
        </w:rPr>
        <w:t>”) are acting as representatives (collectively, the “</w:t>
      </w:r>
      <w:r>
        <w:rPr>
          <w:rFonts w:ascii="Arial" w:cs="Arial" w:eastAsia="Arial" w:hAnsi="Arial"/>
          <w:sz w:val="17"/>
          <w:szCs w:val="17"/>
          <w:b w:val="1"/>
          <w:bCs w:val="1"/>
          <w:color w:val="auto"/>
        </w:rPr>
        <w:t>Representatives</w:t>
      </w:r>
      <w:r>
        <w:rPr>
          <w:rFonts w:ascii="Arial" w:cs="Arial" w:eastAsia="Arial" w:hAnsi="Arial"/>
          <w:sz w:val="17"/>
          <w:szCs w:val="17"/>
          <w:color w:val="auto"/>
        </w:rPr>
        <w:t>”), [•] shares of its common stock, par value $0.0001 per share (the “</w:t>
      </w:r>
      <w:r>
        <w:rPr>
          <w:rFonts w:ascii="Arial" w:cs="Arial" w:eastAsia="Arial" w:hAnsi="Arial"/>
          <w:sz w:val="17"/>
          <w:szCs w:val="17"/>
          <w:b w:val="1"/>
          <w:bCs w:val="1"/>
          <w:color w:val="auto"/>
        </w:rPr>
        <w:t>Firm Shares</w:t>
      </w:r>
      <w:r>
        <w:rPr>
          <w:rFonts w:ascii="Arial" w:cs="Arial" w:eastAsia="Arial" w:hAnsi="Arial"/>
          <w:sz w:val="17"/>
          <w:szCs w:val="17"/>
          <w:color w:val="auto"/>
        </w:rPr>
        <w:t>”). The Company also proposes to issue and sell to the several Underwriters not more than an additional [•] shares of its common stock, par value $0.0001 per share (the “</w:t>
      </w:r>
      <w:r>
        <w:rPr>
          <w:rFonts w:ascii="Arial" w:cs="Arial" w:eastAsia="Arial" w:hAnsi="Arial"/>
          <w:sz w:val="17"/>
          <w:szCs w:val="17"/>
          <w:b w:val="1"/>
          <w:bCs w:val="1"/>
          <w:color w:val="auto"/>
        </w:rPr>
        <w:t>Additional Shares</w:t>
      </w:r>
      <w:r>
        <w:rPr>
          <w:rFonts w:ascii="Arial" w:cs="Arial" w:eastAsia="Arial" w:hAnsi="Arial"/>
          <w:sz w:val="17"/>
          <w:szCs w:val="17"/>
          <w:color w:val="auto"/>
        </w:rPr>
        <w:t>”), if and to the extent that the Representatives shall have determined to exercise, on behalf of the Underwriters, the right to purchase such shares of common stock granted to the Underwriters in Section 2 hereof. The Firm Shares and the Additional Shares are hereinafter collectively referred to as the “</w:t>
      </w:r>
      <w:r>
        <w:rPr>
          <w:rFonts w:ascii="Arial" w:cs="Arial" w:eastAsia="Arial" w:hAnsi="Arial"/>
          <w:sz w:val="17"/>
          <w:szCs w:val="17"/>
          <w:b w:val="1"/>
          <w:bCs w:val="1"/>
          <w:color w:val="auto"/>
        </w:rPr>
        <w:t>Shares.</w:t>
      </w:r>
      <w:r>
        <w:rPr>
          <w:rFonts w:ascii="Arial" w:cs="Arial" w:eastAsia="Arial" w:hAnsi="Arial"/>
          <w:sz w:val="17"/>
          <w:szCs w:val="17"/>
          <w:color w:val="auto"/>
        </w:rPr>
        <w:t>” The shares of common stock, par value $0.0001 per share, of the Company to be outstanding after giving effect to the sales contemplated hereby are hereinafter referred to as the “</w:t>
      </w:r>
      <w:r>
        <w:rPr>
          <w:rFonts w:ascii="Arial" w:cs="Arial" w:eastAsia="Arial" w:hAnsi="Arial"/>
          <w:sz w:val="17"/>
          <w:szCs w:val="17"/>
          <w:b w:val="1"/>
          <w:bCs w:val="1"/>
          <w:color w:val="auto"/>
        </w:rPr>
        <w:t>Common Stock</w:t>
      </w:r>
      <w:r>
        <w:rPr>
          <w:rFonts w:ascii="Arial" w:cs="Arial" w:eastAsia="Arial" w:hAnsi="Arial"/>
          <w:sz w:val="17"/>
          <w:szCs w:val="17"/>
          <w:color w:val="auto"/>
        </w:rPr>
        <w:t>.”</w:t>
      </w:r>
    </w:p>
    <w:p>
      <w:pPr>
        <w:sectPr>
          <w:pgSz w:w="11900" w:h="16838" w:orient="portrait"/>
          <w:cols w:equalWidth="0" w:num="1">
            <w:col w:w="11020"/>
          </w:cols>
          <w:pgMar w:left="440" w:top="274" w:right="439" w:bottom="1440" w:gutter="0" w:footer="0" w:header="0"/>
        </w:sectPr>
      </w:pPr>
    </w:p>
    <w:bookmarkStart w:id="266" w:name="page267"/>
    <w:bookmarkEnd w:id="266"/>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registration statement on Form S-1 (File</w:t>
      </w:r>
    </w:p>
    <w:p>
      <w:pPr>
        <w:spacing w:after="0" w:line="3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No. 333-257975), including a preliminary prospectus, relating to the Shares. The registration statement, as amended at the time it becomes effective, including the information (if any) deemed to be part of the registration statement at the time of effectiveness pursuant to Rule 430A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is hereinafter referred to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the prospectus in the form first used to confirm sales of Shares (or in the form first made available to the Underwriters by the Company to meet requests of purchasers pursuant to Rule 173 under the Securities Act) is hereinafter referred to as the “</w:t>
      </w:r>
      <w:r>
        <w:rPr>
          <w:rFonts w:ascii="Arial" w:cs="Arial" w:eastAsia="Arial" w:hAnsi="Arial"/>
          <w:sz w:val="16"/>
          <w:szCs w:val="16"/>
          <w:b w:val="1"/>
          <w:bCs w:val="1"/>
          <w:color w:val="auto"/>
        </w:rPr>
        <w:t>Prospectus</w:t>
      </w:r>
      <w:r>
        <w:rPr>
          <w:rFonts w:ascii="Arial" w:cs="Arial" w:eastAsia="Arial" w:hAnsi="Arial"/>
          <w:sz w:val="16"/>
          <w:szCs w:val="16"/>
          <w:color w:val="auto"/>
        </w:rPr>
        <w:t>.” If the Company has filed an abbreviated registration statement to register additional shares of Common Stock pursuant to Rule 462(b) under the Securities Act (a “</w:t>
      </w:r>
      <w:r>
        <w:rPr>
          <w:rFonts w:ascii="Arial" w:cs="Arial" w:eastAsia="Arial" w:hAnsi="Arial"/>
          <w:sz w:val="16"/>
          <w:szCs w:val="16"/>
          <w:b w:val="1"/>
          <w:bCs w:val="1"/>
          <w:color w:val="auto"/>
        </w:rPr>
        <w:t>Rule 462 Registration Statement</w:t>
      </w:r>
      <w:r>
        <w:rPr>
          <w:rFonts w:ascii="Arial" w:cs="Arial" w:eastAsia="Arial" w:hAnsi="Arial"/>
          <w:sz w:val="16"/>
          <w:szCs w:val="16"/>
          <w:color w:val="auto"/>
        </w:rPr>
        <w:t>”), then any reference herein to the term “</w:t>
      </w:r>
      <w:r>
        <w:rPr>
          <w:rFonts w:ascii="Arial" w:cs="Arial" w:eastAsia="Arial" w:hAnsi="Arial"/>
          <w:sz w:val="16"/>
          <w:szCs w:val="16"/>
          <w:b w:val="1"/>
          <w:bCs w:val="1"/>
          <w:color w:val="auto"/>
        </w:rPr>
        <w:t>Registration Statement</w:t>
      </w:r>
      <w:r>
        <w:rPr>
          <w:rFonts w:ascii="Arial" w:cs="Arial" w:eastAsia="Arial" w:hAnsi="Arial"/>
          <w:sz w:val="16"/>
          <w:szCs w:val="16"/>
          <w:color w:val="auto"/>
        </w:rPr>
        <w:t>” shall be deemed to include such Rule 462 Registration Statement. The Company has also filed, in accordance with Section 12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 registration statement on Form 8-A (the “</w:t>
      </w:r>
      <w:r>
        <w:rPr>
          <w:rFonts w:ascii="Arial" w:cs="Arial" w:eastAsia="Arial" w:hAnsi="Arial"/>
          <w:sz w:val="16"/>
          <w:szCs w:val="16"/>
          <w:b w:val="1"/>
          <w:bCs w:val="1"/>
          <w:color w:val="auto"/>
        </w:rPr>
        <w:t>Form 8-A</w:t>
      </w:r>
      <w:r>
        <w:rPr>
          <w:rFonts w:ascii="Arial" w:cs="Arial" w:eastAsia="Arial" w:hAnsi="Arial"/>
          <w:sz w:val="16"/>
          <w:szCs w:val="16"/>
          <w:color w:val="auto"/>
        </w:rPr>
        <w:t xml:space="preserve"> </w:t>
      </w:r>
      <w:r>
        <w:rPr>
          <w:rFonts w:ascii="Arial" w:cs="Arial" w:eastAsia="Arial" w:hAnsi="Arial"/>
          <w:sz w:val="16"/>
          <w:szCs w:val="16"/>
          <w:b w:val="1"/>
          <w:bCs w:val="1"/>
          <w:color w:val="auto"/>
        </w:rPr>
        <w:t>Registration Statement</w:t>
      </w:r>
      <w:r>
        <w:rPr>
          <w:rFonts w:ascii="Arial" w:cs="Arial" w:eastAsia="Arial" w:hAnsi="Arial"/>
          <w:sz w:val="16"/>
          <w:szCs w:val="16"/>
          <w:color w:val="auto"/>
        </w:rPr>
        <w:t>”) to register the Common Stock of the Company under Section 12(b) of the Exchange Act.</w:t>
      </w:r>
    </w:p>
    <w:p>
      <w:pPr>
        <w:spacing w:after="0" w:line="168"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color w:val="auto"/>
        </w:rPr>
        <w:t>free writing prospectus</w:t>
      </w:r>
      <w:r>
        <w:rPr>
          <w:rFonts w:ascii="Arial" w:cs="Arial" w:eastAsia="Arial" w:hAnsi="Arial"/>
          <w:sz w:val="18"/>
          <w:szCs w:val="18"/>
          <w:color w:val="auto"/>
        </w:rPr>
        <w:t>” has the meaning set forth in Rule 405 under the Securities Act, “</w:t>
      </w:r>
      <w:r>
        <w:rPr>
          <w:rFonts w:ascii="Arial" w:cs="Arial" w:eastAsia="Arial" w:hAnsi="Arial"/>
          <w:sz w:val="18"/>
          <w:szCs w:val="18"/>
          <w:b w:val="1"/>
          <w:bCs w:val="1"/>
          <w:color w:val="auto"/>
        </w:rPr>
        <w:t>preliminary</w:t>
      </w:r>
      <w:r>
        <w:rPr>
          <w:rFonts w:ascii="Arial" w:cs="Arial" w:eastAsia="Arial" w:hAnsi="Arial"/>
          <w:sz w:val="18"/>
          <w:szCs w:val="18"/>
          <w:color w:val="auto"/>
        </w:rPr>
        <w:t xml:space="preserve"> </w:t>
      </w:r>
      <w:r>
        <w:rPr>
          <w:rFonts w:ascii="Arial" w:cs="Arial" w:eastAsia="Arial" w:hAnsi="Arial"/>
          <w:sz w:val="18"/>
          <w:szCs w:val="18"/>
          <w:b w:val="1"/>
          <w:bCs w:val="1"/>
          <w:color w:val="auto"/>
        </w:rPr>
        <w:t>prospectus</w:t>
      </w:r>
      <w:r>
        <w:rPr>
          <w:rFonts w:ascii="Arial" w:cs="Arial" w:eastAsia="Arial" w:hAnsi="Arial"/>
          <w:sz w:val="18"/>
          <w:szCs w:val="18"/>
          <w:color w:val="auto"/>
        </w:rPr>
        <w:t>” shall mean each prospectus used prior to the effectiveness of the Registration Statement, and each prospectus that omitted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Rule 430A under the Securities Act that was used after such effectiveness and prior to the execution and delivery of this Agreement, “</w:t>
      </w:r>
      <w:r>
        <w:rPr>
          <w:rFonts w:ascii="Arial" w:cs="Arial" w:eastAsia="Arial" w:hAnsi="Arial"/>
          <w:sz w:val="18"/>
          <w:szCs w:val="18"/>
          <w:b w:val="1"/>
          <w:bCs w:val="1"/>
          <w:color w:val="auto"/>
        </w:rPr>
        <w:t>Time</w:t>
      </w:r>
      <w:r>
        <w:rPr>
          <w:rFonts w:ascii="Arial" w:cs="Arial" w:eastAsia="Arial" w:hAnsi="Arial"/>
          <w:sz w:val="18"/>
          <w:szCs w:val="18"/>
          <w:color w:val="auto"/>
        </w:rPr>
        <w:t xml:space="preserve"> </w:t>
      </w:r>
      <w:r>
        <w:rPr>
          <w:rFonts w:ascii="Arial" w:cs="Arial" w:eastAsia="Arial" w:hAnsi="Arial"/>
          <w:sz w:val="18"/>
          <w:szCs w:val="18"/>
          <w:b w:val="1"/>
          <w:bCs w:val="1"/>
          <w:color w:val="auto"/>
        </w:rPr>
        <w:t>of Sale Prospectus</w:t>
      </w:r>
      <w:r>
        <w:rPr>
          <w:rFonts w:ascii="Arial" w:cs="Arial" w:eastAsia="Arial" w:hAnsi="Arial"/>
          <w:sz w:val="18"/>
          <w:szCs w:val="18"/>
          <w:color w:val="auto"/>
        </w:rPr>
        <w:t>” means the preliminary prospectus contained in the Registration Statement at the time of its effectiveness together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and pricing information set forth in Schedule II hereto, and “</w:t>
      </w:r>
      <w:r>
        <w:rPr>
          <w:rFonts w:ascii="Arial" w:cs="Arial" w:eastAsia="Arial" w:hAnsi="Arial"/>
          <w:sz w:val="18"/>
          <w:szCs w:val="18"/>
          <w:b w:val="1"/>
          <w:bCs w:val="1"/>
          <w:color w:val="auto"/>
        </w:rPr>
        <w:t>broadly available road show</w:t>
      </w:r>
      <w:r>
        <w:rPr>
          <w:rFonts w:ascii="Arial" w:cs="Arial" w:eastAsia="Arial" w:hAnsi="Arial"/>
          <w:sz w:val="18"/>
          <w:szCs w:val="18"/>
          <w:color w:val="auto"/>
        </w:rPr>
        <w:t>” means a “bona fide electronic road show” as defined in Rule 433(h)(5) under the Securities Act that has been made available without restriction to any person. As used herein, the terms “Registration Statement,” “preliminary prospectus,” “Time of Sale Prospectus” and “Prospectus” shall include the documents, if any, incorporated by reference therein as of the date hereof.</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xml:space="preserve">. The Company represents and warrants to and agrees with each of the Underwriters that: </w:t>
      </w:r>
      <w:r>
        <w:rPr>
          <w:rFonts w:ascii="Arial" w:cs="Arial" w:eastAsia="Arial" w:hAnsi="Arial"/>
          <w:sz w:val="15"/>
          <w:szCs w:val="15"/>
          <w:color w:val="auto"/>
        </w:rPr>
        <w:t>1</w:t>
      </w:r>
    </w:p>
    <w:p>
      <w:pPr>
        <w:spacing w:after="0" w:line="117" w:lineRule="exact"/>
        <w:rPr>
          <w:sz w:val="20"/>
          <w:szCs w:val="20"/>
          <w:color w:val="auto"/>
        </w:rPr>
      </w:pPr>
    </w:p>
    <w:p>
      <w:pPr>
        <w:ind w:left="440" w:firstLine="423"/>
        <w:spacing w:after="0" w:line="286" w:lineRule="auto"/>
        <w:rPr>
          <w:sz w:val="20"/>
          <w:szCs w:val="20"/>
          <w:color w:val="auto"/>
        </w:rPr>
      </w:pPr>
      <w:r>
        <w:rPr>
          <w:rFonts w:ascii="Arial" w:cs="Arial" w:eastAsia="Arial" w:hAnsi="Arial"/>
          <w:sz w:val="17"/>
          <w:szCs w:val="17"/>
          <w:color w:val="auto"/>
        </w:rPr>
        <w:t>(a) Each of the Registration Statement and the Form 8-A Registration Statement has become effective; no stop order suspending the effectiveness of the Registration Statement or the Form 8-A Registration Statement is in effect, and no proceedings for such purpose or pursuant to Section 8A under the Securities Act are pending before or, to the Company’s knowledge, threatened by the Commission.</w:t>
      </w:r>
    </w:p>
    <w:p>
      <w:pPr>
        <w:spacing w:after="0" w:line="57" w:lineRule="exact"/>
        <w:rPr>
          <w:sz w:val="20"/>
          <w:szCs w:val="20"/>
          <w:color w:val="auto"/>
        </w:rPr>
      </w:pPr>
    </w:p>
    <w:p>
      <w:pPr>
        <w:ind w:left="440" w:right="40" w:firstLine="423"/>
        <w:spacing w:after="0" w:line="263" w:lineRule="auto"/>
        <w:rPr>
          <w:sz w:val="20"/>
          <w:szCs w:val="20"/>
          <w:color w:val="auto"/>
        </w:rPr>
      </w:pPr>
      <w:r>
        <w:rPr>
          <w:rFonts w:ascii="Arial" w:cs="Arial" w:eastAsia="Arial" w:hAnsi="Arial"/>
          <w:sz w:val="18"/>
          <w:szCs w:val="18"/>
          <w:color w:val="auto"/>
        </w:rPr>
        <w:t>(b) (i) Each of the Registration Statement and the Form 8-A Registration Statement, when it became effective, did not contain and, as amended or supplemented, if applicable, will not contain, as of the date of such amendment or supplement, any untrue statement of a material fact or omit to state a material fact required to be stated therein or necessary to make the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715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7" w:lineRule="exact"/>
        <w:rPr>
          <w:sz w:val="20"/>
          <w:szCs w:val="20"/>
          <w:color w:val="auto"/>
        </w:rPr>
      </w:pPr>
    </w:p>
    <w:p>
      <w:pPr>
        <w:spacing w:after="0"/>
        <w:tabs>
          <w:tab w:leader="none" w:pos="40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Note to Draft: Reps and warranties subject to diligence and whether the Company intends to pay dividends.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267" w:name="page268"/>
    <w:bookmarkEnd w:id="267"/>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therein not misleading, (ii) the Registration Statement and the Prospectus comply and, as amended or supplemented, if applicable, will, as of the date of such amendment or supplement, comply in all material respects with the applicable requirements of the Securities Act and the applicable rules and regulations of the Commission thereunder, (iii) the Form 8-A Registration Statement complies and, as amended or supplemented, if applicable, will, as of the date of such amendment or supplement comply in all material respects with the applicable requirements of the Exchange Act, (iv) the Time of Sale Prospectus does not, and at the time of each sale of the Shares in connection with the offering when the Prospectus is not yet available to prospective purchasers and at the Closing Date (as defined in Section 4), the Time of Sale Prospectus, as then amended or supplemented by the Company, if applicable, will not, as of the date of such amendment or supplement, contain any untrue statement of a material fact or omit to state a material fact necessary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does not contain and, as amended or supplemented, if applicable, will not, as of the date of such amendment or supplement,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or on behalf of such Underwriter through the Representatives expressly for use therein, it being understood and agreed upon that the only such information furnished by any Underwriter consists of the Underwriter Information, as defined below.</w:t>
      </w:r>
    </w:p>
    <w:p>
      <w:pPr>
        <w:spacing w:after="0" w:line="66" w:lineRule="exact"/>
        <w:rPr>
          <w:sz w:val="20"/>
          <w:szCs w:val="20"/>
          <w:color w:val="auto"/>
        </w:rPr>
      </w:pPr>
    </w:p>
    <w:p>
      <w:pPr>
        <w:ind w:right="60" w:firstLine="419"/>
        <w:spacing w:after="0" w:line="253" w:lineRule="auto"/>
        <w:tabs>
          <w:tab w:leader="none" w:pos="66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applicable requirements of the Securities Act and the applicable rules and regulations of the Commission thereunder. Except for the free writing prospectuses, if any, identified in Schedule II hereto, and electronic road shows, if any, each furnished to the Representatives before first use, the Company has not prepared, used or referred to, and will not, without the Representatives’ prior consent, prepare, use or refer to, any free writing prospectus.</w:t>
      </w:r>
    </w:p>
    <w:p>
      <w:pPr>
        <w:spacing w:after="0" w:line="12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0"/>
          </w:cols>
          <w:pgMar w:left="880" w:top="274" w:right="459" w:bottom="1440" w:gutter="0" w:footer="0" w:header="0"/>
        </w:sectPr>
      </w:pPr>
    </w:p>
    <w:bookmarkStart w:id="268" w:name="page269"/>
    <w:bookmarkEnd w:id="268"/>
    <w:p>
      <w:pPr>
        <w:ind w:right="100" w:firstLine="419"/>
        <w:spacing w:after="0" w:line="255" w:lineRule="auto"/>
        <w:tabs>
          <w:tab w:leader="none" w:pos="678" w:val="left"/>
        </w:tabs>
        <w:numPr>
          <w:ilvl w:val="0"/>
          <w:numId w:val="1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been duly incorporated, is validly existing as a corporation in good standing under the laws of the jurisdiction of its incorporation, has the corporate power and authority to own or lease its property and to conduct its business as described in each of the Registration Statement, the Time of Sale Prospectus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singly or in the aggregate, reasonably be expected to have a material adverse effect on the Company and its subsidiaries, taken as a whole.</w:t>
      </w:r>
    </w:p>
    <w:p>
      <w:pPr>
        <w:spacing w:after="0" w:line="84" w:lineRule="exact"/>
        <w:rPr>
          <w:rFonts w:ascii="Arial" w:cs="Arial" w:eastAsia="Arial" w:hAnsi="Arial"/>
          <w:sz w:val="18"/>
          <w:szCs w:val="18"/>
          <w:color w:val="auto"/>
        </w:rPr>
      </w:pPr>
    </w:p>
    <w:p>
      <w:pPr>
        <w:ind w:firstLine="419"/>
        <w:spacing w:after="0" w:line="270" w:lineRule="auto"/>
        <w:tabs>
          <w:tab w:leader="none" w:pos="668" w:val="left"/>
        </w:tabs>
        <w:numPr>
          <w:ilvl w:val="0"/>
          <w:numId w:val="158"/>
        </w:numPr>
        <w:rPr>
          <w:rFonts w:ascii="Arial" w:cs="Arial" w:eastAsia="Arial" w:hAnsi="Arial"/>
          <w:sz w:val="17"/>
          <w:szCs w:val="17"/>
          <w:color w:val="auto"/>
        </w:rPr>
      </w:pPr>
      <w:r>
        <w:rPr>
          <w:rFonts w:ascii="Arial" w:cs="Arial" w:eastAsia="Arial" w:hAnsi="Arial"/>
          <w:sz w:val="17"/>
          <w:szCs w:val="17"/>
          <w:color w:val="auto"/>
        </w:rPr>
        <w:t>Each subsidiary of the Company has been duly incorporated, organized or formed, is validly existing as a corporation or other business entity in good standing under the laws of the jurisdiction of its incorporation, organization or formation, has the corporate or other business entity power and authority to own or lease its property and to conduct its business as described in each of the Registration Statement, the Time of Sale Prospectus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singly or in the aggregate, reasonably be expected to have a material adverse effect on the Company and its subsidiaries, taken as a whole; all of the issued shares of capital stock or other equity interests of each subsidiary of the Company have been duly and validly authorized and issued, are fully paid and non-assessable and are owned directly or indirectly by the Company, free and clear of all liens, encumbrances, equities or claims.</w:t>
      </w:r>
    </w:p>
    <w:p>
      <w:pPr>
        <w:spacing w:after="0" w:line="72" w:lineRule="exact"/>
        <w:rPr>
          <w:rFonts w:ascii="Arial" w:cs="Arial" w:eastAsia="Arial" w:hAnsi="Arial"/>
          <w:sz w:val="17"/>
          <w:szCs w:val="17"/>
          <w:color w:val="auto"/>
        </w:rPr>
      </w:pPr>
    </w:p>
    <w:p>
      <w:pPr>
        <w:ind w:left="640" w:hanging="221"/>
        <w:spacing w:after="0"/>
        <w:tabs>
          <w:tab w:leader="none" w:pos="6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right="40" w:firstLine="419"/>
        <w:spacing w:after="0" w:line="277" w:lineRule="auto"/>
        <w:tabs>
          <w:tab w:leader="none" w:pos="67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authorized capital stock of the Company conforms as to legal matters, in all material respects, to the description thereof contained in each of the Registration Statement, the Time of Sale Prospectus and the Prospectus.</w:t>
      </w:r>
    </w:p>
    <w:p>
      <w:pPr>
        <w:spacing w:after="0" w:line="62" w:lineRule="exact"/>
        <w:rPr>
          <w:rFonts w:ascii="Arial" w:cs="Arial" w:eastAsia="Arial" w:hAnsi="Arial"/>
          <w:sz w:val="18"/>
          <w:szCs w:val="18"/>
          <w:color w:val="auto"/>
        </w:rPr>
      </w:pPr>
    </w:p>
    <w:p>
      <w:pPr>
        <w:ind w:right="40" w:firstLine="419"/>
        <w:spacing w:after="0" w:line="277" w:lineRule="auto"/>
        <w:tabs>
          <w:tab w:leader="none" w:pos="67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shares of Common Stock outstanding prior to the issuance of the Shares have been duly authorized and are validly issued, fully paid and non-assessable.</w:t>
      </w:r>
    </w:p>
    <w:p>
      <w:pPr>
        <w:spacing w:after="0" w:line="62" w:lineRule="exact"/>
        <w:rPr>
          <w:rFonts w:ascii="Arial" w:cs="Arial" w:eastAsia="Arial" w:hAnsi="Arial"/>
          <w:sz w:val="18"/>
          <w:szCs w:val="18"/>
          <w:color w:val="auto"/>
        </w:rPr>
      </w:pPr>
    </w:p>
    <w:p>
      <w:pPr>
        <w:ind w:right="200" w:firstLine="419"/>
        <w:spacing w:after="0" w:line="308" w:lineRule="auto"/>
        <w:tabs>
          <w:tab w:leader="none" w:pos="638"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Shares have been duly authorized and, when issued, delivered and paid for in accordance with the terms of this Agreement, will be validly issued, fully paid and non-assessable, and the issuance of the Shares will not be subject to any preemptive or similar rights.</w:t>
      </w:r>
    </w:p>
    <w:p>
      <w:pPr>
        <w:spacing w:after="0" w:line="38" w:lineRule="exact"/>
        <w:rPr>
          <w:rFonts w:ascii="Arial" w:cs="Arial" w:eastAsia="Arial" w:hAnsi="Arial"/>
          <w:sz w:val="17"/>
          <w:szCs w:val="17"/>
          <w:color w:val="auto"/>
        </w:rPr>
      </w:pPr>
    </w:p>
    <w:p>
      <w:pPr>
        <w:ind w:right="240" w:firstLine="419"/>
        <w:spacing w:after="0" w:line="342" w:lineRule="auto"/>
        <w:tabs>
          <w:tab w:leader="none" w:pos="638"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execution and delivery by the Company of, and the performance by the Company of its obligations under, this Agreement will not contravene any provision of (i) applicable law or (ii) the certificate of incorporation or by-laws of the Company or (iii) any agreement or other</w:t>
      </w:r>
    </w:p>
    <w:p>
      <w:pPr>
        <w:spacing w:after="0" w:line="5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0"/>
          </w:cols>
          <w:pgMar w:left="880" w:top="274" w:right="459" w:bottom="1440" w:gutter="0" w:footer="0" w:header="0"/>
        </w:sectPr>
      </w:pPr>
    </w:p>
    <w:bookmarkStart w:id="269" w:name="page270"/>
    <w:bookmarkEnd w:id="269"/>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instrument binding upon the Company or any of its subsidiaries that is material to the Company and its subsidiaries, taken as a whole, or (iv) any judgment, order or decree of any governmental body, agency or court having jurisdiction over the Company or any subsidiary, except in the case of clauses (i), (iii) and (iv), that would not, singly or in the aggregate, reasonably be expected to have a material adverse effect on the Company and its subsidiaries, taken as a whole, and no consent, approval, authorization or order of, or qualification with, any governmental body, agency or court is required for the performance by the Company of its obligations under this Agreement, except such as have been obtained or waived or may be required by the securities or Blue Sky laws of the various states or the rules and regulations of the Financial Industry Regulatory Authority (“</w:t>
      </w:r>
      <w:r>
        <w:rPr>
          <w:rFonts w:ascii="Arial" w:cs="Arial" w:eastAsia="Arial" w:hAnsi="Arial"/>
          <w:sz w:val="17"/>
          <w:szCs w:val="17"/>
          <w:b w:val="1"/>
          <w:bCs w:val="1"/>
          <w:color w:val="auto"/>
        </w:rPr>
        <w:t>FINRA</w:t>
      </w:r>
      <w:r>
        <w:rPr>
          <w:rFonts w:ascii="Arial" w:cs="Arial" w:eastAsia="Arial" w:hAnsi="Arial"/>
          <w:sz w:val="17"/>
          <w:szCs w:val="17"/>
          <w:color w:val="auto"/>
        </w:rPr>
        <w:t>”) in connection with the offer and sale of the Shares.</w:t>
      </w:r>
    </w:p>
    <w:p>
      <w:pPr>
        <w:spacing w:after="0" w:line="69" w:lineRule="exact"/>
        <w:rPr>
          <w:sz w:val="20"/>
          <w:szCs w:val="20"/>
          <w:color w:val="auto"/>
        </w:rPr>
      </w:pPr>
    </w:p>
    <w:p>
      <w:pPr>
        <w:ind w:right="280" w:firstLine="419"/>
        <w:spacing w:after="0" w:line="263" w:lineRule="auto"/>
        <w:tabs>
          <w:tab w:leader="none" w:pos="67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75" w:lineRule="exact"/>
        <w:rPr>
          <w:rFonts w:ascii="Arial" w:cs="Arial" w:eastAsia="Arial" w:hAnsi="Arial"/>
          <w:sz w:val="18"/>
          <w:szCs w:val="18"/>
          <w:color w:val="auto"/>
        </w:rPr>
      </w:pPr>
    </w:p>
    <w:p>
      <w:pPr>
        <w:ind w:firstLine="419"/>
        <w:spacing w:after="0" w:line="270" w:lineRule="auto"/>
        <w:tabs>
          <w:tab w:leader="none" w:pos="638"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There are no legal or governmental proceedings pending or, to the Company’s knowledge, threatened to which the Company or any of its subsidiaries is a party or to which any of the properties of the Company or any of its subsidiaries is subject (i) other than proceedings accurately described in all material respects in each of the Registration Statement, the Time of Sale Prospectus and the Prospectus and proceedings that would not, singly or in the aggregate, reasonably be expected to have a material adverse effect on the Company and its subsidiaries, taken as a whole, or on the power or ability of the Company to perform its obligations under this Agreement or to consummate the transactions contemplated by each of the Registration Statement, the Time of Sale Prospectus and the Prospectus or (ii) that are required to be described in the Registration Statement, the Time of Sale Prospectus or the Prospectus and are not so described; and there are no statutes, regulations, contracts or other documents that are required to be described in the Registration Statement, the Time of Sale Prospectus or the Prospectus or to be filed as exhibits to the Registration Statement that are not described or filed as required.</w:t>
      </w:r>
    </w:p>
    <w:p>
      <w:pPr>
        <w:spacing w:after="0" w:line="72" w:lineRule="exact"/>
        <w:rPr>
          <w:rFonts w:ascii="Arial" w:cs="Arial" w:eastAsia="Arial" w:hAnsi="Arial"/>
          <w:sz w:val="17"/>
          <w:szCs w:val="17"/>
          <w:color w:val="auto"/>
        </w:rPr>
      </w:pPr>
    </w:p>
    <w:p>
      <w:pPr>
        <w:jc w:val="both"/>
        <w:ind w:right="160" w:firstLine="419"/>
        <w:spacing w:after="0" w:line="263" w:lineRule="auto"/>
        <w:tabs>
          <w:tab w:leader="none" w:pos="72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applicable requirements of the Securities Act and the applicable rules and regulations of the Commission thereunder.</w:t>
      </w:r>
    </w:p>
    <w:p>
      <w:pPr>
        <w:spacing w:after="0" w:line="75" w:lineRule="exact"/>
        <w:rPr>
          <w:rFonts w:ascii="Arial" w:cs="Arial" w:eastAsia="Arial" w:hAnsi="Arial"/>
          <w:sz w:val="18"/>
          <w:szCs w:val="18"/>
          <w:color w:val="auto"/>
        </w:rPr>
      </w:pPr>
    </w:p>
    <w:p>
      <w:pPr>
        <w:jc w:val="both"/>
        <w:ind w:right="20" w:firstLine="419"/>
        <w:spacing w:after="0" w:line="263" w:lineRule="auto"/>
        <w:tabs>
          <w:tab w:leader="none" w:pos="67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Shares and the application of the proceeds thereof as described in each of the Registration Statement, the Time of Sale Prospectus and the Prospectus will not be, required to register as an “investment company” as such term is defined in the Investment Company Act of 1940, as amended.</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0"/>
          </w:cols>
          <w:pgMar w:left="880" w:top="274" w:right="459" w:bottom="1440" w:gutter="0" w:footer="0" w:header="0"/>
        </w:sectPr>
      </w:pPr>
    </w:p>
    <w:bookmarkStart w:id="270" w:name="page271"/>
    <w:bookmarkEnd w:id="270"/>
    <w:p>
      <w:pPr>
        <w:ind w:right="20" w:firstLine="419"/>
        <w:spacing w:after="0" w:line="272" w:lineRule="auto"/>
        <w:tabs>
          <w:tab w:leader="none" w:pos="678" w:val="left"/>
        </w:tabs>
        <w:numPr>
          <w:ilvl w:val="0"/>
          <w:numId w:val="16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and each of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Arial" w:cs="Arial" w:eastAsia="Arial" w:hAnsi="Arial"/>
          <w:sz w:val="17"/>
          <w:szCs w:val="17"/>
          <w:b w:val="1"/>
          <w:bCs w:val="1"/>
          <w:color w:val="auto"/>
        </w:rPr>
        <w:t>Environmental Laws</w:t>
      </w:r>
      <w:r>
        <w:rPr>
          <w:rFonts w:ascii="Arial" w:cs="Arial" w:eastAsia="Arial" w:hAnsi="Arial"/>
          <w:sz w:val="17"/>
          <w:szCs w:val="17"/>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its subsidiaries, taken as a whole.</w:t>
      </w:r>
    </w:p>
    <w:p>
      <w:pPr>
        <w:spacing w:after="0" w:line="69" w:lineRule="exact"/>
        <w:rPr>
          <w:rFonts w:ascii="Arial" w:cs="Arial" w:eastAsia="Arial" w:hAnsi="Arial"/>
          <w:sz w:val="17"/>
          <w:szCs w:val="17"/>
          <w:color w:val="auto"/>
        </w:rPr>
      </w:pPr>
    </w:p>
    <w:p>
      <w:pPr>
        <w:jc w:val="both"/>
        <w:ind w:right="40" w:firstLine="419"/>
        <w:spacing w:after="0" w:line="259" w:lineRule="auto"/>
        <w:tabs>
          <w:tab w:leader="none" w:pos="67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 and its subsidiaries, taken as a whole.</w:t>
      </w:r>
    </w:p>
    <w:p>
      <w:pPr>
        <w:spacing w:after="0" w:line="78" w:lineRule="exact"/>
        <w:rPr>
          <w:rFonts w:ascii="Arial" w:cs="Arial" w:eastAsia="Arial" w:hAnsi="Arial"/>
          <w:sz w:val="18"/>
          <w:szCs w:val="18"/>
          <w:color w:val="auto"/>
        </w:rPr>
      </w:pPr>
    </w:p>
    <w:p>
      <w:pPr>
        <w:ind w:right="100" w:firstLine="419"/>
        <w:spacing w:after="0" w:line="259" w:lineRule="auto"/>
        <w:tabs>
          <w:tab w:leader="none" w:pos="67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Except as have been described in each of the Registration Statement, the Time of Sale Prospectus and the Prospectus,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w:t>
      </w:r>
    </w:p>
    <w:p>
      <w:pPr>
        <w:spacing w:after="0" w:line="78" w:lineRule="exact"/>
        <w:rPr>
          <w:rFonts w:ascii="Arial" w:cs="Arial" w:eastAsia="Arial" w:hAnsi="Arial"/>
          <w:sz w:val="18"/>
          <w:szCs w:val="18"/>
          <w:color w:val="auto"/>
        </w:rPr>
      </w:pPr>
    </w:p>
    <w:p>
      <w:pPr>
        <w:ind w:firstLine="419"/>
        <w:spacing w:after="0" w:line="269" w:lineRule="auto"/>
        <w:tabs>
          <w:tab w:leader="none" w:pos="648" w:val="left"/>
        </w:tabs>
        <w:numPr>
          <w:ilvl w:val="0"/>
          <w:numId w:val="160"/>
        </w:numPr>
        <w:rPr>
          <w:rFonts w:ascii="Arial" w:cs="Arial" w:eastAsia="Arial" w:hAnsi="Arial"/>
          <w:sz w:val="17"/>
          <w:szCs w:val="17"/>
          <w:color w:val="auto"/>
        </w:rPr>
      </w:pPr>
      <w:r>
        <w:rPr>
          <w:rFonts w:ascii="Arial" w:cs="Arial" w:eastAsia="Arial" w:hAnsi="Arial"/>
          <w:sz w:val="17"/>
          <w:szCs w:val="17"/>
          <w:color w:val="auto"/>
        </w:rPr>
        <w:t>(i) None of the Company or any of its subsidiaries or Controlled Affiliates, or any director, officer, or employee thereof, or, to the Company’s knowledge, any affiliate (within the meaning of Rule 405 under the Securities Act) of the Company other than its Controlled Affiliates, any agent or representative of the Company or of any of its subsidiaries or Controlled Affiliates, has taken or will take any action in furtherance of an offer, payment, promise to pay, or authorization or approval of the payment, giving or receipt of money, property, gifts or anything else of value, directly or indirectly, to or from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Arial" w:cs="Arial" w:eastAsia="Arial" w:hAnsi="Arial"/>
          <w:sz w:val="17"/>
          <w:szCs w:val="17"/>
          <w:b w:val="1"/>
          <w:bCs w:val="1"/>
          <w:color w:val="auto"/>
        </w:rPr>
        <w:t>Government Official</w:t>
      </w:r>
      <w:r>
        <w:rPr>
          <w:rFonts w:ascii="Arial" w:cs="Arial" w:eastAsia="Arial" w:hAnsi="Arial"/>
          <w:sz w:val="17"/>
          <w:szCs w:val="17"/>
          <w:color w:val="auto"/>
        </w:rPr>
        <w:t>”) in order to influence official action, or to any person in violation of any applicable anti-corruption laws; (ii) the Company and each of its subsidiaries and Controlled Affiliates, and, to the Company’s knowledge, the Company’s affiliates (within the meaning of Rule 405 under the Securities Act) other than its Controlled Affiliates, have conducted their businesses in compliance</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0"/>
          </w:cols>
          <w:pgMar w:left="880" w:top="274" w:right="459" w:bottom="1440" w:gutter="0" w:footer="0" w:header="0"/>
        </w:sectPr>
      </w:pPr>
    </w:p>
    <w:bookmarkStart w:id="271" w:name="page272"/>
    <w:bookmarkEnd w:id="271"/>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 A “</w:t>
      </w:r>
      <w:r>
        <w:rPr>
          <w:rFonts w:ascii="Arial" w:cs="Arial" w:eastAsia="Arial" w:hAnsi="Arial"/>
          <w:sz w:val="18"/>
          <w:szCs w:val="18"/>
          <w:b w:val="1"/>
          <w:bCs w:val="1"/>
          <w:color w:val="auto"/>
        </w:rPr>
        <w:t>Controlled Affiliate</w:t>
      </w:r>
      <w:r>
        <w:rPr>
          <w:rFonts w:ascii="Arial" w:cs="Arial" w:eastAsia="Arial" w:hAnsi="Arial"/>
          <w:sz w:val="18"/>
          <w:szCs w:val="18"/>
          <w:color w:val="auto"/>
        </w:rPr>
        <w:t>” means any entity controlled by the Company.</w:t>
      </w:r>
    </w:p>
    <w:p>
      <w:pPr>
        <w:spacing w:after="0" w:line="80" w:lineRule="exact"/>
        <w:rPr>
          <w:sz w:val="20"/>
          <w:szCs w:val="20"/>
          <w:color w:val="auto"/>
        </w:rPr>
      </w:pPr>
    </w:p>
    <w:p>
      <w:pPr>
        <w:ind w:right="100" w:firstLine="419"/>
        <w:spacing w:after="0" w:line="271" w:lineRule="auto"/>
        <w:tabs>
          <w:tab w:leader="none" w:pos="658"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operations of the Company and each of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7"/>
          <w:szCs w:val="17"/>
          <w:b w:val="1"/>
          <w:bCs w:val="1"/>
          <w:color w:val="auto"/>
        </w:rPr>
        <w:t>Anti-Money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70" w:lineRule="exact"/>
        <w:rPr>
          <w:rFonts w:ascii="Arial" w:cs="Arial" w:eastAsia="Arial" w:hAnsi="Arial"/>
          <w:sz w:val="17"/>
          <w:szCs w:val="17"/>
          <w:color w:val="auto"/>
        </w:rPr>
      </w:pPr>
    </w:p>
    <w:p>
      <w:pPr>
        <w:ind w:right="460" w:firstLine="419"/>
        <w:spacing w:after="0" w:line="263" w:lineRule="auto"/>
        <w:tabs>
          <w:tab w:leader="none" w:pos="63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 None of the Company, any of its subsidiaries, or any director, officer, or employee thereof, or, to the Company’s knowledge, any agent, affiliate (within the meaning of Rule 405 under the Securities Act) or representative of the Company or any of its subsidiaries, is an individual or entity (“</w:t>
      </w:r>
      <w:r>
        <w:rPr>
          <w:rFonts w:ascii="Arial" w:cs="Arial" w:eastAsia="Arial" w:hAnsi="Arial"/>
          <w:sz w:val="18"/>
          <w:szCs w:val="18"/>
          <w:b w:val="1"/>
          <w:bCs w:val="1"/>
          <w:color w:val="auto"/>
        </w:rPr>
        <w:t>Person</w:t>
      </w:r>
      <w:r>
        <w:rPr>
          <w:rFonts w:ascii="Arial" w:cs="Arial" w:eastAsia="Arial" w:hAnsi="Arial"/>
          <w:sz w:val="18"/>
          <w:szCs w:val="18"/>
          <w:color w:val="auto"/>
        </w:rPr>
        <w:t>”) that is, or is owned or controlled by one or more Persons that are:</w:t>
      </w:r>
    </w:p>
    <w:p>
      <w:pPr>
        <w:spacing w:after="0" w:line="75" w:lineRule="exact"/>
        <w:rPr>
          <w:rFonts w:ascii="Arial" w:cs="Arial" w:eastAsia="Arial" w:hAnsi="Arial"/>
          <w:sz w:val="18"/>
          <w:szCs w:val="18"/>
          <w:color w:val="auto"/>
        </w:rPr>
      </w:pPr>
    </w:p>
    <w:p>
      <w:pPr>
        <w:ind w:left="980" w:right="240" w:firstLine="391"/>
        <w:spacing w:after="0" w:line="263" w:lineRule="auto"/>
        <w:tabs>
          <w:tab w:leader="none" w:pos="1658" w:val="left"/>
        </w:tabs>
        <w:numPr>
          <w:ilvl w:val="2"/>
          <w:numId w:val="161"/>
        </w:numPr>
        <w:rPr>
          <w:rFonts w:ascii="Arial" w:cs="Arial" w:eastAsia="Arial" w:hAnsi="Arial"/>
          <w:sz w:val="18"/>
          <w:szCs w:val="18"/>
          <w:color w:val="auto"/>
        </w:rPr>
      </w:pPr>
      <w:r>
        <w:rPr>
          <w:rFonts w:ascii="Arial" w:cs="Arial" w:eastAsia="Arial" w:hAnsi="Arial"/>
          <w:sz w:val="18"/>
          <w:szCs w:val="18"/>
          <w:color w:val="auto"/>
        </w:rPr>
        <w:t>the subject of any sanctions administered or enforced by the U.S. Department of the Treasury’s Office of Foreign Assets Control, the United Nations Security Council, the European Union, Her Majesty’s Treasury, or other relevant sanctions authority (collectively, “</w:t>
      </w:r>
      <w:r>
        <w:rPr>
          <w:rFonts w:ascii="Arial" w:cs="Arial" w:eastAsia="Arial" w:hAnsi="Arial"/>
          <w:sz w:val="18"/>
          <w:szCs w:val="18"/>
          <w:b w:val="1"/>
          <w:bCs w:val="1"/>
          <w:color w:val="auto"/>
        </w:rPr>
        <w:t>Sanctions</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980" w:right="600" w:firstLine="391"/>
        <w:spacing w:after="0" w:line="277" w:lineRule="auto"/>
        <w:tabs>
          <w:tab w:leader="none" w:pos="1648" w:val="left"/>
        </w:tabs>
        <w:numPr>
          <w:ilvl w:val="2"/>
          <w:numId w:val="161"/>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Crimea, Cuba, Iran, North Korea and Syria).</w:t>
      </w:r>
    </w:p>
    <w:p>
      <w:pPr>
        <w:spacing w:after="0" w:line="62" w:lineRule="exact"/>
        <w:rPr>
          <w:rFonts w:ascii="Arial" w:cs="Arial" w:eastAsia="Arial" w:hAnsi="Arial"/>
          <w:sz w:val="18"/>
          <w:szCs w:val="18"/>
          <w:color w:val="auto"/>
        </w:rPr>
      </w:pPr>
    </w:p>
    <w:p>
      <w:pPr>
        <w:ind w:left="540" w:right="320" w:firstLine="408"/>
        <w:spacing w:after="0" w:line="277" w:lineRule="auto"/>
        <w:tabs>
          <w:tab w:leader="none" w:pos="1206"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62" w:lineRule="exact"/>
        <w:rPr>
          <w:rFonts w:ascii="Arial" w:cs="Arial" w:eastAsia="Arial" w:hAnsi="Arial"/>
          <w:sz w:val="18"/>
          <w:szCs w:val="18"/>
          <w:color w:val="auto"/>
        </w:rPr>
      </w:pPr>
    </w:p>
    <w:p>
      <w:pPr>
        <w:ind w:left="980" w:right="220" w:firstLine="391"/>
        <w:spacing w:after="0" w:line="277" w:lineRule="auto"/>
        <w:tabs>
          <w:tab w:leader="none" w:pos="1658" w:val="left"/>
        </w:tabs>
        <w:numPr>
          <w:ilvl w:val="2"/>
          <w:numId w:val="161"/>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 or</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60"/>
          </w:cols>
          <w:pgMar w:left="880" w:top="274" w:right="459" w:bottom="1440" w:gutter="0" w:footer="0" w:header="0"/>
        </w:sectPr>
      </w:pPr>
    </w:p>
    <w:bookmarkStart w:id="272" w:name="page273"/>
    <w:bookmarkEnd w:id="272"/>
    <w:p>
      <w:pPr>
        <w:ind w:left="980" w:right="320" w:firstLine="391"/>
        <w:spacing w:after="0" w:line="277" w:lineRule="auto"/>
        <w:tabs>
          <w:tab w:leader="none" w:pos="1648" w:val="left"/>
        </w:tabs>
        <w:numPr>
          <w:ilvl w:val="2"/>
          <w:numId w:val="1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any other manner that will result in a violation of Sanctions by any Person (including any Person participating in the offering, whether as underwriter, advisor, investor or otherwise).</w:t>
      </w:r>
    </w:p>
    <w:p>
      <w:pPr>
        <w:spacing w:after="0" w:line="62" w:lineRule="exact"/>
        <w:rPr>
          <w:rFonts w:ascii="Arial" w:cs="Arial" w:eastAsia="Arial" w:hAnsi="Arial"/>
          <w:sz w:val="18"/>
          <w:szCs w:val="18"/>
          <w:color w:val="auto"/>
        </w:rPr>
      </w:pPr>
    </w:p>
    <w:p>
      <w:pPr>
        <w:ind w:left="540" w:right="280" w:firstLine="408"/>
        <w:spacing w:after="0" w:line="263" w:lineRule="auto"/>
        <w:tabs>
          <w:tab w:leader="none" w:pos="1252"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Company and each of its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75" w:lineRule="exact"/>
        <w:rPr>
          <w:rFonts w:ascii="Arial" w:cs="Arial" w:eastAsia="Arial" w:hAnsi="Arial"/>
          <w:sz w:val="18"/>
          <w:szCs w:val="18"/>
          <w:color w:val="auto"/>
        </w:rPr>
      </w:pPr>
    </w:p>
    <w:p>
      <w:pPr>
        <w:ind w:firstLine="419"/>
        <w:spacing w:after="0" w:line="254" w:lineRule="auto"/>
        <w:tabs>
          <w:tab w:leader="none" w:pos="67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Subsequent to the respective dates as of which information is given in each of the Registration Statement, the Time of Sale Prospectus and the Prospectus, (i) the Company and its subsidiaries, taken as a whole, have not incurred any material liability or obligation, direct or contingent, nor entered into any material transaction; (ii) the Company has not purchased any of its outstanding capital stock, nor declared, paid or otherwise made any dividend or distribution of any kind on its capital stock other than ordinary and customary dividends; and (iii) there has not been any material change in the capital stock, short-term debt or long-term debt of the Company and its subsidiaries, taken as a whole (other than the exercise, grant or forfeiture of any equity awards, in each case granted pursuant to any equity compensation plan described in the Time of Sale Prospectus).</w:t>
      </w:r>
    </w:p>
    <w:p>
      <w:pPr>
        <w:spacing w:after="0" w:line="86" w:lineRule="exact"/>
        <w:rPr>
          <w:rFonts w:ascii="Arial" w:cs="Arial" w:eastAsia="Arial" w:hAnsi="Arial"/>
          <w:sz w:val="18"/>
          <w:szCs w:val="18"/>
          <w:color w:val="auto"/>
        </w:rPr>
      </w:pPr>
    </w:p>
    <w:p>
      <w:pPr>
        <w:ind w:right="40" w:firstLine="419"/>
        <w:spacing w:after="0" w:line="293" w:lineRule="auto"/>
        <w:tabs>
          <w:tab w:leader="none" w:pos="678"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Company and each of its subsidiaries have good and marketable title in fee simple to all real property and good and marketable title to all personal property owned by them that is material to the business of the Company and its subsidiaries, in each case free and clear of all liens, encumbrances and defects except such as do not materially affect the value of such property and do not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interfere with the use made and proposed to be made of such property and buildings by the Company and its subsidiaries.</w:t>
      </w:r>
    </w:p>
    <w:p>
      <w:pPr>
        <w:spacing w:after="0" w:line="56" w:lineRule="exact"/>
        <w:rPr>
          <w:rFonts w:ascii="Arial" w:cs="Arial" w:eastAsia="Arial" w:hAnsi="Arial"/>
          <w:sz w:val="16"/>
          <w:szCs w:val="16"/>
          <w:color w:val="auto"/>
        </w:rPr>
      </w:pPr>
    </w:p>
    <w:p>
      <w:pPr>
        <w:ind w:right="60" w:firstLine="419"/>
        <w:spacing w:after="0" w:line="293" w:lineRule="auto"/>
        <w:tabs>
          <w:tab w:leader="none" w:pos="718"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 To its knowledge, the Company and its subsidiaries own, have a license to use, or otherwise possess sufficient rights to all patents, inventions, copyrights, know how (including trade secrets and other unpatented and/or unpatentable proprietary or confidential information, systems or procedures), trademarks, service marks and trade names and all other worldwide intellectual property and proprietary rights (including all registrations and applications for registration of, and all goodwill associated with, any of the foregoing) (collectively, “</w:t>
      </w:r>
      <w:r>
        <w:rPr>
          <w:rFonts w:ascii="Arial" w:cs="Arial" w:eastAsia="Arial" w:hAnsi="Arial"/>
          <w:sz w:val="16"/>
          <w:szCs w:val="16"/>
          <w:b w:val="1"/>
          <w:bCs w:val="1"/>
          <w:color w:val="auto"/>
        </w:rPr>
        <w:t>Intellectual Property</w:t>
      </w:r>
      <w:r>
        <w:rPr>
          <w:rFonts w:ascii="Arial" w:cs="Arial" w:eastAsia="Arial" w:hAnsi="Arial"/>
          <w:sz w:val="16"/>
          <w:szCs w:val="16"/>
          <w:color w:val="auto"/>
        </w:rPr>
        <w:t xml:space="preserve"> </w:t>
      </w:r>
      <w:r>
        <w:rPr>
          <w:rFonts w:ascii="Arial" w:cs="Arial" w:eastAsia="Arial" w:hAnsi="Arial"/>
          <w:sz w:val="16"/>
          <w:szCs w:val="16"/>
          <w:b w:val="1"/>
          <w:bCs w:val="1"/>
          <w:color w:val="auto"/>
        </w:rPr>
        <w:t>Rights</w:t>
      </w:r>
      <w:r>
        <w:rPr>
          <w:rFonts w:ascii="Arial" w:cs="Arial" w:eastAsia="Arial" w:hAnsi="Arial"/>
          <w:sz w:val="16"/>
          <w:szCs w:val="16"/>
          <w:color w:val="auto"/>
        </w:rPr>
        <w:t>”) used in or that would reasonably be expected to be material to the conduct of their respective businesses as now conducted by them, and</w:t>
      </w:r>
      <w:r>
        <w:rPr>
          <w:rFonts w:ascii="Arial" w:cs="Arial" w:eastAsia="Arial" w:hAnsi="Arial"/>
          <w:sz w:val="16"/>
          <w:szCs w:val="16"/>
          <w:b w:val="1"/>
          <w:bCs w:val="1"/>
          <w:color w:val="auto"/>
        </w:rPr>
        <w:t xml:space="preserve"> </w:t>
      </w:r>
      <w:r>
        <w:rPr>
          <w:rFonts w:ascii="Arial" w:cs="Arial" w:eastAsia="Arial" w:hAnsi="Arial"/>
          <w:sz w:val="16"/>
          <w:szCs w:val="16"/>
          <w:color w:val="auto"/>
        </w:rPr>
        <w:t>as currently proposed to be conducted in the Registration Statement, the Time of Sale Prospectus or the Prospectus; (ii) other than as would</w:t>
      </w:r>
    </w:p>
    <w:p>
      <w:pPr>
        <w:spacing w:after="0" w:line="9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40"/>
          </w:cols>
          <w:pgMar w:left="880" w:top="274" w:right="479" w:bottom="1440" w:gutter="0" w:footer="0" w:header="0"/>
        </w:sectPr>
      </w:pPr>
    </w:p>
    <w:bookmarkStart w:id="273" w:name="page274"/>
    <w:bookmarkEnd w:id="27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 singly or in the aggregate, reasonably be expected to have a material adverse effect on the Company and its subsidiaries, taken as a whole, or as described in the Registration Statement, the Time of Sale Prospectus or the Prospectus, the Intellectual Property Rights owned, and to the Company’s knowledge, licensed by the Company and its subsidiaries are valid, subsisting and enforceable, and there is no pending or, to the Company’s knowledge, threatened action, suit, proceeding or claim by others challenging the validity, scope or enforceability of or any rights of the Company or any of its subsidiaries in, any such Intellectual Property Rights; (iii) other than as described in the Registration Statement, the Time of Sale Prospectus or the Prospectus, neither the Company nor any of its subsidiaries has received any notice alleging any infringement, misappropriation or other violation of Intellectual Property Rights of any third party which, singly or in the aggregate, if the subject of an unfavorable decision, ruling or finding, would have a material adverse effect on the Company and its subsidiaries, taken as a whole; (iv) to the Company’s knowledge, no Person is infringing, misappropriating or otherwise violating, or has infringed, misappropriated or otherwise violated, any Intellectual Property Rights owned or licensed by the Company or any of its subsidiaries; (v) other than as would not, singly or in the aggregate, reasonably be expected to have a material adverse effect on the Company and its subsidiaries, taken as a whole, or as described in the Registration Statement, the Time of Sale Prospectus or the Prospectus, to the Company’s knowledge, neither the Company nor any of its subsidiaries infringes, misappropriates or otherwise violates, or has infringed, misappropriated or otherwise violated, any Intellectual Property Rights of any Person, and the conduct of each of the respective businesses of, the Company and its subsidiaries as described in the Registration Statement, the Time of Sale Prospectus or the Prospectus does not infringe, misappropriate, or otherwise violate any Intellectual Property Rights of any Person; (vi) to the Company’s knowledge, the Company and its subsidiaries have taken reasonable steps necessary to secure its respective interests in Intellectual Property Rights, by the execution of appropriate confidentiality agreements and invention assignment agreements, from the Company’s and its subsidiaries’ employees or contractors engaged in the development of Intellectual Property Rights on behalf of the Company or any of its subsidiaries and to the Company’s knowledge no such agreement has been breached or violated; and (vii) the Company and its subsidiaries use, and have used, commercially reasonable efforts to appropriately maintain the confidentiality of all information intended to be maintained as a trade secret.</w:t>
      </w:r>
    </w:p>
    <w:p>
      <w:pPr>
        <w:spacing w:after="0" w:line="290" w:lineRule="exact"/>
        <w:rPr>
          <w:sz w:val="20"/>
          <w:szCs w:val="20"/>
          <w:color w:val="auto"/>
        </w:rPr>
      </w:pPr>
    </w:p>
    <w:p>
      <w:pPr>
        <w:ind w:right="160" w:firstLine="419"/>
        <w:spacing w:after="0" w:line="296" w:lineRule="auto"/>
        <w:tabs>
          <w:tab w:leader="none" w:pos="678" w:val="left"/>
        </w:tabs>
        <w:numPr>
          <w:ilvl w:val="0"/>
          <w:numId w:val="165"/>
        </w:numPr>
        <w:rPr>
          <w:rFonts w:ascii="Arial" w:cs="Arial" w:eastAsia="Arial" w:hAnsi="Arial"/>
          <w:sz w:val="16"/>
          <w:szCs w:val="16"/>
          <w:color w:val="auto"/>
        </w:rPr>
      </w:pPr>
      <w:r>
        <w:rPr>
          <w:rFonts w:ascii="Arial" w:cs="Arial" w:eastAsia="Arial" w:hAnsi="Arial"/>
          <w:sz w:val="16"/>
          <w:szCs w:val="16"/>
          <w:color w:val="auto"/>
        </w:rPr>
        <w:t>(i) Except as would not, singly or in the aggregate, reasonably be expected to have a material adverse effect on the Company and its subsidiaries, taken as a whole, the Company and each of its subsidiaries have complied and are presently in compliance with the Company’s and its subsidiaries’, as applicable, written privacy policies, contractual obligations and all applicable laws, statutes, judgments, orders, rules and regulations of any court or arbitrator or other governmental or regulatory authority and any other applicable legal obligations, in each case, relating to the collection, use, transfer, import, export, storage, protection, disposal and disclosure by the Company or any of its subsidiaries of</w:t>
      </w:r>
    </w:p>
    <w:p>
      <w:pPr>
        <w:spacing w:after="0" w:line="9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60"/>
          </w:cols>
          <w:pgMar w:left="880" w:top="274" w:right="459" w:bottom="1440" w:gutter="0" w:footer="0" w:header="0"/>
        </w:sectPr>
      </w:pPr>
    </w:p>
    <w:bookmarkStart w:id="274" w:name="page275"/>
    <w:bookmarkEnd w:id="274"/>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personal, personally identifiable or household data or information (“</w:t>
      </w:r>
      <w:r>
        <w:rPr>
          <w:rFonts w:ascii="Arial" w:cs="Arial" w:eastAsia="Arial" w:hAnsi="Arial"/>
          <w:sz w:val="18"/>
          <w:szCs w:val="18"/>
          <w:b w:val="1"/>
          <w:bCs w:val="1"/>
          <w:color w:val="auto"/>
        </w:rPr>
        <w:t>Data Security Obligations</w:t>
      </w:r>
      <w:r>
        <w:rPr>
          <w:rFonts w:ascii="Arial" w:cs="Arial" w:eastAsia="Arial" w:hAnsi="Arial"/>
          <w:sz w:val="18"/>
          <w:szCs w:val="18"/>
          <w:color w:val="auto"/>
        </w:rPr>
        <w:t>”, and such data and information, “</w:t>
      </w:r>
      <w:r>
        <w:rPr>
          <w:rFonts w:ascii="Arial" w:cs="Arial" w:eastAsia="Arial" w:hAnsi="Arial"/>
          <w:sz w:val="18"/>
          <w:szCs w:val="18"/>
          <w:b w:val="1"/>
          <w:bCs w:val="1"/>
          <w:color w:val="auto"/>
        </w:rPr>
        <w:t>Personal</w:t>
      </w:r>
      <w:r>
        <w:rPr>
          <w:rFonts w:ascii="Arial" w:cs="Arial" w:eastAsia="Arial" w:hAnsi="Arial"/>
          <w:sz w:val="18"/>
          <w:szCs w:val="18"/>
          <w:color w:val="auto"/>
        </w:rPr>
        <w:t xml:space="preserve"> </w:t>
      </w:r>
      <w:r>
        <w:rPr>
          <w:rFonts w:ascii="Arial" w:cs="Arial" w:eastAsia="Arial" w:hAnsi="Arial"/>
          <w:sz w:val="18"/>
          <w:szCs w:val="18"/>
          <w:b w:val="1"/>
          <w:bCs w:val="1"/>
          <w:color w:val="auto"/>
        </w:rPr>
        <w:t>Data</w:t>
      </w:r>
      <w:r>
        <w:rPr>
          <w:rFonts w:ascii="Arial" w:cs="Arial" w:eastAsia="Arial" w:hAnsi="Arial"/>
          <w:sz w:val="18"/>
          <w:szCs w:val="18"/>
          <w:color w:val="auto"/>
        </w:rPr>
        <w:t>”); (ii) the Company and its subsidiaries have not received any notification of or complaint regarding and are unaware of any other facts that,</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individually or in the aggregate, would reasonably indicate material non-compliance with any applicable Data Security Obligation by the Company or any of its subsidiaries; and (iii) there is no action, suit or proceeding by or before any court or governmental agency, authority or body pending or, to the Company’s knowledge, threatened in writing alleging non-compliance with any applicable Data Security Obligation by the Company or any of its subsidiaries.</w:t>
      </w:r>
    </w:p>
    <w:p>
      <w:pPr>
        <w:spacing w:after="0" w:line="83" w:lineRule="exact"/>
        <w:rPr>
          <w:sz w:val="20"/>
          <w:szCs w:val="20"/>
          <w:color w:val="auto"/>
        </w:rPr>
      </w:pPr>
    </w:p>
    <w:p>
      <w:pPr>
        <w:ind w:right="20" w:firstLine="419"/>
        <w:spacing w:after="0" w:line="285" w:lineRule="auto"/>
        <w:tabs>
          <w:tab w:leader="none" w:pos="678" w:val="left"/>
        </w:tabs>
        <w:numPr>
          <w:ilvl w:val="0"/>
          <w:numId w:val="166"/>
        </w:numPr>
        <w:rPr>
          <w:rFonts w:ascii="Arial" w:cs="Arial" w:eastAsia="Arial" w:hAnsi="Arial"/>
          <w:sz w:val="16"/>
          <w:szCs w:val="16"/>
          <w:color w:val="auto"/>
        </w:rPr>
      </w:pPr>
      <w:r>
        <w:rPr>
          <w:rFonts w:ascii="Arial" w:cs="Arial" w:eastAsia="Arial" w:hAnsi="Arial"/>
          <w:sz w:val="16"/>
          <w:szCs w:val="16"/>
          <w:color w:val="auto"/>
        </w:rPr>
        <w:t>(i) The Company and its subsidiaries’ respective information technology assets and equipment, computers, systems, networks, hardware, software, websites, applications, technology and databases owned by the Company and/or its subsidiaries and/or used in connection with the operation of the Company’s and its subsidiaries’ respective businesses (“</w:t>
      </w:r>
      <w:r>
        <w:rPr>
          <w:rFonts w:ascii="Arial" w:cs="Arial" w:eastAsia="Arial" w:hAnsi="Arial"/>
          <w:sz w:val="16"/>
          <w:szCs w:val="16"/>
          <w:b w:val="1"/>
          <w:bCs w:val="1"/>
          <w:color w:val="auto"/>
        </w:rPr>
        <w:t>IT Systems</w:t>
      </w:r>
      <w:r>
        <w:rPr>
          <w:rFonts w:ascii="Arial" w:cs="Arial" w:eastAsia="Arial" w:hAnsi="Arial"/>
          <w:sz w:val="16"/>
          <w:szCs w:val="16"/>
          <w:color w:val="auto"/>
        </w:rPr>
        <w:t>”) are reasonably adequate for, and operate and perform in all material respects as required in connection with, the operation of the business of the Company and its subsidiaries as currently conducted, and to the Company’s knowledge, free and clear of all bugs, errors, defects, Trojan horses, time bombs, malware and other corruptants designed or intended to have any of the following functions: (A) disrupting, disabling, harming or otherwise impeding in any manner the operation of, or permitting or causing unauthorized access to, a system, network or other device or (B) damaging or destroying any data or file without the user’s consent; (ii) the Company and each of its subsidiaries have taken all commercially reasonable technical and organizational measures to protect the IT Systems (including Personal Data and the data and information of their respective customers, employees, suppliers, vendors and any third party data maintained, processed or stored by or on behalf of the Company and/or its subsidiaries (collectively, the “</w:t>
      </w:r>
      <w:r>
        <w:rPr>
          <w:rFonts w:ascii="Arial" w:cs="Arial" w:eastAsia="Arial" w:hAnsi="Arial"/>
          <w:sz w:val="16"/>
          <w:szCs w:val="16"/>
          <w:b w:val="1"/>
          <w:bCs w:val="1"/>
          <w:color w:val="auto"/>
        </w:rPr>
        <w:t>IT Systems and Data</w:t>
      </w:r>
      <w:r>
        <w:rPr>
          <w:rFonts w:ascii="Arial" w:cs="Arial" w:eastAsia="Arial" w:hAnsi="Arial"/>
          <w:sz w:val="16"/>
          <w:szCs w:val="16"/>
          <w:color w:val="auto"/>
        </w:rPr>
        <w:t>”), and without limiting the foregoing, the Company and its subsidiaries have used commercially reasonable efforts to establish and maintain, and have established, maintained, implemented and complied with, in all material respects, commercially reasonable information technology, information security, cyber security and data protection controls, policies and procedures, such as oversight, access controls, encryption, technological and physical safeguards and business continuity/disaster recovery and security plans, that are designed to protect against and prevent breach, destruction, loss, unauthorized distribution, use, access, disablement, misappropriation or modification, or other compromise or misuse of or relating to any IT Systems and Data (“</w:t>
      </w:r>
      <w:r>
        <w:rPr>
          <w:rFonts w:ascii="Arial" w:cs="Arial" w:eastAsia="Arial" w:hAnsi="Arial"/>
          <w:sz w:val="16"/>
          <w:szCs w:val="16"/>
          <w:b w:val="1"/>
          <w:bCs w:val="1"/>
          <w:color w:val="auto"/>
        </w:rPr>
        <w:t>Breach</w:t>
      </w:r>
      <w:r>
        <w:rPr>
          <w:rFonts w:ascii="Arial" w:cs="Arial" w:eastAsia="Arial" w:hAnsi="Arial"/>
          <w:sz w:val="16"/>
          <w:szCs w:val="16"/>
          <w:color w:val="auto"/>
        </w:rPr>
        <w:t>”); and (iii) to the Company’s knowledge, there has been no material Breach that compromised the security or integrity of the IT Systems and Data, and the Company and its subsidiaries have not been notified of, and have no knowledge of any event or condition that would reasonably be expected to result in, any such Breach.</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60"/>
          </w:cols>
          <w:pgMar w:left="880" w:top="270" w:right="459" w:bottom="1440" w:gutter="0" w:footer="0" w:header="0"/>
        </w:sectPr>
      </w:pPr>
    </w:p>
    <w:bookmarkStart w:id="275" w:name="page276"/>
    <w:bookmarkEnd w:id="275"/>
    <w:p>
      <w:pPr>
        <w:ind w:right="200" w:firstLine="419"/>
        <w:spacing w:after="0" w:line="259" w:lineRule="auto"/>
        <w:tabs>
          <w:tab w:leader="none" w:pos="668" w:val="left"/>
        </w:tabs>
        <w:numPr>
          <w:ilvl w:val="0"/>
          <w:numId w:val="1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would, singly or in the aggregate, reasonably be expected to have a material adverse effect on the Company and its subsidiaries, taken as a whole.</w:t>
      </w:r>
    </w:p>
    <w:p>
      <w:pPr>
        <w:spacing w:after="0" w:line="79" w:lineRule="exact"/>
        <w:rPr>
          <w:sz w:val="20"/>
          <w:szCs w:val="20"/>
          <w:color w:val="auto"/>
        </w:rPr>
      </w:pPr>
    </w:p>
    <w:p>
      <w:pPr>
        <w:ind w:firstLine="419"/>
        <w:spacing w:after="0" w:line="273" w:lineRule="auto"/>
        <w:tabs>
          <w:tab w:leader="none" w:pos="748"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Company and each of its subsidiaries are insured by insurers of recognized financial responsibility against such losses and risks and in such amounts as are reasonably prudent and customary in the businesses in which they are engaged;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singly or in the aggregate, reasonably be expected to have a material adverse effect on the Company and its subsidiaries, taken as a whole.</w:t>
      </w:r>
    </w:p>
    <w:p>
      <w:pPr>
        <w:spacing w:after="0" w:line="69" w:lineRule="exact"/>
        <w:rPr>
          <w:rFonts w:ascii="Arial" w:cs="Arial" w:eastAsia="Arial" w:hAnsi="Arial"/>
          <w:sz w:val="17"/>
          <w:szCs w:val="17"/>
          <w:color w:val="auto"/>
        </w:rPr>
      </w:pPr>
    </w:p>
    <w:p>
      <w:pPr>
        <w:ind w:right="20" w:firstLine="419"/>
        <w:spacing w:after="0" w:line="275" w:lineRule="auto"/>
        <w:tabs>
          <w:tab w:leader="none" w:pos="768"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Company and each of its subsidiaries possess all certificates, authorizations and permits issued by the appropriate federal, state or foreign regulatory authorities necessary to conduct their respective businesses, including without limitation from the Regulatory Authorities, and neither the Company nor any of its subsidiaries has received any notice of proceedings relating to the revocation or modification of any such certificate, authorization or permit that, singly or in the aggregate, if the subject of an unfavorable decision, ruling or finding, would reasonably be expected to have a material adverse effect on the Company and its subsidiaries, taken as a whole.</w:t>
      </w:r>
    </w:p>
    <w:p>
      <w:pPr>
        <w:spacing w:after="0" w:line="68" w:lineRule="exact"/>
        <w:rPr>
          <w:rFonts w:ascii="Arial" w:cs="Arial" w:eastAsia="Arial" w:hAnsi="Arial"/>
          <w:sz w:val="17"/>
          <w:szCs w:val="17"/>
          <w:color w:val="auto"/>
        </w:rPr>
      </w:pPr>
    </w:p>
    <w:p>
      <w:pPr>
        <w:ind w:left="740" w:hanging="321"/>
        <w:spacing w:after="0"/>
        <w:tabs>
          <w:tab w:leader="none" w:pos="74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financial statements (including the related notes thereto) included in each of the Registration Statement, the Time of Sale</w:t>
      </w:r>
    </w:p>
    <w:p>
      <w:pPr>
        <w:spacing w:after="0" w:line="34" w:lineRule="exact"/>
        <w:rPr>
          <w:rFonts w:ascii="Arial" w:cs="Arial" w:eastAsia="Arial" w:hAnsi="Arial"/>
          <w:sz w:val="17"/>
          <w:szCs w:val="17"/>
          <w:color w:val="auto"/>
        </w:rPr>
      </w:pPr>
    </w:p>
    <w:p>
      <w:pPr>
        <w:ind w:right="40"/>
        <w:spacing w:after="0" w:line="287" w:lineRule="auto"/>
        <w:rPr>
          <w:rFonts w:ascii="Arial" w:cs="Arial" w:eastAsia="Arial" w:hAnsi="Arial"/>
          <w:sz w:val="17"/>
          <w:szCs w:val="17"/>
          <w:color w:val="auto"/>
        </w:rPr>
      </w:pPr>
      <w:r>
        <w:rPr>
          <w:rFonts w:ascii="Arial" w:cs="Arial" w:eastAsia="Arial" w:hAnsi="Arial"/>
          <w:sz w:val="16"/>
          <w:szCs w:val="16"/>
          <w:color w:val="auto"/>
        </w:rPr>
        <w:t>Prospectus and the Prospectus, together with the related schedules and notes thereto, comply as to form in all material respects with the applicable accounting requirements of the Securities Act and present fairly in all material respects the consolidated financial position of the Company and its subsidiaries as of the dates shown and its results of operations and cash flows for the periods shown, and such financial statements have been prepared in conformity with generally accepted accounting principles in the United States (“</w:t>
      </w:r>
      <w:r>
        <w:rPr>
          <w:rFonts w:ascii="Arial" w:cs="Arial" w:eastAsia="Arial" w:hAnsi="Arial"/>
          <w:sz w:val="16"/>
          <w:szCs w:val="16"/>
          <w:b w:val="1"/>
          <w:bCs w:val="1"/>
          <w:color w:val="auto"/>
        </w:rPr>
        <w:t>U.S. GAAP</w:t>
      </w:r>
      <w:r>
        <w:rPr>
          <w:rFonts w:ascii="Arial" w:cs="Arial" w:eastAsia="Arial" w:hAnsi="Arial"/>
          <w:sz w:val="16"/>
          <w:szCs w:val="16"/>
          <w:color w:val="auto"/>
        </w:rPr>
        <w:t>”) applied on a consistent basis throughout the periods covered thereby except for any normal year-end adjustments and the exclusion of certain footnotes as permitted by the applicable rules of the Commission in the case of the Company’s unaudited interim financial statements. The other financial information included in each of the Registration Statement, the Time of Sale Prospectus and the Prospectus has been derived from the accounting records of the Company and its consolidated subsidiaries and presents fairly in all material respects the information shown thereby.</w:t>
      </w:r>
    </w:p>
    <w:p>
      <w:pPr>
        <w:spacing w:after="0" w:line="61" w:lineRule="exact"/>
        <w:rPr>
          <w:rFonts w:ascii="Arial" w:cs="Arial" w:eastAsia="Arial" w:hAnsi="Arial"/>
          <w:sz w:val="17"/>
          <w:szCs w:val="17"/>
          <w:color w:val="auto"/>
        </w:rPr>
      </w:pPr>
    </w:p>
    <w:p>
      <w:pPr>
        <w:ind w:right="40" w:firstLine="419"/>
        <w:spacing w:after="0" w:line="263" w:lineRule="auto"/>
        <w:tabs>
          <w:tab w:leader="none" w:pos="76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statistical, industry-related and market-related data included in each of the Registration Statement, the Time of Sale Prospectus and the Prospectus are based on or derived from sources that the Company reasonably and in good faith believes are reliable and accurate and such data is consistent with the sources from which they are derived, in each case in all material respects.</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60"/>
          </w:cols>
          <w:pgMar w:left="880" w:top="274" w:right="459" w:bottom="1440" w:gutter="0" w:footer="0" w:header="0"/>
        </w:sectPr>
      </w:pPr>
    </w:p>
    <w:bookmarkStart w:id="276" w:name="page277"/>
    <w:bookmarkEnd w:id="276"/>
    <w:p>
      <w:pPr>
        <w:ind w:right="140" w:firstLine="419"/>
        <w:spacing w:after="0" w:line="275" w:lineRule="auto"/>
        <w:tabs>
          <w:tab w:leader="none" w:pos="748" w:val="left"/>
        </w:tabs>
        <w:numPr>
          <w:ilvl w:val="0"/>
          <w:numId w:val="16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PricewaterhouseCoopers LLP, who have certified certain financial statements of the Company and its subsidiaries and delivered its report with respect to the audited consolidated financial statements filed with the Commission as part of the Registration Statement and included in each of the Registration Statement, the Time of Sale Prospectus and the Prospectus, is an independent registered public accounting firm with respect to the Company within the meaning of the Securities Act and the applicable rules and regulations thereunder adopted by the Commission and the Public Company Accounting Oversight Board (United States).</w:t>
      </w:r>
    </w:p>
    <w:p>
      <w:pPr>
        <w:spacing w:after="0" w:line="68" w:lineRule="exact"/>
        <w:rPr>
          <w:rFonts w:ascii="Arial" w:cs="Arial" w:eastAsia="Arial" w:hAnsi="Arial"/>
          <w:sz w:val="17"/>
          <w:szCs w:val="17"/>
          <w:color w:val="auto"/>
        </w:rPr>
      </w:pPr>
    </w:p>
    <w:p>
      <w:pPr>
        <w:ind w:right="20" w:firstLine="419"/>
        <w:spacing w:after="0" w:line="270" w:lineRule="auto"/>
        <w:tabs>
          <w:tab w:leader="none" w:pos="704"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Since the end of the Company’s most recent audited fiscal year, other than as described in the Registration Statement, the Time of Sale Prospectus and the Prospectus,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spacing w:after="0" w:line="72" w:lineRule="exact"/>
        <w:rPr>
          <w:rFonts w:ascii="Arial" w:cs="Arial" w:eastAsia="Arial" w:hAnsi="Arial"/>
          <w:sz w:val="17"/>
          <w:szCs w:val="17"/>
          <w:color w:val="auto"/>
        </w:rPr>
      </w:pPr>
    </w:p>
    <w:p>
      <w:pPr>
        <w:jc w:val="both"/>
        <w:ind w:right="20" w:firstLine="419"/>
        <w:spacing w:after="0" w:line="279" w:lineRule="auto"/>
        <w:tabs>
          <w:tab w:leader="none" w:pos="768" w:val="left"/>
        </w:tabs>
        <w:numPr>
          <w:ilvl w:val="0"/>
          <w:numId w:val="169"/>
        </w:numPr>
        <w:rPr>
          <w:rFonts w:ascii="Arial" w:cs="Arial" w:eastAsia="Arial" w:hAnsi="Arial"/>
          <w:sz w:val="17"/>
          <w:szCs w:val="17"/>
          <w:color w:val="auto"/>
        </w:rPr>
      </w:pPr>
      <w:r>
        <w:rPr>
          <w:rFonts w:ascii="Arial" w:cs="Arial" w:eastAsia="Arial" w:hAnsi="Arial"/>
          <w:sz w:val="17"/>
          <w:szCs w:val="17"/>
          <w:color w:val="auto"/>
        </w:rPr>
        <w:t>Except as have been described in each of the Registration Statement, the Time of Sale Prospectus and the Prospectus, the Company has not sold, issued or distributed any shares of Common Stock during the six-month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w:t>
      </w:r>
    </w:p>
    <w:p>
      <w:pPr>
        <w:spacing w:after="0" w:line="63" w:lineRule="exact"/>
        <w:rPr>
          <w:rFonts w:ascii="Arial" w:cs="Arial" w:eastAsia="Arial" w:hAnsi="Arial"/>
          <w:sz w:val="17"/>
          <w:szCs w:val="17"/>
          <w:color w:val="auto"/>
        </w:rPr>
      </w:pPr>
    </w:p>
    <w:p>
      <w:pPr>
        <w:ind w:firstLine="419"/>
        <w:spacing w:after="0" w:line="257" w:lineRule="auto"/>
        <w:tabs>
          <w:tab w:leader="none" w:pos="76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Company and each of its subsidiaries have filed all federal, state, local and foreign tax returns required by law to be filed through the date of this Agreement or have requested extensions thereof (except where the failure to file would not, singly or in the aggregate, reasonably be expected to have a material adverse effect on the Company and its subsidiaries, taken as a whole) and have paid all taxes required to be paid thereon (except for cases in which the failure to pay would not, singly or in the aggregate, reasonably be expected to have a material adverse effect on the Company and its subsidiaries, taken as a</w:t>
      </w:r>
    </w:p>
    <w:p>
      <w:pPr>
        <w:spacing w:after="0" w:line="12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60"/>
          </w:cols>
          <w:pgMar w:left="880" w:top="274" w:right="459" w:bottom="1440" w:gutter="0" w:footer="0" w:header="0"/>
        </w:sectPr>
      </w:pPr>
    </w:p>
    <w:bookmarkStart w:id="277" w:name="page278"/>
    <w:bookmarkEnd w:id="277"/>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whole, or, except as currently being contested in good faith and for which reserves required by U.S. GAAP have been created in the financial statements of the Company), and no tax deficiency has been determined adversely to the Company or any of its subsidiaries that has not been fully paid or otherwise resolved (nor has the Company or any of its subsidiaries received written notice of any tax deficiency which could reasonably be expected to be determined adversely to the Company or its subsidiaries except, in each case, for such tax deficiencies that would not, singly or in the aggregate, reasonably be expected to have a material adverse effect on the Company and its subsidiaries, taken as a whole.</w:t>
      </w:r>
    </w:p>
    <w:p>
      <w:pPr>
        <w:spacing w:after="0" w:line="53" w:lineRule="exact"/>
        <w:rPr>
          <w:sz w:val="20"/>
          <w:szCs w:val="20"/>
          <w:color w:val="auto"/>
        </w:rPr>
      </w:pPr>
    </w:p>
    <w:p>
      <w:pPr>
        <w:ind w:right="120" w:firstLine="419"/>
        <w:spacing w:after="0" w:line="342" w:lineRule="auto"/>
        <w:tabs>
          <w:tab w:leader="none" w:pos="688" w:val="left"/>
        </w:tabs>
        <w:numPr>
          <w:ilvl w:val="0"/>
          <w:numId w:val="170"/>
        </w:numPr>
        <w:rPr>
          <w:rFonts w:ascii="Arial" w:cs="Arial" w:eastAsia="Arial" w:hAnsi="Arial"/>
          <w:sz w:val="16"/>
          <w:szCs w:val="16"/>
          <w:color w:val="auto"/>
        </w:rPr>
      </w:pPr>
      <w:r>
        <w:rPr>
          <w:rFonts w:ascii="Arial" w:cs="Arial" w:eastAsia="Arial" w:hAnsi="Arial"/>
          <w:sz w:val="16"/>
          <w:szCs w:val="16"/>
          <w:color w:val="auto"/>
        </w:rPr>
        <w:t>From the time of initial confidential submission of the Registration Statement to the Commission through the date hereof, the Company has been and is an “emerging growth company,” as defined in Section 2(a) of the Securities Act (an “</w:t>
      </w:r>
      <w:r>
        <w:rPr>
          <w:rFonts w:ascii="Arial" w:cs="Arial" w:eastAsia="Arial" w:hAnsi="Arial"/>
          <w:sz w:val="16"/>
          <w:szCs w:val="16"/>
          <w:b w:val="1"/>
          <w:bCs w:val="1"/>
          <w:color w:val="auto"/>
        </w:rPr>
        <w:t>Emerging Growth Company</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right="140" w:firstLine="419"/>
        <w:spacing w:after="0" w:line="271" w:lineRule="auto"/>
        <w:tabs>
          <w:tab w:leader="none" w:pos="688"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Company (i) has not alone engaged in any Testing-the-Waters Communication with any person other than Testing-the-Waters Communications with the consent of the Representatives with entities that are reasonably believed to be qualified institutional buyers within the meaning of Rule 144A under the Securities Act or institutions that are reasonably believed to be accredited investors within the meaning of Rule 501 under the Securities Act and (ii) has not authorized anyone other than the Representatives to engage in Testing-the-Waters Communications. The Company reconfirms that the Representatives have been authorized to act on its behalf in undertaking Testing-the-Waters Communications. The Company has not distributed any Testing-the-Waters Communication that is a written communication within the meaning of Rule 405 under the Securities Act. “</w:t>
      </w:r>
      <w:r>
        <w:rPr>
          <w:rFonts w:ascii="Arial" w:cs="Arial" w:eastAsia="Arial" w:hAnsi="Arial"/>
          <w:sz w:val="17"/>
          <w:szCs w:val="17"/>
          <w:b w:val="1"/>
          <w:bCs w:val="1"/>
          <w:color w:val="auto"/>
        </w:rPr>
        <w:t>Testing-the-Waters Communication</w:t>
      </w:r>
      <w:r>
        <w:rPr>
          <w:rFonts w:ascii="Arial" w:cs="Arial" w:eastAsia="Arial" w:hAnsi="Arial"/>
          <w:sz w:val="17"/>
          <w:szCs w:val="17"/>
          <w:color w:val="auto"/>
        </w:rPr>
        <w:t>” means any communication with potential investors undertaken in reliance on Section 5(d) or Rule 163B of the Securities Act.</w:t>
      </w:r>
    </w:p>
    <w:p>
      <w:pPr>
        <w:spacing w:after="0" w:line="70" w:lineRule="exact"/>
        <w:rPr>
          <w:rFonts w:ascii="Arial" w:cs="Arial" w:eastAsia="Arial" w:hAnsi="Arial"/>
          <w:sz w:val="17"/>
          <w:szCs w:val="17"/>
          <w:color w:val="auto"/>
        </w:rPr>
      </w:pPr>
    </w:p>
    <w:p>
      <w:pPr>
        <w:ind w:right="40" w:firstLine="419"/>
        <w:spacing w:after="0" w:line="275" w:lineRule="auto"/>
        <w:tabs>
          <w:tab w:leader="none" w:pos="768" w:val="left"/>
        </w:tabs>
        <w:numPr>
          <w:ilvl w:val="0"/>
          <w:numId w:val="170"/>
        </w:numPr>
        <w:rPr>
          <w:rFonts w:ascii="Arial" w:cs="Arial" w:eastAsia="Arial" w:hAnsi="Arial"/>
          <w:sz w:val="17"/>
          <w:szCs w:val="17"/>
          <w:color w:val="auto"/>
        </w:rPr>
      </w:pPr>
      <w:r>
        <w:rPr>
          <w:rFonts w:ascii="Arial" w:cs="Arial" w:eastAsia="Arial" w:hAnsi="Arial"/>
          <w:sz w:val="17"/>
          <w:szCs w:val="17"/>
          <w:color w:val="auto"/>
        </w:rPr>
        <w:t>As of the time of each sale of the Shares in connection with the offering when the Prospectus is not yet available to prospective purchasers, none of (A) the Time of Sale Prospectus, (B) any free writing prospectus, when considered together with the Time of Sale Prospectus, and (C) any individual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68" w:lineRule="exact"/>
        <w:rPr>
          <w:rFonts w:ascii="Arial" w:cs="Arial" w:eastAsia="Arial" w:hAnsi="Arial"/>
          <w:sz w:val="17"/>
          <w:szCs w:val="17"/>
          <w:color w:val="auto"/>
        </w:rPr>
      </w:pPr>
    </w:p>
    <w:p>
      <w:pPr>
        <w:ind w:right="40" w:firstLine="419"/>
        <w:spacing w:after="0" w:line="277" w:lineRule="auto"/>
        <w:tabs>
          <w:tab w:leader="none" w:pos="68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Neither the Company nor any of its subsidiaries, nor any affiliate, has any securities rated by any “nationally recognized statistical rating organization,” as such term is defined in Section 3(a)(62) of the Exchange Act.</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60"/>
          </w:cols>
          <w:pgMar w:left="880" w:top="274" w:right="459" w:bottom="1440" w:gutter="0" w:footer="0" w:header="0"/>
        </w:sectPr>
      </w:pPr>
    </w:p>
    <w:bookmarkStart w:id="278" w:name="page279"/>
    <w:bookmarkEnd w:id="278"/>
    <w:p>
      <w:pPr>
        <w:ind w:right="380" w:firstLine="419"/>
        <w:spacing w:after="0" w:line="257" w:lineRule="auto"/>
        <w:tabs>
          <w:tab w:leader="none" w:pos="868" w:val="left"/>
        </w:tabs>
        <w:numPr>
          <w:ilvl w:val="0"/>
          <w:numId w:val="1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operated at all times and is currently in compliance, except where non-compliance would not, singly or in the aggregate, reasonably be expected to have a material adverse effect on the Company and its subsidiaries, taken as a whole, with all applicable statutes, rules, regulations and policies of the U.S. Food and Drug Administration (the “</w:t>
      </w:r>
      <w:r>
        <w:rPr>
          <w:rFonts w:ascii="Arial" w:cs="Arial" w:eastAsia="Arial" w:hAnsi="Arial"/>
          <w:sz w:val="18"/>
          <w:szCs w:val="18"/>
          <w:b w:val="1"/>
          <w:bCs w:val="1"/>
          <w:color w:val="auto"/>
        </w:rPr>
        <w:t>FDA</w:t>
      </w:r>
      <w:r>
        <w:rPr>
          <w:rFonts w:ascii="Arial" w:cs="Arial" w:eastAsia="Arial" w:hAnsi="Arial"/>
          <w:sz w:val="18"/>
          <w:szCs w:val="18"/>
          <w:color w:val="auto"/>
        </w:rPr>
        <w:t>”), the U.S. Department of Health and Human Services (“</w:t>
      </w:r>
      <w:r>
        <w:rPr>
          <w:rFonts w:ascii="Arial" w:cs="Arial" w:eastAsia="Arial" w:hAnsi="Arial"/>
          <w:sz w:val="18"/>
          <w:szCs w:val="18"/>
          <w:b w:val="1"/>
          <w:bCs w:val="1"/>
          <w:color w:val="auto"/>
        </w:rPr>
        <w:t>HHS</w:t>
      </w:r>
      <w:r>
        <w:rPr>
          <w:rFonts w:ascii="Arial" w:cs="Arial" w:eastAsia="Arial" w:hAnsi="Arial"/>
          <w:sz w:val="18"/>
          <w:szCs w:val="18"/>
          <w:color w:val="auto"/>
        </w:rPr>
        <w:t>”) and applicable foreign regulatory authorities, including the European Medicines Agency (collectively, the “</w:t>
      </w:r>
      <w:r>
        <w:rPr>
          <w:rFonts w:ascii="Arial" w:cs="Arial" w:eastAsia="Arial" w:hAnsi="Arial"/>
          <w:sz w:val="18"/>
          <w:szCs w:val="18"/>
          <w:b w:val="1"/>
          <w:bCs w:val="1"/>
          <w:color w:val="auto"/>
        </w:rPr>
        <w:t>Regulatory</w:t>
      </w:r>
      <w:r>
        <w:rPr>
          <w:rFonts w:ascii="Arial" w:cs="Arial" w:eastAsia="Arial" w:hAnsi="Arial"/>
          <w:sz w:val="18"/>
          <w:szCs w:val="18"/>
          <w:color w:val="auto"/>
        </w:rPr>
        <w:t xml:space="preserve"> </w:t>
      </w:r>
      <w:r>
        <w:rPr>
          <w:rFonts w:ascii="Arial" w:cs="Arial" w:eastAsia="Arial" w:hAnsi="Arial"/>
          <w:sz w:val="18"/>
          <w:szCs w:val="18"/>
          <w:b w:val="1"/>
          <w:bCs w:val="1"/>
          <w:color w:val="auto"/>
        </w:rPr>
        <w:t>Authorities</w:t>
      </w:r>
      <w:r>
        <w:rPr>
          <w:rFonts w:ascii="Arial" w:cs="Arial" w:eastAsia="Arial" w:hAnsi="Arial"/>
          <w:sz w:val="18"/>
          <w:szCs w:val="18"/>
          <w:color w:val="auto"/>
        </w:rPr>
        <w:t>”), including, without limitation:</w:t>
      </w:r>
    </w:p>
    <w:p>
      <w:pPr>
        <w:spacing w:after="0" w:line="79" w:lineRule="exact"/>
        <w:rPr>
          <w:rFonts w:ascii="Arial" w:cs="Arial" w:eastAsia="Arial" w:hAnsi="Arial"/>
          <w:sz w:val="18"/>
          <w:szCs w:val="18"/>
          <w:color w:val="auto"/>
        </w:rPr>
      </w:pPr>
    </w:p>
    <w:p>
      <w:pPr>
        <w:ind w:left="1160" w:hanging="212"/>
        <w:spacing w:after="0"/>
        <w:tabs>
          <w:tab w:leader="none" w:pos="116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the Federal Food, Drug, and Cosmetic Act and the regulations promulgated thereunder;</w:t>
      </w:r>
    </w:p>
    <w:p>
      <w:pPr>
        <w:spacing w:after="0" w:line="117" w:lineRule="exact"/>
        <w:rPr>
          <w:rFonts w:ascii="Arial" w:cs="Arial" w:eastAsia="Arial" w:hAnsi="Arial"/>
          <w:sz w:val="18"/>
          <w:szCs w:val="18"/>
          <w:color w:val="auto"/>
        </w:rPr>
      </w:pPr>
    </w:p>
    <w:p>
      <w:pPr>
        <w:ind w:left="540" w:right="60" w:firstLine="408"/>
        <w:spacing w:after="0" w:line="272" w:lineRule="auto"/>
        <w:tabs>
          <w:tab w:leader="none" w:pos="1206" w:val="left"/>
        </w:tabs>
        <w:numPr>
          <w:ilvl w:val="1"/>
          <w:numId w:val="171"/>
        </w:numPr>
        <w:rPr>
          <w:rFonts w:ascii="Arial" w:cs="Arial" w:eastAsia="Arial" w:hAnsi="Arial"/>
          <w:sz w:val="17"/>
          <w:szCs w:val="17"/>
          <w:color w:val="auto"/>
        </w:rPr>
      </w:pPr>
      <w:r>
        <w:rPr>
          <w:rFonts w:ascii="Arial" w:cs="Arial" w:eastAsia="Arial" w:hAnsi="Arial"/>
          <w:sz w:val="17"/>
          <w:szCs w:val="17"/>
          <w:color w:val="auto"/>
        </w:rPr>
        <w:t>all applicable federal, state, local and foreign health care laws, including, without limitation, the U.S. Anti-Kickback Statute (42 U.S.C. Section 1320a-7b(b)), the Civil Monetary Penalties Law (42 U.S.C. § 1320a-7a), the U.S. Civil False Claims Act (31 U.S.C. Section 3729 et seq.), all applicable federal, state, local and foreign criminal laws relating to health care fraud and abuse, including but not limited to the U.S. False Statements Law (42 U.S.C. Section 1320a-7b(a)), 18 U.S.C. Sections 286 and 287, and the health care fraud criminal provisions under the U.S. Health Insurance Portability and Accountability Act of 1996 (“</w:t>
      </w:r>
      <w:r>
        <w:rPr>
          <w:rFonts w:ascii="Arial" w:cs="Arial" w:eastAsia="Arial" w:hAnsi="Arial"/>
          <w:sz w:val="17"/>
          <w:szCs w:val="17"/>
          <w:b w:val="1"/>
          <w:bCs w:val="1"/>
          <w:color w:val="auto"/>
        </w:rPr>
        <w:t>HIPAA</w:t>
      </w:r>
      <w:r>
        <w:rPr>
          <w:rFonts w:ascii="Arial" w:cs="Arial" w:eastAsia="Arial" w:hAnsi="Arial"/>
          <w:sz w:val="17"/>
          <w:szCs w:val="17"/>
          <w:color w:val="auto"/>
        </w:rPr>
        <w:t>”) (42 U.S.C. Section 1320d et seq.), the exclusion laws, the statutes, regulations and directives of applicable government funded or sponsored healthcare programs, and the regulations promulgated pursuant to such statutes;</w:t>
      </w:r>
    </w:p>
    <w:p>
      <w:pPr>
        <w:spacing w:after="0" w:line="69" w:lineRule="exact"/>
        <w:rPr>
          <w:rFonts w:ascii="Arial" w:cs="Arial" w:eastAsia="Arial" w:hAnsi="Arial"/>
          <w:sz w:val="17"/>
          <w:szCs w:val="17"/>
          <w:color w:val="auto"/>
        </w:rPr>
      </w:pPr>
    </w:p>
    <w:p>
      <w:pPr>
        <w:ind w:left="540" w:firstLine="408"/>
        <w:spacing w:after="0" w:line="301" w:lineRule="auto"/>
        <w:tabs>
          <w:tab w:leader="none" w:pos="1256" w:val="left"/>
        </w:tabs>
        <w:numPr>
          <w:ilvl w:val="1"/>
          <w:numId w:val="171"/>
        </w:numPr>
        <w:rPr>
          <w:rFonts w:ascii="Arial" w:cs="Arial" w:eastAsia="Arial" w:hAnsi="Arial"/>
          <w:sz w:val="16"/>
          <w:szCs w:val="16"/>
          <w:color w:val="auto"/>
        </w:rPr>
      </w:pPr>
      <w:r>
        <w:rPr>
          <w:rFonts w:ascii="Arial" w:cs="Arial" w:eastAsia="Arial" w:hAnsi="Arial"/>
          <w:sz w:val="16"/>
          <w:szCs w:val="16"/>
          <w:color w:val="auto"/>
        </w:rPr>
        <w:t>the Standards for Privacy of Individually Identifiable Health Information, the Security Standards, and the Standards for Electronic Transactions and Code Sets promulgated under HIPAA, the Health Information Technology for Economic and Clinical Health Act (42 U.S.C. Section 17921 et seq.), and the regulations promulgated thereunder and any applicable state or non-U.S. counterpart thereof or any other applicable law or regulation the purpose of which is to protect the privacy of individuals or prescribers;</w:t>
      </w:r>
    </w:p>
    <w:p>
      <w:pPr>
        <w:spacing w:after="0" w:line="49" w:lineRule="exact"/>
        <w:rPr>
          <w:rFonts w:ascii="Arial" w:cs="Arial" w:eastAsia="Arial" w:hAnsi="Arial"/>
          <w:sz w:val="16"/>
          <w:szCs w:val="16"/>
          <w:color w:val="auto"/>
        </w:rPr>
      </w:pPr>
    </w:p>
    <w:p>
      <w:pPr>
        <w:ind w:left="540" w:right="340" w:firstLine="408"/>
        <w:spacing w:after="0" w:line="277" w:lineRule="auto"/>
        <w:tabs>
          <w:tab w:leader="none" w:pos="1246"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the Patient Protection and Affordable Care Act of 2010, as amended by the Health Care and Education Reconciliation Act of 2010, and the regulations promulgated thereunder;</w:t>
      </w:r>
    </w:p>
    <w:p>
      <w:pPr>
        <w:spacing w:after="0" w:line="62" w:lineRule="exact"/>
        <w:rPr>
          <w:rFonts w:ascii="Arial" w:cs="Arial" w:eastAsia="Arial" w:hAnsi="Arial"/>
          <w:sz w:val="18"/>
          <w:szCs w:val="18"/>
          <w:color w:val="auto"/>
        </w:rPr>
      </w:pPr>
    </w:p>
    <w:p>
      <w:pPr>
        <w:ind w:left="1200" w:hanging="252"/>
        <w:spacing w:after="0"/>
        <w:tabs>
          <w:tab w:leader="none" w:pos="120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licensure, quality, safety and accreditation requirements under applicable federal, state, local or foreign laws or regulatory bodies;</w:t>
      </w:r>
    </w:p>
    <w:p>
      <w:pPr>
        <w:spacing w:after="0" w:line="46"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left="540" w:right="380" w:firstLine="408"/>
        <w:spacing w:after="0" w:line="287" w:lineRule="auto"/>
        <w:tabs>
          <w:tab w:leader="none" w:pos="1246" w:val="left"/>
        </w:tabs>
        <w:numPr>
          <w:ilvl w:val="1"/>
          <w:numId w:val="171"/>
        </w:numPr>
        <w:rPr>
          <w:rFonts w:ascii="Arial" w:cs="Arial" w:eastAsia="Arial" w:hAnsi="Arial"/>
          <w:sz w:val="16"/>
          <w:szCs w:val="16"/>
          <w:color w:val="auto"/>
        </w:rPr>
      </w:pPr>
      <w:r>
        <w:rPr>
          <w:rFonts w:ascii="Arial" w:cs="Arial" w:eastAsia="Arial" w:hAnsi="Arial"/>
          <w:sz w:val="16"/>
          <w:szCs w:val="16"/>
          <w:color w:val="auto"/>
        </w:rPr>
        <w:t>all other local, state, federal, national, supranational and foreign laws, relating to the regulation of the Company and the ownership, testing, development, manufacture, packaging, processing, use, distribution, marketing, labeling, promotion, sale, offer for sale, storage, import, export or disposal of any product under development, manufactured or distributed by the Company; (clauses</w:t>
      </w:r>
    </w:p>
    <w:p>
      <w:pPr>
        <w:spacing w:after="0" w:line="2"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(i) through (viii), collectively, “</w:t>
      </w:r>
      <w:r>
        <w:rPr>
          <w:rFonts w:ascii="Arial" w:cs="Arial" w:eastAsia="Arial" w:hAnsi="Arial"/>
          <w:sz w:val="18"/>
          <w:szCs w:val="18"/>
          <w:b w:val="1"/>
          <w:bCs w:val="1"/>
          <w:color w:val="auto"/>
        </w:rPr>
        <w:t>Health Care Laws</w:t>
      </w:r>
      <w:r>
        <w:rPr>
          <w:rFonts w:ascii="Arial" w:cs="Arial" w:eastAsia="Arial" w:hAnsi="Arial"/>
          <w:sz w:val="18"/>
          <w:szCs w:val="18"/>
          <w:color w:val="auto"/>
        </w:rPr>
        <w:t>”).</w:t>
      </w:r>
    </w:p>
    <w:p>
      <w:pPr>
        <w:spacing w:after="0" w:line="14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80"/>
          </w:cols>
          <w:pgMar w:left="880" w:top="274" w:right="439" w:bottom="1440" w:gutter="0" w:footer="0" w:header="0"/>
        </w:sectPr>
      </w:pPr>
    </w:p>
    <w:bookmarkStart w:id="279" w:name="page280"/>
    <w:bookmarkEnd w:id="279"/>
    <w:p>
      <w:pPr>
        <w:ind w:left="4" w:firstLine="419"/>
        <w:spacing w:after="0" w:line="284" w:lineRule="auto"/>
        <w:tabs>
          <w:tab w:leader="none" w:pos="771" w:val="left"/>
        </w:tabs>
        <w:numPr>
          <w:ilvl w:val="1"/>
          <w:numId w:val="1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The studies, tests and preclinical and clinical trials conducted by or on behalf of or sponsored by the Company or in which the Company has participated, were, and if still pending are, to the knowledge of the Company, being conducted in all material respects in accordance with standard medical and experimental protocols, procedures and controls pursuant to accepted professional scientific research standards and procedures and all applicable Health Care Laws, the rules and regulations of the Regulatory Authorities and current Good Clinical Practices and Good Laboratory Practices; (ii) the descriptions of the results of such studies and trials contained in the Registration Statement, the Time of Sale Prospectus or the Prospectus are accurate and complete in all material respects and fairly present the data derived from such trials and studies;</w:t>
      </w:r>
    </w:p>
    <w:p>
      <w:pPr>
        <w:spacing w:after="0" w:line="4" w:lineRule="exact"/>
        <w:rPr>
          <w:rFonts w:ascii="Arial" w:cs="Arial" w:eastAsia="Arial" w:hAnsi="Arial"/>
          <w:sz w:val="16"/>
          <w:szCs w:val="16"/>
          <w:color w:val="auto"/>
        </w:rPr>
      </w:pPr>
    </w:p>
    <w:p>
      <w:pPr>
        <w:ind w:left="4" w:right="20" w:hanging="4"/>
        <w:spacing w:after="0" w:line="281" w:lineRule="auto"/>
        <w:tabs>
          <w:tab w:leader="none" w:pos="318"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Company has no knowledge of any other studies or trials not described in the Registration Statement, the Time of Sale Prospectus and the Prospectus, the results of which are materially inconsistent with or call into question the results described or referred to in the Registration Statement, the Time of Sale Prospectus and the Prospectus; (iv) the Company has provided the Underwriters with all substantive written notices, correspondence and summaries of all other communications provided to the Company or its subsidiaries from the Regulatory Authorities; and</w:t>
      </w:r>
    </w:p>
    <w:p>
      <w:pPr>
        <w:spacing w:after="0" w:line="2" w:lineRule="exact"/>
        <w:rPr>
          <w:rFonts w:ascii="Arial" w:cs="Arial" w:eastAsia="Arial" w:hAnsi="Arial"/>
          <w:sz w:val="16"/>
          <w:szCs w:val="16"/>
          <w:color w:val="auto"/>
        </w:rPr>
      </w:pPr>
    </w:p>
    <w:p>
      <w:pPr>
        <w:ind w:left="4" w:hanging="4"/>
        <w:spacing w:after="0" w:line="252" w:lineRule="auto"/>
        <w:tabs>
          <w:tab w:leader="none" w:pos="25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Company has not received any written notices, correspondence or other communications from any Regulatory Authority or any other governmental entity requiring or threatening the termination, modification or suspension of any studies or trials that are described in the Registration Statement, the Time of Sale Prospectus and the Prospectus or the results of which are referred to in the Registration Statement, the Time of Sale Prospectus and the Prospectus, other than such notices, correspondence or other communications that have been described in each of the Registration Statement, the Time of Sale Prospectus and the Prospectus, and, to the Company’s knowledge, there are no reasonable grounds for the same.</w:t>
      </w:r>
    </w:p>
    <w:p>
      <w:pPr>
        <w:spacing w:after="0" w:line="85" w:lineRule="exact"/>
        <w:rPr>
          <w:rFonts w:ascii="Arial" w:cs="Arial" w:eastAsia="Arial" w:hAnsi="Arial"/>
          <w:sz w:val="18"/>
          <w:szCs w:val="18"/>
          <w:color w:val="auto"/>
        </w:rPr>
      </w:pPr>
    </w:p>
    <w:p>
      <w:pPr>
        <w:ind w:left="4" w:right="40" w:firstLine="419"/>
        <w:spacing w:after="0" w:line="270" w:lineRule="auto"/>
        <w:tabs>
          <w:tab w:leader="none" w:pos="771" w:val="left"/>
        </w:tabs>
        <w:numPr>
          <w:ilvl w:val="1"/>
          <w:numId w:val="174"/>
        </w:numPr>
        <w:rPr>
          <w:rFonts w:ascii="Arial" w:cs="Arial" w:eastAsia="Arial" w:hAnsi="Arial"/>
          <w:sz w:val="17"/>
          <w:szCs w:val="17"/>
          <w:color w:val="auto"/>
        </w:rPr>
      </w:pPr>
      <w:r>
        <w:rPr>
          <w:rFonts w:ascii="Arial" w:cs="Arial" w:eastAsia="Arial" w:hAnsi="Arial"/>
          <w:sz w:val="17"/>
          <w:szCs w:val="17"/>
          <w:color w:val="auto"/>
        </w:rPr>
        <w:t>(i) Except as would not, individually or in the aggregate, reasonably be expected to have a material adverse effect on the Company and its subsidiaries, taken as a whole, the Company has filed, obtained, maintained or submitted all reports, documents, forms, notices, applications, records, claims, submissions and supplements or amendments as required by any Health Care Laws, and all such reports, documents, forms, notices, applications, records, claims, submissions and supplements or amendments were timely, complete, accurate and not misleading in all material respects on the date filed (or were corrected or supplemented by a subsequent submission); (ii) the Company has not received written notice of any claim, action, suit, proceeding, hearing, enforcement, investigation, arbitration or other action from any court or arbitrator or Regulatory Authority, other governmental entity or third party alleging that any Company or product operation or activity is in violation of any Health Care Laws, including, without limitation, any FDA Form 483, notice of adverse finding, warning letter, untitled letter or other correspondence or notice from the FDA or</w:t>
      </w:r>
    </w:p>
    <w:p>
      <w:pPr>
        <w:spacing w:after="0" w:line="113"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24"/>
          </w:cols>
          <w:pgMar w:left="876" w:top="274" w:right="499" w:bottom="1440" w:gutter="0" w:footer="0" w:header="0"/>
        </w:sectPr>
      </w:pPr>
    </w:p>
    <w:bookmarkStart w:id="280" w:name="page281"/>
    <w:bookmarkEnd w:id="280"/>
    <w:p>
      <w:pPr>
        <w:ind w:left="440" w:right="10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other Regulatory Authority or governmental entity, nor, to the Company’s knowledge, is any such claim, action, suit, proceeding, hearing, enforcement, investigation, arbitration or other action threatened; (iii) the Company is not a party to any corporate integrity agreements, monitoring agreements, consent decrees, settlement orders, or similar agreements with or imposed by any Regulatory Authority or other governmental entity; and (iv) neither the Company nor any of its employees, officers or directors has been excluded, suspended or debarred from participation in any U.S. federal health care program or human clinical research or, to the knowledge of the Company, is subject to an inquiry, investigation, proceeding or other similar action by a Regulatory Authority or other governmental entity that could reasonably be expected to result in debarment, suspension, or exclusion.</w:t>
      </w:r>
    </w:p>
    <w:p>
      <w:pPr>
        <w:spacing w:after="0" w:line="69" w:lineRule="exact"/>
        <w:rPr>
          <w:sz w:val="20"/>
          <w:szCs w:val="20"/>
          <w:color w:val="auto"/>
        </w:rPr>
      </w:pPr>
    </w:p>
    <w:p>
      <w:pPr>
        <w:jc w:val="both"/>
        <w:ind w:right="120" w:firstLine="436"/>
        <w:spacing w:after="0" w:line="311" w:lineRule="auto"/>
        <w:tabs>
          <w:tab w:leader="none" w:pos="620" w:val="left"/>
        </w:tabs>
        <w:numPr>
          <w:ilvl w:val="0"/>
          <w:numId w:val="175"/>
        </w:numPr>
        <w:rPr>
          <w:rFonts w:ascii="Arial" w:cs="Arial" w:eastAsia="Arial" w:hAnsi="Arial"/>
          <w:sz w:val="16"/>
          <w:szCs w:val="16"/>
          <w:color w:val="auto"/>
        </w:rPr>
      </w:pPr>
      <w:r>
        <w:rPr>
          <w:rFonts w:ascii="Arial" w:cs="Arial" w:eastAsia="Arial" w:hAnsi="Arial"/>
          <w:sz w:val="16"/>
          <w:szCs w:val="16"/>
          <w:i w:val="1"/>
          <w:iCs w:val="1"/>
          <w:color w:val="auto"/>
        </w:rPr>
        <w:t xml:space="preserve">Agreements to Sell and Purchase. </w:t>
      </w:r>
      <w:r>
        <w:rPr>
          <w:rFonts w:ascii="Arial" w:cs="Arial" w:eastAsia="Arial" w:hAnsi="Arial"/>
          <w:sz w:val="16"/>
          <w:szCs w:val="16"/>
          <w:color w:val="auto"/>
        </w:rPr>
        <w:t>The Company hereby agrees to sell to the several Underwriters, and each Underwriter, upon the basis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representations and warranties herein contained, but subject to the terms and conditions hereinafter stated, agrees, severally and not jointly, to purchase from the Company the respective numbers of Firm Shares set forth in Schedule I hereto opposite its name at $[•] a share (the “</w:t>
      </w:r>
      <w:r>
        <w:rPr>
          <w:rFonts w:ascii="Arial" w:cs="Arial" w:eastAsia="Arial" w:hAnsi="Arial"/>
          <w:sz w:val="16"/>
          <w:szCs w:val="16"/>
          <w:b w:val="1"/>
          <w:bCs w:val="1"/>
          <w:color w:val="auto"/>
        </w:rPr>
        <w:t>Purchase Price</w:t>
      </w:r>
      <w:r>
        <w:rPr>
          <w:rFonts w:ascii="Arial" w:cs="Arial" w:eastAsia="Arial" w:hAnsi="Arial"/>
          <w:sz w:val="16"/>
          <w:szCs w:val="16"/>
          <w:color w:val="auto"/>
        </w:rPr>
        <w:t>”).</w:t>
      </w:r>
    </w:p>
    <w:p>
      <w:pPr>
        <w:spacing w:after="0" w:line="149"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On the basis of the representations and warranties contained in this Agreement, and subject to its terms and conditions, the Company agrees to sell to the Underwriters the Additional Shares, and the Underwriters shall have the right to purchase, severally and not jointly, up to [•] Additional Shares at the Purchase Price, provided, however, that the amount paid by the Underwriters for any Additional Shares shall be reduced by an amount per share equal to any dividends declared by the Company and payable on the Firm Shares but not payable on such Additional Shares. The Representatives may exercise this right on behalf of the Underwriters in whole or from time to time in part by giving written notice not later than 30 days after the date of this Agreement.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Shares or later than ten business days after the date of such notice. Additional Shares may be purchased as provided in Section 4 hereof solely for the purpose of covering over-allotments made in connection with the offering of the Firm Shares. On each day, if any, that Additional Shares are to be purchased (an “</w:t>
      </w:r>
      <w:r>
        <w:rPr>
          <w:rFonts w:ascii="Arial" w:cs="Arial" w:eastAsia="Arial" w:hAnsi="Arial"/>
          <w:sz w:val="16"/>
          <w:szCs w:val="16"/>
          <w:b w:val="1"/>
          <w:bCs w:val="1"/>
          <w:color w:val="auto"/>
        </w:rPr>
        <w:t>Option Closing Date</w:t>
      </w:r>
      <w:r>
        <w:rPr>
          <w:rFonts w:ascii="Arial" w:cs="Arial" w:eastAsia="Arial" w:hAnsi="Arial"/>
          <w:sz w:val="16"/>
          <w:szCs w:val="16"/>
          <w:color w:val="auto"/>
        </w:rPr>
        <w:t>”), each Underwriter agrees, severally and not jointly, to purchase the number of Additional Shares (subject to such adjustments to eliminate fractional shares as the Representatives may determine) that bears the same proportion to the total number of Additional Shares to be purchased on such Option Closing Date as the number of Firm Shares set forth in Schedule I hereto opposite the name of such Underwriter bears to the total number of Firm Shares.</w:t>
      </w:r>
    </w:p>
    <w:p>
      <w:pPr>
        <w:spacing w:after="0" w:line="66" w:lineRule="exact"/>
        <w:rPr>
          <w:sz w:val="20"/>
          <w:szCs w:val="20"/>
          <w:color w:val="auto"/>
        </w:rPr>
      </w:pPr>
    </w:p>
    <w:p>
      <w:pPr>
        <w:ind w:firstLine="436"/>
        <w:spacing w:after="0" w:line="257" w:lineRule="auto"/>
        <w:tabs>
          <w:tab w:leader="none" w:pos="620" w:val="left"/>
        </w:tabs>
        <w:numPr>
          <w:ilvl w:val="0"/>
          <w:numId w:val="176"/>
        </w:numPr>
        <w:rPr>
          <w:rFonts w:ascii="Arial" w:cs="Arial" w:eastAsia="Arial" w:hAnsi="Arial"/>
          <w:sz w:val="18"/>
          <w:szCs w:val="18"/>
          <w:color w:val="auto"/>
        </w:rPr>
      </w:pPr>
      <w:r>
        <w:rPr>
          <w:rFonts w:ascii="Arial" w:cs="Arial" w:eastAsia="Arial" w:hAnsi="Arial"/>
          <w:sz w:val="18"/>
          <w:szCs w:val="18"/>
          <w:i w:val="1"/>
          <w:iCs w:val="1"/>
          <w:color w:val="auto"/>
        </w:rPr>
        <w:t>Terms of Public Offering</w:t>
      </w:r>
      <w:r>
        <w:rPr>
          <w:rFonts w:ascii="Arial" w:cs="Arial" w:eastAsia="Arial" w:hAnsi="Arial"/>
          <w:sz w:val="18"/>
          <w:szCs w:val="18"/>
          <w:color w:val="auto"/>
        </w:rPr>
        <w:t>. The Company is advised by the Representatives that the Underwriters propose to make a public offering of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portions of the Shares as soon after the Registration Statement and this Agreement have become effective as in the Representatives’ judgment is advisable. The Company is further advised by the Representatives that the Shares are to be offered to the public initially at $[•] a share (the “</w:t>
      </w:r>
      <w:r>
        <w:rPr>
          <w:rFonts w:ascii="Arial" w:cs="Arial" w:eastAsia="Arial" w:hAnsi="Arial"/>
          <w:sz w:val="18"/>
          <w:szCs w:val="18"/>
          <w:b w:val="1"/>
          <w:bCs w:val="1"/>
          <w:color w:val="auto"/>
        </w:rPr>
        <w:t>Public</w:t>
      </w:r>
      <w:r>
        <w:rPr>
          <w:rFonts w:ascii="Arial" w:cs="Arial" w:eastAsia="Arial" w:hAnsi="Arial"/>
          <w:sz w:val="18"/>
          <w:szCs w:val="18"/>
          <w:color w:val="auto"/>
        </w:rPr>
        <w:t xml:space="preserve"> </w:t>
      </w:r>
      <w:r>
        <w:rPr>
          <w:rFonts w:ascii="Arial" w:cs="Arial" w:eastAsia="Arial" w:hAnsi="Arial"/>
          <w:sz w:val="18"/>
          <w:szCs w:val="18"/>
          <w:b w:val="1"/>
          <w:bCs w:val="1"/>
          <w:color w:val="auto"/>
        </w:rPr>
        <w:t>Offering Price</w:t>
      </w:r>
      <w:r>
        <w:rPr>
          <w:rFonts w:ascii="Arial" w:cs="Arial" w:eastAsia="Arial" w:hAnsi="Arial"/>
          <w:sz w:val="18"/>
          <w:szCs w:val="18"/>
          <w:color w:val="auto"/>
        </w:rPr>
        <w:t>”) and to certain dealers selected by the Representatives at a price that represents a concession not in excess of $[•] a share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Public Offering Price.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281" w:name="page282"/>
    <w:bookmarkEnd w:id="281"/>
    <w:p>
      <w:pPr>
        <w:ind w:right="40" w:firstLine="436"/>
        <w:spacing w:after="0" w:line="259" w:lineRule="auto"/>
        <w:tabs>
          <w:tab w:leader="none" w:pos="620" w:val="left"/>
        </w:tabs>
        <w:numPr>
          <w:ilvl w:val="0"/>
          <w:numId w:val="17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Payment and Delivery. </w:t>
      </w:r>
      <w:r>
        <w:rPr>
          <w:rFonts w:ascii="Arial" w:cs="Arial" w:eastAsia="Arial" w:hAnsi="Arial"/>
          <w:sz w:val="18"/>
          <w:szCs w:val="18"/>
          <w:color w:val="auto"/>
        </w:rPr>
        <w:t>Payment for the Firm Shares shall be made to the Company in Federal or other funds immediately available in New</w:t>
      </w:r>
      <w:r>
        <w:rPr>
          <w:rFonts w:ascii="Arial" w:cs="Arial" w:eastAsia="Arial" w:hAnsi="Arial"/>
          <w:sz w:val="18"/>
          <w:szCs w:val="18"/>
          <w:i w:val="1"/>
          <w:iCs w:val="1"/>
          <w:color w:val="auto"/>
        </w:rPr>
        <w:t xml:space="preserve"> </w:t>
      </w:r>
      <w:r>
        <w:rPr>
          <w:rFonts w:ascii="Arial" w:cs="Arial" w:eastAsia="Arial" w:hAnsi="Arial"/>
          <w:sz w:val="18"/>
          <w:szCs w:val="18"/>
          <w:color w:val="auto"/>
        </w:rPr>
        <w:t>York City against delivery of such Firm Shares for the respective accounts of the several Underwriters at 10:00 a.m., New York City time, on [•], 2021, or at such other time on the same or such other date, not later than [•], 2021, as shall be designated in writing by the Representatives. The time and date of such payment are hereinafter referred to as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8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Payment for any Additional Shares shall be made to the Company in Federal or other funds immediately available in New York City against delivery of such Additional Shares for the respective accounts of the several Underwriters at 10:00 a.m., New York City time, on the date specified in the corresponding notice described in Section 2 or at such other time on the same or on such other date, in any event not later than [•], 2021 as shall be designated in writing by the Representatives.</w:t>
      </w:r>
    </w:p>
    <w:p>
      <w:pPr>
        <w:spacing w:after="0" w:line="187"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The Firm Shares and Additional Shares shall be registered in such names and in such denominations as the Representatives shall request not later than one full business day prior to the Closing Date or the applicable Option Closing Date, as the case may be. The Firm Shares and Additional Shares shall be delivered to Morgan Stanley on the Closing Date or an Option Closing Date, as the case may be, for the respective accounts of the several Underwriters, with any transfer taxes payable in connection with the transfer of the Shares to the Underwriters duly paid, against payment of the Purchase Price therefor.</w:t>
      </w:r>
    </w:p>
    <w:p>
      <w:pPr>
        <w:spacing w:after="0" w:line="80" w:lineRule="exact"/>
        <w:rPr>
          <w:sz w:val="20"/>
          <w:szCs w:val="20"/>
          <w:color w:val="auto"/>
        </w:rPr>
      </w:pPr>
    </w:p>
    <w:p>
      <w:pPr>
        <w:ind w:firstLine="436"/>
        <w:spacing w:after="0" w:line="263" w:lineRule="auto"/>
        <w:tabs>
          <w:tab w:leader="none" w:pos="620" w:val="left"/>
        </w:tabs>
        <w:numPr>
          <w:ilvl w:val="0"/>
          <w:numId w:val="178"/>
        </w:numPr>
        <w:rPr>
          <w:rFonts w:ascii="Arial" w:cs="Arial" w:eastAsia="Arial" w:hAnsi="Arial"/>
          <w:sz w:val="18"/>
          <w:szCs w:val="18"/>
          <w:color w:val="auto"/>
        </w:rPr>
      </w:pPr>
      <w:r>
        <w:rPr>
          <w:rFonts w:ascii="Arial" w:cs="Arial" w:eastAsia="Arial" w:hAnsi="Arial"/>
          <w:sz w:val="18"/>
          <w:szCs w:val="18"/>
          <w:i w:val="1"/>
          <w:iCs w:val="1"/>
          <w:color w:val="auto"/>
        </w:rPr>
        <w:t>Conditions to the Underwriters’ Obligations</w:t>
      </w:r>
      <w:r>
        <w:rPr>
          <w:rFonts w:ascii="Arial" w:cs="Arial" w:eastAsia="Arial" w:hAnsi="Arial"/>
          <w:sz w:val="18"/>
          <w:szCs w:val="18"/>
          <w:color w:val="auto"/>
        </w:rPr>
        <w:t>. The obligations of the Company to sell the Shares to the Underwriters and the several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Underwriters to purchase and pay for the Shares on the Closing Date are subject to the condition that the Registration Statement shall have become effective not later than [•] (New York City time) on the date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several obligations of the Underwriters are subject to the following further conditions:</w:t>
      </w:r>
    </w:p>
    <w:p>
      <w:pPr>
        <w:spacing w:after="0" w:line="117" w:lineRule="exact"/>
        <w:rPr>
          <w:sz w:val="20"/>
          <w:szCs w:val="20"/>
          <w:color w:val="auto"/>
        </w:rPr>
      </w:pPr>
    </w:p>
    <w:p>
      <w:pPr>
        <w:ind w:left="1100" w:hanging="241"/>
        <w:spacing w:after="0"/>
        <w:tabs>
          <w:tab w:leader="none" w:pos="11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Subsequent to the execution and delivery of this Agreement and prior to the Closing Date:</w:t>
      </w:r>
    </w:p>
    <w:p>
      <w:pPr>
        <w:spacing w:after="0" w:line="117" w:lineRule="exact"/>
        <w:rPr>
          <w:rFonts w:ascii="Arial" w:cs="Arial" w:eastAsia="Arial" w:hAnsi="Arial"/>
          <w:sz w:val="18"/>
          <w:szCs w:val="18"/>
          <w:color w:val="auto"/>
        </w:rPr>
      </w:pPr>
    </w:p>
    <w:p>
      <w:pPr>
        <w:ind w:left="980" w:right="360" w:firstLine="408"/>
        <w:spacing w:after="0" w:line="308" w:lineRule="auto"/>
        <w:tabs>
          <w:tab w:leader="none" w:pos="1596" w:val="left"/>
        </w:tabs>
        <w:numPr>
          <w:ilvl w:val="1"/>
          <w:numId w:val="179"/>
        </w:numPr>
        <w:rPr>
          <w:rFonts w:ascii="Arial" w:cs="Arial" w:eastAsia="Arial" w:hAnsi="Arial"/>
          <w:sz w:val="17"/>
          <w:szCs w:val="17"/>
          <w:color w:val="auto"/>
        </w:rPr>
      </w:pPr>
      <w:r>
        <w:rPr>
          <w:rFonts w:ascii="Arial" w:cs="Arial" w:eastAsia="Arial" w:hAnsi="Arial"/>
          <w:sz w:val="17"/>
          <w:szCs w:val="17"/>
          <w:color w:val="auto"/>
        </w:rPr>
        <w:t>no order suspending the effectiveness of the Registration Statement shall be in effect, and no proceeding for such purpose or pursuant to Section 8A under the Securities Act shall be pending before or threatened by the Commission; and</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0"/>
          </w:cols>
          <w:pgMar w:left="440" w:top="274" w:right="539" w:bottom="1440" w:gutter="0" w:footer="0" w:header="0"/>
        </w:sectPr>
      </w:pPr>
    </w:p>
    <w:bookmarkStart w:id="282" w:name="page283"/>
    <w:bookmarkEnd w:id="282"/>
    <w:p>
      <w:pPr>
        <w:ind w:left="980" w:right="120" w:firstLine="408"/>
        <w:spacing w:after="0" w:line="301" w:lineRule="auto"/>
        <w:tabs>
          <w:tab w:leader="none" w:pos="1646" w:val="left"/>
        </w:tabs>
        <w:numPr>
          <w:ilvl w:val="1"/>
          <w:numId w:val="18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shall not have occurred any change, or any development involving a prospective change, in the condition, financial or otherwise, or in the earnings, business or operations of the Company and its subsidiaries, taken as a whole, from that set forth in the Time of Sale Prospectus that, in the Representatives’ judgment, is material and adverse and that makes it, in the Representatives’ judgment, impracticable to market the Shares on the terms and in the manner contemplated in the Time of Sale Prospectus.</w:t>
      </w:r>
    </w:p>
    <w:p>
      <w:pPr>
        <w:spacing w:after="0" w:line="49" w:lineRule="exact"/>
        <w:rPr>
          <w:rFonts w:ascii="Arial" w:cs="Arial" w:eastAsia="Arial" w:hAnsi="Arial"/>
          <w:sz w:val="16"/>
          <w:szCs w:val="16"/>
          <w:color w:val="auto"/>
        </w:rPr>
      </w:pPr>
    </w:p>
    <w:p>
      <w:pPr>
        <w:ind w:left="440" w:right="120" w:firstLine="419"/>
        <w:spacing w:after="0" w:line="279" w:lineRule="auto"/>
        <w:tabs>
          <w:tab w:leader="none" w:pos="1118"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Underwriters shall have received on the Closing Date a certificate, dated the Closing Date and signed by an executive officer of the Company, to the effect set forth in Sections 5(a)(i) and 5(a)(ii)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officer signing and delivering such certificate may rely upon the best of his or her knowledge as to proceedings threatened.</w:t>
      </w:r>
    </w:p>
    <w:p>
      <w:pPr>
        <w:spacing w:after="0" w:line="117" w:lineRule="exact"/>
        <w:rPr>
          <w:sz w:val="20"/>
          <w:szCs w:val="20"/>
          <w:color w:val="auto"/>
        </w:rPr>
      </w:pPr>
    </w:p>
    <w:p>
      <w:pPr>
        <w:ind w:left="440" w:firstLine="419"/>
        <w:spacing w:after="0" w:line="277" w:lineRule="auto"/>
        <w:tabs>
          <w:tab w:leader="none" w:pos="110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(i) an opinion and (ii) negative assurance letter of Cooley LLP, outside counsel for the Company, dated the Closing Date, in form and substance reasonably satisfactory to the Underwriters.</w:t>
      </w:r>
    </w:p>
    <w:p>
      <w:pPr>
        <w:spacing w:after="0" w:line="62" w:lineRule="exact"/>
        <w:rPr>
          <w:rFonts w:ascii="Arial" w:cs="Arial" w:eastAsia="Arial" w:hAnsi="Arial"/>
          <w:sz w:val="18"/>
          <w:szCs w:val="18"/>
          <w:color w:val="auto"/>
        </w:rPr>
      </w:pPr>
    </w:p>
    <w:p>
      <w:pPr>
        <w:ind w:left="440" w:right="80" w:firstLine="419"/>
        <w:spacing w:after="0" w:line="342" w:lineRule="auto"/>
        <w:tabs>
          <w:tab w:leader="none" w:pos="1118"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Underwriters shall have received on the Closing Date an opinion and negative assurance letter of McCarter &amp; English, LLP, outside intellectual property counsel for the Company, dated the Closing Date, in form and substance reasonably satisfactory to the Underwriters.</w:t>
      </w:r>
    </w:p>
    <w:p>
      <w:pPr>
        <w:spacing w:after="0" w:line="15" w:lineRule="exact"/>
        <w:rPr>
          <w:rFonts w:ascii="Arial" w:cs="Arial" w:eastAsia="Arial" w:hAnsi="Arial"/>
          <w:sz w:val="16"/>
          <w:szCs w:val="16"/>
          <w:color w:val="auto"/>
        </w:rPr>
      </w:pPr>
    </w:p>
    <w:p>
      <w:pPr>
        <w:ind w:left="440" w:right="360" w:firstLine="419"/>
        <w:spacing w:after="0" w:line="308" w:lineRule="auto"/>
        <w:tabs>
          <w:tab w:leader="none" w:pos="1108"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Underwriters shall have received on the Closing Date (i) an opinion and (ii) negative assurance letter of Davis Polk &amp; Wardwell LLP, counsel for the Underwriters, dated the Closing Date, in form and substance reasonably satisfactory to the Underwriters.</w:t>
      </w:r>
    </w:p>
    <w:p>
      <w:pPr>
        <w:spacing w:after="0" w:line="146"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With respect to the negative assurance letters to be delivered pursuant to Sections 5(c)(ii) and 5(e)(ii) above, Cooley LLP and Davis Polk &amp; Wardwell LLP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w:t>
      </w:r>
    </w:p>
    <w:p>
      <w:pPr>
        <w:spacing w:after="0" w:line="18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The opinions of Cooley LLP and McCarter &amp; English LLP described in Section 5(c) and Section 5(d) above, respectively, shall be rendered to the Underwriters at the request of the Company and shall so state therein.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83" w:name="page284"/>
    <w:bookmarkEnd w:id="283"/>
    <w:p>
      <w:pPr>
        <w:ind w:right="60" w:firstLine="419"/>
        <w:spacing w:after="0" w:line="296" w:lineRule="auto"/>
        <w:tabs>
          <w:tab w:leader="none" w:pos="648" w:val="left"/>
        </w:tabs>
        <w:numPr>
          <w:ilvl w:val="0"/>
          <w:numId w:val="18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Underwriters shall have received, on each of the date hereof and the Closing Date, a letter dated the date hereof or the Closing Date, as the case may be, in form and substance reasonably satisfactory to the Underwriters, from PricewaterhouseCoopers LLP,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letter delivered on the Closing Date shall use a “cut-off date” not earlier than the date hereof.</w:t>
      </w:r>
    </w:p>
    <w:p>
      <w:pPr>
        <w:spacing w:after="0" w:line="53" w:lineRule="exact"/>
        <w:rPr>
          <w:rFonts w:ascii="Arial" w:cs="Arial" w:eastAsia="Arial" w:hAnsi="Arial"/>
          <w:sz w:val="16"/>
          <w:szCs w:val="16"/>
          <w:color w:val="auto"/>
        </w:rPr>
      </w:pPr>
    </w:p>
    <w:p>
      <w:pPr>
        <w:ind w:right="220" w:firstLine="419"/>
        <w:spacing w:after="0" w:line="259" w:lineRule="auto"/>
        <w:tabs>
          <w:tab w:leader="none" w:pos="67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“lock-up” agreements, each substantially in the form of Exhibit A hereto, between the Representatives and certain shareholders, officers and directors of the Company relating to restrictions on sales and certain other dispositions of shares of Common Stock or certain other securities, delivered to the Representatives on or before the date hereof (the “</w:t>
      </w:r>
      <w:r>
        <w:rPr>
          <w:rFonts w:ascii="Arial" w:cs="Arial" w:eastAsia="Arial" w:hAnsi="Arial"/>
          <w:sz w:val="18"/>
          <w:szCs w:val="18"/>
          <w:b w:val="1"/>
          <w:bCs w:val="1"/>
          <w:color w:val="auto"/>
        </w:rPr>
        <w:t>Lock-up Agreements</w:t>
      </w:r>
      <w:r>
        <w:rPr>
          <w:rFonts w:ascii="Arial" w:cs="Arial" w:eastAsia="Arial" w:hAnsi="Arial"/>
          <w:sz w:val="18"/>
          <w:szCs w:val="18"/>
          <w:color w:val="auto"/>
        </w:rPr>
        <w:t>”), shall be in full force and effect on the Closing Date.</w:t>
      </w:r>
    </w:p>
    <w:p>
      <w:pPr>
        <w:spacing w:after="0" w:line="78" w:lineRule="exact"/>
        <w:rPr>
          <w:rFonts w:ascii="Arial" w:cs="Arial" w:eastAsia="Arial" w:hAnsi="Arial"/>
          <w:sz w:val="18"/>
          <w:szCs w:val="18"/>
          <w:color w:val="auto"/>
        </w:rPr>
      </w:pPr>
    </w:p>
    <w:p>
      <w:pPr>
        <w:ind w:firstLine="419"/>
        <w:spacing w:after="0" w:line="277" w:lineRule="auto"/>
        <w:tabs>
          <w:tab w:leader="none" w:pos="67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several obligations of the Underwriters to purchase Additional Shares hereunder are subject to the delivery to the Representatives on the applicable Option Closing Date of the following:</w:t>
      </w:r>
    </w:p>
    <w:p>
      <w:pPr>
        <w:spacing w:after="0" w:line="62" w:lineRule="exact"/>
        <w:rPr>
          <w:rFonts w:ascii="Arial" w:cs="Arial" w:eastAsia="Arial" w:hAnsi="Arial"/>
          <w:sz w:val="18"/>
          <w:szCs w:val="18"/>
          <w:color w:val="auto"/>
        </w:rPr>
      </w:pPr>
    </w:p>
    <w:p>
      <w:pPr>
        <w:ind w:left="540" w:right="320" w:firstLine="408"/>
        <w:spacing w:after="0" w:line="342" w:lineRule="auto"/>
        <w:tabs>
          <w:tab w:leader="none" w:pos="1156" w:val="left"/>
        </w:tabs>
        <w:numPr>
          <w:ilvl w:val="1"/>
          <w:numId w:val="183"/>
        </w:numPr>
        <w:rPr>
          <w:rFonts w:ascii="Arial" w:cs="Arial" w:eastAsia="Arial" w:hAnsi="Arial"/>
          <w:sz w:val="16"/>
          <w:szCs w:val="16"/>
          <w:color w:val="auto"/>
        </w:rPr>
      </w:pPr>
      <w:r>
        <w:rPr>
          <w:rFonts w:ascii="Arial" w:cs="Arial" w:eastAsia="Arial" w:hAnsi="Arial"/>
          <w:sz w:val="16"/>
          <w:szCs w:val="16"/>
          <w:color w:val="auto"/>
        </w:rPr>
        <w:t>a certificate, dated the Option Closing Date and signed by an executive officer of the Company, confirming that the certificate delivered on the Closing Date pursuant to Section 5(b) hereof remains true and correct as of such Option Closing Date;</w:t>
      </w:r>
    </w:p>
    <w:p>
      <w:pPr>
        <w:spacing w:after="0" w:line="15" w:lineRule="exact"/>
        <w:rPr>
          <w:rFonts w:ascii="Arial" w:cs="Arial" w:eastAsia="Arial" w:hAnsi="Arial"/>
          <w:sz w:val="16"/>
          <w:szCs w:val="16"/>
          <w:color w:val="auto"/>
        </w:rPr>
      </w:pPr>
    </w:p>
    <w:p>
      <w:pPr>
        <w:jc w:val="both"/>
        <w:ind w:left="540" w:right="560" w:firstLine="408"/>
        <w:spacing w:after="0" w:line="263" w:lineRule="auto"/>
        <w:tabs>
          <w:tab w:leader="none" w:pos="1206"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an opinion and negative assurance letter of Cooley LLP, outside counsel for the Company, dated the Option Closing Date, relating to the Additional Shares to be purchased on such Option Closing Date and otherwise to the same effect as the opinion and negative assurance letter required by Section 5(c) hereof;</w:t>
      </w:r>
    </w:p>
    <w:p>
      <w:pPr>
        <w:spacing w:after="0" w:line="75" w:lineRule="exact"/>
        <w:rPr>
          <w:rFonts w:ascii="Arial" w:cs="Arial" w:eastAsia="Arial" w:hAnsi="Arial"/>
          <w:sz w:val="18"/>
          <w:szCs w:val="18"/>
          <w:color w:val="auto"/>
        </w:rPr>
      </w:pPr>
    </w:p>
    <w:p>
      <w:pPr>
        <w:ind w:left="540" w:right="140" w:firstLine="408"/>
        <w:spacing w:after="0" w:line="277" w:lineRule="auto"/>
        <w:tabs>
          <w:tab w:leader="none" w:pos="1256"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an opinion of McCarter &amp; English, LLP, outside intellectual property counsel for the Company, dated the Option Closing Date, substantially in the same form and substance as the opinion required by Section 5(d) hereof;</w:t>
      </w:r>
    </w:p>
    <w:p>
      <w:pPr>
        <w:spacing w:after="0" w:line="62" w:lineRule="exact"/>
        <w:rPr>
          <w:rFonts w:ascii="Arial" w:cs="Arial" w:eastAsia="Arial" w:hAnsi="Arial"/>
          <w:sz w:val="18"/>
          <w:szCs w:val="18"/>
          <w:color w:val="auto"/>
        </w:rPr>
      </w:pPr>
    </w:p>
    <w:p>
      <w:pPr>
        <w:ind w:left="540" w:right="60" w:firstLine="408"/>
        <w:spacing w:after="0" w:line="263" w:lineRule="auto"/>
        <w:tabs>
          <w:tab w:leader="none" w:pos="1246"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an opinion and negative assurance letter of Davis Polk &amp; Wardwell LLP, counsel for the Underwriters, dated the Option Closing Date, relating to the Additional Shares to be purchased on such Option Closing Date and otherwise to the same effect as the opinion and negative assurance letter required by Section 5(e) hereof;</w:t>
      </w:r>
    </w:p>
    <w:p>
      <w:pPr>
        <w:spacing w:after="0" w:line="75" w:lineRule="exact"/>
        <w:rPr>
          <w:rFonts w:ascii="Arial" w:cs="Arial" w:eastAsia="Arial" w:hAnsi="Arial"/>
          <w:sz w:val="18"/>
          <w:szCs w:val="18"/>
          <w:color w:val="auto"/>
        </w:rPr>
      </w:pPr>
    </w:p>
    <w:p>
      <w:pPr>
        <w:ind w:left="540" w:right="140" w:firstLine="408"/>
        <w:spacing w:after="0" w:line="259" w:lineRule="auto"/>
        <w:tabs>
          <w:tab w:leader="none" w:pos="1196" w:val="left"/>
        </w:tabs>
        <w:numPr>
          <w:ilvl w:val="1"/>
          <w:numId w:val="183"/>
        </w:numPr>
        <w:rPr>
          <w:rFonts w:ascii="Arial" w:cs="Arial" w:eastAsia="Arial" w:hAnsi="Arial"/>
          <w:sz w:val="18"/>
          <w:szCs w:val="18"/>
          <w:color w:val="auto"/>
        </w:rPr>
      </w:pPr>
      <w:r>
        <w:rPr>
          <w:rFonts w:ascii="Arial" w:cs="Arial" w:eastAsia="Arial" w:hAnsi="Arial"/>
          <w:sz w:val="18"/>
          <w:szCs w:val="18"/>
          <w:color w:val="auto"/>
        </w:rPr>
        <w:t xml:space="preserve">a letter dated the Option Closing Date, in form and substance reasonably satisfactory to the Underwriters, from PricewaterhouseCoopers LLP, independent public accountants, substantially in the same form and substance as the letter furnished to the Underwriters pursuant to Section 5(f)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letter delivered on the Option Closing Date shall use a “cut-off date” not earlier than two business days prior to such Option Closing Date; and</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40"/>
          </w:cols>
          <w:pgMar w:left="880" w:top="274" w:right="479" w:bottom="1440" w:gutter="0" w:footer="0" w:header="0"/>
        </w:sectPr>
      </w:pPr>
    </w:p>
    <w:bookmarkStart w:id="284" w:name="page285"/>
    <w:bookmarkEnd w:id="284"/>
    <w:p>
      <w:pPr>
        <w:ind w:left="544" w:right="240" w:firstLine="408"/>
        <w:spacing w:after="0" w:line="263" w:lineRule="auto"/>
        <w:tabs>
          <w:tab w:leader="none" w:pos="1249" w:val="left"/>
        </w:tabs>
        <w:numPr>
          <w:ilvl w:val="2"/>
          <w:numId w:val="1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other documents as the Representatives may reasonably request, including with respect to the good standing of the Company and its subsidiaries, the due authorization and issuance of the Additional Shares to be sold on such Option Closing Date and other matters related to the issuance of such Additional Shares.</w:t>
      </w:r>
    </w:p>
    <w:p>
      <w:pPr>
        <w:spacing w:after="0" w:line="75" w:lineRule="exact"/>
        <w:rPr>
          <w:rFonts w:ascii="Arial" w:cs="Arial" w:eastAsia="Arial" w:hAnsi="Arial"/>
          <w:sz w:val="18"/>
          <w:szCs w:val="18"/>
          <w:color w:val="auto"/>
        </w:rPr>
      </w:pPr>
    </w:p>
    <w:p>
      <w:pPr>
        <w:ind w:left="184" w:hanging="184"/>
        <w:spacing w:after="0"/>
        <w:tabs>
          <w:tab w:leader="none" w:pos="184" w:val="left"/>
        </w:tabs>
        <w:numPr>
          <w:ilvl w:val="0"/>
          <w:numId w:val="185"/>
        </w:numPr>
        <w:rPr>
          <w:rFonts w:ascii="Arial" w:cs="Arial" w:eastAsia="Arial" w:hAnsi="Arial"/>
          <w:sz w:val="18"/>
          <w:szCs w:val="18"/>
          <w:color w:val="auto"/>
        </w:rPr>
      </w:pPr>
      <w:r>
        <w:rPr>
          <w:rFonts w:ascii="Arial" w:cs="Arial" w:eastAsia="Arial" w:hAnsi="Arial"/>
          <w:sz w:val="18"/>
          <w:szCs w:val="18"/>
          <w:i w:val="1"/>
          <w:iCs w:val="1"/>
          <w:color w:val="auto"/>
        </w:rPr>
        <w:t>Covenants of the Company</w:t>
      </w:r>
      <w:r>
        <w:rPr>
          <w:rFonts w:ascii="Arial" w:cs="Arial" w:eastAsia="Arial" w:hAnsi="Arial"/>
          <w:sz w:val="18"/>
          <w:szCs w:val="18"/>
          <w:color w:val="auto"/>
        </w:rPr>
        <w:t>. The Company covenants with each Underwriter as follows:</w:t>
      </w:r>
    </w:p>
    <w:p>
      <w:pPr>
        <w:spacing w:after="0" w:line="117" w:lineRule="exact"/>
        <w:rPr>
          <w:rFonts w:ascii="Arial" w:cs="Arial" w:eastAsia="Arial" w:hAnsi="Arial"/>
          <w:sz w:val="18"/>
          <w:szCs w:val="18"/>
          <w:color w:val="auto"/>
        </w:rPr>
      </w:pPr>
    </w:p>
    <w:p>
      <w:pPr>
        <w:ind w:left="4" w:firstLine="419"/>
        <w:spacing w:after="0" w:line="296" w:lineRule="auto"/>
        <w:tabs>
          <w:tab w:leader="none" w:pos="671" w:val="left"/>
        </w:tabs>
        <w:numPr>
          <w:ilvl w:val="1"/>
          <w:numId w:val="185"/>
        </w:numPr>
        <w:rPr>
          <w:rFonts w:ascii="Arial" w:cs="Arial" w:eastAsia="Arial" w:hAnsi="Arial"/>
          <w:sz w:val="16"/>
          <w:szCs w:val="16"/>
          <w:color w:val="auto"/>
        </w:rPr>
      </w:pPr>
      <w:r>
        <w:rPr>
          <w:rFonts w:ascii="Arial" w:cs="Arial" w:eastAsia="Arial" w:hAnsi="Arial"/>
          <w:sz w:val="16"/>
          <w:szCs w:val="16"/>
          <w:color w:val="auto"/>
        </w:rPr>
        <w:t>To furnish to the Representatives, upon written request, without charge, five signed copies of the Registration Statement (including exhibits thereto) and for delivery to each other Underwriter a conformed copy of the Registration Statement (without exhibits thereto) and to furnish to the Representatives in New York City, without charge, prior to 10:00 a.m. New York City time on the business day next succeeding the date of this Agreement and during the period mentioned in Section 6(e) or 6(f) below, as many copies of the Time of Sale Prospectus, the Prospectus and any supplements and amendments thereto or to the Registration Statement as the Representatives may reasonably request.</w:t>
      </w:r>
    </w:p>
    <w:p>
      <w:pPr>
        <w:spacing w:after="0" w:line="53" w:lineRule="exact"/>
        <w:rPr>
          <w:rFonts w:ascii="Arial" w:cs="Arial" w:eastAsia="Arial" w:hAnsi="Arial"/>
          <w:sz w:val="16"/>
          <w:szCs w:val="16"/>
          <w:color w:val="auto"/>
        </w:rPr>
      </w:pPr>
    </w:p>
    <w:p>
      <w:pPr>
        <w:ind w:left="4" w:right="20" w:firstLine="419"/>
        <w:spacing w:after="0" w:line="259" w:lineRule="auto"/>
        <w:tabs>
          <w:tab w:leader="none" w:pos="681" w:val="left"/>
        </w:tabs>
        <w:numPr>
          <w:ilvl w:val="1"/>
          <w:numId w:val="185"/>
        </w:numPr>
        <w:rPr>
          <w:rFonts w:ascii="Arial" w:cs="Arial" w:eastAsia="Arial" w:hAnsi="Arial"/>
          <w:sz w:val="18"/>
          <w:szCs w:val="18"/>
          <w:color w:val="auto"/>
        </w:rPr>
      </w:pPr>
      <w:r>
        <w:rPr>
          <w:rFonts w:ascii="Arial" w:cs="Arial" w:eastAsia="Arial" w:hAnsi="Arial"/>
          <w:sz w:val="18"/>
          <w:szCs w:val="18"/>
          <w:color w:val="auto"/>
        </w:rPr>
        <w:t>Before amending or supplementing the Registration Statement, the Time of Sale Prospectus or the Prospectus, to furnish to the Representatives a copy of each such proposed amendment or supplement and not to file any such proposed amendment or supplement to which the Representatives reasonably object, and to file with the Commission within the applicable period specified in Rule 424(b) under the Securities Act any prospectus required to be filed pursuant to such Rule.</w:t>
      </w:r>
    </w:p>
    <w:p>
      <w:pPr>
        <w:spacing w:after="0" w:line="78" w:lineRule="exact"/>
        <w:rPr>
          <w:rFonts w:ascii="Arial" w:cs="Arial" w:eastAsia="Arial" w:hAnsi="Arial"/>
          <w:sz w:val="18"/>
          <w:szCs w:val="18"/>
          <w:color w:val="auto"/>
        </w:rPr>
      </w:pPr>
    </w:p>
    <w:p>
      <w:pPr>
        <w:ind w:left="4" w:right="20" w:firstLine="419"/>
        <w:spacing w:after="0" w:line="342" w:lineRule="auto"/>
        <w:tabs>
          <w:tab w:leader="none" w:pos="671" w:val="left"/>
        </w:tabs>
        <w:numPr>
          <w:ilvl w:val="1"/>
          <w:numId w:val="185"/>
        </w:numPr>
        <w:rPr>
          <w:rFonts w:ascii="Arial" w:cs="Arial" w:eastAsia="Arial" w:hAnsi="Arial"/>
          <w:sz w:val="16"/>
          <w:szCs w:val="16"/>
          <w:color w:val="auto"/>
        </w:rPr>
      </w:pPr>
      <w:r>
        <w:rPr>
          <w:rFonts w:ascii="Arial" w:cs="Arial" w:eastAsia="Arial" w:hAnsi="Arial"/>
          <w:sz w:val="16"/>
          <w:szCs w:val="16"/>
          <w:color w:val="auto"/>
        </w:rPr>
        <w:t>To furnish to the Representatives a copy of each proposed free writing prospectus to be prepared by or on behalf of, used by, or referred to by the Company and not to use or refer to any proposed free writing prospectus to which the Representatives reasonably object.</w:t>
      </w:r>
    </w:p>
    <w:p>
      <w:pPr>
        <w:spacing w:after="0" w:line="15" w:lineRule="exact"/>
        <w:rPr>
          <w:rFonts w:ascii="Arial" w:cs="Arial" w:eastAsia="Arial" w:hAnsi="Arial"/>
          <w:sz w:val="16"/>
          <w:szCs w:val="16"/>
          <w:color w:val="auto"/>
        </w:rPr>
      </w:pPr>
    </w:p>
    <w:p>
      <w:pPr>
        <w:ind w:left="4" w:right="40" w:firstLine="419"/>
        <w:spacing w:after="0" w:line="263" w:lineRule="auto"/>
        <w:tabs>
          <w:tab w:leader="none" w:pos="681" w:val="left"/>
        </w:tabs>
        <w:numPr>
          <w:ilvl w:val="1"/>
          <w:numId w:val="185"/>
        </w:numPr>
        <w:rPr>
          <w:rFonts w:ascii="Arial" w:cs="Arial" w:eastAsia="Arial" w:hAnsi="Arial"/>
          <w:sz w:val="18"/>
          <w:szCs w:val="18"/>
          <w:color w:val="auto"/>
        </w:rPr>
      </w:pPr>
      <w:r>
        <w:rPr>
          <w:rFonts w:ascii="Arial" w:cs="Arial" w:eastAsia="Arial" w:hAnsi="Arial"/>
          <w:sz w:val="18"/>
          <w:szCs w:val="18"/>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75" w:lineRule="exact"/>
        <w:rPr>
          <w:rFonts w:ascii="Arial" w:cs="Arial" w:eastAsia="Arial" w:hAnsi="Arial"/>
          <w:sz w:val="18"/>
          <w:szCs w:val="18"/>
          <w:color w:val="auto"/>
        </w:rPr>
      </w:pPr>
    </w:p>
    <w:p>
      <w:pPr>
        <w:ind w:left="4" w:right="140" w:firstLine="419"/>
        <w:spacing w:after="0" w:line="286" w:lineRule="auto"/>
        <w:tabs>
          <w:tab w:leader="none" w:pos="671" w:val="left"/>
        </w:tabs>
        <w:numPr>
          <w:ilvl w:val="1"/>
          <w:numId w:val="185"/>
        </w:numPr>
        <w:rPr>
          <w:rFonts w:ascii="Arial" w:cs="Arial" w:eastAsia="Arial" w:hAnsi="Arial"/>
          <w:sz w:val="17"/>
          <w:szCs w:val="17"/>
          <w:color w:val="auto"/>
        </w:rPr>
      </w:pPr>
      <w:r>
        <w:rPr>
          <w:rFonts w:ascii="Arial" w:cs="Arial" w:eastAsia="Arial" w:hAnsi="Arial"/>
          <w:sz w:val="17"/>
          <w:szCs w:val="17"/>
          <w:color w:val="auto"/>
        </w:rPr>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w:t>
      </w:r>
    </w:p>
    <w:p>
      <w:pPr>
        <w:spacing w:after="0" w:line="98" w:lineRule="exact"/>
        <w:rPr>
          <w:sz w:val="20"/>
          <w:szCs w:val="20"/>
          <w:color w:val="auto"/>
        </w:rPr>
      </w:pPr>
    </w:p>
    <w:p>
      <w:pPr>
        <w:jc w:val="center"/>
        <w:ind w:right="316"/>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464"/>
          </w:cols>
          <w:pgMar w:left="876" w:top="274" w:right="559" w:bottom="1440" w:gutter="0" w:footer="0" w:header="0"/>
        </w:sectPr>
      </w:pPr>
    </w:p>
    <w:bookmarkStart w:id="285" w:name="page286"/>
    <w:bookmarkEnd w:id="285"/>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58" w:lineRule="exact"/>
        <w:rPr>
          <w:sz w:val="20"/>
          <w:szCs w:val="20"/>
          <w:color w:val="auto"/>
        </w:rPr>
      </w:pPr>
    </w:p>
    <w:p>
      <w:pPr>
        <w:ind w:left="640" w:hanging="221"/>
        <w:spacing w:after="0"/>
        <w:tabs>
          <w:tab w:leader="none" w:pos="64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If, during such period after the first date of the public offering of the Shares as in the opinion of counsel for the Underwriters the</w:t>
      </w:r>
    </w:p>
    <w:p>
      <w:pPr>
        <w:spacing w:after="0" w:line="34" w:lineRule="exact"/>
        <w:rPr>
          <w:rFonts w:ascii="Arial" w:cs="Arial" w:eastAsia="Arial" w:hAnsi="Arial"/>
          <w:sz w:val="17"/>
          <w:szCs w:val="17"/>
          <w:color w:val="auto"/>
        </w:rPr>
      </w:pPr>
    </w:p>
    <w:p>
      <w:pPr>
        <w:spacing w:after="0" w:line="286" w:lineRule="auto"/>
        <w:rPr>
          <w:rFonts w:ascii="Arial" w:cs="Arial" w:eastAsia="Arial" w:hAnsi="Arial"/>
          <w:sz w:val="17"/>
          <w:szCs w:val="17"/>
          <w:color w:val="auto"/>
        </w:rPr>
      </w:pPr>
      <w:r>
        <w:rPr>
          <w:rFonts w:ascii="Arial" w:cs="Arial" w:eastAsia="Arial" w:hAnsi="Arial"/>
          <w:sz w:val="16"/>
          <w:szCs w:val="16"/>
          <w:color w:val="auto"/>
        </w:rPr>
        <w:t>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Representatives will furnish to the Company) to which Shares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61" w:lineRule="exact"/>
        <w:rPr>
          <w:rFonts w:ascii="Arial" w:cs="Arial" w:eastAsia="Arial" w:hAnsi="Arial"/>
          <w:sz w:val="17"/>
          <w:szCs w:val="17"/>
          <w:color w:val="auto"/>
        </w:rPr>
      </w:pPr>
    </w:p>
    <w:p>
      <w:pPr>
        <w:ind w:right="120" w:firstLine="419"/>
        <w:spacing w:after="0" w:line="279" w:lineRule="auto"/>
        <w:tabs>
          <w:tab w:leader="none" w:pos="678"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To endeavor to qualify the Shares for offer and sale under the securities or Blue Sky laws of such jurisdictions as the Representatives shall reasonably request; provided,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63" w:lineRule="exact"/>
        <w:rPr>
          <w:rFonts w:ascii="Arial" w:cs="Arial" w:eastAsia="Arial" w:hAnsi="Arial"/>
          <w:sz w:val="17"/>
          <w:szCs w:val="17"/>
          <w:color w:val="auto"/>
        </w:rPr>
      </w:pPr>
    </w:p>
    <w:p>
      <w:pPr>
        <w:ind w:right="120" w:firstLine="419"/>
        <w:spacing w:after="0" w:line="279" w:lineRule="auto"/>
        <w:tabs>
          <w:tab w:leader="none" w:pos="678"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To make generally available (which may be satisfied by filing with the Commission on its Electronic Data Gathering Analysis and Retrieval System) to the Company’s security holders and to the Underwriters as soon as practicable an earnings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10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40"/>
          </w:cols>
          <w:pgMar w:left="880" w:top="274" w:right="479" w:bottom="1440" w:gutter="0" w:footer="0" w:header="0"/>
        </w:sectPr>
      </w:pPr>
    </w:p>
    <w:bookmarkStart w:id="286" w:name="page287"/>
    <w:bookmarkEnd w:id="286"/>
    <w:p>
      <w:pPr>
        <w:ind w:firstLine="419"/>
        <w:spacing w:after="0" w:line="284" w:lineRule="auto"/>
        <w:tabs>
          <w:tab w:leader="none" w:pos="638" w:val="left"/>
        </w:tabs>
        <w:numPr>
          <w:ilvl w:val="0"/>
          <w:numId w:val="18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any transfer or other taxes payable thereon, (iii) the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6(g) hereof, including filing fees and the reasonable fees and disbursements of counsel for the Underwriters in connection with such qualification and in connection with the Blue Sky or Legal Investment memorandum (such fees and expenses of counsel in an aggregate amount not to exceed $5,000), (iv) all filing fees and the reasonable fees and disbursements of counsel to the Underwriters incurred in connection with the review and qualification of the offering of the Shares by FINRA (such fees and expenses of counsel in an aggregate amount not to exceed $35,000), (v) all fees and expenses in connection with the preparation and filing of the registration statement on Form 8-A relating to the Common Stock and all costs and expenses incident to listing the Shares on the NASDAQ Global Market, (vi) the cost of printing certificates representing the Shares, (vii) the costs and charges of any transfer agent, registrar or depositary, (viii) the costs and expenses of the Company relating to investor presentations on any “road show” undertaken in connection with the marketing of the offering of the Shares (with the Underwriters agreeing to pay all costs and expenses related to their participation in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50% of the cost of any aircraft chartered in connection with the road show with the remaining 50% of the cost of such aircraft to be paid by the Underwriters, (ix) the document production charges and expenses associated with printing this Agreement and (x) all other costs and expenses incident to the performance of the obligations of the Company</w:t>
      </w:r>
    </w:p>
    <w:p>
      <w:pPr>
        <w:spacing w:after="0" w:line="32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560"/>
          </w:cols>
          <w:pgMar w:left="880" w:top="274" w:right="459" w:bottom="1440" w:gutter="0" w:footer="0" w:header="0"/>
        </w:sectPr>
      </w:pPr>
    </w:p>
    <w:bookmarkStart w:id="287" w:name="page288"/>
    <w:bookmarkEnd w:id="287"/>
    <w:p>
      <w:pPr>
        <w:ind w:left="440" w:right="1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hereunder for which provision is not otherwise made in this Section. It is understood, however, that except as provided in this Section, Section 8 entitled “Indemnity and Contribution” and the last paragraph of Section 11 below, the Underwriters will pay all of their costs and expenses, including fees and disbursements of their counsel, stock transfer taxes payable on resale of any of the Shares by them, any advertising expenses connected with any offers they may make and all travel and other expenses of the Underwriters or any of their employees incurred by them in connection with participation in investor presentations on any “road show” undertaken in connection with the marketing of the offering of the Shares.</w:t>
      </w:r>
    </w:p>
    <w:p>
      <w:pPr>
        <w:spacing w:after="0" w:line="84" w:lineRule="exact"/>
        <w:rPr>
          <w:sz w:val="20"/>
          <w:szCs w:val="20"/>
          <w:color w:val="auto"/>
        </w:rPr>
      </w:pPr>
    </w:p>
    <w:p>
      <w:pPr>
        <w:ind w:left="440" w:right="20" w:firstLine="419"/>
        <w:spacing w:after="0" w:line="263" w:lineRule="auto"/>
        <w:tabs>
          <w:tab w:leader="none" w:pos="107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Company will promptly notify the Representatives if the Company ceases to be an Emerging Growth Company at any time prior to the later of (i) completion of the distribution of the Shares within the meaning of the Securities Act and (ii) completion of the Restricted Period (as defined in this Section 6).</w:t>
      </w:r>
    </w:p>
    <w:p>
      <w:pPr>
        <w:spacing w:after="0" w:line="75" w:lineRule="exact"/>
        <w:rPr>
          <w:rFonts w:ascii="Arial" w:cs="Arial" w:eastAsia="Arial" w:hAnsi="Arial"/>
          <w:sz w:val="18"/>
          <w:szCs w:val="18"/>
          <w:color w:val="auto"/>
        </w:rPr>
      </w:pPr>
    </w:p>
    <w:p>
      <w:pPr>
        <w:ind w:left="440" w:firstLine="419"/>
        <w:spacing w:after="0" w:line="255" w:lineRule="auto"/>
        <w:tabs>
          <w:tab w:leader="none" w:pos="111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If at any time following the distribution of any Testing-the-Waters Communication that is a written communication within the meaning of Rule 405 under the Securities Act there occurred or occurs an event or development as a result of which such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Testing-the-Waters Communication to eliminate or correct such untrue statement or omission.</w:t>
      </w:r>
    </w:p>
    <w:p>
      <w:pPr>
        <w:spacing w:after="0" w:line="84" w:lineRule="exact"/>
        <w:rPr>
          <w:rFonts w:ascii="Arial" w:cs="Arial" w:eastAsia="Arial" w:hAnsi="Arial"/>
          <w:sz w:val="18"/>
          <w:szCs w:val="18"/>
          <w:color w:val="auto"/>
        </w:rPr>
      </w:pPr>
    </w:p>
    <w:p>
      <w:pPr>
        <w:jc w:val="both"/>
        <w:ind w:left="440" w:right="300" w:firstLine="419"/>
        <w:spacing w:after="0" w:line="259" w:lineRule="auto"/>
        <w:tabs>
          <w:tab w:leader="none" w:pos="107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Company will deliver to each Underwriter (or its agent), on the date of execution of this Agreement, a properly completed and 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also covenants with each Underwriter that, without the prior written consent of Morgan Stanley and Jefferies on behalf of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Underwriters, it will not, and will not publicly disclose an intention to, during the period ending 180 days after the date of the Prospectus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Period</w:t>
      </w:r>
      <w:r>
        <w:rPr>
          <w:rFonts w:ascii="Arial" w:cs="Arial" w:eastAsia="Arial" w:hAnsi="Arial"/>
          <w:sz w:val="16"/>
          <w:szCs w:val="16"/>
          <w:color w:val="auto"/>
        </w:rPr>
        <w:t>”), (1) offer, pledge, sell, contract to sell, sell any option or contract to purchase, purchase any option or contract to sell, grant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option, right or warrant to purchase, lend, or otherwise transfer or dispose of, directly or indirectly, any shares of Common Stock or any securities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convertible into or exercisable or exchangeable for Common Stock or (2) enter into any swap or other arrangement that transfers to another, in whole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part, any of the economic consequences of ownership of the Common Stock, whether any such transaction described in clause (1) or (2) above is to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settled by delivery of Common Stock or such other securities, in cash or otherwise or (3) file any registration statement with the Commission relating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offering of any shares of Common Stock or any securities convertible into or exercisable or exchangeable for Common Stock.</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288" w:name="page289"/>
    <w:bookmarkEnd w:id="288"/>
    <w:p>
      <w:pPr>
        <w:ind w:firstLine="4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restrictions contained in the preceding paragraph shall not apply to (A) the Shares to be sold hereunder, (B) the issuance by the Company of shares of Common Stock upon the exercise of an option or warrant or the conversion of a security outstanding on the date hereof as described in each of the Time of Sale Prospectus and Prospectus, (C) facilitating the establishment of a trading plan on behalf of a shareholder, officer or director of the Company pursuant to Rule 10b5-1 under the Exchange Act for the transfer of shares of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plan does not provide for the transfer of Common Stock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 (D) grants of options, restricted stock or other equity awards and the issuance of Common Stock or securities convertible into or exercisable for Common Stock (whether upon the exercise of stock options or otherwise) to employees, officers, directors, advisors, or consultants of the Company pursuant to the terms of a plan in effect on the date hereof and described in the Time of Sale Prospectus, (E) the filing of a registration statement on Form S-8 to register Common Stock issuable pursuant to any employee benefit plans, qualified stock option plans or other employee compensation plans, (F) the issuance by the Company of shares of Common Stock or any securities convertible into, or exercisable or exchangeable for, Common Stock, or the entrance into an agreement to issue Common Stock or any securities convertible into, or exercisable or exchangeable for, Common Stock, in connection with any merger, joint venture, strategic alliances, commercial or other collaborative transaction or the acquisition or license of the business, property, technology or other assets of another individual or entity or the assumption of an employee benefit plan in connection with a merger or acquisition;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number of shares of Common Stock or any securities convertible into, or exercisable or exchangeable for, Common Stock that the Company may issue or agree to issue pursuant to this clause (F) shall not exceed 10% of the total outstanding share capital of the Company immediately following the issuance of the Shares;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recipients thereof provide to the Representatives a signed lock-up letter substantially in the form of the lock-up letter described in Section 5(h) hereof.</w:t>
      </w:r>
    </w:p>
    <w:p>
      <w:pPr>
        <w:spacing w:after="0" w:line="387"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If Morgan Stanley and Jefferies, in their sole discretion, agree to release or waive the restrictions on the transfer of Shares set forth in a Lock-up Agreement for an officer or director of the Company and provide the Company with notice of the impending release or waiver at least three business days before the effective date of the release or waiver, the Company agrees to announce the impending release or waiver by a press release substantially in the form of Exhibit B hereto through a major news service at least two business days before the effective date of the release or waiver. The provisions of this paragraph will not apply if (a) the release or waiver is effected solely to permit a transfer not for consideration or to an “immediate family member” (as defined in FINRA Rule 5130(i)(5)) of such officer or director of the Company and (b) the transferee has agreed in writing to be bound by the terms described in the Lock-up Agreement to the extent and for the duration that such terms remain in effect at the time of the transfer.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440" w:top="274" w:right="499" w:bottom="1440" w:gutter="0" w:footer="0" w:header="0"/>
        </w:sectPr>
      </w:pPr>
    </w:p>
    <w:bookmarkStart w:id="289" w:name="page290"/>
    <w:bookmarkEnd w:id="289"/>
    <w:p>
      <w:pPr>
        <w:ind w:right="380" w:firstLine="436"/>
        <w:spacing w:after="0" w:line="286" w:lineRule="auto"/>
        <w:tabs>
          <w:tab w:leader="none" w:pos="620" w:val="left"/>
        </w:tabs>
        <w:numPr>
          <w:ilvl w:val="0"/>
          <w:numId w:val="189"/>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Covenants of the Underwriters</w:t>
      </w:r>
      <w:r>
        <w:rPr>
          <w:rFonts w:ascii="Arial" w:cs="Arial" w:eastAsia="Arial" w:hAnsi="Arial"/>
          <w:sz w:val="17"/>
          <w:szCs w:val="17"/>
          <w:color w:val="auto"/>
        </w:rPr>
        <w:t>. Each Underwriter, severally and not jointly, covenants with the Company not to take any action that would</w:t>
      </w:r>
      <w:r>
        <w:rPr>
          <w:rFonts w:ascii="Arial" w:cs="Arial" w:eastAsia="Arial" w:hAnsi="Arial"/>
          <w:sz w:val="17"/>
          <w:szCs w:val="17"/>
          <w:i w:val="1"/>
          <w:iCs w:val="1"/>
          <w:color w:val="auto"/>
        </w:rPr>
        <w:t xml:space="preserve"> </w:t>
      </w:r>
      <w:r>
        <w:rPr>
          <w:rFonts w:ascii="Arial" w:cs="Arial" w:eastAsia="Arial" w:hAnsi="Arial"/>
          <w:sz w:val="17"/>
          <w:szCs w:val="17"/>
          <w:color w:val="auto"/>
        </w:rPr>
        <w:t>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57" w:lineRule="exact"/>
        <w:rPr>
          <w:rFonts w:ascii="Arial" w:cs="Arial" w:eastAsia="Arial" w:hAnsi="Arial"/>
          <w:sz w:val="17"/>
          <w:szCs w:val="17"/>
          <w:color w:val="auto"/>
        </w:rPr>
      </w:pPr>
    </w:p>
    <w:p>
      <w:pPr>
        <w:ind w:firstLine="436"/>
        <w:spacing w:after="0" w:line="286" w:lineRule="auto"/>
        <w:tabs>
          <w:tab w:leader="none" w:pos="620" w:val="left"/>
        </w:tabs>
        <w:numPr>
          <w:ilvl w:val="0"/>
          <w:numId w:val="189"/>
        </w:numPr>
        <w:rPr>
          <w:rFonts w:ascii="Arial" w:cs="Arial" w:eastAsia="Arial" w:hAnsi="Arial"/>
          <w:sz w:val="16"/>
          <w:szCs w:val="16"/>
          <w:color w:val="auto"/>
        </w:rPr>
      </w:pPr>
      <w:r>
        <w:rPr>
          <w:rFonts w:ascii="Arial" w:cs="Arial" w:eastAsia="Arial" w:hAnsi="Arial"/>
          <w:sz w:val="16"/>
          <w:szCs w:val="16"/>
          <w:i w:val="1"/>
          <w:iCs w:val="1"/>
          <w:color w:val="auto"/>
        </w:rPr>
        <w:t xml:space="preserve">Indemnity and Contribution. </w:t>
      </w:r>
      <w:r>
        <w:rPr>
          <w:rFonts w:ascii="Arial" w:cs="Arial" w:eastAsia="Arial" w:hAnsi="Arial"/>
          <w:sz w:val="16"/>
          <w:szCs w:val="16"/>
          <w:color w:val="auto"/>
        </w:rPr>
        <w:t>(a) The Company agrees to indemnify and hold harmless each Underwriter, each person, if any, who controls any</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“road show”), the Prospectus or any amendment or supplement thereto, or any Testing-the-Waters Communication, or arise out of, or are based upon, any omission or alleged omission to state therein a material fact required to be stated therein or necessary to make the statements therein not misleading, except insofar as such losses, claims, damages or liabilities arise out of, or are based upon, any such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the Underwriters through the Representatives consists of the information described as such in paragraph (b) below. The Company agrees and confirms that references to “affiliates” of Morgan Stanley that appear in this Agreement shall be understood to include Mitsubishi UFJ Morgan Stanley Securities Co., Ltd.</w:t>
      </w:r>
    </w:p>
    <w:p>
      <w:pPr>
        <w:spacing w:after="0" w:line="59" w:lineRule="exact"/>
        <w:rPr>
          <w:rFonts w:ascii="Arial" w:cs="Arial" w:eastAsia="Arial" w:hAnsi="Arial"/>
          <w:sz w:val="16"/>
          <w:szCs w:val="16"/>
          <w:color w:val="auto"/>
        </w:rPr>
      </w:pPr>
    </w:p>
    <w:p>
      <w:pPr>
        <w:ind w:left="440" w:right="120" w:firstLine="419"/>
        <w:spacing w:after="0" w:line="293" w:lineRule="auto"/>
        <w:tabs>
          <w:tab w:leader="none" w:pos="1118" w:val="left"/>
        </w:tabs>
        <w:numPr>
          <w:ilvl w:val="1"/>
          <w:numId w:val="189"/>
        </w:numPr>
        <w:rPr>
          <w:rFonts w:ascii="Arial" w:cs="Arial" w:eastAsia="Arial" w:hAnsi="Arial"/>
          <w:sz w:val="16"/>
          <w:szCs w:val="16"/>
          <w:color w:val="auto"/>
        </w:rPr>
      </w:pPr>
      <w:r>
        <w:rPr>
          <w:rFonts w:ascii="Arial" w:cs="Arial" w:eastAsia="Arial" w:hAnsi="Arial"/>
          <w:sz w:val="16"/>
          <w:szCs w:val="16"/>
          <w:color w:val="auto"/>
        </w:rPr>
        <w:t>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the Representatives expressly for use in the Registration Statement, any preliminary prospectus, the Time of Sale Prospectus, any issuer free writing prospectus, road show or the Prospectus or any amendment or supplement thereto, it being understood and agreed that the only such information furnished by any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90" w:name="page291"/>
    <w:bookmarkEnd w:id="290"/>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Underwriter through the Representatives consists of the following information in the Prospectus: the concession figure appearing in the third paragraph under the caption “Underwriting” in the Time of Sale Prospectus and the Prospectus, the seventh paragraph under the caption “Underwriting” in the Time of Sale Prospectus and the Prospectus concerning sales to discretionary accounts and the twelfth paragraph under the caption “Underwriters” in the Time of Sale Prospectus and the Prospectus concerning stabilization and overallotments by the Underwriters (the “</w:t>
      </w:r>
      <w:r>
        <w:rPr>
          <w:rFonts w:ascii="Arial" w:cs="Arial" w:eastAsia="Arial" w:hAnsi="Arial"/>
          <w:sz w:val="18"/>
          <w:szCs w:val="18"/>
          <w:b w:val="1"/>
          <w:bCs w:val="1"/>
          <w:color w:val="auto"/>
        </w:rPr>
        <w:t>Underwriter Information</w:t>
      </w:r>
      <w:r>
        <w:rPr>
          <w:rFonts w:ascii="Arial" w:cs="Arial" w:eastAsia="Arial" w:hAnsi="Arial"/>
          <w:sz w:val="18"/>
          <w:szCs w:val="18"/>
          <w:color w:val="auto"/>
        </w:rPr>
        <w:t>”).</w:t>
      </w:r>
    </w:p>
    <w:p>
      <w:pPr>
        <w:spacing w:after="0" w:line="80" w:lineRule="exact"/>
        <w:rPr>
          <w:sz w:val="20"/>
          <w:szCs w:val="20"/>
          <w:color w:val="auto"/>
        </w:rPr>
      </w:pPr>
    </w:p>
    <w:p>
      <w:pPr>
        <w:ind w:firstLine="419"/>
        <w:spacing w:after="0" w:line="267" w:lineRule="auto"/>
        <w:tabs>
          <w:tab w:leader="none" w:pos="668" w:val="left"/>
        </w:tabs>
        <w:numPr>
          <w:ilvl w:val="0"/>
          <w:numId w:val="190"/>
        </w:numPr>
        <w:rPr>
          <w:rFonts w:ascii="Arial" w:cs="Arial" w:eastAsia="Arial" w:hAnsi="Arial"/>
          <w:sz w:val="17"/>
          <w:szCs w:val="17"/>
          <w:color w:val="auto"/>
        </w:rPr>
      </w:pPr>
      <w:r>
        <w:rPr>
          <w:rFonts w:ascii="Arial" w:cs="Arial" w:eastAsia="Arial" w:hAnsi="Arial"/>
          <w:sz w:val="17"/>
          <w:szCs w:val="17"/>
          <w:color w:val="auto"/>
        </w:rPr>
        <w:t>In case any proceeding (including any governmental investigation) shall be instituted involving any person in respect of which indemnity may be sought pursuant to Section 8(a) or 8(b), such person (the “</w:t>
      </w:r>
      <w:r>
        <w:rPr>
          <w:rFonts w:ascii="Arial" w:cs="Arial" w:eastAsia="Arial" w:hAnsi="Arial"/>
          <w:sz w:val="17"/>
          <w:szCs w:val="17"/>
          <w:b w:val="1"/>
          <w:bCs w:val="1"/>
          <w:color w:val="auto"/>
        </w:rPr>
        <w:t>indemnified party</w:t>
      </w:r>
      <w:r>
        <w:rPr>
          <w:rFonts w:ascii="Arial" w:cs="Arial" w:eastAsia="Arial" w:hAnsi="Arial"/>
          <w:sz w:val="17"/>
          <w:szCs w:val="17"/>
          <w:color w:val="auto"/>
        </w:rPr>
        <w:t>”) shall promptly notify the person against whom such indemnity may be sought (the “</w:t>
      </w:r>
      <w:r>
        <w:rPr>
          <w:rFonts w:ascii="Arial" w:cs="Arial" w:eastAsia="Arial" w:hAnsi="Arial"/>
          <w:sz w:val="17"/>
          <w:szCs w:val="17"/>
          <w:b w:val="1"/>
          <w:bCs w:val="1"/>
          <w:color w:val="auto"/>
        </w:rPr>
        <w:t>indemnifying party</w:t>
      </w:r>
      <w:r>
        <w:rPr>
          <w:rFonts w:ascii="Arial" w:cs="Arial" w:eastAsia="Arial" w:hAnsi="Arial"/>
          <w:sz w:val="17"/>
          <w:szCs w:val="17"/>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in writing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Representatives,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560"/>
          </w:cols>
          <w:pgMar w:left="880" w:top="274" w:right="459" w:bottom="1440" w:gutter="0" w:footer="0" w:header="0"/>
        </w:sectPr>
      </w:pPr>
    </w:p>
    <w:bookmarkStart w:id="291" w:name="page292"/>
    <w:bookmarkEnd w:id="29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threatened proceeding in respect of which any indemnified party is or could have been a party and indemnity could have been sought hereunder by such indemnified party, unless such settlement (i) includes an unconditional release of such indemnified party from all liability on claims that are the subject matter of such proceeding and (ii) does not include any statements as to or any admission of fault, culpability or failure to act by or on behalf of any indemnified party.</w:t>
      </w:r>
    </w:p>
    <w:p>
      <w:pPr>
        <w:spacing w:after="0" w:line="79" w:lineRule="exact"/>
        <w:rPr>
          <w:sz w:val="20"/>
          <w:szCs w:val="20"/>
          <w:color w:val="auto"/>
        </w:rPr>
      </w:pPr>
    </w:p>
    <w:p>
      <w:pPr>
        <w:ind w:firstLine="419"/>
        <w:spacing w:after="0" w:line="285" w:lineRule="auto"/>
        <w:tabs>
          <w:tab w:leader="none" w:pos="678"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Shares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Shares shall be deemed to be in the same respective proportions as the net proceeds from the offering of the Shares (before deducting expenses) received by the Company and the total underwriting discounts and commissions received by the Underwriters, in each case as set forth in the table on the cover of the Prospectus, bear to the aggregate Public Offering Price of the Shares.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Shares they have purchased hereunder, and not joint.</w:t>
      </w:r>
    </w:p>
    <w:p>
      <w:pPr>
        <w:spacing w:after="0" w:line="68" w:lineRule="exact"/>
        <w:rPr>
          <w:rFonts w:ascii="Arial" w:cs="Arial" w:eastAsia="Arial" w:hAnsi="Arial"/>
          <w:sz w:val="16"/>
          <w:szCs w:val="16"/>
          <w:color w:val="auto"/>
        </w:rPr>
      </w:pPr>
    </w:p>
    <w:p>
      <w:pPr>
        <w:ind w:right="20" w:firstLine="419"/>
        <w:spacing w:after="0" w:line="273" w:lineRule="auto"/>
        <w:tabs>
          <w:tab w:leader="none" w:pos="668" w:val="left"/>
        </w:tabs>
        <w:numPr>
          <w:ilvl w:val="0"/>
          <w:numId w:val="191"/>
        </w:numPr>
        <w:rPr>
          <w:rFonts w:ascii="Arial" w:cs="Arial" w:eastAsia="Arial" w:hAnsi="Arial"/>
          <w:sz w:val="17"/>
          <w:szCs w:val="17"/>
          <w:color w:val="auto"/>
        </w:rPr>
      </w:pPr>
      <w:r>
        <w:rPr>
          <w:rFonts w:ascii="Arial" w:cs="Arial" w:eastAsia="Arial" w:hAnsi="Arial"/>
          <w:sz w:val="17"/>
          <w:szCs w:val="17"/>
          <w:color w:val="auto"/>
        </w:rPr>
        <w:t xml:space="preserve">The Company and the Underwriters agree that it would not be just or equitable if contribution pursuant to this Section 8 were determined by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allocation (even if the Underwriters were treated as one entity for such purpose)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560"/>
          </w:cols>
          <w:pgMar w:left="880" w:top="274" w:right="459" w:bottom="1440" w:gutter="0" w:footer="0" w:header="0"/>
        </w:sectPr>
      </w:pPr>
    </w:p>
    <w:bookmarkStart w:id="292" w:name="page293"/>
    <w:bookmarkEnd w:id="292"/>
    <w:p>
      <w:pPr>
        <w:ind w:left="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contribute any amount in excess of the amount by which the total price at which the Shares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84" w:lineRule="exact"/>
        <w:rPr>
          <w:sz w:val="20"/>
          <w:szCs w:val="20"/>
          <w:color w:val="auto"/>
        </w:rPr>
      </w:pPr>
    </w:p>
    <w:p>
      <w:pPr>
        <w:ind w:left="440" w:right="360" w:firstLine="419"/>
        <w:spacing w:after="0" w:line="291" w:lineRule="auto"/>
        <w:tabs>
          <w:tab w:leader="none" w:pos="1088" w:val="left"/>
        </w:tabs>
        <w:numPr>
          <w:ilvl w:val="1"/>
          <w:numId w:val="192"/>
        </w:numPr>
        <w:rPr>
          <w:rFonts w:ascii="Arial" w:cs="Arial" w:eastAsia="Arial" w:hAnsi="Arial"/>
          <w:sz w:val="16"/>
          <w:szCs w:val="16"/>
          <w:color w:val="auto"/>
        </w:rPr>
      </w:pPr>
      <w:r>
        <w:rPr>
          <w:rFonts w:ascii="Arial" w:cs="Arial" w:eastAsia="Arial" w:hAnsi="Arial"/>
          <w:sz w:val="16"/>
          <w:szCs w:val="16"/>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w:t>
      </w:r>
    </w:p>
    <w:p>
      <w:pPr>
        <w:ind w:left="440" w:hanging="4"/>
        <w:spacing w:after="0" w:line="255" w:lineRule="auto"/>
        <w:tabs>
          <w:tab w:leader="none" w:pos="70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Shares.</w:t>
      </w:r>
    </w:p>
    <w:p>
      <w:pPr>
        <w:spacing w:after="0" w:line="82" w:lineRule="exact"/>
        <w:rPr>
          <w:sz w:val="20"/>
          <w:szCs w:val="20"/>
          <w:color w:val="auto"/>
        </w:rPr>
      </w:pPr>
    </w:p>
    <w:p>
      <w:pPr>
        <w:ind w:firstLine="436"/>
        <w:spacing w:after="0" w:line="288" w:lineRule="auto"/>
        <w:tabs>
          <w:tab w:leader="none" w:pos="620" w:val="left"/>
        </w:tabs>
        <w:numPr>
          <w:ilvl w:val="0"/>
          <w:numId w:val="194"/>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The Underwriters may terminate this Agreement by notice given by the Representatives to the Company if, after the execution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of this Agreement and prior to or on the Closing Date or any Option Closing Date, as the case may be, (i) trading generally shall have been suspended or materially limited on, or by, as the case may be, any of the New York Stock Exchange, the NYSE American, the NASDAQ Global Market, the Chicago Board of Options Exchange, the Chicago Mercantile Exchange or the Chicago Board of Trade, (ii) 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the Representatives’ judgment, is material and adverse and which, singly or together with any other event specified in this clause (v), makes it, in the Representatives’ judgment, impracticable or inadvisable to proceed with the offer, sale or delivery of the Shares on the terms and in the manner contemplated in the Time of Sale Prospectus or the Prospectus.</w:t>
      </w:r>
    </w:p>
    <w:p>
      <w:pPr>
        <w:spacing w:after="0" w:line="60" w:lineRule="exact"/>
        <w:rPr>
          <w:rFonts w:ascii="Arial" w:cs="Arial" w:eastAsia="Arial" w:hAnsi="Arial"/>
          <w:sz w:val="16"/>
          <w:szCs w:val="16"/>
          <w:color w:val="auto"/>
        </w:rPr>
      </w:pPr>
    </w:p>
    <w:p>
      <w:pPr>
        <w:ind w:left="700" w:hanging="264"/>
        <w:spacing w:after="0"/>
        <w:tabs>
          <w:tab w:leader="none" w:pos="700" w:val="left"/>
        </w:tabs>
        <w:numPr>
          <w:ilvl w:val="0"/>
          <w:numId w:val="194"/>
        </w:numPr>
        <w:rPr>
          <w:rFonts w:ascii="Arial" w:cs="Arial" w:eastAsia="Arial" w:hAnsi="Arial"/>
          <w:sz w:val="16"/>
          <w:szCs w:val="16"/>
          <w:color w:val="auto"/>
        </w:rPr>
      </w:pPr>
      <w:r>
        <w:rPr>
          <w:rFonts w:ascii="Arial" w:cs="Arial" w:eastAsia="Arial" w:hAnsi="Arial"/>
          <w:sz w:val="16"/>
          <w:szCs w:val="16"/>
          <w:i w:val="1"/>
          <w:iCs w:val="1"/>
          <w:color w:val="auto"/>
        </w:rPr>
        <w:t>Effectiveness; Defaulting Underwriters</w:t>
      </w:r>
      <w:r>
        <w:rPr>
          <w:rFonts w:ascii="Arial" w:cs="Arial" w:eastAsia="Arial" w:hAnsi="Arial"/>
          <w:sz w:val="16"/>
          <w:szCs w:val="16"/>
          <w:color w:val="auto"/>
        </w:rPr>
        <w:t>. This Agreement shall become effective upon the execution and delivery hereof by the parties hereto.</w:t>
      </w:r>
    </w:p>
    <w:p>
      <w:pPr>
        <w:spacing w:after="0" w:line="248"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293" w:name="page294"/>
    <w:bookmarkEnd w:id="293"/>
    <w:p>
      <w:pPr>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number of Firm Shares set forth opposite their respective names in Schedule I bears to the aggregate number of Firm Shares set forth opposite the names of all such non-defaulting Underwriters, or in such other proportions as the Representatives may specify, to purchase the Shares which such defaulting Underwriter or Underwriters agreed but failed or refused to purchase on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number of Shares that any Underwriter has agreed to purchase pursuant to this Agreement be increased pursuant to this Section 11 by an amount in excess of one-ninth of such number 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 such date, and arrangements satisfactory to the Representatives and the Company for the purchase of such Firm Shares are not made within 36 hours after such default, this Agreement shall terminate without liability on the part of any non-defaulting Underwriter or the Company. In any such case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w:t>
      </w:r>
    </w:p>
    <w:p>
      <w:pPr>
        <w:spacing w:after="0" w:line="2" w:lineRule="exact"/>
        <w:rPr>
          <w:sz w:val="20"/>
          <w:szCs w:val="20"/>
          <w:color w:val="auto"/>
        </w:rPr>
      </w:pPr>
    </w:p>
    <w:p>
      <w:pPr>
        <w:ind w:left="4" w:right="220" w:hanging="4"/>
        <w:spacing w:after="0" w:line="253" w:lineRule="auto"/>
        <w:tabs>
          <w:tab w:leader="none" w:pos="219"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93" w:lineRule="exact"/>
        <w:rPr>
          <w:sz w:val="20"/>
          <w:szCs w:val="20"/>
          <w:color w:val="auto"/>
        </w:rPr>
      </w:pPr>
    </w:p>
    <w:p>
      <w:pPr>
        <w:ind w:left="4" w:firstLine="440"/>
        <w:spacing w:after="0" w:line="275" w:lineRule="auto"/>
        <w:rPr>
          <w:sz w:val="20"/>
          <w:szCs w:val="20"/>
          <w:color w:val="auto"/>
        </w:rPr>
      </w:pPr>
      <w:r>
        <w:rPr>
          <w:rFonts w:ascii="Arial" w:cs="Arial" w:eastAsia="Arial" w:hAnsi="Arial"/>
          <w:sz w:val="17"/>
          <w:szCs w:val="17"/>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reasonable and documented fees and disbursements of their counsel) reasonably incurred and documented by such Underwriters in connection with this Agreement or the offering contemplated hereunder.</w:t>
      </w:r>
    </w:p>
    <w:p>
      <w:pPr>
        <w:spacing w:after="0" w:line="68" w:lineRule="exact"/>
        <w:rPr>
          <w:sz w:val="20"/>
          <w:szCs w:val="20"/>
          <w:color w:val="auto"/>
        </w:rPr>
      </w:pPr>
    </w:p>
    <w:p>
      <w:pPr>
        <w:ind w:left="4" w:right="40" w:firstLine="436"/>
        <w:spacing w:after="0" w:line="259" w:lineRule="auto"/>
        <w:tabs>
          <w:tab w:leader="none" w:pos="707" w:val="left"/>
        </w:tabs>
        <w:numPr>
          <w:ilvl w:val="0"/>
          <w:numId w:val="196"/>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(a) This Agreement, together with any contemporaneous written agreements and any prior written agreements (to the extent</w:t>
      </w:r>
      <w:r>
        <w:rPr>
          <w:rFonts w:ascii="Arial" w:cs="Arial" w:eastAsia="Arial" w:hAnsi="Arial"/>
          <w:sz w:val="18"/>
          <w:szCs w:val="18"/>
          <w:i w:val="1"/>
          <w:iCs w:val="1"/>
          <w:color w:val="auto"/>
        </w:rPr>
        <w:t xml:space="preserve"> </w:t>
      </w:r>
      <w:r>
        <w:rPr>
          <w:rFonts w:ascii="Arial" w:cs="Arial" w:eastAsia="Arial" w:hAnsi="Arial"/>
          <w:sz w:val="18"/>
          <w:szCs w:val="18"/>
          <w:color w:val="auto"/>
        </w:rPr>
        <w:t>not superseded by this Agreement) that relate to the offering of the Shares, represents the entire agreement between the Company and the Underwriters with respect to the preparation of any preliminary prospectus, the Time of Sale Prospectus, the Prospectus, the conduct of the offering, and the purchase and sale of the Shares.</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294" w:name="page295"/>
    <w:bookmarkEnd w:id="294"/>
    <w:p>
      <w:pPr>
        <w:ind w:left="440" w:right="160" w:firstLine="419"/>
        <w:spacing w:after="0" w:line="291" w:lineRule="auto"/>
        <w:tabs>
          <w:tab w:leader="none" w:pos="1118" w:val="left"/>
        </w:tabs>
        <w:numPr>
          <w:ilvl w:val="1"/>
          <w:numId w:val="19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acknowledges that in connection with the offering of the Shares: (i) the Underwriters have acted at arm’s length, are not agents of, and owe no fiduciary duties to, the Company or any other person, (ii) the Underwriters owe the Company only those duties and obligations set forth in this Agreement, any contemporaneous written agreements and prior written agreements (to the extent not superseded by this Agreement), if any, (iii) the Underwriters may have interests that differ from those of the Company, and (iv) none of the activities of the Underwriters in connection with the transactions contemplated herein constitutes a recommendation, investment advice, or solicitation of any action by the Underwriters with respect to any entity or natural person. The Company waives to the full extent permitted by applicable law any claims it may have against the Underwriters arising from an alleged breach of fiduciary duty in connection with the offering of the Shares.</w:t>
      </w:r>
    </w:p>
    <w:p>
      <w:pPr>
        <w:spacing w:after="0" w:line="58" w:lineRule="exact"/>
        <w:rPr>
          <w:rFonts w:ascii="Arial" w:cs="Arial" w:eastAsia="Arial" w:hAnsi="Arial"/>
          <w:sz w:val="16"/>
          <w:szCs w:val="16"/>
          <w:color w:val="auto"/>
        </w:rPr>
      </w:pPr>
    </w:p>
    <w:p>
      <w:pPr>
        <w:ind w:right="80" w:firstLine="436"/>
        <w:spacing w:after="0" w:line="279" w:lineRule="auto"/>
        <w:tabs>
          <w:tab w:leader="none" w:pos="710" w:val="left"/>
        </w:tabs>
        <w:numPr>
          <w:ilvl w:val="0"/>
          <w:numId w:val="198"/>
        </w:numPr>
        <w:rPr>
          <w:rFonts w:ascii="Arial" w:cs="Arial" w:eastAsia="Arial" w:hAnsi="Arial"/>
          <w:sz w:val="17"/>
          <w:szCs w:val="17"/>
          <w:color w:val="auto"/>
        </w:rPr>
      </w:pPr>
      <w:r>
        <w:rPr>
          <w:rFonts w:ascii="Arial" w:cs="Arial" w:eastAsia="Arial" w:hAnsi="Arial"/>
          <w:sz w:val="17"/>
          <w:szCs w:val="17"/>
          <w:i w:val="1"/>
          <w:iCs w:val="1"/>
          <w:color w:val="auto"/>
        </w:rPr>
        <w:t>Recognition of the U.S. Special Resolution Regimes</w:t>
      </w:r>
      <w:r>
        <w:rPr>
          <w:rFonts w:ascii="Arial" w:cs="Arial" w:eastAsia="Arial" w:hAnsi="Arial"/>
          <w:sz w:val="17"/>
          <w:szCs w:val="17"/>
          <w:color w:val="auto"/>
        </w:rPr>
        <w:t>. (a) In the event that any Underwriter that is a Covered Entity becomes subject to a</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63" w:lineRule="exact"/>
        <w:rPr>
          <w:rFonts w:ascii="Arial" w:cs="Arial" w:eastAsia="Arial" w:hAnsi="Arial"/>
          <w:sz w:val="17"/>
          <w:szCs w:val="17"/>
          <w:color w:val="auto"/>
        </w:rPr>
      </w:pPr>
    </w:p>
    <w:p>
      <w:pPr>
        <w:ind w:left="440" w:right="20" w:firstLine="419"/>
        <w:spacing w:after="0" w:line="259" w:lineRule="auto"/>
        <w:tabs>
          <w:tab w:leader="none" w:pos="1118" w:val="left"/>
        </w:tabs>
        <w:numPr>
          <w:ilvl w:val="1"/>
          <w:numId w:val="198"/>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3"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For purposes of this Section a “</w:t>
      </w:r>
      <w:r>
        <w:rPr>
          <w:rFonts w:ascii="Arial" w:cs="Arial" w:eastAsia="Arial" w:hAnsi="Arial"/>
          <w:sz w:val="17"/>
          <w:szCs w:val="17"/>
          <w:b w:val="1"/>
          <w:bCs w:val="1"/>
          <w:color w:val="auto"/>
        </w:rPr>
        <w:t>BHC Act Affiliate</w:t>
      </w:r>
      <w:r>
        <w:rPr>
          <w:rFonts w:ascii="Arial" w:cs="Arial" w:eastAsia="Arial" w:hAnsi="Arial"/>
          <w:sz w:val="17"/>
          <w:szCs w:val="17"/>
          <w:color w:val="auto"/>
        </w:rPr>
        <w:t>” has the meaning assigned to the term “affiliate” in, and shall be interpreted in accordance with, 12 U.S.C. § 1841(k). “</w:t>
      </w:r>
      <w:r>
        <w:rPr>
          <w:rFonts w:ascii="Arial" w:cs="Arial" w:eastAsia="Arial" w:hAnsi="Arial"/>
          <w:sz w:val="17"/>
          <w:szCs w:val="17"/>
          <w:b w:val="1"/>
          <w:bCs w:val="1"/>
          <w:color w:val="auto"/>
        </w:rPr>
        <w:t>Covered Entity</w:t>
      </w:r>
      <w:r>
        <w:rPr>
          <w:rFonts w:ascii="Arial" w:cs="Arial" w:eastAsia="Arial" w:hAnsi="Arial"/>
          <w:sz w:val="17"/>
          <w:szCs w:val="17"/>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Arial" w:cs="Arial" w:eastAsia="Arial" w:hAnsi="Arial"/>
          <w:sz w:val="17"/>
          <w:szCs w:val="17"/>
          <w:b w:val="1"/>
          <w:bCs w:val="1"/>
          <w:color w:val="auto"/>
        </w:rPr>
        <w:t>Default Right</w:t>
      </w:r>
      <w:r>
        <w:rPr>
          <w:rFonts w:ascii="Arial" w:cs="Arial" w:eastAsia="Arial" w:hAnsi="Arial"/>
          <w:sz w:val="17"/>
          <w:szCs w:val="17"/>
          <w:color w:val="auto"/>
        </w:rPr>
        <w:t>” has the meaning assigned to that term in, and shall be interpreted in accordance with, 12 C.F.R. §§ 252.81, 47.2 or 382.1, as applicable. “</w:t>
      </w:r>
      <w:r>
        <w:rPr>
          <w:rFonts w:ascii="Arial" w:cs="Arial" w:eastAsia="Arial" w:hAnsi="Arial"/>
          <w:sz w:val="17"/>
          <w:szCs w:val="17"/>
          <w:b w:val="1"/>
          <w:bCs w:val="1"/>
          <w:color w:val="auto"/>
        </w:rPr>
        <w:t>U.S. Special Resolution Regime</w:t>
      </w:r>
      <w:r>
        <w:rPr>
          <w:rFonts w:ascii="Arial" w:cs="Arial" w:eastAsia="Arial" w:hAnsi="Arial"/>
          <w:sz w:val="17"/>
          <w:szCs w:val="17"/>
          <w:color w:val="auto"/>
        </w:rPr>
        <w:t>” means each of (i) the Federal Deposit Insurance Act and the regulations promulgated thereunder and (ii) Title II of the Dodd-Frank Wall Street Reform and Consumer Protection Act and the regulations promulgated thereunder.</w:t>
      </w:r>
    </w:p>
    <w:p>
      <w:pPr>
        <w:spacing w:after="0" w:line="68" w:lineRule="exact"/>
        <w:rPr>
          <w:sz w:val="20"/>
          <w:szCs w:val="20"/>
          <w:color w:val="auto"/>
        </w:rPr>
      </w:pPr>
    </w:p>
    <w:p>
      <w:pPr>
        <w:ind w:firstLine="436"/>
        <w:spacing w:after="0" w:line="257" w:lineRule="auto"/>
        <w:tabs>
          <w:tab w:leader="none" w:pos="710" w:val="left"/>
        </w:tabs>
        <w:numPr>
          <w:ilvl w:val="0"/>
          <w:numId w:val="199"/>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signed in two or more counterparts, each of which shall be an original, with the same effect as if the</w:t>
      </w:r>
      <w:r>
        <w:rPr>
          <w:rFonts w:ascii="Arial" w:cs="Arial" w:eastAsia="Arial" w:hAnsi="Arial"/>
          <w:sz w:val="18"/>
          <w:szCs w:val="18"/>
          <w:i w:val="1"/>
          <w:iCs w:val="1"/>
          <w:color w:val="auto"/>
        </w:rPr>
        <w:t xml:space="preserve"> </w:t>
      </w:r>
      <w:r>
        <w:rPr>
          <w:rFonts w:ascii="Arial" w:cs="Arial" w:eastAsia="Arial" w:hAnsi="Arial"/>
          <w:sz w:val="18"/>
          <w:szCs w:val="18"/>
          <w:color w:val="auto"/>
        </w:rPr>
        <w:t>signatures thereto and hereto were upon the same instrument. Counterparts may be delivered via facsimile, electronic mail (including any electronic signature complying with the U.S. federal ESIGN Act of 2000, Uniform Electronic Transactions Act or other applicable law, e.g., www.docusign.com) or other transmission method and any counterpart so delivered shall be deemed to have been duly and validly delivered and be valid and effective for all purposes.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440" w:top="274" w:right="499" w:bottom="1440" w:gutter="0" w:footer="0" w:header="0"/>
        </w:sectPr>
      </w:pPr>
    </w:p>
    <w:bookmarkStart w:id="295" w:name="page296"/>
    <w:bookmarkEnd w:id="295"/>
    <w:p>
      <w:pPr>
        <w:ind w:left="680" w:hanging="264"/>
        <w:spacing w:after="0"/>
        <w:tabs>
          <w:tab w:leader="none" w:pos="680" w:val="left"/>
        </w:tabs>
        <w:numPr>
          <w:ilvl w:val="0"/>
          <w:numId w:val="200"/>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Law</w:t>
      </w:r>
      <w:r>
        <w:rPr>
          <w:rFonts w:ascii="Arial" w:cs="Arial" w:eastAsia="Arial" w:hAnsi="Arial"/>
          <w:sz w:val="17"/>
          <w:szCs w:val="17"/>
          <w:color w:val="auto"/>
        </w:rPr>
        <w:t>. This Agreement shall be governed by and construed in accordance with the internal laws of the State of New York.</w:t>
      </w:r>
    </w:p>
    <w:p>
      <w:pPr>
        <w:spacing w:after="0" w:line="128" w:lineRule="exact"/>
        <w:rPr>
          <w:rFonts w:ascii="Arial" w:cs="Arial" w:eastAsia="Arial" w:hAnsi="Arial"/>
          <w:sz w:val="17"/>
          <w:szCs w:val="17"/>
          <w:color w:val="auto"/>
        </w:rPr>
      </w:pPr>
    </w:p>
    <w:p>
      <w:pPr>
        <w:ind w:left="-20" w:right="40" w:firstLine="436"/>
        <w:spacing w:after="0" w:line="277" w:lineRule="auto"/>
        <w:tabs>
          <w:tab w:leader="none" w:pos="690" w:val="left"/>
        </w:tabs>
        <w:numPr>
          <w:ilvl w:val="0"/>
          <w:numId w:val="200"/>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of the sections of this Agreement have been inserted for convenience of reference only and shall not be deemed a part</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Agreement.</w:t>
      </w:r>
    </w:p>
    <w:p>
      <w:pPr>
        <w:spacing w:after="0" w:line="62" w:lineRule="exact"/>
        <w:rPr>
          <w:rFonts w:ascii="Arial" w:cs="Arial" w:eastAsia="Arial" w:hAnsi="Arial"/>
          <w:sz w:val="18"/>
          <w:szCs w:val="18"/>
          <w:color w:val="auto"/>
        </w:rPr>
      </w:pPr>
    </w:p>
    <w:p>
      <w:pPr>
        <w:ind w:left="-20" w:firstLine="436"/>
        <w:spacing w:after="0" w:line="273" w:lineRule="auto"/>
        <w:tabs>
          <w:tab w:leader="none" w:pos="690" w:val="left"/>
        </w:tabs>
        <w:numPr>
          <w:ilvl w:val="0"/>
          <w:numId w:val="200"/>
        </w:numPr>
        <w:rPr>
          <w:rFonts w:ascii="Arial" w:cs="Arial" w:eastAsia="Arial" w:hAnsi="Arial"/>
          <w:sz w:val="17"/>
          <w:szCs w:val="17"/>
          <w:color w:val="auto"/>
        </w:rPr>
      </w:pPr>
      <w:r>
        <w:rPr>
          <w:rFonts w:ascii="Arial" w:cs="Arial" w:eastAsia="Arial" w:hAnsi="Arial"/>
          <w:sz w:val="17"/>
          <w:szCs w:val="17"/>
          <w:i w:val="1"/>
          <w:iCs w:val="1"/>
          <w:color w:val="auto"/>
        </w:rPr>
        <w:t>Notices</w:t>
      </w:r>
      <w:r>
        <w:rPr>
          <w:rFonts w:ascii="Arial" w:cs="Arial" w:eastAsia="Arial" w:hAnsi="Arial"/>
          <w:sz w:val="17"/>
          <w:szCs w:val="17"/>
          <w:color w:val="auto"/>
        </w:rPr>
        <w:t>. All communications hereunder shall be in writing and effective only upon receipt and if to the Underwriters shall be delivered, mailed</w:t>
      </w:r>
      <w:r>
        <w:rPr>
          <w:rFonts w:ascii="Arial" w:cs="Arial" w:eastAsia="Arial" w:hAnsi="Arial"/>
          <w:sz w:val="17"/>
          <w:szCs w:val="17"/>
          <w:i w:val="1"/>
          <w:iCs w:val="1"/>
          <w:color w:val="auto"/>
        </w:rPr>
        <w:t xml:space="preserve"> </w:t>
      </w:r>
      <w:r>
        <w:rPr>
          <w:rFonts w:ascii="Arial" w:cs="Arial" w:eastAsia="Arial" w:hAnsi="Arial"/>
          <w:sz w:val="17"/>
          <w:szCs w:val="17"/>
          <w:color w:val="auto"/>
        </w:rPr>
        <w:t>or sent to the Representatives, c/o Morgan Stanley &amp; Co. LLC, 1585 Broadway, New York, New York 10036, Attention: Equity Syndicate Desk, with a copy to the Legal Department; c/o Jefferies LLC, 520 Madison Avenue New York, NY 10022 (fax: (646) 619-4437), Attention: General Counsel; c/o Stifel, Nicolaus &amp; Company, Incorporated, One South Street, 15th Floor, Baltimore, Maryland 21202; Fax No. (443) 224-1254; Attention: Syndicate Department; and c/o Guggenheim Securities, LLC, 330 Madison Avenue, New York, New York 10017, Fax (212) 658-9689, Attention: General Counsel; and if to the Company shall be delivered, mailed or sent to 303 Wyman Street, Suite 300, Waltham, MA 02451.</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460" w:top="274" w:right="459" w:bottom="1440" w:gutter="0" w:footer="0" w:header="0"/>
        </w:sectPr>
      </w:pPr>
    </w:p>
    <w:bookmarkStart w:id="296" w:name="page297"/>
    <w:bookmarkEnd w:id="296"/>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Very truly yours,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ADAGIO THERAPEUTICS, INC.</w:t>
      </w:r>
    </w:p>
    <w:p>
      <w:pPr>
        <w:spacing w:after="0" w:line="25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9019"/>
          </w:cols>
          <w:pgMar w:left="1440" w:top="274" w:right="1440" w:bottom="1440" w:gutter="0" w:footer="0" w:header="0"/>
        </w:sectPr>
      </w:pPr>
    </w:p>
    <w:bookmarkStart w:id="297" w:name="page298"/>
    <w:bookmarkEnd w:id="2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as of the date hereof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Stifel, Nicolaus &amp; Company,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Guggenheim Securities, LLC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Acting severally on behalf of themselves and the several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Underwriters named in Schedule 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Morgan Stanley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Jefferies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Stifel, Nicolaus &amp; Company,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Guggenheim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019"/>
          </w:cols>
          <w:pgMar w:left="440" w:top="274" w:right="1440" w:bottom="1440" w:gutter="0" w:footer="0" w:header="0"/>
        </w:sectPr>
      </w:pPr>
    </w:p>
    <w:bookmarkStart w:id="298" w:name="page299"/>
    <w:bookmarkEnd w:id="298"/>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6820" w:type="dxa"/>
            <w:vAlign w:val="bottom"/>
            <w:gridSpan w:val="3"/>
          </w:tcPr>
          <w:p>
            <w:pPr>
              <w:ind w:left="5680"/>
              <w:spacing w:after="0"/>
              <w:rPr>
                <w:sz w:val="20"/>
                <w:szCs w:val="20"/>
                <w:color w:val="auto"/>
              </w:rPr>
            </w:pPr>
            <w:r>
              <w:rPr>
                <w:rFonts w:ascii="Arial" w:cs="Arial" w:eastAsia="Arial" w:hAnsi="Arial"/>
                <w:sz w:val="18"/>
                <w:szCs w:val="18"/>
                <w:b w:val="1"/>
                <w:bCs w:val="1"/>
                <w:color w:val="auto"/>
              </w:rPr>
              <w:t>SCHEDULE I</w:t>
            </w:r>
          </w:p>
        </w:tc>
        <w:tc>
          <w:tcPr>
            <w:tcW w:w="0" w:type="dxa"/>
            <w:vAlign w:val="bottom"/>
          </w:tcPr>
          <w:p>
            <w:pPr>
              <w:spacing w:after="0"/>
              <w:rPr>
                <w:sz w:val="1"/>
                <w:szCs w:val="1"/>
                <w:color w:val="auto"/>
              </w:rPr>
            </w:pPr>
          </w:p>
        </w:tc>
      </w:tr>
      <w:tr>
        <w:trPr>
          <w:trHeight w:val="369"/>
        </w:trPr>
        <w:tc>
          <w:tcPr>
            <w:tcW w:w="7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7"/>
              </w:rPr>
              <w:t>Number of Firm</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3440" w:type="dxa"/>
            <w:vAlign w:val="bottom"/>
            <w:vMerge w:val="restart"/>
          </w:tcPr>
          <w:p>
            <w:pPr>
              <w:spacing w:after="0"/>
              <w:rPr>
                <w:sz w:val="12"/>
                <w:szCs w:val="12"/>
                <w:color w:val="auto"/>
              </w:rPr>
            </w:pPr>
          </w:p>
        </w:tc>
        <w:tc>
          <w:tcPr>
            <w:tcW w:w="5780" w:type="dxa"/>
            <w:vAlign w:val="bottom"/>
          </w:tcPr>
          <w:p>
            <w:pPr>
              <w:spacing w:after="0"/>
              <w:rPr>
                <w:sz w:val="12"/>
                <w:szCs w:val="12"/>
                <w:color w:val="auto"/>
              </w:rPr>
            </w:pPr>
          </w:p>
        </w:tc>
        <w:tc>
          <w:tcPr>
            <w:tcW w:w="10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Shares To Be</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3440" w:type="dxa"/>
            <w:vAlign w:val="bottom"/>
            <w:vMerge w:val="continue"/>
          </w:tcPr>
          <w:p>
            <w:pPr>
              <w:spacing w:after="0"/>
              <w:rPr>
                <w:sz w:val="15"/>
                <w:szCs w:val="15"/>
                <w:color w:val="auto"/>
              </w:rPr>
            </w:pPr>
          </w:p>
        </w:tc>
        <w:tc>
          <w:tcPr>
            <w:tcW w:w="5780" w:type="dxa"/>
            <w:vAlign w:val="bottom"/>
          </w:tcPr>
          <w:p>
            <w:pPr>
              <w:spacing w:after="0"/>
              <w:rPr>
                <w:sz w:val="15"/>
                <w:szCs w:val="15"/>
                <w:color w:val="auto"/>
              </w:rPr>
            </w:pPr>
          </w:p>
        </w:tc>
        <w:tc>
          <w:tcPr>
            <w:tcW w:w="104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203"/>
        </w:trPr>
        <w:tc>
          <w:tcPr>
            <w:tcW w:w="4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Morgan Stanley &amp; Co. LLC</w:t>
            </w:r>
          </w:p>
        </w:tc>
        <w:tc>
          <w:tcPr>
            <w:tcW w:w="57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Jefferies LLC</w:t>
            </w:r>
          </w:p>
        </w:tc>
        <w:tc>
          <w:tcPr>
            <w:tcW w:w="57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Stifel, Nicolaus &amp; Company, Incorporated</w:t>
            </w:r>
          </w:p>
        </w:tc>
        <w:tc>
          <w:tcPr>
            <w:tcW w:w="57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color w:val="auto"/>
              </w:rPr>
              <w:t>Guggenheim Securities, LLC</w:t>
            </w:r>
          </w:p>
        </w:tc>
        <w:tc>
          <w:tcPr>
            <w:tcW w:w="578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57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820" w:type="dxa"/>
            <w:vAlign w:val="bottom"/>
            <w:gridSpan w:val="3"/>
          </w:tcPr>
          <w:p>
            <w:pPr>
              <w:ind w:left="1180"/>
              <w:spacing w:after="0"/>
              <w:rPr>
                <w:sz w:val="20"/>
                <w:szCs w:val="20"/>
                <w:color w:val="auto"/>
              </w:rPr>
            </w:pPr>
            <w:r>
              <w:rPr>
                <w:rFonts w:ascii="Arial" w:cs="Arial" w:eastAsia="Arial" w:hAnsi="Arial"/>
                <w:sz w:val="18"/>
                <w:szCs w:val="18"/>
                <w:color w:val="auto"/>
              </w:rPr>
              <w:t>I-1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99" w:name="page300"/>
    <w:bookmarkEnd w:id="29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Time of Sale Prospectus</w:t>
      </w:r>
    </w:p>
    <w:p>
      <w:pPr>
        <w:spacing w:after="0" w:line="256" w:lineRule="exact"/>
        <w:rPr>
          <w:sz w:val="20"/>
          <w:szCs w:val="20"/>
          <w:color w:val="auto"/>
        </w:rPr>
      </w:pPr>
    </w:p>
    <w:p>
      <w:pPr>
        <w:ind w:left="424" w:hanging="424"/>
        <w:spacing w:after="0"/>
        <w:tabs>
          <w:tab w:leader="none" w:pos="424" w:val="left"/>
        </w:tabs>
        <w:numPr>
          <w:ilvl w:val="0"/>
          <w:numId w:val="201"/>
        </w:numPr>
        <w:rPr>
          <w:rFonts w:ascii="Arial" w:cs="Arial" w:eastAsia="Arial" w:hAnsi="Arial"/>
          <w:sz w:val="18"/>
          <w:szCs w:val="18"/>
          <w:color w:val="auto"/>
        </w:rPr>
      </w:pPr>
      <w:r>
        <w:rPr>
          <w:rFonts w:ascii="Arial" w:cs="Arial" w:eastAsia="Arial" w:hAnsi="Arial"/>
          <w:sz w:val="18"/>
          <w:szCs w:val="18"/>
          <w:color w:val="auto"/>
        </w:rPr>
        <w:t>Preliminary Prospectus issued [•], 2021</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[All free writing prospectuses filed by the Company under Rule 433(d) of the Securities Act]</w:t>
      </w:r>
    </w:p>
    <w:p>
      <w:pPr>
        <w:spacing w:after="0" w:line="130" w:lineRule="exact"/>
        <w:rPr>
          <w:rFonts w:ascii="Arial" w:cs="Arial" w:eastAsia="Arial" w:hAnsi="Arial"/>
          <w:sz w:val="18"/>
          <w:szCs w:val="18"/>
          <w:color w:val="auto"/>
        </w:rPr>
      </w:pPr>
    </w:p>
    <w:p>
      <w:pPr>
        <w:ind w:left="424" w:right="160" w:hanging="424"/>
        <w:spacing w:after="0" w:line="277" w:lineRule="auto"/>
        <w:tabs>
          <w:tab w:leader="none" w:pos="424" w:val="left"/>
        </w:tabs>
        <w:numPr>
          <w:ilvl w:val="0"/>
          <w:numId w:val="201"/>
        </w:numPr>
        <w:rPr>
          <w:rFonts w:ascii="Arial" w:cs="Arial" w:eastAsia="Arial" w:hAnsi="Arial"/>
          <w:sz w:val="18"/>
          <w:szCs w:val="18"/>
          <w:color w:val="auto"/>
        </w:rPr>
      </w:pPr>
      <w:r>
        <w:rPr>
          <w:rFonts w:ascii="Arial" w:cs="Arial" w:eastAsia="Arial" w:hAnsi="Arial"/>
          <w:sz w:val="18"/>
          <w:szCs w:val="18"/>
          <w:color w:val="auto"/>
        </w:rPr>
        <w:t>[Free writing prospectus containing a description of terms that does not reflect final terms, if the Time of Sale Prospectus does not include a final term sheet]</w:t>
      </w:r>
    </w:p>
    <w:p>
      <w:pPr>
        <w:spacing w:after="0" w:line="75" w:lineRule="exact"/>
        <w:rPr>
          <w:rFonts w:ascii="Arial" w:cs="Arial" w:eastAsia="Arial" w:hAnsi="Arial"/>
          <w:sz w:val="18"/>
          <w:szCs w:val="18"/>
          <w:color w:val="auto"/>
        </w:rPr>
      </w:pPr>
    </w:p>
    <w:p>
      <w:pPr>
        <w:ind w:left="424" w:right="220" w:hanging="424"/>
        <w:spacing w:after="0" w:line="277" w:lineRule="auto"/>
        <w:tabs>
          <w:tab w:leader="none" w:pos="424" w:val="left"/>
        </w:tabs>
        <w:numPr>
          <w:ilvl w:val="0"/>
          <w:numId w:val="201"/>
        </w:numPr>
        <w:rPr>
          <w:rFonts w:ascii="Arial" w:cs="Arial" w:eastAsia="Arial" w:hAnsi="Arial"/>
          <w:sz w:val="18"/>
          <w:szCs w:val="18"/>
          <w:color w:val="auto"/>
        </w:rPr>
      </w:pPr>
      <w:r>
        <w:rPr>
          <w:rFonts w:ascii="Arial" w:cs="Arial" w:eastAsia="Arial" w:hAnsi="Arial"/>
          <w:sz w:val="18"/>
          <w:szCs w:val="18"/>
          <w:color w:val="auto"/>
        </w:rPr>
        <w:t>[Orally communicated pricing information such as price per share and size of offering if a Rule 134 pricing term sheet is used at the time of sale instead of a pricing term sheet filed by the Company under Rule 433(d) as a free writing prospectus]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24"/>
          </w:cols>
          <w:pgMar w:left="436" w:top="270" w:right="439" w:bottom="1440" w:gutter="0" w:footer="0" w:header="0"/>
        </w:sectPr>
      </w:pPr>
    </w:p>
    <w:bookmarkStart w:id="300" w:name="page301"/>
    <w:bookmarkEnd w:id="30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Stifel, Nicolaus &amp; Company,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Guggenheim Securities,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New York, NY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Stifel, Nicolaus &amp; Company, Incorporated</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787 7</w:t>
      </w:r>
      <w:r>
        <w:rPr>
          <w:rFonts w:ascii="Arial" w:cs="Arial" w:eastAsia="Arial" w:hAnsi="Arial"/>
          <w:sz w:val="15"/>
          <w:szCs w:val="15"/>
          <w:color w:val="auto"/>
        </w:rPr>
        <w:t>th</w:t>
      </w:r>
      <w:r>
        <w:rPr>
          <w:rFonts w:ascii="Arial" w:cs="Arial" w:eastAsia="Arial" w:hAnsi="Arial"/>
          <w:sz w:val="18"/>
          <w:szCs w:val="18"/>
          <w:color w:val="auto"/>
        </w:rPr>
        <w:t xml:space="preserve"> Avenue, 11</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Guggenheim Securities, LLC</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330 Madison Avenue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New York, NY 10017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220" w:firstLine="440"/>
        <w:spacing w:after="0" w:line="298" w:lineRule="auto"/>
        <w:rPr>
          <w:sz w:val="20"/>
          <w:szCs w:val="20"/>
          <w:color w:val="auto"/>
        </w:rPr>
      </w:pPr>
      <w:r>
        <w:rPr>
          <w:rFonts w:ascii="Arial" w:cs="Arial" w:eastAsia="Arial" w:hAnsi="Arial"/>
          <w:sz w:val="16"/>
          <w:szCs w:val="16"/>
          <w:color w:val="auto"/>
        </w:rPr>
        <w:t>The undersigned understands that Morgan Stanley &amp; Co. LLC (“</w:t>
      </w:r>
      <w:r>
        <w:rPr>
          <w:rFonts w:ascii="Arial" w:cs="Arial" w:eastAsia="Arial" w:hAnsi="Arial"/>
          <w:sz w:val="16"/>
          <w:szCs w:val="16"/>
          <w:b w:val="1"/>
          <w:bCs w:val="1"/>
          <w:color w:val="auto"/>
        </w:rPr>
        <w:t>Morgan Stanley</w:t>
      </w:r>
      <w:r>
        <w:rPr>
          <w:rFonts w:ascii="Arial" w:cs="Arial" w:eastAsia="Arial" w:hAnsi="Arial"/>
          <w:sz w:val="16"/>
          <w:szCs w:val="16"/>
          <w:color w:val="auto"/>
        </w:rPr>
        <w:t>”), Jefferies LLC (“</w:t>
      </w:r>
      <w:r>
        <w:rPr>
          <w:rFonts w:ascii="Arial" w:cs="Arial" w:eastAsia="Arial" w:hAnsi="Arial"/>
          <w:sz w:val="16"/>
          <w:szCs w:val="16"/>
          <w:b w:val="1"/>
          <w:bCs w:val="1"/>
          <w:color w:val="auto"/>
        </w:rPr>
        <w:t>Jefferies</w:t>
      </w:r>
      <w:r>
        <w:rPr>
          <w:rFonts w:ascii="Arial" w:cs="Arial" w:eastAsia="Arial" w:hAnsi="Arial"/>
          <w:sz w:val="16"/>
          <w:szCs w:val="16"/>
          <w:color w:val="auto"/>
        </w:rPr>
        <w:t>”), Stifel, Nicolaus &amp; Company, Incorporated (“</w:t>
      </w:r>
      <w:r>
        <w:rPr>
          <w:rFonts w:ascii="Arial" w:cs="Arial" w:eastAsia="Arial" w:hAnsi="Arial"/>
          <w:sz w:val="16"/>
          <w:szCs w:val="16"/>
          <w:b w:val="1"/>
          <w:bCs w:val="1"/>
          <w:color w:val="auto"/>
        </w:rPr>
        <w:t>Stifel</w:t>
      </w:r>
      <w:r>
        <w:rPr>
          <w:rFonts w:ascii="Arial" w:cs="Arial" w:eastAsia="Arial" w:hAnsi="Arial"/>
          <w:sz w:val="16"/>
          <w:szCs w:val="16"/>
          <w:color w:val="auto"/>
        </w:rPr>
        <w:t>”) and Guggenheim Securities, LLC (“</w:t>
      </w:r>
      <w:r>
        <w:rPr>
          <w:rFonts w:ascii="Arial" w:cs="Arial" w:eastAsia="Arial" w:hAnsi="Arial"/>
          <w:sz w:val="16"/>
          <w:szCs w:val="16"/>
          <w:b w:val="1"/>
          <w:bCs w:val="1"/>
          <w:color w:val="auto"/>
        </w:rPr>
        <w:t>Guggenheim</w:t>
      </w:r>
      <w:r>
        <w:rPr>
          <w:rFonts w:ascii="Arial" w:cs="Arial" w:eastAsia="Arial" w:hAnsi="Arial"/>
          <w:sz w:val="16"/>
          <w:szCs w:val="16"/>
          <w:color w:val="auto"/>
        </w:rPr>
        <w:t>,” together with Morgan Stanley, Jefferies and Stifel, the “</w:t>
      </w:r>
      <w:r>
        <w:rPr>
          <w:rFonts w:ascii="Arial" w:cs="Arial" w:eastAsia="Arial" w:hAnsi="Arial"/>
          <w:sz w:val="16"/>
          <w:szCs w:val="16"/>
          <w:b w:val="1"/>
          <w:bCs w:val="1"/>
          <w:color w:val="auto"/>
        </w:rPr>
        <w:t>Representatives</w:t>
      </w:r>
      <w:r>
        <w:rPr>
          <w:rFonts w:ascii="Arial" w:cs="Arial" w:eastAsia="Arial" w:hAnsi="Arial"/>
          <w:sz w:val="16"/>
          <w:szCs w:val="16"/>
          <w:color w:val="auto"/>
        </w:rPr>
        <w:t>”) propose to enter into an Underwriting Agreement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with Adagio Therapeutics,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providing for the public offering (the “</w:t>
      </w:r>
      <w:r>
        <w:rPr>
          <w:rFonts w:ascii="Arial" w:cs="Arial" w:eastAsia="Arial" w:hAnsi="Arial"/>
          <w:sz w:val="16"/>
          <w:szCs w:val="16"/>
          <w:b w:val="1"/>
          <w:bCs w:val="1"/>
          <w:color w:val="auto"/>
        </w:rPr>
        <w:t>Public Offering</w:t>
      </w:r>
      <w:r>
        <w:rPr>
          <w:rFonts w:ascii="Arial" w:cs="Arial" w:eastAsia="Arial" w:hAnsi="Arial"/>
          <w:sz w:val="16"/>
          <w:szCs w:val="16"/>
          <w:color w:val="auto"/>
        </w:rPr>
        <w:t>”) by the several Underwriters, including the Representatives (the “</w:t>
      </w:r>
      <w:r>
        <w:rPr>
          <w:rFonts w:ascii="Arial" w:cs="Arial" w:eastAsia="Arial" w:hAnsi="Arial"/>
          <w:sz w:val="16"/>
          <w:szCs w:val="16"/>
          <w:b w:val="1"/>
          <w:bCs w:val="1"/>
          <w:color w:val="auto"/>
        </w:rPr>
        <w:t>Underwriters</w:t>
      </w:r>
      <w:r>
        <w:rPr>
          <w:rFonts w:ascii="Arial" w:cs="Arial" w:eastAsia="Arial" w:hAnsi="Arial"/>
          <w:sz w:val="16"/>
          <w:szCs w:val="16"/>
          <w:color w:val="auto"/>
        </w:rPr>
        <w:t>”), of shares (the “</w:t>
      </w:r>
      <w:r>
        <w:rPr>
          <w:rFonts w:ascii="Arial" w:cs="Arial" w:eastAsia="Arial" w:hAnsi="Arial"/>
          <w:sz w:val="16"/>
          <w:szCs w:val="16"/>
          <w:b w:val="1"/>
          <w:bCs w:val="1"/>
          <w:color w:val="auto"/>
        </w:rPr>
        <w:t>Shares</w:t>
      </w:r>
      <w:r>
        <w:rPr>
          <w:rFonts w:ascii="Arial" w:cs="Arial" w:eastAsia="Arial" w:hAnsi="Arial"/>
          <w:sz w:val="16"/>
          <w:szCs w:val="16"/>
          <w:color w:val="auto"/>
        </w:rPr>
        <w:t>”) of the common stock, par value $0.0001 per share, of the Company (the “</w:t>
      </w:r>
      <w:r>
        <w:rPr>
          <w:rFonts w:ascii="Arial" w:cs="Arial" w:eastAsia="Arial" w:hAnsi="Arial"/>
          <w:sz w:val="16"/>
          <w:szCs w:val="16"/>
          <w:b w:val="1"/>
          <w:bCs w:val="1"/>
          <w:color w:val="auto"/>
        </w:rPr>
        <w:t>Common Stock</w:t>
      </w:r>
      <w:r>
        <w:rPr>
          <w:rFonts w:ascii="Arial" w:cs="Arial" w:eastAsia="Arial" w:hAnsi="Arial"/>
          <w:sz w:val="16"/>
          <w:szCs w:val="16"/>
          <w:color w:val="auto"/>
        </w:rPr>
        <w:t>”).</w:t>
      </w:r>
    </w:p>
    <w:p>
      <w:pPr>
        <w:spacing w:after="0" w:line="158"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To induce the Underwriters that may participate in the Public Offering to continue their efforts in connection with the Public Offering, the undersigned hereby agrees that, without the prior written consent of Morgan Stanley and Jefferies on behalf of the Underwriters, it will not, and will not publicly disclose an intention to, during the period commencing on the date of the final prospectus relating to the Public Offering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301" w:name="page302"/>
    <w:bookmarkEnd w:id="301"/>
    <w:p>
      <w:pPr>
        <w:ind w:right="1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color w:val="auto"/>
        </w:rPr>
        <w:t>Prospectus</w:t>
      </w:r>
      <w:r>
        <w:rPr>
          <w:rFonts w:ascii="Arial" w:cs="Arial" w:eastAsia="Arial" w:hAnsi="Arial"/>
          <w:sz w:val="16"/>
          <w:szCs w:val="16"/>
          <w:color w:val="auto"/>
        </w:rPr>
        <w:t>”) and ending 180 days after the date of the Prospectus (the “</w:t>
      </w:r>
      <w:r>
        <w:rPr>
          <w:rFonts w:ascii="Arial" w:cs="Arial" w:eastAsia="Arial" w:hAnsi="Arial"/>
          <w:sz w:val="16"/>
          <w:szCs w:val="16"/>
          <w:b w:val="1"/>
          <w:bCs w:val="1"/>
          <w:color w:val="auto"/>
        </w:rPr>
        <w:t>Restricted Period</w:t>
      </w:r>
      <w:r>
        <w:rPr>
          <w:rFonts w:ascii="Arial" w:cs="Arial" w:eastAsia="Arial" w:hAnsi="Arial"/>
          <w:sz w:val="16"/>
          <w:szCs w:val="16"/>
          <w:color w:val="auto"/>
        </w:rPr>
        <w:t>”), (1) 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by the undersigned or any other securities so owned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The undersigned acknowledges and agrees that the foregoing precludes the undersigned from engaging in any hedging or other transaction designed or intended, or which could reasonably be expected to lead to or result in, a sale or disposition of any shares of Common Stock, or any securities convertible into or exercisable or exchangeable for Common Stock, even if any such sale or disposition transaction or transactions would be made or executed by or on behalf of someone other than the undersigned. The foregoing sentence shall not apply to:</w:t>
      </w:r>
    </w:p>
    <w:p>
      <w:pPr>
        <w:spacing w:after="0" w:line="70" w:lineRule="exact"/>
        <w:rPr>
          <w:sz w:val="20"/>
          <w:szCs w:val="20"/>
          <w:color w:val="auto"/>
        </w:rPr>
      </w:pPr>
    </w:p>
    <w:p>
      <w:pPr>
        <w:ind w:left="960" w:right="40" w:hanging="532"/>
        <w:spacing w:after="0" w:line="259" w:lineRule="auto"/>
        <w:tabs>
          <w:tab w:leader="none" w:pos="9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transactions relating to shares of Common Stock or other securities acquired in the Public Offering or in open market transactions after the completion of the Public Offering;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filing under Section 16(a) of the Exchange Act shall be required or shall be voluntarily made during the Restricted Period in connection with subsequent sales of Common Stock or other securities acquired in the Public Offering or in such open market transactions;</w:t>
      </w:r>
    </w:p>
    <w:p>
      <w:pPr>
        <w:spacing w:after="0" w:line="92" w:lineRule="exact"/>
        <w:rPr>
          <w:rFonts w:ascii="Arial" w:cs="Arial" w:eastAsia="Arial" w:hAnsi="Arial"/>
          <w:sz w:val="18"/>
          <w:szCs w:val="18"/>
          <w:color w:val="auto"/>
        </w:rPr>
      </w:pPr>
    </w:p>
    <w:p>
      <w:pPr>
        <w:ind w:left="960" w:hanging="532"/>
        <w:spacing w:after="0"/>
        <w:tabs>
          <w:tab w:leader="none" w:pos="96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transfers or distributions of shares of Common Stock or any security convertible into or exercisable or exchangeable for Common Stock</w:t>
      </w:r>
    </w:p>
    <w:p>
      <w:pPr>
        <w:spacing w:after="0" w:line="46" w:lineRule="exact"/>
        <w:rPr>
          <w:rFonts w:ascii="Arial" w:cs="Arial" w:eastAsia="Arial" w:hAnsi="Arial"/>
          <w:sz w:val="16"/>
          <w:szCs w:val="16"/>
          <w:color w:val="auto"/>
        </w:rPr>
      </w:pPr>
    </w:p>
    <w:p>
      <w:pPr>
        <w:ind w:left="960" w:right="20"/>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(i) as a bona fide gift or charitable contribution, (ii) by will or intestacy or to any immediate family member or to a trust for the direct or indirect benefit of the undersigned and/or any immediate family member of the undersigned, (iii) to limited partners, members or stockholders, or holders of similar equity interests, of the undersigned or (iv) to another corporation, partnership, limited liability company, trust or other business entity that is an affiliate (as defined in Rule 405 promulgated under the Securities Act of 1933, as amended) of the undersigned, or to any investment fund or other entity controlled or managed by the undersigned or affiliates of the undersigned;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each transferee or distributee shall sign and deliver a lock-up agreement substantially in the form of this agreement and (B) no filing under Section 16(a) of the Exchange Act, reporting a reduction in beneficial ownership of shares of Common Stock, shall be required or shall be voluntarily made during the Restricted Period;</w:t>
      </w:r>
    </w:p>
    <w:p>
      <w:pPr>
        <w:spacing w:after="0" w:line="88" w:lineRule="exact"/>
        <w:rPr>
          <w:rFonts w:ascii="Arial" w:cs="Arial" w:eastAsia="Arial" w:hAnsi="Arial"/>
          <w:sz w:val="16"/>
          <w:szCs w:val="16"/>
          <w:color w:val="auto"/>
        </w:rPr>
      </w:pPr>
    </w:p>
    <w:p>
      <w:pPr>
        <w:ind w:left="960" w:hanging="532"/>
        <w:spacing w:after="0" w:line="296" w:lineRule="auto"/>
        <w:tabs>
          <w:tab w:leader="none" w:pos="96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facilitating the establishment of a trading plan on behalf of a stockholder, officer or director of the Company pursuant to Rule 10b5-1 under the Exchange Act for the transfer of shares of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plan does not provide for the transfer of Common Stock during the Restricted Period and (ii)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Common Stock may be made under such plan during the Restricted Period;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302" w:name="page303"/>
    <w:bookmarkEnd w:id="302"/>
    <w:p>
      <w:pPr>
        <w:ind w:left="540" w:right="140" w:hanging="532"/>
        <w:spacing w:after="0" w:line="286" w:lineRule="auto"/>
        <w:tabs>
          <w:tab w:leader="none" w:pos="540" w:val="left"/>
        </w:tabs>
        <w:numPr>
          <w:ilvl w:val="0"/>
          <w:numId w:val="20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transfers of Common Stock or any security convertible into or exercisable or exchangeable for Common Stock by operation of law pursuant to a qualified domestic order or other court order or in connection with a divorce settlement;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no filing under Section 16(a) of the Exchange Act or any other public filing or disclosure shall be voluntarily made during the Restricted Period, and any required filing shall clearly indicate in the footnotes thereto that (A) the filing relates to the circumstances described in this clause (d) and</w:t>
      </w:r>
    </w:p>
    <w:p>
      <w:pPr>
        <w:spacing w:after="0" w:line="1" w:lineRule="exact"/>
        <w:rPr>
          <w:rFonts w:ascii="Arial" w:cs="Arial" w:eastAsia="Arial" w:hAnsi="Arial"/>
          <w:sz w:val="16"/>
          <w:szCs w:val="16"/>
          <w:color w:val="auto"/>
        </w:rPr>
      </w:pPr>
    </w:p>
    <w:p>
      <w:pPr>
        <w:ind w:left="540" w:right="360"/>
        <w:spacing w:after="0" w:line="260" w:lineRule="auto"/>
        <w:rPr>
          <w:rFonts w:ascii="Arial" w:cs="Arial" w:eastAsia="Arial" w:hAnsi="Arial"/>
          <w:sz w:val="16"/>
          <w:szCs w:val="16"/>
          <w:color w:val="auto"/>
        </w:rPr>
      </w:pPr>
      <w:r>
        <w:rPr>
          <w:rFonts w:ascii="Arial" w:cs="Arial" w:eastAsia="Arial" w:hAnsi="Arial"/>
          <w:sz w:val="18"/>
          <w:szCs w:val="18"/>
          <w:color w:val="auto"/>
        </w:rPr>
        <w:t>(B) no securities were sold by the undersigned, and (ii) the undersigned does not otherwise voluntarily effect any other public filing or report regarding such transfers during the Restricted Period;</w:t>
      </w:r>
    </w:p>
    <w:p>
      <w:pPr>
        <w:spacing w:after="0" w:line="90" w:lineRule="exact"/>
        <w:rPr>
          <w:rFonts w:ascii="Arial" w:cs="Arial" w:eastAsia="Arial" w:hAnsi="Arial"/>
          <w:sz w:val="16"/>
          <w:szCs w:val="16"/>
          <w:color w:val="auto"/>
        </w:rPr>
      </w:pPr>
    </w:p>
    <w:p>
      <w:pPr>
        <w:ind w:left="540" w:hanging="532"/>
        <w:spacing w:after="0" w:line="269" w:lineRule="auto"/>
        <w:tabs>
          <w:tab w:leader="none" w:pos="54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 xml:space="preserve">the receipt by the undersigned from the Company of shares of Common Stock upon the transfer or disposition of shares of Common Stock or any securities convertible into Common Stock to the Company upon a vesting or settlement event of the Company’s securities or vesting of restricted stock unit awards or upon the exercise of options to purchase the Company’s securities on a “cashless” or “net exercise” basis, in each case pursuant to any equity incentive plan of the Company described in the Prospectus and to the extent permitted by the instruments representing such restricted stock unit awards or options outstanding as of the date of the Prospectus (and solely to cover the exercise price or withholding tax obligations in connection with such transaction and any transfer to the Company for the payment of the exercise price or taxes as a result of such transaction);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the shares received upon exercise or settlement of the option are subject to the terms of this agreement, (ii) no public disclosure or filing under Section 16(a) of the Exchange Act shall be voluntarily made during the Restricted Period and (iii) to the extent a filing under Section 16(a) of the Exchange Act is required during the Restricted Period as a result of transfers made pursuant to this clause (e), it shall clearly indicate that (A) the filing relates to the circumstances described in this clause (e), including that the securities remain subject to the terms of this agreement and (B) no securities were sold by the undersigned other than pursuant to this clause (e);</w:t>
      </w:r>
    </w:p>
    <w:p>
      <w:pPr>
        <w:spacing w:after="0" w:line="84" w:lineRule="exact"/>
        <w:rPr>
          <w:rFonts w:ascii="Arial" w:cs="Arial" w:eastAsia="Arial" w:hAnsi="Arial"/>
          <w:sz w:val="17"/>
          <w:szCs w:val="17"/>
          <w:color w:val="auto"/>
        </w:rPr>
      </w:pPr>
    </w:p>
    <w:p>
      <w:pPr>
        <w:ind w:left="540" w:right="280" w:hanging="532"/>
        <w:spacing w:after="0" w:line="259" w:lineRule="auto"/>
        <w:tabs>
          <w:tab w:leader="none" w:pos="5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transfers to the Company in connection with the repurchase of Common Stock in connection with the termination of the undersigned’s employment with the Company pursuant to contractual agreements with the Company as in effect as of the date of the Prospectus and disclosed to Morgan Stanley and Jefferies;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public disclosure or filing under Section 16(a) of the Exchange Act shall be required or shall be voluntarily made during the Restricted Period;</w:t>
      </w:r>
    </w:p>
    <w:p>
      <w:pPr>
        <w:spacing w:after="0" w:line="92" w:lineRule="exact"/>
        <w:rPr>
          <w:rFonts w:ascii="Arial" w:cs="Arial" w:eastAsia="Arial" w:hAnsi="Arial"/>
          <w:sz w:val="18"/>
          <w:szCs w:val="18"/>
          <w:color w:val="auto"/>
        </w:rPr>
      </w:pPr>
    </w:p>
    <w:p>
      <w:pPr>
        <w:ind w:left="540" w:right="640" w:hanging="532"/>
        <w:spacing w:after="0" w:line="308" w:lineRule="auto"/>
        <w:tabs>
          <w:tab w:leader="none" w:pos="54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 xml:space="preserve">the conversion of the outstanding preferred stock of the Company described in the Prospectus into shares of Common Stock of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shares of Common Stock remain subject to the terms of this agreement; or</w:t>
      </w:r>
    </w:p>
    <w:p>
      <w:pPr>
        <w:spacing w:after="0" w:line="7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0"/>
          </w:cols>
          <w:pgMar w:left="860" w:top="274" w:right="459" w:bottom="1440" w:gutter="0" w:footer="0" w:header="0"/>
        </w:sectPr>
      </w:pPr>
    </w:p>
    <w:bookmarkStart w:id="303" w:name="page304"/>
    <w:bookmarkEnd w:id="303"/>
    <w:p>
      <w:pPr>
        <w:ind w:left="960" w:right="40" w:hanging="532"/>
        <w:spacing w:after="0" w:line="291" w:lineRule="auto"/>
        <w:tabs>
          <w:tab w:leader="none" w:pos="960" w:val="left"/>
        </w:tabs>
        <w:numPr>
          <w:ilvl w:val="0"/>
          <w:numId w:val="2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transfers pursuant to a bona fide third-party tender offer for all outstanding Common Stock or securities convertible into or exchangeable for Common Stock of the Company, merger, consolidation or other similar transaction approved by the Company’s Board of Directors and made to all holders of the Company’s securities involving a change of control of the Company (including, without limitation, the entering into any lock-up, voting or similar agreement pursuant to which the undersigned may agree to transfer, sell, tender or otherwise dispose of Common Stock or other such securities in connection with such transaction, or vote any Common Stock or other such securities in favor of any such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such tender offer, merger, consolidation or other such transaction is not completed, such securities held by the undersigned shall remain subject to the provisions of this agreement.</w:t>
      </w:r>
    </w:p>
    <w:p>
      <w:pPr>
        <w:spacing w:after="0" w:line="166" w:lineRule="exact"/>
        <w:rPr>
          <w:sz w:val="20"/>
          <w:szCs w:val="20"/>
          <w:color w:val="auto"/>
        </w:rPr>
      </w:pPr>
    </w:p>
    <w:p>
      <w:pPr>
        <w:ind w:right="260" w:firstLine="440"/>
        <w:spacing w:after="0" w:line="257" w:lineRule="auto"/>
        <w:rPr>
          <w:sz w:val="20"/>
          <w:szCs w:val="20"/>
          <w:color w:val="auto"/>
        </w:rPr>
      </w:pPr>
      <w:r>
        <w:rPr>
          <w:rFonts w:ascii="Arial" w:cs="Arial" w:eastAsia="Arial" w:hAnsi="Arial"/>
          <w:sz w:val="18"/>
          <w:szCs w:val="18"/>
          <w:color w:val="auto"/>
        </w:rPr>
        <w:t>In addition, the undersigned agrees that, without the prior written consent of Morgan Stanley and Jefferies on behalf of the Underwriters, it will not, during the Restricted Period, make any demand for or exercise any right with respect to, the registration of any shares of Common Stock or any security convertible into or exercisable or exchangeable for Common Stock. The undersigned also agrees and consents to the entry of stop transfer instructions with the Company’s transfer agent and registrar against the transfer of the undersigned’s shares of Common Stock except in compliance with the foregoing restrictions.</w:t>
      </w:r>
    </w:p>
    <w:p>
      <w:pPr>
        <w:spacing w:after="0" w:line="188"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For purposes of this agreement, (i) “immediate family member” shall mean any relationship by blood, marriage, domestic partnership or adoption, not more remote than first cousin, and (ii) “change of control” shall mean the consummation of any bona fide third party tender offer, merger, amalgamation, consolidation or other similar transaction the result of which is that any “person” (as defined in Section 13(d)(3) of the Exchange Act), or group of persons, other than the Company, becomes the beneficial owner (as defined in Rules 13d-3 and 13d-5 of the Exchange Act) of greater than 50% of the total voting power of the voting stock of the Company.</w:t>
      </w:r>
    </w:p>
    <w:p>
      <w:pPr>
        <w:spacing w:after="0" w:line="188" w:lineRule="exact"/>
        <w:rPr>
          <w:sz w:val="20"/>
          <w:szCs w:val="20"/>
          <w:color w:val="auto"/>
        </w:rPr>
      </w:pPr>
    </w:p>
    <w:p>
      <w:pPr>
        <w:ind w:right="760" w:firstLine="440"/>
        <w:spacing w:after="0" w:line="277" w:lineRule="auto"/>
        <w:rPr>
          <w:sz w:val="20"/>
          <w:szCs w:val="20"/>
          <w:color w:val="auto"/>
        </w:rPr>
      </w:pPr>
      <w:r>
        <w:rPr>
          <w:rFonts w:ascii="Arial" w:cs="Arial" w:eastAsia="Arial" w:hAnsi="Arial"/>
          <w:sz w:val="18"/>
          <w:szCs w:val="18"/>
          <w:color w:val="auto"/>
        </w:rPr>
        <w:t>If the undersigned is an officer or director of the Company, the undersigned further agrees that the foregoing restrictions shall be equally applicable to any issuer-directed Shares the undersigned may purchase in the offering.</w:t>
      </w:r>
    </w:p>
    <w:p>
      <w:pPr>
        <w:spacing w:after="0" w:line="170" w:lineRule="exact"/>
        <w:rPr>
          <w:sz w:val="20"/>
          <w:szCs w:val="20"/>
          <w:color w:val="auto"/>
        </w:rPr>
      </w:pPr>
    </w:p>
    <w:p>
      <w:pPr>
        <w:ind w:right="140" w:firstLine="440"/>
        <w:spacing w:after="0" w:line="290" w:lineRule="auto"/>
        <w:rPr>
          <w:sz w:val="20"/>
          <w:szCs w:val="20"/>
          <w:color w:val="auto"/>
        </w:rPr>
      </w:pPr>
      <w:r>
        <w:rPr>
          <w:rFonts w:ascii="Arial" w:cs="Arial" w:eastAsia="Arial" w:hAnsi="Arial"/>
          <w:sz w:val="16"/>
          <w:szCs w:val="16"/>
          <w:color w:val="auto"/>
        </w:rPr>
        <w:t>If the undersigned is an officer or director of the Company, (i) Morgan Stanley and Jefferies agree that, at least three business days before the effective date of any release or waiver of the foregoing restrictions in connection with a transfer of shares of Common Stock, Morgan Stanley and Jefferies will notify the Company of the impending release or waiver, and (ii) the Company has agreed or will agree in the Underwriting Agreement to announce the impending release or waiver by press release through a major news service at least two business days before the effective date of the release or waiver. Any release or waiver granted by Morgan Stanley and Jefferies hereunder to any such officer or director shall only be effective two business days after the publication date of such press release. The provisions of this paragraph will not apply if (a) the release or waiver is effected solely to permit a transfer not for consideration or to an immediate family member and (b) the transferee has agreed in writing to be bound by the same terms described in this agreement to the extent and for the duration that such terms remain in effect at the time of the transfer.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304" w:name="page305"/>
    <w:bookmarkEnd w:id="304"/>
    <w:p>
      <w:pPr>
        <w:ind w:left="4"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that a release is granted to any Major Holder (as defined below) other than the undersigned relating to the lock-up restrictions set forth above for shares of Common Stock, the same percentage of shares of Common Stock held by the undersigned shall be immediately and fully released (the “</w:t>
      </w:r>
      <w:r>
        <w:rPr>
          <w:rFonts w:ascii="Arial" w:cs="Arial" w:eastAsia="Arial" w:hAnsi="Arial"/>
          <w:sz w:val="16"/>
          <w:szCs w:val="16"/>
          <w:b w:val="1"/>
          <w:bCs w:val="1"/>
          <w:color w:val="auto"/>
        </w:rPr>
        <w:t>Pro-rata Release</w:t>
      </w:r>
      <w:r>
        <w:rPr>
          <w:rFonts w:ascii="Arial" w:cs="Arial" w:eastAsia="Arial" w:hAnsi="Arial"/>
          <w:sz w:val="16"/>
          <w:szCs w:val="16"/>
          <w:color w:val="auto"/>
        </w:rPr>
        <w:t>”) on the same terms from any remaining lock-up restrictions set forth herein. Notwithstanding the foregoing, no waiver or termination will constitute a Pro-rata Release, if: (a) such release is granted from such lockup restrictions to any individual party or parties (other than stockholders subject to Section 16 reporting with respect to the Company under the Exchange Act) to sell or otherwise transfer or dispose of Common Stock or other securities in an amount up to an aggregate of $1,000,000, (b) such waiver is effected solely to permit a transfer not involving a disposition for value and the transferee has agreed in writing to sign and deliver a lock-up agreement substantially in the form of this agreement or (c) such waiver or termination, in full or in part, is in connection with any underwritten public offering, whether or not such offering or sale is wholly or partially a secondary offering of the Common Stock during the Restricted Period (a “</w:t>
      </w:r>
      <w:r>
        <w:rPr>
          <w:rFonts w:ascii="Arial" w:cs="Arial" w:eastAsia="Arial" w:hAnsi="Arial"/>
          <w:sz w:val="16"/>
          <w:szCs w:val="16"/>
          <w:b w:val="1"/>
          <w:bCs w:val="1"/>
          <w:color w:val="auto"/>
        </w:rPr>
        <w:t>Follow-on Offering</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undersigned, to the extent the undersigned has a contractual right to demand or require the registration of the undersigned’s Common Stock or otherwise “piggyback” on a registration statement filed by the Company for the offer and sale of its Common Stock, (i) shall be offered the opportunity to participate on a pro rata basis consistent with such contractual rights in such Follow-on Offering and on pricing terms that are no less favorable than the terms of the Follow-on Offering, and such shares are released solely for the purpose of participating in such Follow-on Offering, or (ii) such contractual rights are waived pursuant to the terms thereof; and in the event the Underwriters make the determination to cut back the number of securities to be sold by stockholders in the Follow-on Offering, such cut back shall be on a basis consistent with such contractual rights. Notwithstanding any other provisions of this Agreement, if Morgan Stanley and Jefferies in their sole discretion determine that a record or beneficial owner of Common Stock, or other securities convertible into or exercisable or exchangeable for Common Stock, should be granted an early Pro-rata Release due to circumstances of emergency or hardship, then the undersigned shall not have any right to be granted a release pursuant to the terms of this paragraph. In the event that any percentage of such Common Stock released from the lock-up restrictions are subject to any restrictions of the type set forth in clause (1) or (2) of the second paragraph of this Agreement, the same restrictions shall be applicable to the release of the same percentage of Common Stock held by the undersigned. In the event that the undersigned is released from any of its obligations under this Agreement (pursuant to this paragraph), or by virtue of this Agreement (pursuant to this paragraph), becomes entitled to offer, pledge, sell, contract to sell, or otherwise dispose of any Common Stock during the Restricted Period, Morgan Stanley and Jefferies shall use their commercially reasonable efforts to provide notification of such to the undersigned within three business days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failure to provide such notice shall not give rise to any claim or liability against Morgan Stanley, Jefferies or the Underwriters. For purposes of this Agreement, each of the following persons is a “</w:t>
      </w:r>
      <w:r>
        <w:rPr>
          <w:rFonts w:ascii="Arial" w:cs="Arial" w:eastAsia="Arial" w:hAnsi="Arial"/>
          <w:sz w:val="16"/>
          <w:szCs w:val="16"/>
          <w:b w:val="1"/>
          <w:bCs w:val="1"/>
          <w:color w:val="auto"/>
        </w:rPr>
        <w:t>Major Holder</w:t>
      </w:r>
      <w:r>
        <w:rPr>
          <w:rFonts w:ascii="Arial" w:cs="Arial" w:eastAsia="Arial" w:hAnsi="Arial"/>
          <w:sz w:val="16"/>
          <w:szCs w:val="16"/>
          <w:color w:val="auto"/>
        </w:rPr>
        <w:t>”: each officer and director of the Company and each record or beneficial owner, as of the date hereof, of more than 1% of the outstanding shares of securities of the Company (for purposes of determining record or beneficial ownership of a stockholder, all shares of securities held by investment funds affiliated with such stockholders shall be aggregated).]</w:t>
      </w: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7152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44" w:lineRule="exact"/>
        <w:rPr>
          <w:sz w:val="20"/>
          <w:szCs w:val="20"/>
          <w:color w:val="auto"/>
        </w:rPr>
      </w:pPr>
    </w:p>
    <w:p>
      <w:pPr>
        <w:ind w:left="5464" w:right="1440" w:hanging="5464"/>
        <w:spacing w:after="0" w:line="449" w:lineRule="auto"/>
        <w:tabs>
          <w:tab w:leader="none" w:pos="433" w:val="left"/>
        </w:tabs>
        <w:numPr>
          <w:ilvl w:val="0"/>
          <w:numId w:val="205"/>
        </w:numPr>
        <w:rPr>
          <w:rFonts w:ascii="Arial" w:cs="Arial" w:eastAsia="Arial" w:hAnsi="Arial"/>
          <w:sz w:val="15"/>
          <w:szCs w:val="15"/>
          <w:color w:val="auto"/>
        </w:rPr>
      </w:pPr>
      <w:r>
        <w:rPr>
          <w:rFonts w:ascii="Arial" w:cs="Arial" w:eastAsia="Arial" w:hAnsi="Arial"/>
          <w:sz w:val="18"/>
          <w:szCs w:val="18"/>
          <w:color w:val="auto"/>
        </w:rPr>
        <w:t>NTD: To be included if the undersigned is a preferred stockholder that is party to the Company’s Investors’ Rights Agreement. 6</w:t>
      </w:r>
    </w:p>
    <w:p>
      <w:pPr>
        <w:sectPr>
          <w:pgSz w:w="11900" w:h="16838" w:orient="portrait"/>
          <w:cols w:equalWidth="0" w:num="1">
            <w:col w:w="11004"/>
          </w:cols>
          <w:pgMar w:left="436" w:top="274" w:right="459" w:bottom="1440" w:gutter="0" w:footer="0" w:header="0"/>
        </w:sectPr>
      </w:pPr>
    </w:p>
    <w:bookmarkStart w:id="305" w:name="page306"/>
    <w:bookmarkEnd w:id="305"/>
    <w:p>
      <w:pPr>
        <w:ind w:left="4" w:right="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w:t>
      </w:r>
    </w:p>
    <w:p>
      <w:pPr>
        <w:spacing w:after="0" w:line="184"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The undersigned acknowledges and agrees that the Underwriters have not provided any recommendation or investment advice nor have the Underwriters solicited any action from the undersigned with respect to the Public Offering of the Shares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you in connection with the Public Offering, the Underwriters are not making a recommendation to you to participate in the Public Offering or sell any Shares at the price determined in the Public Offering, and nothing set forth in such disclosures or documentation is intended to suggest that any Underwriter is making such a recommendation.</w:t>
      </w:r>
    </w:p>
    <w:p>
      <w:pPr>
        <w:spacing w:after="0" w:line="195" w:lineRule="exact"/>
        <w:rPr>
          <w:sz w:val="20"/>
          <w:szCs w:val="20"/>
          <w:color w:val="auto"/>
        </w:rPr>
      </w:pPr>
    </w:p>
    <w:p>
      <w:pPr>
        <w:ind w:left="4" w:firstLine="440"/>
        <w:spacing w:after="0" w:line="308" w:lineRule="auto"/>
        <w:rPr>
          <w:sz w:val="20"/>
          <w:szCs w:val="20"/>
          <w:color w:val="auto"/>
        </w:rPr>
      </w:pPr>
      <w:r>
        <w:rPr>
          <w:rFonts w:ascii="Arial" w:cs="Arial" w:eastAsia="Arial" w:hAnsi="Arial"/>
          <w:sz w:val="17"/>
          <w:szCs w:val="17"/>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146" w:lineRule="exact"/>
        <w:rPr>
          <w:sz w:val="20"/>
          <w:szCs w:val="20"/>
          <w:color w:val="auto"/>
        </w:rPr>
      </w:pPr>
    </w:p>
    <w:p>
      <w:pPr>
        <w:ind w:left="4" w:right="180" w:firstLine="440"/>
        <w:spacing w:after="0" w:line="286" w:lineRule="auto"/>
        <w:rPr>
          <w:sz w:val="20"/>
          <w:szCs w:val="20"/>
          <w:color w:val="auto"/>
        </w:rPr>
      </w:pPr>
      <w:r>
        <w:rPr>
          <w:rFonts w:ascii="Arial" w:cs="Arial" w:eastAsia="Arial" w:hAnsi="Arial"/>
          <w:sz w:val="16"/>
          <w:szCs w:val="16"/>
          <w:color w:val="auto"/>
        </w:rPr>
        <w:t>The undersigned understands that, if (i) the Representatives, on the one hand, or the Company, on the other hand, informs the other in writing, prior to the execution of the Underwriting Agreement, that it has determined not to proceed with the Public Offering, (ii) the Underwriting Agreement (other than the provisions thereof which survive termination) shall terminate or be terminated prior to payment for and delivery of the securities to be sold thereunder, (iii) the registration statement related to the Public Offering is withdrawn prior to the execution of the Underwriting Agreement or</w:t>
      </w:r>
    </w:p>
    <w:p>
      <w:pPr>
        <w:spacing w:after="0" w:line="1" w:lineRule="exact"/>
        <w:rPr>
          <w:sz w:val="20"/>
          <w:szCs w:val="20"/>
          <w:color w:val="auto"/>
        </w:rPr>
      </w:pPr>
    </w:p>
    <w:p>
      <w:pPr>
        <w:ind w:left="4" w:hanging="4"/>
        <w:spacing w:after="0" w:line="255" w:lineRule="auto"/>
        <w:tabs>
          <w:tab w:leader="none" w:pos="309"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Underwriting Agreement is not executed on or before September 30, 2021, then, in each case, this agreement shall automatically, and without any action on the part of any other party, be of no further force and effect, and the undersigned shall be automatically released from all obligations under this agreement.</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This agreement shall be governed by and construed in accordance with the laws of the State of New York.</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[Remainder of Page Intentionally Blank]</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4"/>
          </w:cols>
          <w:pgMar w:left="436" w:top="274" w:right="479" w:bottom="1440" w:gutter="0" w:footer="0" w:header="0"/>
        </w:sectPr>
      </w:pPr>
    </w:p>
    <w:bookmarkStart w:id="306" w:name="page307"/>
    <w:bookmarkEnd w:id="306"/>
    <w:p>
      <w:pPr>
        <w:ind w:left="440"/>
        <w:spacing w:after="0"/>
        <w:rPr>
          <w:sz w:val="20"/>
          <w:szCs w:val="20"/>
          <w:color w:val="auto"/>
        </w:rPr>
      </w:pPr>
      <w:r>
        <w:rPr>
          <w:rFonts w:ascii="Arial" w:cs="Arial" w:eastAsia="Arial" w:hAnsi="Arial"/>
          <w:sz w:val="18"/>
          <w:szCs w:val="18"/>
          <w:color w:val="auto"/>
        </w:rPr>
        <w:t>Very truly yours,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AN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31546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5">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36" w:lineRule="exact"/>
        <w:rPr>
          <w:sz w:val="20"/>
          <w:szCs w:val="20"/>
          <w:color w:val="auto"/>
        </w:rPr>
      </w:pPr>
    </w:p>
    <w:p>
      <w:pPr>
        <w:jc w:val="right"/>
        <w:ind w:right="1980"/>
        <w:spacing w:after="0"/>
        <w:rPr>
          <w:sz w:val="20"/>
          <w:szCs w:val="20"/>
          <w:color w:val="auto"/>
        </w:rPr>
      </w:pPr>
      <w:r>
        <w:rPr>
          <w:rFonts w:ascii="Arial" w:cs="Arial" w:eastAsia="Arial" w:hAnsi="Arial"/>
          <w:sz w:val="18"/>
          <w:szCs w:val="18"/>
          <w:i w:val="1"/>
          <w:iCs w:val="1"/>
          <w:color w:val="auto"/>
        </w:rPr>
        <w:t>(duly authorized 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-10160</wp:posOffset>
            </wp:positionV>
            <wp:extent cx="217106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6">
                      <a:extLst>
                        <a:ext uri="{28A0092B-C50C-407E-A947-70E740481C1C}"/>
                      </a:extLst>
                    </a:blip>
                    <a:srcRect/>
                    <a:stretch>
                      <a:fillRect/>
                    </a:stretch>
                  </pic:blipFill>
                  <pic:spPr bwMode="auto">
                    <a:xfrm>
                      <a:off x="0" y="0"/>
                      <a:ext cx="21710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126365</wp:posOffset>
            </wp:positionV>
            <wp:extent cx="71437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7">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pacing w:after="0" w:line="205" w:lineRule="exact"/>
        <w:rPr>
          <w:sz w:val="20"/>
          <w:szCs w:val="20"/>
          <w:color w:val="auto"/>
        </w:rPr>
      </w:pPr>
    </w:p>
    <w:p>
      <w:pPr>
        <w:ind w:left="1700"/>
        <w:spacing w:after="0"/>
        <w:rPr>
          <w:sz w:val="20"/>
          <w:szCs w:val="20"/>
          <w:color w:val="auto"/>
        </w:rPr>
      </w:pPr>
      <w:r>
        <w:rPr>
          <w:rFonts w:ascii="Arial" w:cs="Arial" w:eastAsia="Arial" w:hAnsi="Arial"/>
          <w:sz w:val="17"/>
          <w:szCs w:val="17"/>
          <w:i w:val="1"/>
          <w:iCs w:val="1"/>
          <w:color w:val="auto"/>
        </w:rPr>
        <w:t>(please print full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426085</wp:posOffset>
            </wp:positionV>
            <wp:extent cx="31546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8">
                      <a:extLst>
                        <a:ext uri="{28A0092B-C50C-407E-A947-70E740481C1C}"/>
                      </a:extLst>
                    </a:blip>
                    <a:srcRect/>
                    <a:stretch>
                      <a:fillRect/>
                    </a:stretch>
                  </pic:blipFill>
                  <pic:spPr bwMode="auto">
                    <a:xfrm>
                      <a:off x="0" y="0"/>
                      <a:ext cx="31546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717550</wp:posOffset>
            </wp:positionV>
            <wp:extent cx="31546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9">
                      <a:extLst>
                        <a:ext uri="{28A0092B-C50C-407E-A947-70E740481C1C}"/>
                      </a:extLst>
                    </a:blip>
                    <a:srcRect/>
                    <a:stretch>
                      <a:fillRect/>
                    </a:stretch>
                  </pic:blipFill>
                  <pic:spPr bwMode="auto">
                    <a:xfrm>
                      <a:off x="0" y="0"/>
                      <a:ext cx="3154680" cy="8255"/>
                    </a:xfrm>
                    <a:prstGeom prst="rect">
                      <a:avLst/>
                    </a:prstGeom>
                    <a:noFill/>
                  </pic:spPr>
                </pic:pic>
              </a:graphicData>
            </a:graphic>
          </wp:anchor>
        </w:drawing>
        <w:drawing>
          <wp:anchor simplePos="0" relativeHeight="251657728" behindDoc="1" locked="0" layoutInCell="0" allowOverlap="1">
            <wp:simplePos x="0" y="0"/>
            <wp:positionH relativeFrom="column">
              <wp:posOffset>431800</wp:posOffset>
            </wp:positionH>
            <wp:positionV relativeFrom="paragraph">
              <wp:posOffset>-10160</wp:posOffset>
            </wp:positionV>
            <wp:extent cx="217106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0">
                      <a:extLst>
                        <a:ext uri="{28A0092B-C50C-407E-A947-70E740481C1C}"/>
                      </a:extLst>
                    </a:blip>
                    <a:srcRect/>
                    <a:stretch>
                      <a:fillRect/>
                    </a:stretch>
                  </pic:blipFill>
                  <pic:spPr bwMode="auto">
                    <a:xfrm>
                      <a:off x="0" y="0"/>
                      <a:ext cx="21710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126365</wp:posOffset>
            </wp:positionV>
            <wp:extent cx="60007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1">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-10160</wp:posOffset>
            </wp:positionV>
            <wp:extent cx="197104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2">
                      <a:extLst>
                        <a:ext uri="{28A0092B-C50C-407E-A947-70E740481C1C}"/>
                      </a:extLst>
                    </a:blip>
                    <a:srcRect/>
                    <a:stretch>
                      <a:fillRect/>
                    </a:stretch>
                  </pic:blipFill>
                  <pic:spPr bwMode="auto">
                    <a:xfrm>
                      <a:off x="0" y="0"/>
                      <a:ext cx="19710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126365</wp:posOffset>
            </wp:positionV>
            <wp:extent cx="85661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3">
                      <a:extLst>
                        <a:ext uri="{28A0092B-C50C-407E-A947-70E740481C1C}"/>
                      </a:extLst>
                    </a:blip>
                    <a:srcRect/>
                    <a:stretch>
                      <a:fillRect/>
                    </a:stretch>
                  </pic:blipFill>
                  <pic:spPr bwMode="auto">
                    <a:xfrm>
                      <a:off x="0" y="0"/>
                      <a:ext cx="8566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jc w:val="center"/>
        <w:ind w:right="2599"/>
        <w:spacing w:after="0"/>
        <w:rPr>
          <w:sz w:val="20"/>
          <w:szCs w:val="20"/>
          <w:color w:val="auto"/>
        </w:rPr>
      </w:pPr>
      <w:r>
        <w:rPr>
          <w:rFonts w:ascii="Arial" w:cs="Arial" w:eastAsia="Arial" w:hAnsi="Arial"/>
          <w:sz w:val="18"/>
          <w:szCs w:val="18"/>
          <w:b w:val="1"/>
          <w:bCs w:val="1"/>
          <w:color w:val="auto"/>
        </w:rPr>
        <w:t>IF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-504825</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154305</wp:posOffset>
            </wp:positionV>
            <wp:extent cx="307721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5">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36" w:lineRule="exact"/>
        <w:rPr>
          <w:sz w:val="20"/>
          <w:szCs w:val="20"/>
          <w:color w:val="auto"/>
        </w:rPr>
      </w:pPr>
    </w:p>
    <w:p>
      <w:pPr>
        <w:jc w:val="right"/>
        <w:ind w:right="59"/>
        <w:spacing w:after="0"/>
        <w:rPr>
          <w:sz w:val="20"/>
          <w:szCs w:val="20"/>
          <w:color w:val="auto"/>
        </w:rPr>
      </w:pPr>
      <w:r>
        <w:rPr>
          <w:rFonts w:ascii="Arial" w:cs="Arial" w:eastAsia="Arial" w:hAnsi="Arial"/>
          <w:sz w:val="18"/>
          <w:szCs w:val="18"/>
          <w:i w:val="1"/>
          <w:iCs w:val="1"/>
          <w:color w:val="auto"/>
        </w:rPr>
        <w:t>(please print complete name of entity)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-10160</wp:posOffset>
            </wp:positionV>
            <wp:extent cx="217106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6">
                      <a:extLst>
                        <a:ext uri="{28A0092B-C50C-407E-A947-70E740481C1C}"/>
                      </a:extLst>
                    </a:blip>
                    <a:srcRect/>
                    <a:stretch>
                      <a:fillRect/>
                    </a:stretch>
                  </pic:blipFill>
                  <pic:spPr bwMode="auto">
                    <a:xfrm>
                      <a:off x="0" y="0"/>
                      <a:ext cx="21710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126365</wp:posOffset>
            </wp:positionV>
            <wp:extent cx="8851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7">
                      <a:extLst>
                        <a:ext uri="{28A0092B-C50C-407E-A947-70E740481C1C}"/>
                      </a:extLst>
                    </a:blip>
                    <a:srcRect/>
                    <a:stretch>
                      <a:fillRect/>
                    </a:stretch>
                  </pic:blipFill>
                  <pic:spPr bwMode="auto">
                    <a:xfrm>
                      <a:off x="0" y="0"/>
                      <a:ext cx="885190" cy="8255"/>
                    </a:xfrm>
                    <a:prstGeom prst="rect">
                      <a:avLst/>
                    </a:prstGeom>
                    <a:noFill/>
                  </pic:spPr>
                </pic:pic>
              </a:graphicData>
            </a:graphic>
          </wp:anchor>
        </w:drawing>
      </w:r>
    </w:p>
    <w:p>
      <w:pPr>
        <w:spacing w:after="0" w:line="205" w:lineRule="exact"/>
        <w:rPr>
          <w:sz w:val="20"/>
          <w:szCs w:val="20"/>
          <w:color w:val="auto"/>
        </w:rPr>
      </w:pPr>
    </w:p>
    <w:p>
      <w:pPr>
        <w:ind w:left="1500"/>
        <w:spacing w:after="0"/>
        <w:rPr>
          <w:sz w:val="20"/>
          <w:szCs w:val="20"/>
          <w:color w:val="auto"/>
        </w:rPr>
      </w:pPr>
      <w:r>
        <w:rPr>
          <w:rFonts w:ascii="Arial" w:cs="Arial" w:eastAsia="Arial" w:hAnsi="Arial"/>
          <w:sz w:val="18"/>
          <w:szCs w:val="18"/>
          <w:i w:val="1"/>
          <w:iCs w:val="1"/>
          <w:color w:val="auto"/>
        </w:rPr>
        <w:t>(duly authorized 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217106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8">
                      <a:extLst>
                        <a:ext uri="{28A0092B-C50C-407E-A947-70E740481C1C}"/>
                      </a:extLst>
                    </a:blip>
                    <a:srcRect/>
                    <a:stretch>
                      <a:fillRect/>
                    </a:stretch>
                  </pic:blipFill>
                  <pic:spPr bwMode="auto">
                    <a:xfrm>
                      <a:off x="0" y="0"/>
                      <a:ext cx="21710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126365</wp:posOffset>
            </wp:positionV>
            <wp:extent cx="71437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9">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pacing w:after="0" w:line="205" w:lineRule="exact"/>
        <w:rPr>
          <w:sz w:val="20"/>
          <w:szCs w:val="20"/>
          <w:color w:val="auto"/>
        </w:rPr>
      </w:pPr>
    </w:p>
    <w:p>
      <w:pPr>
        <w:ind w:left="1640"/>
        <w:spacing w:after="0"/>
        <w:rPr>
          <w:sz w:val="20"/>
          <w:szCs w:val="20"/>
          <w:color w:val="auto"/>
        </w:rPr>
      </w:pPr>
      <w:r>
        <w:rPr>
          <w:rFonts w:ascii="Arial" w:cs="Arial" w:eastAsia="Arial" w:hAnsi="Arial"/>
          <w:sz w:val="18"/>
          <w:szCs w:val="18"/>
          <w:i w:val="1"/>
          <w:iCs w:val="1"/>
          <w:color w:val="auto"/>
        </w:rPr>
        <w:t>(please print full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-10160</wp:posOffset>
            </wp:positionV>
            <wp:extent cx="217106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0">
                      <a:extLst>
                        <a:ext uri="{28A0092B-C50C-407E-A947-70E740481C1C}"/>
                      </a:extLst>
                    </a:blip>
                    <a:srcRect/>
                    <a:stretch>
                      <a:fillRect/>
                    </a:stretch>
                  </pic:blipFill>
                  <pic:spPr bwMode="auto">
                    <a:xfrm>
                      <a:off x="0" y="0"/>
                      <a:ext cx="21710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126365</wp:posOffset>
            </wp:positionV>
            <wp:extent cx="77089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1">
                      <a:extLst>
                        <a:ext uri="{28A0092B-C50C-407E-A947-70E740481C1C}"/>
                      </a:extLst>
                    </a:blip>
                    <a:srcRect/>
                    <a:stretch>
                      <a:fillRect/>
                    </a:stretch>
                  </pic:blipFill>
                  <pic:spPr bwMode="auto">
                    <a:xfrm>
                      <a:off x="0" y="0"/>
                      <a:ext cx="770890" cy="8890"/>
                    </a:xfrm>
                    <a:prstGeom prst="rect">
                      <a:avLst/>
                    </a:prstGeom>
                    <a:noFill/>
                  </pic:spPr>
                </pic:pic>
              </a:graphicData>
            </a:graphic>
          </wp:anchor>
        </w:drawing>
      </w:r>
    </w:p>
    <w:p>
      <w:pPr>
        <w:spacing w:after="0" w:line="205" w:lineRule="exact"/>
        <w:rPr>
          <w:sz w:val="20"/>
          <w:szCs w:val="20"/>
          <w:color w:val="auto"/>
        </w:rPr>
      </w:pPr>
    </w:p>
    <w:p>
      <w:pPr>
        <w:ind w:left="1700"/>
        <w:spacing w:after="0"/>
        <w:rPr>
          <w:sz w:val="20"/>
          <w:szCs w:val="20"/>
          <w:color w:val="auto"/>
        </w:rPr>
      </w:pPr>
      <w:r>
        <w:rPr>
          <w:rFonts w:ascii="Arial" w:cs="Arial" w:eastAsia="Arial" w:hAnsi="Arial"/>
          <w:sz w:val="18"/>
          <w:szCs w:val="18"/>
          <w:i w:val="1"/>
          <w:iCs w:val="1"/>
          <w:color w:val="auto"/>
        </w:rPr>
        <w:t>(please print full 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426085</wp:posOffset>
            </wp:positionV>
            <wp:extent cx="307721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2">
                      <a:extLst>
                        <a:ext uri="{28A0092B-C50C-407E-A947-70E740481C1C}"/>
                      </a:extLst>
                    </a:blip>
                    <a:srcRect/>
                    <a:stretch>
                      <a:fillRect/>
                    </a:stretch>
                  </pic:blipFill>
                  <pic:spPr bwMode="auto">
                    <a:xfrm>
                      <a:off x="0" y="0"/>
                      <a:ext cx="307721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717550</wp:posOffset>
            </wp:positionV>
            <wp:extent cx="307721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3">
                      <a:extLst>
                        <a:ext uri="{28A0092B-C50C-407E-A947-70E740481C1C}"/>
                      </a:extLst>
                    </a:blip>
                    <a:srcRect/>
                    <a:stretch>
                      <a:fillRect/>
                    </a:stretch>
                  </pic:blipFill>
                  <pic:spPr bwMode="auto">
                    <a:xfrm>
                      <a:off x="0" y="0"/>
                      <a:ext cx="3077210" cy="8255"/>
                    </a:xfrm>
                    <a:prstGeom prst="rect">
                      <a:avLst/>
                    </a:prstGeom>
                    <a:noFill/>
                  </pic:spPr>
                </pic:pic>
              </a:graphicData>
            </a:graphic>
          </wp:anchor>
        </w:drawing>
        <w:drawing>
          <wp:anchor simplePos="0" relativeHeight="251657728" behindDoc="1" locked="0" layoutInCell="0" allowOverlap="1">
            <wp:simplePos x="0" y="0"/>
            <wp:positionH relativeFrom="column">
              <wp:posOffset>438150</wp:posOffset>
            </wp:positionH>
            <wp:positionV relativeFrom="paragraph">
              <wp:posOffset>-10160</wp:posOffset>
            </wp:positionV>
            <wp:extent cx="217106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4">
                      <a:extLst>
                        <a:ext uri="{28A0092B-C50C-407E-A947-70E740481C1C}"/>
                      </a:extLst>
                    </a:blip>
                    <a:srcRect/>
                    <a:stretch>
                      <a:fillRect/>
                    </a:stretch>
                  </pic:blipFill>
                  <pic:spPr bwMode="auto">
                    <a:xfrm>
                      <a:off x="0" y="0"/>
                      <a:ext cx="21710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126365</wp:posOffset>
            </wp:positionV>
            <wp:extent cx="60007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5">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-10160</wp:posOffset>
            </wp:positionV>
            <wp:extent cx="197104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6">
                      <a:extLst>
                        <a:ext uri="{28A0092B-C50C-407E-A947-70E740481C1C}"/>
                      </a:extLst>
                    </a:blip>
                    <a:srcRect/>
                    <a:stretch>
                      <a:fillRect/>
                    </a:stretch>
                  </pic:blipFill>
                  <pic:spPr bwMode="auto">
                    <a:xfrm>
                      <a:off x="0" y="0"/>
                      <a:ext cx="197104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126365</wp:posOffset>
            </wp:positionV>
            <wp:extent cx="85661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7">
                      <a:extLst>
                        <a:ext uri="{28A0092B-C50C-407E-A947-70E740481C1C}"/>
                      </a:extLst>
                    </a:blip>
                    <a:srcRect/>
                    <a:stretch>
                      <a:fillRect/>
                    </a:stretch>
                  </pic:blipFill>
                  <pic:spPr bwMode="auto">
                    <a:xfrm>
                      <a:off x="0" y="0"/>
                      <a:ext cx="8566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40" w:space="720"/>
            <w:col w:w="3859"/>
          </w:cols>
          <w:pgMar w:left="440" w:top="274" w:right="1440" w:bottom="1440" w:gutter="0" w:footer="0" w:header="0"/>
        </w:sectPr>
      </w:pPr>
    </w:p>
    <w:p>
      <w:pPr>
        <w:spacing w:after="0" w:line="174"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0019"/>
          </w:cols>
          <w:pgMar w:left="440" w:top="274" w:right="1440" w:bottom="1440" w:gutter="0" w:footer="0" w:header="0"/>
          <w:type w:val="continuous"/>
        </w:sectPr>
      </w:pPr>
    </w:p>
    <w:bookmarkStart w:id="307" w:name="page308"/>
    <w:bookmarkEnd w:id="30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WAIVER OF LOCK-UP</w:t>
      </w:r>
    </w:p>
    <w:p>
      <w:pPr>
        <w:spacing w:after="0" w:line="22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_____________, 20__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 or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Requesting Waiver]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Mr./Ms. [Name]:</w:t>
      </w:r>
    </w:p>
    <w:p>
      <w:pPr>
        <w:spacing w:after="0" w:line="113" w:lineRule="exact"/>
        <w:rPr>
          <w:sz w:val="20"/>
          <w:szCs w:val="20"/>
          <w:color w:val="auto"/>
        </w:rPr>
      </w:pPr>
    </w:p>
    <w:p>
      <w:pPr>
        <w:ind w:right="140" w:firstLine="440"/>
        <w:spacing w:after="0" w:line="293" w:lineRule="auto"/>
        <w:rPr>
          <w:sz w:val="20"/>
          <w:szCs w:val="20"/>
          <w:color w:val="auto"/>
        </w:rPr>
      </w:pPr>
      <w:r>
        <w:rPr>
          <w:rFonts w:ascii="Arial" w:cs="Arial" w:eastAsia="Arial" w:hAnsi="Arial"/>
          <w:sz w:val="16"/>
          <w:szCs w:val="16"/>
          <w:color w:val="auto"/>
        </w:rPr>
        <w:t>This letter is being delivered to Morgan Stanley &amp; Co. LLC (“</w:t>
      </w:r>
      <w:r>
        <w:rPr>
          <w:rFonts w:ascii="Arial" w:cs="Arial" w:eastAsia="Arial" w:hAnsi="Arial"/>
          <w:sz w:val="16"/>
          <w:szCs w:val="16"/>
          <w:b w:val="1"/>
          <w:bCs w:val="1"/>
          <w:color w:val="auto"/>
        </w:rPr>
        <w:t>Morgan Stanley</w:t>
      </w:r>
      <w:r>
        <w:rPr>
          <w:rFonts w:ascii="Arial" w:cs="Arial" w:eastAsia="Arial" w:hAnsi="Arial"/>
          <w:sz w:val="16"/>
          <w:szCs w:val="16"/>
          <w:color w:val="auto"/>
        </w:rPr>
        <w:t>”) and Jefferies LLC (“</w:t>
      </w:r>
      <w:r>
        <w:rPr>
          <w:rFonts w:ascii="Arial" w:cs="Arial" w:eastAsia="Arial" w:hAnsi="Arial"/>
          <w:sz w:val="16"/>
          <w:szCs w:val="16"/>
          <w:b w:val="1"/>
          <w:bCs w:val="1"/>
          <w:color w:val="auto"/>
        </w:rPr>
        <w:t>Jefferies</w:t>
      </w:r>
      <w:r>
        <w:rPr>
          <w:rFonts w:ascii="Arial" w:cs="Arial" w:eastAsia="Arial" w:hAnsi="Arial"/>
          <w:sz w:val="16"/>
          <w:szCs w:val="16"/>
          <w:color w:val="auto"/>
        </w:rPr>
        <w:t>”) in connection with the offering by Adagio Therapeutics, Inc. (the “</w:t>
      </w:r>
      <w:r>
        <w:rPr>
          <w:rFonts w:ascii="Arial" w:cs="Arial" w:eastAsia="Arial" w:hAnsi="Arial"/>
          <w:sz w:val="16"/>
          <w:szCs w:val="16"/>
          <w:b w:val="1"/>
          <w:bCs w:val="1"/>
          <w:color w:val="auto"/>
        </w:rPr>
        <w:t>Company</w:t>
      </w:r>
      <w:r>
        <w:rPr>
          <w:rFonts w:ascii="Arial" w:cs="Arial" w:eastAsia="Arial" w:hAnsi="Arial"/>
          <w:sz w:val="16"/>
          <w:szCs w:val="16"/>
          <w:color w:val="auto"/>
        </w:rPr>
        <w:t>”) of _____ shares of common stock, $0.0001 par value (the “</w:t>
      </w:r>
      <w:r>
        <w:rPr>
          <w:rFonts w:ascii="Arial" w:cs="Arial" w:eastAsia="Arial" w:hAnsi="Arial"/>
          <w:sz w:val="16"/>
          <w:szCs w:val="16"/>
          <w:b w:val="1"/>
          <w:bCs w:val="1"/>
          <w:color w:val="auto"/>
        </w:rPr>
        <w:t>Common Stock</w:t>
      </w:r>
      <w:r>
        <w:rPr>
          <w:rFonts w:ascii="Arial" w:cs="Arial" w:eastAsia="Arial" w:hAnsi="Arial"/>
          <w:sz w:val="16"/>
          <w:szCs w:val="16"/>
          <w:color w:val="auto"/>
        </w:rPr>
        <w:t>”), of the Company and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lock-up agreement dated ____, 2021 (the “Lock-up Agreement”), executed by you in connection with such offering, and your request for a [waiver]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[release] dated ____, 20__, with respect to ____ shares of Common Stock (the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211"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Morgan Stanley and Jefferies hereby agree to [waive] [release] the transfer restrictions set forth in the Lock-up Agreement, but only with respect to the Shares, effective _____, 20__; provided, however, that such [waiver] [release] is conditioned on the Company announcing the impending [waiver]</w:t>
      </w:r>
    </w:p>
    <w:p>
      <w:pPr>
        <w:ind w:right="20"/>
        <w:spacing w:after="0" w:line="260" w:lineRule="auto"/>
        <w:rPr>
          <w:sz w:val="20"/>
          <w:szCs w:val="20"/>
          <w:color w:val="auto"/>
        </w:rPr>
      </w:pPr>
      <w:r>
        <w:rPr>
          <w:rFonts w:ascii="Arial" w:cs="Arial" w:eastAsia="Arial" w:hAnsi="Arial"/>
          <w:sz w:val="18"/>
          <w:szCs w:val="18"/>
          <w:color w:val="auto"/>
        </w:rPr>
        <w:t>[release] by press release through a major news service at least two business days before effectiveness of such [waiver] [release]. This letter will serve as notice to the Company of the impending [waiver] [release].</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Except as expressly [waived] [released] hereby, the Lock-up Agreement shall remain in full force and effect.</w:t>
      </w:r>
    </w:p>
    <w:p>
      <w:pPr>
        <w:sectPr>
          <w:pgSz w:w="11900" w:h="16838" w:orient="portrait"/>
          <w:cols w:equalWidth="0" w:num="1">
            <w:col w:w="11020"/>
          </w:cols>
          <w:pgMar w:left="440" w:top="270" w:right="439" w:bottom="1440" w:gutter="0" w:footer="0" w:header="0"/>
        </w:sectPr>
      </w:pPr>
    </w:p>
    <w:bookmarkStart w:id="308" w:name="page309"/>
    <w:bookmarkEnd w:id="308"/>
    <w:p>
      <w:pPr>
        <w:ind w:left="66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ind w:left="6624"/>
        <w:spacing w:after="0"/>
        <w:rPr>
          <w:sz w:val="20"/>
          <w:szCs w:val="20"/>
          <w:color w:val="auto"/>
        </w:rPr>
      </w:pPr>
      <w:r>
        <w:rPr>
          <w:rFonts w:ascii="Arial" w:cs="Arial" w:eastAsia="Arial" w:hAnsi="Arial"/>
          <w:sz w:val="16"/>
          <w:szCs w:val="16"/>
          <w:color w:val="auto"/>
        </w:rPr>
        <w:t>Acting severally on behalf of themselves and the several</w:t>
      </w:r>
    </w:p>
    <w:p>
      <w:pPr>
        <w:spacing w:after="0" w:line="3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Underwriters named in Schedule I hereto</w:t>
      </w:r>
    </w:p>
    <w:p>
      <w:pPr>
        <w:spacing w:after="0" w:line="224"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424" w:hanging="424"/>
        <w:spacing w:after="0"/>
        <w:tabs>
          <w:tab w:leader="none" w:pos="42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Company</w:t>
      </w:r>
    </w:p>
    <w:p>
      <w:pPr>
        <w:spacing w:after="0" w:line="158" w:lineRule="exact"/>
        <w:rPr>
          <w:sz w:val="20"/>
          <w:szCs w:val="20"/>
          <w:color w:val="auto"/>
        </w:rPr>
      </w:pPr>
    </w:p>
    <w:p>
      <w:pPr>
        <w:jc w:val="center"/>
        <w:ind w:right="-3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684"/>
          </w:cols>
          <w:pgMar w:left="436" w:top="274" w:right="779" w:bottom="1440" w:gutter="0" w:footer="0" w:header="0"/>
        </w:sectPr>
      </w:pPr>
    </w:p>
    <w:bookmarkStart w:id="309" w:name="page310"/>
    <w:bookmarkEnd w:id="30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PRESS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Adagio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Adagio Therapeutics, Inc. (the “</w:t>
      </w:r>
      <w:r>
        <w:rPr>
          <w:rFonts w:ascii="Arial" w:cs="Arial" w:eastAsia="Arial" w:hAnsi="Arial"/>
          <w:sz w:val="16"/>
          <w:szCs w:val="16"/>
          <w:b w:val="1"/>
          <w:bCs w:val="1"/>
          <w:color w:val="auto"/>
        </w:rPr>
        <w:t>Company</w:t>
      </w:r>
      <w:r>
        <w:rPr>
          <w:rFonts w:ascii="Arial" w:cs="Arial" w:eastAsia="Arial" w:hAnsi="Arial"/>
          <w:sz w:val="16"/>
          <w:szCs w:val="16"/>
          <w:color w:val="auto"/>
        </w:rPr>
        <w:t>”) announced today that Morgan Stanley &amp; Co. LLC (“</w:t>
      </w:r>
      <w:r>
        <w:rPr>
          <w:rFonts w:ascii="Arial" w:cs="Arial" w:eastAsia="Arial" w:hAnsi="Arial"/>
          <w:sz w:val="16"/>
          <w:szCs w:val="16"/>
          <w:b w:val="1"/>
          <w:bCs w:val="1"/>
          <w:color w:val="auto"/>
        </w:rPr>
        <w:t>Morgan Stanley</w:t>
      </w:r>
      <w:r>
        <w:rPr>
          <w:rFonts w:ascii="Arial" w:cs="Arial" w:eastAsia="Arial" w:hAnsi="Arial"/>
          <w:sz w:val="16"/>
          <w:szCs w:val="16"/>
          <w:color w:val="auto"/>
        </w:rPr>
        <w:t>”) and Jefferies LLC (“</w:t>
      </w:r>
      <w:r>
        <w:rPr>
          <w:rFonts w:ascii="Arial" w:cs="Arial" w:eastAsia="Arial" w:hAnsi="Arial"/>
          <w:sz w:val="16"/>
          <w:szCs w:val="16"/>
          <w:b w:val="1"/>
          <w:bCs w:val="1"/>
          <w:color w:val="auto"/>
        </w:rPr>
        <w:t>Jefferies</w:t>
      </w:r>
      <w:r>
        <w:rPr>
          <w:rFonts w:ascii="Arial" w:cs="Arial" w:eastAsia="Arial" w:hAnsi="Arial"/>
          <w:sz w:val="16"/>
          <w:szCs w:val="16"/>
          <w:color w:val="auto"/>
        </w:rPr>
        <w:t>”), on behalf of the joint book-running managers in the Company’s recent public sale of _____ shares of its common stock, are[waiving][releasing] a lock-up</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restriction with respect to ____ shares of the Company’s common stock held by [certain officers or directors] [an officer or director] of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[waiver][release] will take effect on ____, 20__ , and the shares may be sold on or after such date.</w:t>
      </w:r>
    </w:p>
    <w:p>
      <w:pPr>
        <w:spacing w:after="0" w:line="207" w:lineRule="exact"/>
        <w:rPr>
          <w:sz w:val="20"/>
          <w:szCs w:val="20"/>
          <w:color w:val="auto"/>
        </w:rPr>
      </w:pPr>
    </w:p>
    <w:p>
      <w:pPr>
        <w:jc w:val="both"/>
        <w:ind w:right="280"/>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310" w:name="page311"/>
    <w:bookmarkEnd w:id="310"/>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ADAGIO THERAPEUTICS,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Sections 141 and 242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Law of the State of Delaware)</w:t>
      </w:r>
    </w:p>
    <w:p>
      <w:pPr>
        <w:spacing w:after="0" w:line="21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Adagio Therapeutics, Inc., a corporation organized and existing under and by virtue of the provisions of the General Corporation Law of the State of Delaware (the “</w:t>
      </w:r>
      <w:r>
        <w:rPr>
          <w:rFonts w:ascii="Arial" w:cs="Arial" w:eastAsia="Arial" w:hAnsi="Arial"/>
          <w:sz w:val="18"/>
          <w:szCs w:val="18"/>
          <w:b w:val="1"/>
          <w:bCs w:val="1"/>
          <w:color w:val="auto"/>
        </w:rPr>
        <w:t>General Corporation Law</w:t>
      </w:r>
      <w:r>
        <w:rPr>
          <w:rFonts w:ascii="Arial" w:cs="Arial" w:eastAsia="Arial" w:hAnsi="Arial"/>
          <w:sz w:val="18"/>
          <w:szCs w:val="18"/>
          <w:color w:val="auto"/>
        </w:rPr>
        <w:t>”),</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DOES HEREBY CERTIFY:</w:t>
      </w:r>
    </w:p>
    <w:p>
      <w:pPr>
        <w:spacing w:after="0" w:line="121" w:lineRule="exact"/>
        <w:rPr>
          <w:sz w:val="20"/>
          <w:szCs w:val="20"/>
          <w:color w:val="auto"/>
        </w:rPr>
      </w:pPr>
    </w:p>
    <w:p>
      <w:pPr>
        <w:ind w:right="320" w:firstLine="436"/>
        <w:spacing w:after="0" w:line="277" w:lineRule="auto"/>
        <w:tabs>
          <w:tab w:leader="none" w:pos="6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That the name of this corporation is Adagio Therapeutics, Inc., and that this corporation was originally incorporated pursuant to the General Corporation Law on June 3, 2020.</w:t>
      </w:r>
    </w:p>
    <w:p>
      <w:pPr>
        <w:spacing w:after="0" w:line="62" w:lineRule="exact"/>
        <w:rPr>
          <w:rFonts w:ascii="Arial" w:cs="Arial" w:eastAsia="Arial" w:hAnsi="Arial"/>
          <w:sz w:val="18"/>
          <w:szCs w:val="18"/>
          <w:color w:val="auto"/>
        </w:rPr>
      </w:pPr>
    </w:p>
    <w:p>
      <w:pPr>
        <w:ind w:right="280" w:firstLine="436"/>
        <w:spacing w:after="0" w:line="277" w:lineRule="auto"/>
        <w:tabs>
          <w:tab w:leader="none" w:pos="6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 Amended and Restated Certificate of Incorporation was filed on July 9, 2020, an Amended and Restated Certificate of Incorporation was filed on October 30, 2020, and an Amended and Restated Certificate of Incorporation was filed on April 15, 2021.</w:t>
      </w:r>
    </w:p>
    <w:p>
      <w:pPr>
        <w:spacing w:after="0" w:line="62" w:lineRule="exact"/>
        <w:rPr>
          <w:rFonts w:ascii="Arial" w:cs="Arial" w:eastAsia="Arial" w:hAnsi="Arial"/>
          <w:sz w:val="18"/>
          <w:szCs w:val="18"/>
          <w:color w:val="auto"/>
        </w:rPr>
      </w:pPr>
    </w:p>
    <w:p>
      <w:pPr>
        <w:ind w:right="280" w:firstLine="436"/>
        <w:spacing w:after="0" w:line="277" w:lineRule="auto"/>
        <w:tabs>
          <w:tab w:leader="none" w:pos="6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That the Board of Directors of the Corporation, acting in accordance with the provisions of Sections 141 and 242 of the General Corporation Law, adopted resolutions further amending the certificate of incorporation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first paragraph of Article Fourth is amended and restated to read in its entirety as follows:</w:t>
      </w:r>
    </w:p>
    <w:p>
      <w:pPr>
        <w:spacing w:after="0" w:line="113" w:lineRule="exact"/>
        <w:rPr>
          <w:sz w:val="20"/>
          <w:szCs w:val="20"/>
          <w:color w:val="auto"/>
        </w:rPr>
      </w:pPr>
    </w:p>
    <w:p>
      <w:pPr>
        <w:ind w:left="440" w:right="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FOURTH</w:t>
      </w:r>
      <w:r>
        <w:rPr>
          <w:rFonts w:ascii="Arial" w:cs="Arial" w:eastAsia="Arial" w:hAnsi="Arial"/>
          <w:sz w:val="18"/>
          <w:szCs w:val="18"/>
          <w:color w:val="auto"/>
        </w:rPr>
        <w:t>: The total number of shares of all classes of stock which the Corporation shall have authority to issue is 166,944,484, consisting of (i) 150,000,000 shares of Common Stock, $0.0001 par value per share (“</w:t>
      </w:r>
      <w:r>
        <w:rPr>
          <w:rFonts w:ascii="Arial" w:cs="Arial" w:eastAsia="Arial" w:hAnsi="Arial"/>
          <w:sz w:val="18"/>
          <w:szCs w:val="18"/>
          <w:b w:val="1"/>
          <w:bCs w:val="1"/>
          <w:color w:val="auto"/>
        </w:rPr>
        <w:t>Common Stock</w:t>
      </w:r>
      <w:r>
        <w:rPr>
          <w:rFonts w:ascii="Arial" w:cs="Arial" w:eastAsia="Arial" w:hAnsi="Arial"/>
          <w:sz w:val="18"/>
          <w:szCs w:val="18"/>
          <w:color w:val="auto"/>
        </w:rPr>
        <w:t>”), and (ii) 16,944,484 shares of Preferred Stock, $0.0001 par value per share (“</w:t>
      </w:r>
      <w:r>
        <w:rPr>
          <w:rFonts w:ascii="Arial" w:cs="Arial" w:eastAsia="Arial" w:hAnsi="Arial"/>
          <w:sz w:val="18"/>
          <w:szCs w:val="18"/>
          <w:b w:val="1"/>
          <w:bCs w:val="1"/>
          <w:color w:val="auto"/>
        </w:rPr>
        <w:t>Preferred Stock</w:t>
      </w:r>
      <w:r>
        <w:rPr>
          <w:rFonts w:ascii="Arial" w:cs="Arial" w:eastAsia="Arial" w:hAnsi="Arial"/>
          <w:sz w:val="18"/>
          <w:szCs w:val="18"/>
          <w:color w:val="auto"/>
        </w:rPr>
        <w:t>”).</w:t>
      </w:r>
    </w:p>
    <w:p>
      <w:pPr>
        <w:spacing w:after="0" w:line="72" w:lineRule="exact"/>
        <w:rPr>
          <w:sz w:val="20"/>
          <w:szCs w:val="20"/>
          <w:color w:val="auto"/>
        </w:rPr>
      </w:pPr>
    </w:p>
    <w:p>
      <w:pPr>
        <w:ind w:left="440" w:right="300" w:firstLine="423"/>
        <w:spacing w:after="0" w:line="311" w:lineRule="auto"/>
        <w:rPr>
          <w:sz w:val="20"/>
          <w:szCs w:val="20"/>
          <w:color w:val="auto"/>
        </w:rPr>
      </w:pPr>
      <w:r>
        <w:rPr>
          <w:rFonts w:ascii="Arial" w:cs="Arial" w:eastAsia="Arial" w:hAnsi="Arial"/>
          <w:sz w:val="16"/>
          <w:szCs w:val="16"/>
          <w:color w:val="auto"/>
        </w:rPr>
        <w:t>Effective immediately upon this Certificate of Amendment becoming effective under the General Corporation Law, each one share of Common Stock issued and outstanding shall, automatically and without any action on the part of the respective holders thereof, be divided and converted into 5 shares of Common Stock without increasing or decreasing the par value of each share of Common Stock (the “</w:t>
      </w:r>
      <w:r>
        <w:rPr>
          <w:rFonts w:ascii="Arial" w:cs="Arial" w:eastAsia="Arial" w:hAnsi="Arial"/>
          <w:sz w:val="16"/>
          <w:szCs w:val="16"/>
          <w:b w:val="1"/>
          <w:bCs w:val="1"/>
          <w:i w:val="1"/>
          <w:iCs w:val="1"/>
          <w:color w:val="auto"/>
        </w:rPr>
        <w:t>Stock Split</w:t>
      </w:r>
      <w:r>
        <w:rPr>
          <w:rFonts w:ascii="Arial" w:cs="Arial" w:eastAsia="Arial" w:hAnsi="Arial"/>
          <w:sz w:val="16"/>
          <w:szCs w:val="16"/>
          <w:color w:val="auto"/>
        </w:rPr>
        <w:t>”).</w:t>
      </w:r>
    </w:p>
    <w:p>
      <w:pPr>
        <w:spacing w:after="0" w:line="41" w:lineRule="exact"/>
        <w:rPr>
          <w:sz w:val="20"/>
          <w:szCs w:val="20"/>
          <w:color w:val="auto"/>
        </w:rPr>
      </w:pPr>
    </w:p>
    <w:p>
      <w:pPr>
        <w:ind w:left="440" w:right="20" w:firstLine="423"/>
        <w:spacing w:after="0" w:line="273" w:lineRule="auto"/>
        <w:rPr>
          <w:sz w:val="20"/>
          <w:szCs w:val="20"/>
          <w:color w:val="auto"/>
        </w:rPr>
      </w:pPr>
      <w:r>
        <w:rPr>
          <w:rFonts w:ascii="Arial" w:cs="Arial" w:eastAsia="Arial" w:hAnsi="Arial"/>
          <w:sz w:val="17"/>
          <w:szCs w:val="17"/>
          <w:color w:val="auto"/>
        </w:rPr>
        <w:t>The Corporation shall issue no fractional shares of Common Stock as a result of the Stock Split, but shall instead pay to any stockholder who would be entitled to receive a fractional share as a result of the actions set forth herein a sum in cash equal to the fair market value of the shares constituting such fractional share as determined in good faith by the Board of Directors of the Corporation. The Stock Split shall occur whether or not the certificates representing any such shares of Common Stock are surrendered to the Corporation or its transfer agent. The Stock Split shall be effected on a certificate-by-certificate basis, such that any fractional shares of Common Stock resulting from the Stock Split and held by a single record holder shall not be aggregated, unless such shares are uncertificated.</w:t>
      </w:r>
    </w:p>
    <w:p>
      <w:pPr>
        <w:sectPr>
          <w:pgSz w:w="11900" w:h="16838" w:orient="portrait"/>
          <w:cols w:equalWidth="0" w:num="1">
            <w:col w:w="11020"/>
          </w:cols>
          <w:pgMar w:left="440" w:top="121" w:right="439" w:bottom="1440" w:gutter="0" w:footer="0" w:header="0"/>
        </w:sectPr>
      </w:pPr>
    </w:p>
    <w:bookmarkStart w:id="311" w:name="page312"/>
    <w:bookmarkEnd w:id="311"/>
    <w:p>
      <w:pPr>
        <w:ind w:left="440" w:right="60" w:firstLine="423"/>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rights, preferences and privileges of the Common Stock and each series of Preferred Stock set forth in this Amended and Restated Certificate of Incorporation, including conversion prices and other amounts per share, as applicable, shall be appropriately adjusted to give effect to the Stock Split.”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Section 4.2 of Part B of Article Fourth is amended and restated to read in its entirety as follows:</w:t>
      </w:r>
    </w:p>
    <w:p>
      <w:pPr>
        <w:spacing w:after="0" w:line="117" w:lineRule="exact"/>
        <w:rPr>
          <w:sz w:val="20"/>
          <w:szCs w:val="20"/>
          <w:color w:val="auto"/>
        </w:rPr>
      </w:pPr>
    </w:p>
    <w:p>
      <w:pPr>
        <w:ind w:left="440" w:firstLine="423"/>
        <w:spacing w:after="0" w:line="289"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Fractional Shares</w:t>
      </w:r>
      <w:r>
        <w:rPr>
          <w:rFonts w:ascii="Arial" w:cs="Arial" w:eastAsia="Arial" w:hAnsi="Arial"/>
          <w:sz w:val="16"/>
          <w:szCs w:val="16"/>
          <w:color w:val="auto"/>
        </w:rPr>
        <w:t>. No fractional shares of Common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of Directors. Whether or not fractional shares would be issuable upon such conversion shall be determined on the basis of (x) in the event such shares are certificated, the number of shares of Common Stock issuable upon the conversion of Preferred Stock the holder is at the time converting, on a certificate-by-certificate basis, with any fractional shares of Common Stock resulting from the conversion of Preferred Stock represented by a certificate not to be aggregated with any fractional shares of Common Stock resulting from the conversion of Preferred Stock represented by any other certificate and held by such holder or (y) in the event such shares are uncertificated, the total number of shares of Preferred Stock the holder is at the time converting into Common Stock and the aggregate number of shares of Common Stock issuable upon such conversion.”</w:t>
      </w:r>
    </w:p>
    <w:p>
      <w:pPr>
        <w:spacing w:after="0" w:line="166" w:lineRule="exact"/>
        <w:rPr>
          <w:sz w:val="20"/>
          <w:szCs w:val="20"/>
          <w:color w:val="auto"/>
        </w:rPr>
      </w:pPr>
    </w:p>
    <w:p>
      <w:pPr>
        <w:ind w:firstLine="436"/>
        <w:spacing w:after="0" w:line="277" w:lineRule="auto"/>
        <w:tabs>
          <w:tab w:leader="none" w:pos="62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That this Certificate of Amendment was duly adopted by the stockholders of the Corporation in accordance with the provisions of Sections 228 and 242 of the General Corporation Law.</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0940"/>
          </w:cols>
          <w:pgMar w:left="440" w:top="274" w:right="519" w:bottom="1440" w:gutter="0" w:footer="0" w:header="0"/>
        </w:sectPr>
      </w:pPr>
    </w:p>
    <w:bookmarkStart w:id="312" w:name="page313"/>
    <w:bookmarkEnd w:id="312"/>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this Certificate of Amendment to Amended and Restated Certificate of Incorporation has been executed by a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officer of this corporation on this 30th day of July, 2021.</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DAGIO</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Tillman U. Gerngross,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Tillman U. Gerngross, Ph.D.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President</w:t>
      </w:r>
    </w:p>
    <w:p>
      <w:pPr>
        <w:sectPr>
          <w:pgSz w:w="11900" w:h="16838" w:orient="portrait"/>
          <w:cols w:equalWidth="0" w:num="1">
            <w:col w:w="10500"/>
          </w:cols>
          <w:pgMar w:left="440" w:top="270" w:right="959" w:bottom="1440" w:gutter="0" w:footer="0" w:header="0"/>
        </w:sectPr>
      </w:pPr>
    </w:p>
    <w:bookmarkStart w:id="313" w:name="page314"/>
    <w:bookmarkEnd w:id="313"/>
    <w:p>
      <w:pPr>
        <w:jc w:val="right"/>
        <w:spacing w:after="0"/>
        <w:rPr>
          <w:sz w:val="20"/>
          <w:szCs w:val="20"/>
          <w:color w:val="auto"/>
        </w:rPr>
      </w:pPr>
      <w:r>
        <w:rPr>
          <w:rFonts w:ascii="Arial" w:cs="Arial" w:eastAsia="Arial" w:hAnsi="Arial"/>
          <w:sz w:val="18"/>
          <w:szCs w:val="18"/>
          <w:b w:val="1"/>
          <w:bCs w:val="1"/>
          <w:color w:val="auto"/>
        </w:rPr>
        <w:t>Exhibit 3.3</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BYLAWS</w:t>
      </w:r>
    </w:p>
    <w:p>
      <w:pPr>
        <w:spacing w:after="0" w:line="11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ADAGIO THERAPEUTICS,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 Delaware corporation)</w:t>
      </w:r>
    </w:p>
    <w:p>
      <w:pPr>
        <w:spacing w:after="0" w:line="9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Adopted on June 3, 2020</w:t>
      </w:r>
    </w:p>
    <w:p>
      <w:pPr>
        <w:sectPr>
          <w:pgSz w:w="11900" w:h="16838" w:orient="portrait"/>
          <w:cols w:equalWidth="0" w:num="1">
            <w:col w:w="10020"/>
          </w:cols>
          <w:pgMar w:left="1440" w:top="121" w:right="439" w:bottom="1440" w:gutter="0" w:footer="0" w:header="0"/>
        </w:sectPr>
      </w:pPr>
    </w:p>
    <w:bookmarkStart w:id="314" w:name="page315"/>
    <w:bookmarkEnd w:id="314"/>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p>
        </w:tc>
        <w:tc>
          <w:tcPr>
            <w:tcW w:w="9240" w:type="dxa"/>
            <w:vAlign w:val="bottom"/>
          </w:tcPr>
          <w:p>
            <w:pPr>
              <w:ind w:left="316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0680" w:type="dxa"/>
            <w:vAlign w:val="bottom"/>
            <w:gridSpan w:val="2"/>
            <w:vMerge w:val="restart"/>
          </w:tcPr>
          <w:p>
            <w:pPr>
              <w:spacing w:after="0"/>
              <w:rPr>
                <w:sz w:val="20"/>
                <w:szCs w:val="20"/>
                <w:color w:val="auto"/>
              </w:rPr>
            </w:pPr>
            <w:r>
              <w:rPr>
                <w:rFonts w:ascii="Arial" w:cs="Arial" w:eastAsia="Arial" w:hAnsi="Arial"/>
                <w:sz w:val="18"/>
                <w:szCs w:val="18"/>
                <w:color w:val="auto"/>
              </w:rPr>
              <w:t>ARTICLE I. IDENTIFICATION; OFFICES</w:t>
            </w:r>
          </w:p>
        </w:tc>
        <w:tc>
          <w:tcPr>
            <w:tcW w:w="300" w:type="dxa"/>
            <w:vAlign w:val="bottom"/>
            <w:gridSpan w:val="2"/>
          </w:tcPr>
          <w:p>
            <w:pPr>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224"/>
        </w:trPr>
        <w:tc>
          <w:tcPr>
            <w:tcW w:w="10680" w:type="dxa"/>
            <w:vAlign w:val="bottom"/>
            <w:gridSpan w:val="2"/>
            <w:vMerge w:val="continue"/>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14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9240" w:type="dxa"/>
            <w:vAlign w:val="bottom"/>
          </w:tcPr>
          <w:p>
            <w:pPr>
              <w:ind w:left="40"/>
              <w:spacing w:after="0"/>
              <w:rPr>
                <w:sz w:val="20"/>
                <w:szCs w:val="20"/>
                <w:color w:val="auto"/>
              </w:rPr>
            </w:pPr>
            <w:r>
              <w:rPr>
                <w:rFonts w:ascii="Arial" w:cs="Arial" w:eastAsia="Arial" w:hAnsi="Arial"/>
                <w:sz w:val="18"/>
                <w:szCs w:val="18"/>
                <w:color w:val="auto"/>
              </w:rPr>
              <w:t>NAME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9240" w:type="dxa"/>
            <w:vAlign w:val="bottom"/>
          </w:tcPr>
          <w:p>
            <w:pPr>
              <w:ind w:left="40"/>
              <w:spacing w:after="0"/>
              <w:rPr>
                <w:sz w:val="20"/>
                <w:szCs w:val="20"/>
                <w:color w:val="auto"/>
              </w:rPr>
            </w:pPr>
            <w:r>
              <w:rPr>
                <w:rFonts w:ascii="Arial" w:cs="Arial" w:eastAsia="Arial" w:hAnsi="Arial"/>
                <w:sz w:val="18"/>
                <w:szCs w:val="18"/>
                <w:color w:val="auto"/>
              </w:rPr>
              <w:t>PRINCIPAL AND BUSINESS OFFICES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9240" w:type="dxa"/>
            <w:vAlign w:val="bottom"/>
          </w:tcPr>
          <w:p>
            <w:pPr>
              <w:ind w:left="40"/>
              <w:spacing w:after="0"/>
              <w:rPr>
                <w:sz w:val="20"/>
                <w:szCs w:val="20"/>
                <w:color w:val="auto"/>
              </w:rPr>
            </w:pPr>
            <w:r>
              <w:rPr>
                <w:rFonts w:ascii="Arial" w:cs="Arial" w:eastAsia="Arial" w:hAnsi="Arial"/>
                <w:sz w:val="18"/>
                <w:szCs w:val="18"/>
                <w:color w:val="auto"/>
              </w:rPr>
              <w:t>REGISTERED AGENT AND OFFICE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9240" w:type="dxa"/>
            <w:vAlign w:val="bottom"/>
          </w:tcPr>
          <w:p>
            <w:pPr>
              <w:ind w:left="40"/>
              <w:spacing w:after="0"/>
              <w:rPr>
                <w:sz w:val="20"/>
                <w:szCs w:val="20"/>
                <w:color w:val="auto"/>
              </w:rPr>
            </w:pPr>
            <w:r>
              <w:rPr>
                <w:rFonts w:ascii="Arial" w:cs="Arial" w:eastAsia="Arial" w:hAnsi="Arial"/>
                <w:sz w:val="18"/>
                <w:szCs w:val="18"/>
                <w:color w:val="auto"/>
              </w:rPr>
              <w:t>CORPORATE RECORDS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II. STOCKHOLDERS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9240" w:type="dxa"/>
            <w:vAlign w:val="bottom"/>
          </w:tcPr>
          <w:p>
            <w:pPr>
              <w:ind w:left="40"/>
              <w:spacing w:after="0"/>
              <w:rPr>
                <w:sz w:val="20"/>
                <w:szCs w:val="20"/>
                <w:color w:val="auto"/>
              </w:rPr>
            </w:pPr>
            <w:r>
              <w:rPr>
                <w:rFonts w:ascii="Arial" w:cs="Arial" w:eastAsia="Arial" w:hAnsi="Arial"/>
                <w:sz w:val="18"/>
                <w:szCs w:val="18"/>
                <w:color w:val="auto"/>
              </w:rPr>
              <w:t>ANNUAL MEETING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9240" w:type="dxa"/>
            <w:vAlign w:val="bottom"/>
          </w:tcPr>
          <w:p>
            <w:pPr>
              <w:ind w:left="40"/>
              <w:spacing w:after="0"/>
              <w:rPr>
                <w:sz w:val="20"/>
                <w:szCs w:val="20"/>
                <w:color w:val="auto"/>
              </w:rPr>
            </w:pPr>
            <w:r>
              <w:rPr>
                <w:rFonts w:ascii="Arial" w:cs="Arial" w:eastAsia="Arial" w:hAnsi="Arial"/>
                <w:sz w:val="18"/>
                <w:szCs w:val="18"/>
                <w:color w:val="auto"/>
              </w:rPr>
              <w:t>SPECIAL MEETING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9240" w:type="dxa"/>
            <w:vAlign w:val="bottom"/>
          </w:tcPr>
          <w:p>
            <w:pPr>
              <w:ind w:left="40"/>
              <w:spacing w:after="0"/>
              <w:rPr>
                <w:sz w:val="20"/>
                <w:szCs w:val="20"/>
                <w:color w:val="auto"/>
              </w:rPr>
            </w:pPr>
            <w:r>
              <w:rPr>
                <w:rFonts w:ascii="Arial" w:cs="Arial" w:eastAsia="Arial" w:hAnsi="Arial"/>
                <w:sz w:val="18"/>
                <w:szCs w:val="18"/>
                <w:color w:val="auto"/>
              </w:rPr>
              <w:t>PLACE OF STOCKHOLDER MEETINGS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9240" w:type="dxa"/>
            <w:vAlign w:val="bottom"/>
          </w:tcPr>
          <w:p>
            <w:pPr>
              <w:ind w:left="40"/>
              <w:spacing w:after="0"/>
              <w:rPr>
                <w:sz w:val="20"/>
                <w:szCs w:val="20"/>
                <w:color w:val="auto"/>
              </w:rPr>
            </w:pPr>
            <w:r>
              <w:rPr>
                <w:rFonts w:ascii="Arial" w:cs="Arial" w:eastAsia="Arial" w:hAnsi="Arial"/>
                <w:sz w:val="18"/>
                <w:szCs w:val="18"/>
                <w:color w:val="auto"/>
              </w:rPr>
              <w:t>NOTICE OF MEETINGS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5.</w:t>
            </w:r>
          </w:p>
        </w:tc>
        <w:tc>
          <w:tcPr>
            <w:tcW w:w="9240" w:type="dxa"/>
            <w:vAlign w:val="bottom"/>
          </w:tcPr>
          <w:p>
            <w:pPr>
              <w:ind w:left="40"/>
              <w:spacing w:after="0"/>
              <w:rPr>
                <w:sz w:val="20"/>
                <w:szCs w:val="20"/>
                <w:color w:val="auto"/>
              </w:rPr>
            </w:pPr>
            <w:r>
              <w:rPr>
                <w:rFonts w:ascii="Arial" w:cs="Arial" w:eastAsia="Arial" w:hAnsi="Arial"/>
                <w:sz w:val="18"/>
                <w:szCs w:val="18"/>
                <w:color w:val="auto"/>
              </w:rPr>
              <w:t>QUORUM</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6.</w:t>
            </w:r>
          </w:p>
        </w:tc>
        <w:tc>
          <w:tcPr>
            <w:tcW w:w="9240" w:type="dxa"/>
            <w:vAlign w:val="bottom"/>
          </w:tcPr>
          <w:p>
            <w:pPr>
              <w:ind w:left="40"/>
              <w:spacing w:after="0"/>
              <w:rPr>
                <w:sz w:val="20"/>
                <w:szCs w:val="20"/>
                <w:color w:val="auto"/>
              </w:rPr>
            </w:pPr>
            <w:r>
              <w:rPr>
                <w:rFonts w:ascii="Arial" w:cs="Arial" w:eastAsia="Arial" w:hAnsi="Arial"/>
                <w:sz w:val="18"/>
                <w:szCs w:val="18"/>
                <w:color w:val="auto"/>
              </w:rPr>
              <w:t>ADJOURNED MEETINGS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w:t>
            </w:r>
          </w:p>
        </w:tc>
        <w:tc>
          <w:tcPr>
            <w:tcW w:w="9240" w:type="dxa"/>
            <w:vAlign w:val="bottom"/>
          </w:tcPr>
          <w:p>
            <w:pPr>
              <w:ind w:left="40"/>
              <w:spacing w:after="0"/>
              <w:rPr>
                <w:sz w:val="20"/>
                <w:szCs w:val="20"/>
                <w:color w:val="auto"/>
              </w:rPr>
            </w:pPr>
            <w:r>
              <w:rPr>
                <w:rFonts w:ascii="Arial" w:cs="Arial" w:eastAsia="Arial" w:hAnsi="Arial"/>
                <w:sz w:val="18"/>
                <w:szCs w:val="18"/>
                <w:color w:val="auto"/>
              </w:rPr>
              <w:t>FIXING OF RECORD DATE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w:t>
            </w:r>
          </w:p>
        </w:tc>
        <w:tc>
          <w:tcPr>
            <w:tcW w:w="9240" w:type="dxa"/>
            <w:vAlign w:val="bottom"/>
          </w:tcPr>
          <w:p>
            <w:pPr>
              <w:ind w:left="40"/>
              <w:spacing w:after="0"/>
              <w:rPr>
                <w:sz w:val="20"/>
                <w:szCs w:val="20"/>
                <w:color w:val="auto"/>
              </w:rPr>
            </w:pPr>
            <w:r>
              <w:rPr>
                <w:rFonts w:ascii="Arial" w:cs="Arial" w:eastAsia="Arial" w:hAnsi="Arial"/>
                <w:sz w:val="18"/>
                <w:szCs w:val="18"/>
                <w:color w:val="auto"/>
              </w:rPr>
              <w:t>VOTING LIST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9.</w:t>
            </w:r>
          </w:p>
        </w:tc>
        <w:tc>
          <w:tcPr>
            <w:tcW w:w="9240" w:type="dxa"/>
            <w:vAlign w:val="bottom"/>
          </w:tcPr>
          <w:p>
            <w:pPr>
              <w:ind w:left="40"/>
              <w:spacing w:after="0"/>
              <w:rPr>
                <w:sz w:val="20"/>
                <w:szCs w:val="20"/>
                <w:color w:val="auto"/>
              </w:rPr>
            </w:pPr>
            <w:r>
              <w:rPr>
                <w:rFonts w:ascii="Arial" w:cs="Arial" w:eastAsia="Arial" w:hAnsi="Arial"/>
                <w:sz w:val="18"/>
                <w:szCs w:val="18"/>
                <w:color w:val="auto"/>
              </w:rPr>
              <w:t>VOTING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w:t>
            </w:r>
          </w:p>
        </w:tc>
        <w:tc>
          <w:tcPr>
            <w:tcW w:w="9240" w:type="dxa"/>
            <w:vAlign w:val="bottom"/>
          </w:tcPr>
          <w:p>
            <w:pPr>
              <w:ind w:left="40"/>
              <w:spacing w:after="0"/>
              <w:rPr>
                <w:sz w:val="20"/>
                <w:szCs w:val="20"/>
                <w:color w:val="auto"/>
              </w:rPr>
            </w:pPr>
            <w:r>
              <w:rPr>
                <w:rFonts w:ascii="Arial" w:cs="Arial" w:eastAsia="Arial" w:hAnsi="Arial"/>
                <w:sz w:val="18"/>
                <w:szCs w:val="18"/>
                <w:color w:val="auto"/>
              </w:rPr>
              <w:t>PROXIES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w:t>
            </w:r>
          </w:p>
        </w:tc>
        <w:tc>
          <w:tcPr>
            <w:tcW w:w="9240" w:type="dxa"/>
            <w:vAlign w:val="bottom"/>
          </w:tcPr>
          <w:p>
            <w:pPr>
              <w:ind w:left="40"/>
              <w:spacing w:after="0"/>
              <w:rPr>
                <w:sz w:val="20"/>
                <w:szCs w:val="20"/>
                <w:color w:val="auto"/>
              </w:rPr>
            </w:pPr>
            <w:r>
              <w:rPr>
                <w:rFonts w:ascii="Arial" w:cs="Arial" w:eastAsia="Arial" w:hAnsi="Arial"/>
                <w:sz w:val="18"/>
                <w:szCs w:val="18"/>
                <w:color w:val="auto"/>
              </w:rPr>
              <w:t>RATIFICATION OF ACTS OF DIRECTORS AND OFFICERS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12.</w:t>
            </w:r>
          </w:p>
        </w:tc>
        <w:tc>
          <w:tcPr>
            <w:tcW w:w="9240" w:type="dxa"/>
            <w:vAlign w:val="bottom"/>
          </w:tcPr>
          <w:p>
            <w:pPr>
              <w:ind w:left="40"/>
              <w:spacing w:after="0"/>
              <w:rPr>
                <w:sz w:val="20"/>
                <w:szCs w:val="20"/>
                <w:color w:val="auto"/>
              </w:rPr>
            </w:pPr>
            <w:r>
              <w:rPr>
                <w:rFonts w:ascii="Arial" w:cs="Arial" w:eastAsia="Arial" w:hAnsi="Arial"/>
                <w:sz w:val="18"/>
                <w:szCs w:val="18"/>
                <w:color w:val="auto"/>
              </w:rPr>
              <w:t>CONDUCT OF MEETINGS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w:t>
            </w:r>
          </w:p>
        </w:tc>
        <w:tc>
          <w:tcPr>
            <w:tcW w:w="9240" w:type="dxa"/>
            <w:vAlign w:val="bottom"/>
          </w:tcPr>
          <w:p>
            <w:pPr>
              <w:ind w:left="40"/>
              <w:spacing w:after="0"/>
              <w:rPr>
                <w:sz w:val="20"/>
                <w:szCs w:val="20"/>
                <w:color w:val="auto"/>
              </w:rPr>
            </w:pPr>
            <w:r>
              <w:rPr>
                <w:rFonts w:ascii="Arial" w:cs="Arial" w:eastAsia="Arial" w:hAnsi="Arial"/>
                <w:sz w:val="18"/>
                <w:szCs w:val="18"/>
                <w:color w:val="auto"/>
              </w:rPr>
              <w:t>ACTION WITHOUT MEETING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III. DIRECTORS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9240" w:type="dxa"/>
            <w:vAlign w:val="bottom"/>
          </w:tcPr>
          <w:p>
            <w:pPr>
              <w:ind w:left="40"/>
              <w:spacing w:after="0"/>
              <w:rPr>
                <w:sz w:val="20"/>
                <w:szCs w:val="20"/>
                <w:color w:val="auto"/>
              </w:rPr>
            </w:pPr>
            <w:r>
              <w:rPr>
                <w:rFonts w:ascii="Arial" w:cs="Arial" w:eastAsia="Arial" w:hAnsi="Arial"/>
                <w:sz w:val="18"/>
                <w:szCs w:val="18"/>
                <w:color w:val="auto"/>
              </w:rPr>
              <w:t>GENERAL POWERS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9240" w:type="dxa"/>
            <w:vAlign w:val="bottom"/>
          </w:tcPr>
          <w:p>
            <w:pPr>
              <w:ind w:left="40"/>
              <w:spacing w:after="0"/>
              <w:rPr>
                <w:sz w:val="20"/>
                <w:szCs w:val="20"/>
                <w:color w:val="auto"/>
              </w:rPr>
            </w:pPr>
            <w:r>
              <w:rPr>
                <w:rFonts w:ascii="Arial" w:cs="Arial" w:eastAsia="Arial" w:hAnsi="Arial"/>
                <w:sz w:val="18"/>
                <w:szCs w:val="18"/>
                <w:color w:val="auto"/>
              </w:rPr>
              <w:t>NUMBER AND TENURE OF DIRECTORS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9240" w:type="dxa"/>
            <w:vAlign w:val="bottom"/>
          </w:tcPr>
          <w:p>
            <w:pPr>
              <w:ind w:left="40"/>
              <w:spacing w:after="0"/>
              <w:rPr>
                <w:sz w:val="20"/>
                <w:szCs w:val="20"/>
                <w:color w:val="auto"/>
              </w:rPr>
            </w:pPr>
            <w:r>
              <w:rPr>
                <w:rFonts w:ascii="Arial" w:cs="Arial" w:eastAsia="Arial" w:hAnsi="Arial"/>
                <w:sz w:val="18"/>
                <w:szCs w:val="18"/>
                <w:color w:val="auto"/>
              </w:rPr>
              <w:t>ELECTION OF DIRECTORS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9240" w:type="dxa"/>
            <w:vAlign w:val="bottom"/>
          </w:tcPr>
          <w:p>
            <w:pPr>
              <w:ind w:left="40"/>
              <w:spacing w:after="0"/>
              <w:rPr>
                <w:sz w:val="20"/>
                <w:szCs w:val="20"/>
                <w:color w:val="auto"/>
              </w:rPr>
            </w:pPr>
            <w:r>
              <w:rPr>
                <w:rFonts w:ascii="Arial" w:cs="Arial" w:eastAsia="Arial" w:hAnsi="Arial"/>
                <w:sz w:val="18"/>
                <w:szCs w:val="18"/>
                <w:color w:val="auto"/>
              </w:rPr>
              <w:t>CHAIRMAN OF THE BOARD; VICE CHAIRMAN OF THE BOARD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5.</w:t>
            </w:r>
          </w:p>
        </w:tc>
        <w:tc>
          <w:tcPr>
            <w:tcW w:w="9240" w:type="dxa"/>
            <w:vAlign w:val="bottom"/>
          </w:tcPr>
          <w:p>
            <w:pPr>
              <w:ind w:left="40"/>
              <w:spacing w:after="0"/>
              <w:rPr>
                <w:sz w:val="20"/>
                <w:szCs w:val="20"/>
                <w:color w:val="auto"/>
              </w:rPr>
            </w:pPr>
            <w:r>
              <w:rPr>
                <w:rFonts w:ascii="Arial" w:cs="Arial" w:eastAsia="Arial" w:hAnsi="Arial"/>
                <w:sz w:val="18"/>
                <w:szCs w:val="18"/>
                <w:color w:val="auto"/>
              </w:rPr>
              <w:t>QUORUM</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6.</w:t>
            </w:r>
          </w:p>
        </w:tc>
        <w:tc>
          <w:tcPr>
            <w:tcW w:w="9240" w:type="dxa"/>
            <w:vAlign w:val="bottom"/>
          </w:tcPr>
          <w:p>
            <w:pPr>
              <w:ind w:left="40"/>
              <w:spacing w:after="0"/>
              <w:rPr>
                <w:sz w:val="20"/>
                <w:szCs w:val="20"/>
                <w:color w:val="auto"/>
              </w:rPr>
            </w:pPr>
            <w:r>
              <w:rPr>
                <w:rFonts w:ascii="Arial" w:cs="Arial" w:eastAsia="Arial" w:hAnsi="Arial"/>
                <w:sz w:val="18"/>
                <w:szCs w:val="18"/>
                <w:color w:val="auto"/>
              </w:rPr>
              <w:t>VOTING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w:t>
            </w:r>
          </w:p>
        </w:tc>
        <w:tc>
          <w:tcPr>
            <w:tcW w:w="9240" w:type="dxa"/>
            <w:vAlign w:val="bottom"/>
          </w:tcPr>
          <w:p>
            <w:pPr>
              <w:ind w:left="40"/>
              <w:spacing w:after="0"/>
              <w:rPr>
                <w:sz w:val="20"/>
                <w:szCs w:val="20"/>
                <w:color w:val="auto"/>
              </w:rPr>
            </w:pPr>
            <w:r>
              <w:rPr>
                <w:rFonts w:ascii="Arial" w:cs="Arial" w:eastAsia="Arial" w:hAnsi="Arial"/>
                <w:sz w:val="18"/>
                <w:szCs w:val="18"/>
                <w:color w:val="auto"/>
              </w:rPr>
              <w:t>VACANCIES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w:t>
            </w:r>
          </w:p>
        </w:tc>
        <w:tc>
          <w:tcPr>
            <w:tcW w:w="9240" w:type="dxa"/>
            <w:vAlign w:val="bottom"/>
          </w:tcPr>
          <w:p>
            <w:pPr>
              <w:ind w:left="40"/>
              <w:spacing w:after="0"/>
              <w:rPr>
                <w:sz w:val="20"/>
                <w:szCs w:val="20"/>
                <w:color w:val="auto"/>
              </w:rPr>
            </w:pPr>
            <w:r>
              <w:rPr>
                <w:rFonts w:ascii="Arial" w:cs="Arial" w:eastAsia="Arial" w:hAnsi="Arial"/>
                <w:sz w:val="18"/>
                <w:szCs w:val="18"/>
                <w:color w:val="auto"/>
              </w:rPr>
              <w:t>REMOVAL OF DIRECTORS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9.</w:t>
            </w:r>
          </w:p>
        </w:tc>
        <w:tc>
          <w:tcPr>
            <w:tcW w:w="9240" w:type="dxa"/>
            <w:vAlign w:val="bottom"/>
          </w:tcPr>
          <w:p>
            <w:pPr>
              <w:ind w:left="40"/>
              <w:spacing w:after="0"/>
              <w:rPr>
                <w:sz w:val="20"/>
                <w:szCs w:val="20"/>
                <w:color w:val="auto"/>
              </w:rPr>
            </w:pPr>
            <w:r>
              <w:rPr>
                <w:rFonts w:ascii="Arial" w:cs="Arial" w:eastAsia="Arial" w:hAnsi="Arial"/>
                <w:sz w:val="18"/>
                <w:szCs w:val="18"/>
                <w:color w:val="auto"/>
              </w:rPr>
              <w:t>RESIGNATION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w:t>
            </w:r>
          </w:p>
        </w:tc>
        <w:tc>
          <w:tcPr>
            <w:tcW w:w="9240" w:type="dxa"/>
            <w:vAlign w:val="bottom"/>
          </w:tcPr>
          <w:p>
            <w:pPr>
              <w:ind w:left="40"/>
              <w:spacing w:after="0"/>
              <w:rPr>
                <w:sz w:val="20"/>
                <w:szCs w:val="20"/>
                <w:color w:val="auto"/>
              </w:rPr>
            </w:pPr>
            <w:r>
              <w:rPr>
                <w:rFonts w:ascii="Arial" w:cs="Arial" w:eastAsia="Arial" w:hAnsi="Arial"/>
                <w:sz w:val="18"/>
                <w:szCs w:val="18"/>
                <w:color w:val="auto"/>
              </w:rPr>
              <w:t>REGULAR MEETINGS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w:t>
            </w:r>
          </w:p>
        </w:tc>
        <w:tc>
          <w:tcPr>
            <w:tcW w:w="9240" w:type="dxa"/>
            <w:vAlign w:val="bottom"/>
          </w:tcPr>
          <w:p>
            <w:pPr>
              <w:ind w:left="40"/>
              <w:spacing w:after="0"/>
              <w:rPr>
                <w:sz w:val="20"/>
                <w:szCs w:val="20"/>
                <w:color w:val="auto"/>
              </w:rPr>
            </w:pPr>
            <w:r>
              <w:rPr>
                <w:rFonts w:ascii="Arial" w:cs="Arial" w:eastAsia="Arial" w:hAnsi="Arial"/>
                <w:sz w:val="18"/>
                <w:szCs w:val="18"/>
                <w:color w:val="auto"/>
              </w:rPr>
              <w:t>SPECIAL MEETINGS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12.</w:t>
            </w:r>
          </w:p>
        </w:tc>
        <w:tc>
          <w:tcPr>
            <w:tcW w:w="9240" w:type="dxa"/>
            <w:vAlign w:val="bottom"/>
          </w:tcPr>
          <w:p>
            <w:pPr>
              <w:ind w:left="40"/>
              <w:spacing w:after="0"/>
              <w:rPr>
                <w:sz w:val="20"/>
                <w:szCs w:val="20"/>
                <w:color w:val="auto"/>
              </w:rPr>
            </w:pPr>
            <w:r>
              <w:rPr>
                <w:rFonts w:ascii="Arial" w:cs="Arial" w:eastAsia="Arial" w:hAnsi="Arial"/>
                <w:sz w:val="18"/>
                <w:szCs w:val="18"/>
                <w:color w:val="auto"/>
              </w:rPr>
              <w:t>NOTICE OF SPECIAL MEETINGS OF THE BOARD OF DIRECTORS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w:t>
            </w:r>
          </w:p>
        </w:tc>
        <w:tc>
          <w:tcPr>
            <w:tcW w:w="9240" w:type="dxa"/>
            <w:vAlign w:val="bottom"/>
          </w:tcPr>
          <w:p>
            <w:pPr>
              <w:ind w:left="40"/>
              <w:spacing w:after="0"/>
              <w:rPr>
                <w:sz w:val="20"/>
                <w:szCs w:val="20"/>
                <w:color w:val="auto"/>
              </w:rPr>
            </w:pPr>
            <w:r>
              <w:rPr>
                <w:rFonts w:ascii="Arial" w:cs="Arial" w:eastAsia="Arial" w:hAnsi="Arial"/>
                <w:sz w:val="18"/>
                <w:szCs w:val="18"/>
                <w:color w:val="auto"/>
              </w:rPr>
              <w:t>WRITTEN ACTION BY DIRECTORS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14.</w:t>
            </w:r>
          </w:p>
        </w:tc>
        <w:tc>
          <w:tcPr>
            <w:tcW w:w="9240" w:type="dxa"/>
            <w:vAlign w:val="bottom"/>
          </w:tcPr>
          <w:p>
            <w:pPr>
              <w:ind w:left="40"/>
              <w:spacing w:after="0"/>
              <w:rPr>
                <w:sz w:val="20"/>
                <w:szCs w:val="20"/>
                <w:color w:val="auto"/>
              </w:rPr>
            </w:pPr>
            <w:r>
              <w:rPr>
                <w:rFonts w:ascii="Arial" w:cs="Arial" w:eastAsia="Arial" w:hAnsi="Arial"/>
                <w:sz w:val="18"/>
                <w:szCs w:val="18"/>
                <w:color w:val="auto"/>
              </w:rPr>
              <w:t>PARTICIPATION BY CONFERENCE TELEPHONE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15.</w:t>
            </w:r>
          </w:p>
        </w:tc>
        <w:tc>
          <w:tcPr>
            <w:tcW w:w="9240" w:type="dxa"/>
            <w:vAlign w:val="bottom"/>
          </w:tcPr>
          <w:p>
            <w:pPr>
              <w:ind w:left="40"/>
              <w:spacing w:after="0"/>
              <w:rPr>
                <w:sz w:val="20"/>
                <w:szCs w:val="20"/>
                <w:color w:val="auto"/>
              </w:rPr>
            </w:pPr>
            <w:r>
              <w:rPr>
                <w:rFonts w:ascii="Arial" w:cs="Arial" w:eastAsia="Arial" w:hAnsi="Arial"/>
                <w:sz w:val="18"/>
                <w:szCs w:val="18"/>
                <w:color w:val="auto"/>
              </w:rPr>
              <w:t>COMMITTEES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16.</w:t>
            </w:r>
          </w:p>
        </w:tc>
        <w:tc>
          <w:tcPr>
            <w:tcW w:w="9240" w:type="dxa"/>
            <w:vAlign w:val="bottom"/>
          </w:tcPr>
          <w:p>
            <w:pPr>
              <w:ind w:left="40"/>
              <w:spacing w:after="0"/>
              <w:rPr>
                <w:sz w:val="20"/>
                <w:szCs w:val="20"/>
                <w:color w:val="auto"/>
              </w:rPr>
            </w:pPr>
            <w:r>
              <w:rPr>
                <w:rFonts w:ascii="Arial" w:cs="Arial" w:eastAsia="Arial" w:hAnsi="Arial"/>
                <w:sz w:val="18"/>
                <w:szCs w:val="18"/>
                <w:color w:val="auto"/>
              </w:rPr>
              <w:t>COMPENSATION OF DIRECTORS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4"/>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IV. OFFICERS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9240" w:type="dxa"/>
            <w:vAlign w:val="bottom"/>
          </w:tcPr>
          <w:p>
            <w:pPr>
              <w:ind w:left="40"/>
              <w:spacing w:after="0"/>
              <w:rPr>
                <w:sz w:val="20"/>
                <w:szCs w:val="20"/>
                <w:color w:val="auto"/>
              </w:rPr>
            </w:pPr>
            <w:r>
              <w:rPr>
                <w:rFonts w:ascii="Arial" w:cs="Arial" w:eastAsia="Arial" w:hAnsi="Arial"/>
                <w:sz w:val="18"/>
                <w:szCs w:val="18"/>
                <w:color w:val="auto"/>
              </w:rPr>
              <w:t>GENERAL PROVISIONS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9240" w:type="dxa"/>
            <w:vAlign w:val="bottom"/>
          </w:tcPr>
          <w:p>
            <w:pPr>
              <w:ind w:left="40"/>
              <w:spacing w:after="0"/>
              <w:rPr>
                <w:sz w:val="20"/>
                <w:szCs w:val="20"/>
                <w:color w:val="auto"/>
              </w:rPr>
            </w:pPr>
            <w:r>
              <w:rPr>
                <w:rFonts w:ascii="Arial" w:cs="Arial" w:eastAsia="Arial" w:hAnsi="Arial"/>
                <w:sz w:val="18"/>
                <w:szCs w:val="18"/>
                <w:color w:val="auto"/>
              </w:rPr>
              <w:t>ELECTION AND TERM OF OFFICE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9240" w:type="dxa"/>
            <w:vAlign w:val="bottom"/>
          </w:tcPr>
          <w:p>
            <w:pPr>
              <w:ind w:left="40"/>
              <w:spacing w:after="0"/>
              <w:rPr>
                <w:sz w:val="20"/>
                <w:szCs w:val="20"/>
                <w:color w:val="auto"/>
              </w:rPr>
            </w:pPr>
            <w:r>
              <w:rPr>
                <w:rFonts w:ascii="Arial" w:cs="Arial" w:eastAsia="Arial" w:hAnsi="Arial"/>
                <w:sz w:val="18"/>
                <w:szCs w:val="18"/>
                <w:color w:val="auto"/>
              </w:rPr>
              <w:t>RESIGNATION AND REMOVAL OF OFFICERS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15" w:name="page316"/>
    <w:bookmarkEnd w:id="315"/>
    <w:tbl>
      <w:tblPr>
        <w:tblLayout w:type="fixed"/>
        <w:tblInd w:w="0" w:type="dxa"/>
        <w:tblCellMar>
          <w:top w:w="0" w:type="dxa"/>
          <w:left w:w="0" w:type="dxa"/>
          <w:bottom w:w="0" w:type="dxa"/>
          <w:right w:w="0" w:type="dxa"/>
        </w:tblCellMar>
      </w:tblP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7660" w:type="dxa"/>
            <w:vAlign w:val="bottom"/>
          </w:tcPr>
          <w:p>
            <w:pPr>
              <w:ind w:left="40"/>
              <w:spacing w:after="0"/>
              <w:rPr>
                <w:sz w:val="20"/>
                <w:szCs w:val="20"/>
                <w:color w:val="auto"/>
              </w:rPr>
            </w:pPr>
            <w:r>
              <w:rPr>
                <w:rFonts w:ascii="Arial" w:cs="Arial" w:eastAsia="Arial" w:hAnsi="Arial"/>
                <w:sz w:val="18"/>
                <w:szCs w:val="18"/>
                <w:color w:val="auto"/>
              </w:rPr>
              <w:t>VACANCIES</w:t>
            </w:r>
          </w:p>
        </w:tc>
        <w:tc>
          <w:tcPr>
            <w:tcW w:w="18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5.</w:t>
            </w:r>
          </w:p>
        </w:tc>
        <w:tc>
          <w:tcPr>
            <w:tcW w:w="7660" w:type="dxa"/>
            <w:vAlign w:val="bottom"/>
          </w:tcPr>
          <w:p>
            <w:pPr>
              <w:ind w:left="40"/>
              <w:spacing w:after="0"/>
              <w:rPr>
                <w:sz w:val="20"/>
                <w:szCs w:val="20"/>
                <w:color w:val="auto"/>
              </w:rPr>
            </w:pPr>
            <w:r>
              <w:rPr>
                <w:rFonts w:ascii="Arial" w:cs="Arial" w:eastAsia="Arial" w:hAnsi="Arial"/>
                <w:sz w:val="18"/>
                <w:szCs w:val="18"/>
                <w:color w:val="auto"/>
              </w:rPr>
              <w:t>THE CHIEF EXECUTIVE OFFICER</w:t>
            </w:r>
          </w:p>
        </w:tc>
        <w:tc>
          <w:tcPr>
            <w:tcW w:w="18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6.</w:t>
            </w:r>
          </w:p>
        </w:tc>
        <w:tc>
          <w:tcPr>
            <w:tcW w:w="7660" w:type="dxa"/>
            <w:vAlign w:val="bottom"/>
          </w:tcPr>
          <w:p>
            <w:pPr>
              <w:ind w:left="40"/>
              <w:spacing w:after="0"/>
              <w:rPr>
                <w:sz w:val="20"/>
                <w:szCs w:val="20"/>
                <w:color w:val="auto"/>
              </w:rPr>
            </w:pPr>
            <w:r>
              <w:rPr>
                <w:rFonts w:ascii="Arial" w:cs="Arial" w:eastAsia="Arial" w:hAnsi="Arial"/>
                <w:sz w:val="18"/>
                <w:szCs w:val="18"/>
                <w:color w:val="auto"/>
              </w:rPr>
              <w:t>THE PRESIDENT</w:t>
            </w:r>
          </w:p>
        </w:tc>
        <w:tc>
          <w:tcPr>
            <w:tcW w:w="18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w:t>
            </w:r>
          </w:p>
        </w:tc>
        <w:tc>
          <w:tcPr>
            <w:tcW w:w="7660" w:type="dxa"/>
            <w:vAlign w:val="bottom"/>
          </w:tcPr>
          <w:p>
            <w:pPr>
              <w:ind w:left="40"/>
              <w:spacing w:after="0"/>
              <w:rPr>
                <w:sz w:val="20"/>
                <w:szCs w:val="20"/>
                <w:color w:val="auto"/>
              </w:rPr>
            </w:pPr>
            <w:r>
              <w:rPr>
                <w:rFonts w:ascii="Arial" w:cs="Arial" w:eastAsia="Arial" w:hAnsi="Arial"/>
                <w:sz w:val="18"/>
                <w:szCs w:val="18"/>
                <w:color w:val="auto"/>
              </w:rPr>
              <w:t>THE VICE PRESIDENT</w:t>
            </w:r>
          </w:p>
        </w:tc>
        <w:tc>
          <w:tcPr>
            <w:tcW w:w="18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w:t>
            </w:r>
          </w:p>
        </w:tc>
        <w:tc>
          <w:tcPr>
            <w:tcW w:w="7660" w:type="dxa"/>
            <w:vAlign w:val="bottom"/>
          </w:tcPr>
          <w:p>
            <w:pPr>
              <w:ind w:left="40"/>
              <w:spacing w:after="0"/>
              <w:rPr>
                <w:sz w:val="20"/>
                <w:szCs w:val="20"/>
                <w:color w:val="auto"/>
              </w:rPr>
            </w:pPr>
            <w:r>
              <w:rPr>
                <w:rFonts w:ascii="Arial" w:cs="Arial" w:eastAsia="Arial" w:hAnsi="Arial"/>
                <w:sz w:val="18"/>
                <w:szCs w:val="18"/>
                <w:color w:val="auto"/>
              </w:rPr>
              <w:t>THE SECRETARY</w:t>
            </w:r>
          </w:p>
        </w:tc>
        <w:tc>
          <w:tcPr>
            <w:tcW w:w="18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9.</w:t>
            </w:r>
          </w:p>
        </w:tc>
        <w:tc>
          <w:tcPr>
            <w:tcW w:w="7660" w:type="dxa"/>
            <w:vAlign w:val="bottom"/>
          </w:tcPr>
          <w:p>
            <w:pPr>
              <w:ind w:left="40"/>
              <w:spacing w:after="0"/>
              <w:rPr>
                <w:sz w:val="20"/>
                <w:szCs w:val="20"/>
                <w:color w:val="auto"/>
              </w:rPr>
            </w:pPr>
            <w:r>
              <w:rPr>
                <w:rFonts w:ascii="Arial" w:cs="Arial" w:eastAsia="Arial" w:hAnsi="Arial"/>
                <w:sz w:val="18"/>
                <w:szCs w:val="18"/>
                <w:color w:val="auto"/>
              </w:rPr>
              <w:t>THE ASSISTANT SECRETARY</w:t>
            </w:r>
          </w:p>
        </w:tc>
        <w:tc>
          <w:tcPr>
            <w:tcW w:w="18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w:t>
            </w:r>
          </w:p>
        </w:tc>
        <w:tc>
          <w:tcPr>
            <w:tcW w:w="7660" w:type="dxa"/>
            <w:vAlign w:val="bottom"/>
          </w:tcPr>
          <w:p>
            <w:pPr>
              <w:ind w:left="40"/>
              <w:spacing w:after="0"/>
              <w:rPr>
                <w:sz w:val="20"/>
                <w:szCs w:val="20"/>
                <w:color w:val="auto"/>
              </w:rPr>
            </w:pPr>
            <w:r>
              <w:rPr>
                <w:rFonts w:ascii="Arial" w:cs="Arial" w:eastAsia="Arial" w:hAnsi="Arial"/>
                <w:sz w:val="18"/>
                <w:szCs w:val="18"/>
                <w:color w:val="auto"/>
              </w:rPr>
              <w:t>THE TREASURER</w:t>
            </w:r>
          </w:p>
        </w:tc>
        <w:tc>
          <w:tcPr>
            <w:tcW w:w="18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w:t>
            </w:r>
          </w:p>
        </w:tc>
        <w:tc>
          <w:tcPr>
            <w:tcW w:w="7660" w:type="dxa"/>
            <w:vAlign w:val="bottom"/>
          </w:tcPr>
          <w:p>
            <w:pPr>
              <w:ind w:left="40"/>
              <w:spacing w:after="0"/>
              <w:rPr>
                <w:sz w:val="20"/>
                <w:szCs w:val="20"/>
                <w:color w:val="auto"/>
              </w:rPr>
            </w:pPr>
            <w:r>
              <w:rPr>
                <w:rFonts w:ascii="Arial" w:cs="Arial" w:eastAsia="Arial" w:hAnsi="Arial"/>
                <w:sz w:val="18"/>
                <w:szCs w:val="18"/>
                <w:color w:val="auto"/>
              </w:rPr>
              <w:t>THE ASSISTANT TREASURER</w:t>
            </w:r>
          </w:p>
        </w:tc>
        <w:tc>
          <w:tcPr>
            <w:tcW w:w="1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12.</w:t>
            </w:r>
          </w:p>
        </w:tc>
        <w:tc>
          <w:tcPr>
            <w:tcW w:w="7660" w:type="dxa"/>
            <w:vAlign w:val="bottom"/>
          </w:tcPr>
          <w:p>
            <w:pPr>
              <w:ind w:left="40"/>
              <w:spacing w:after="0"/>
              <w:rPr>
                <w:sz w:val="20"/>
                <w:szCs w:val="20"/>
                <w:color w:val="auto"/>
              </w:rPr>
            </w:pPr>
            <w:r>
              <w:rPr>
                <w:rFonts w:ascii="Arial" w:cs="Arial" w:eastAsia="Arial" w:hAnsi="Arial"/>
                <w:sz w:val="18"/>
                <w:szCs w:val="18"/>
                <w:color w:val="auto"/>
              </w:rPr>
              <w:t>OTHER OFFICERS, ASSISTANT OFFICERS AND AGENTS</w:t>
            </w:r>
          </w:p>
        </w:tc>
        <w:tc>
          <w:tcPr>
            <w:tcW w:w="1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w:t>
            </w:r>
          </w:p>
        </w:tc>
        <w:tc>
          <w:tcPr>
            <w:tcW w:w="7660" w:type="dxa"/>
            <w:vAlign w:val="bottom"/>
          </w:tcPr>
          <w:p>
            <w:pPr>
              <w:ind w:left="40"/>
              <w:spacing w:after="0"/>
              <w:rPr>
                <w:sz w:val="20"/>
                <w:szCs w:val="20"/>
                <w:color w:val="auto"/>
              </w:rPr>
            </w:pPr>
            <w:r>
              <w:rPr>
                <w:rFonts w:ascii="Arial" w:cs="Arial" w:eastAsia="Arial" w:hAnsi="Arial"/>
                <w:sz w:val="18"/>
                <w:szCs w:val="18"/>
                <w:color w:val="auto"/>
              </w:rPr>
              <w:t>ABSENCE OF OFFICERS</w:t>
            </w:r>
          </w:p>
        </w:tc>
        <w:tc>
          <w:tcPr>
            <w:tcW w:w="1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14.</w:t>
            </w:r>
          </w:p>
        </w:tc>
        <w:tc>
          <w:tcPr>
            <w:tcW w:w="7660" w:type="dxa"/>
            <w:vAlign w:val="bottom"/>
          </w:tcPr>
          <w:p>
            <w:pPr>
              <w:ind w:left="40"/>
              <w:spacing w:after="0"/>
              <w:rPr>
                <w:sz w:val="20"/>
                <w:szCs w:val="20"/>
                <w:color w:val="auto"/>
              </w:rPr>
            </w:pPr>
            <w:r>
              <w:rPr>
                <w:rFonts w:ascii="Arial" w:cs="Arial" w:eastAsia="Arial" w:hAnsi="Arial"/>
                <w:sz w:val="18"/>
                <w:szCs w:val="18"/>
                <w:color w:val="auto"/>
              </w:rPr>
              <w:t>COMPENSATION</w:t>
            </w:r>
          </w:p>
        </w:tc>
        <w:tc>
          <w:tcPr>
            <w:tcW w:w="1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ARTICLE V. CAPITAL STOCK</w:t>
            </w:r>
          </w:p>
        </w:tc>
        <w:tc>
          <w:tcPr>
            <w:tcW w:w="1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7660" w:type="dxa"/>
            <w:vAlign w:val="bottom"/>
          </w:tcPr>
          <w:p>
            <w:pPr>
              <w:ind w:left="40"/>
              <w:spacing w:after="0"/>
              <w:rPr>
                <w:sz w:val="20"/>
                <w:szCs w:val="20"/>
                <w:color w:val="auto"/>
              </w:rPr>
            </w:pPr>
            <w:r>
              <w:rPr>
                <w:rFonts w:ascii="Arial" w:cs="Arial" w:eastAsia="Arial" w:hAnsi="Arial"/>
                <w:sz w:val="18"/>
                <w:szCs w:val="18"/>
                <w:color w:val="auto"/>
              </w:rPr>
              <w:t>ISSUANCE OF STOCK</w:t>
            </w:r>
          </w:p>
        </w:tc>
        <w:tc>
          <w:tcPr>
            <w:tcW w:w="1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7660" w:type="dxa"/>
            <w:vAlign w:val="bottom"/>
          </w:tcPr>
          <w:p>
            <w:pPr>
              <w:ind w:left="40"/>
              <w:spacing w:after="0"/>
              <w:rPr>
                <w:sz w:val="20"/>
                <w:szCs w:val="20"/>
                <w:color w:val="auto"/>
              </w:rPr>
            </w:pPr>
            <w:r>
              <w:rPr>
                <w:rFonts w:ascii="Arial" w:cs="Arial" w:eastAsia="Arial" w:hAnsi="Arial"/>
                <w:sz w:val="18"/>
                <w:szCs w:val="18"/>
                <w:color w:val="auto"/>
              </w:rPr>
              <w:t>CERTIFICATES OF SHARES; UNCERTIFICATED SHARES</w:t>
            </w:r>
          </w:p>
        </w:tc>
        <w:tc>
          <w:tcPr>
            <w:tcW w:w="1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7660" w:type="dxa"/>
            <w:vAlign w:val="bottom"/>
          </w:tcPr>
          <w:p>
            <w:pPr>
              <w:ind w:left="40"/>
              <w:spacing w:after="0"/>
              <w:rPr>
                <w:sz w:val="20"/>
                <w:szCs w:val="20"/>
                <w:color w:val="auto"/>
              </w:rPr>
            </w:pPr>
            <w:r>
              <w:rPr>
                <w:rFonts w:ascii="Arial" w:cs="Arial" w:eastAsia="Arial" w:hAnsi="Arial"/>
                <w:sz w:val="18"/>
                <w:szCs w:val="18"/>
                <w:color w:val="auto"/>
              </w:rPr>
              <w:t>SIGNATURES OF FORMER OFFICER, TRANSFER AGENT OR REGISTRAR</w:t>
            </w:r>
          </w:p>
        </w:tc>
        <w:tc>
          <w:tcPr>
            <w:tcW w:w="18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7660" w:type="dxa"/>
            <w:vAlign w:val="bottom"/>
          </w:tcPr>
          <w:p>
            <w:pPr>
              <w:ind w:left="40"/>
              <w:spacing w:after="0"/>
              <w:rPr>
                <w:sz w:val="20"/>
                <w:szCs w:val="20"/>
                <w:color w:val="auto"/>
              </w:rPr>
            </w:pPr>
            <w:r>
              <w:rPr>
                <w:rFonts w:ascii="Arial" w:cs="Arial" w:eastAsia="Arial" w:hAnsi="Arial"/>
                <w:sz w:val="18"/>
                <w:szCs w:val="18"/>
                <w:color w:val="auto"/>
              </w:rPr>
              <w:t>TRANSFER OF SHARES</w:t>
            </w:r>
          </w:p>
        </w:tc>
        <w:tc>
          <w:tcPr>
            <w:tcW w:w="18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5.</w:t>
            </w:r>
          </w:p>
        </w:tc>
        <w:tc>
          <w:tcPr>
            <w:tcW w:w="7660" w:type="dxa"/>
            <w:vAlign w:val="bottom"/>
          </w:tcPr>
          <w:p>
            <w:pPr>
              <w:ind w:left="40"/>
              <w:spacing w:after="0"/>
              <w:rPr>
                <w:sz w:val="20"/>
                <w:szCs w:val="20"/>
                <w:color w:val="auto"/>
              </w:rPr>
            </w:pPr>
            <w:r>
              <w:rPr>
                <w:rFonts w:ascii="Arial" w:cs="Arial" w:eastAsia="Arial" w:hAnsi="Arial"/>
                <w:sz w:val="18"/>
                <w:szCs w:val="18"/>
                <w:color w:val="auto"/>
              </w:rPr>
              <w:t>LOST, DESTROYED OR STOLEN CERTIFICATES</w:t>
            </w:r>
          </w:p>
        </w:tc>
        <w:tc>
          <w:tcPr>
            <w:tcW w:w="1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6.</w:t>
            </w:r>
          </w:p>
        </w:tc>
        <w:tc>
          <w:tcPr>
            <w:tcW w:w="7660" w:type="dxa"/>
            <w:vAlign w:val="bottom"/>
          </w:tcPr>
          <w:p>
            <w:pPr>
              <w:ind w:left="40"/>
              <w:spacing w:after="0"/>
              <w:rPr>
                <w:sz w:val="20"/>
                <w:szCs w:val="20"/>
                <w:color w:val="auto"/>
              </w:rPr>
            </w:pPr>
            <w:r>
              <w:rPr>
                <w:rFonts w:ascii="Arial" w:cs="Arial" w:eastAsia="Arial" w:hAnsi="Arial"/>
                <w:sz w:val="18"/>
                <w:szCs w:val="18"/>
                <w:color w:val="auto"/>
              </w:rPr>
              <w:t>REGULATIONS</w:t>
            </w:r>
          </w:p>
        </w:tc>
        <w:tc>
          <w:tcPr>
            <w:tcW w:w="1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ARTICLE VI. RESTRICTIONS ON TRANSFER AND RIGHT OF FIRST REFUSAL</w:t>
            </w:r>
          </w:p>
        </w:tc>
        <w:tc>
          <w:tcPr>
            <w:tcW w:w="1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7660" w:type="dxa"/>
            <w:vAlign w:val="bottom"/>
          </w:tcPr>
          <w:p>
            <w:pPr>
              <w:ind w:left="40"/>
              <w:spacing w:after="0"/>
              <w:rPr>
                <w:sz w:val="20"/>
                <w:szCs w:val="20"/>
                <w:color w:val="auto"/>
              </w:rPr>
            </w:pPr>
            <w:r>
              <w:rPr>
                <w:rFonts w:ascii="Arial" w:cs="Arial" w:eastAsia="Arial" w:hAnsi="Arial"/>
                <w:sz w:val="18"/>
                <w:szCs w:val="18"/>
                <w:color w:val="auto"/>
              </w:rPr>
              <w:t>TRANSFERS</w:t>
            </w:r>
          </w:p>
        </w:tc>
        <w:tc>
          <w:tcPr>
            <w:tcW w:w="1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7660" w:type="dxa"/>
            <w:vAlign w:val="bottom"/>
          </w:tcPr>
          <w:p>
            <w:pPr>
              <w:ind w:left="40"/>
              <w:spacing w:after="0"/>
              <w:rPr>
                <w:sz w:val="20"/>
                <w:szCs w:val="20"/>
                <w:color w:val="auto"/>
              </w:rPr>
            </w:pPr>
            <w:r>
              <w:rPr>
                <w:rFonts w:ascii="Arial" w:cs="Arial" w:eastAsia="Arial" w:hAnsi="Arial"/>
                <w:sz w:val="18"/>
                <w:szCs w:val="18"/>
                <w:color w:val="auto"/>
              </w:rPr>
              <w:t>CONSENT TO TRANSFER</w:t>
            </w:r>
          </w:p>
        </w:tc>
        <w:tc>
          <w:tcPr>
            <w:tcW w:w="1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7660" w:type="dxa"/>
            <w:vAlign w:val="bottom"/>
          </w:tcPr>
          <w:p>
            <w:pPr>
              <w:ind w:left="40"/>
              <w:spacing w:after="0"/>
              <w:rPr>
                <w:sz w:val="20"/>
                <w:szCs w:val="20"/>
                <w:color w:val="auto"/>
              </w:rPr>
            </w:pPr>
            <w:r>
              <w:rPr>
                <w:rFonts w:ascii="Arial" w:cs="Arial" w:eastAsia="Arial" w:hAnsi="Arial"/>
                <w:sz w:val="18"/>
                <w:szCs w:val="18"/>
                <w:color w:val="auto"/>
              </w:rPr>
              <w:t>RIGHT OF FIRST REFUSAL</w:t>
            </w:r>
          </w:p>
        </w:tc>
        <w:tc>
          <w:tcPr>
            <w:tcW w:w="18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7660" w:type="dxa"/>
            <w:vAlign w:val="bottom"/>
          </w:tcPr>
          <w:p>
            <w:pPr>
              <w:ind w:left="40"/>
              <w:spacing w:after="0"/>
              <w:rPr>
                <w:sz w:val="20"/>
                <w:szCs w:val="20"/>
                <w:color w:val="auto"/>
              </w:rPr>
            </w:pPr>
            <w:r>
              <w:rPr>
                <w:rFonts w:ascii="Arial" w:cs="Arial" w:eastAsia="Arial" w:hAnsi="Arial"/>
                <w:sz w:val="18"/>
                <w:szCs w:val="18"/>
                <w:color w:val="auto"/>
              </w:rPr>
              <w:t>EXCEPTIONS</w:t>
            </w:r>
          </w:p>
        </w:tc>
        <w:tc>
          <w:tcPr>
            <w:tcW w:w="18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5.</w:t>
            </w:r>
          </w:p>
        </w:tc>
        <w:tc>
          <w:tcPr>
            <w:tcW w:w="7660" w:type="dxa"/>
            <w:vAlign w:val="bottom"/>
          </w:tcPr>
          <w:p>
            <w:pPr>
              <w:ind w:left="40"/>
              <w:spacing w:after="0"/>
              <w:rPr>
                <w:sz w:val="20"/>
                <w:szCs w:val="20"/>
                <w:color w:val="auto"/>
              </w:rPr>
            </w:pPr>
            <w:r>
              <w:rPr>
                <w:rFonts w:ascii="Arial" w:cs="Arial" w:eastAsia="Arial" w:hAnsi="Arial"/>
                <w:sz w:val="18"/>
                <w:szCs w:val="18"/>
                <w:color w:val="auto"/>
              </w:rPr>
              <w:t>TERMINATION</w:t>
            </w:r>
          </w:p>
        </w:tc>
        <w:tc>
          <w:tcPr>
            <w:tcW w:w="1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6.</w:t>
            </w:r>
          </w:p>
        </w:tc>
        <w:tc>
          <w:tcPr>
            <w:tcW w:w="7660" w:type="dxa"/>
            <w:vAlign w:val="bottom"/>
          </w:tcPr>
          <w:p>
            <w:pPr>
              <w:ind w:left="40"/>
              <w:spacing w:after="0"/>
              <w:rPr>
                <w:sz w:val="20"/>
                <w:szCs w:val="20"/>
                <w:color w:val="auto"/>
              </w:rPr>
            </w:pPr>
            <w:r>
              <w:rPr>
                <w:rFonts w:ascii="Arial" w:cs="Arial" w:eastAsia="Arial" w:hAnsi="Arial"/>
                <w:sz w:val="18"/>
                <w:szCs w:val="18"/>
                <w:color w:val="auto"/>
              </w:rPr>
              <w:t>VOID TRANSFERS</w:t>
            </w:r>
          </w:p>
        </w:tc>
        <w:tc>
          <w:tcPr>
            <w:tcW w:w="1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w:t>
            </w:r>
          </w:p>
        </w:tc>
        <w:tc>
          <w:tcPr>
            <w:tcW w:w="7660" w:type="dxa"/>
            <w:vAlign w:val="bottom"/>
          </w:tcPr>
          <w:p>
            <w:pPr>
              <w:ind w:left="40"/>
              <w:spacing w:after="0"/>
              <w:rPr>
                <w:sz w:val="20"/>
                <w:szCs w:val="20"/>
                <w:color w:val="auto"/>
              </w:rPr>
            </w:pPr>
            <w:r>
              <w:rPr>
                <w:rFonts w:ascii="Arial" w:cs="Arial" w:eastAsia="Arial" w:hAnsi="Arial"/>
                <w:sz w:val="18"/>
                <w:szCs w:val="18"/>
                <w:color w:val="auto"/>
              </w:rPr>
              <w:t>LEGENDS</w:t>
            </w:r>
          </w:p>
        </w:tc>
        <w:tc>
          <w:tcPr>
            <w:tcW w:w="1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8.</w:t>
            </w:r>
          </w:p>
        </w:tc>
        <w:tc>
          <w:tcPr>
            <w:tcW w:w="7660" w:type="dxa"/>
            <w:vAlign w:val="bottom"/>
          </w:tcPr>
          <w:p>
            <w:pPr>
              <w:ind w:left="40"/>
              <w:spacing w:after="0"/>
              <w:rPr>
                <w:sz w:val="20"/>
                <w:szCs w:val="20"/>
                <w:color w:val="auto"/>
              </w:rPr>
            </w:pPr>
            <w:r>
              <w:rPr>
                <w:rFonts w:ascii="Arial" w:cs="Arial" w:eastAsia="Arial" w:hAnsi="Arial"/>
                <w:sz w:val="18"/>
                <w:szCs w:val="18"/>
                <w:color w:val="auto"/>
              </w:rPr>
              <w:t>CONFLICTS</w:t>
            </w:r>
          </w:p>
        </w:tc>
        <w:tc>
          <w:tcPr>
            <w:tcW w:w="1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ARTICLE VII. INDEMNIFICATION</w:t>
            </w:r>
          </w:p>
        </w:tc>
        <w:tc>
          <w:tcPr>
            <w:tcW w:w="18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7660" w:type="dxa"/>
            <w:vAlign w:val="bottom"/>
          </w:tcPr>
          <w:p>
            <w:pPr>
              <w:ind w:left="40"/>
              <w:spacing w:after="0"/>
              <w:rPr>
                <w:sz w:val="20"/>
                <w:szCs w:val="20"/>
                <w:color w:val="auto"/>
              </w:rPr>
            </w:pPr>
            <w:r>
              <w:rPr>
                <w:rFonts w:ascii="Arial" w:cs="Arial" w:eastAsia="Arial" w:hAnsi="Arial"/>
                <w:sz w:val="18"/>
                <w:szCs w:val="18"/>
                <w:color w:val="auto"/>
              </w:rPr>
              <w:t>RIGHT TO INDEMNIFICATION OF DIRECTORS AND OFFICERS</w:t>
            </w:r>
          </w:p>
        </w:tc>
        <w:tc>
          <w:tcPr>
            <w:tcW w:w="18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7660" w:type="dxa"/>
            <w:vAlign w:val="bottom"/>
          </w:tcPr>
          <w:p>
            <w:pPr>
              <w:ind w:left="40"/>
              <w:spacing w:after="0"/>
              <w:rPr>
                <w:sz w:val="20"/>
                <w:szCs w:val="20"/>
                <w:color w:val="auto"/>
              </w:rPr>
            </w:pPr>
            <w:r>
              <w:rPr>
                <w:rFonts w:ascii="Arial" w:cs="Arial" w:eastAsia="Arial" w:hAnsi="Arial"/>
                <w:sz w:val="18"/>
                <w:szCs w:val="18"/>
                <w:color w:val="auto"/>
              </w:rPr>
              <w:t>PREPAYMENT OF EXPENSES OF DIRECTORS AND OFFICERS</w:t>
            </w:r>
          </w:p>
        </w:tc>
        <w:tc>
          <w:tcPr>
            <w:tcW w:w="18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7660" w:type="dxa"/>
            <w:vAlign w:val="bottom"/>
          </w:tcPr>
          <w:p>
            <w:pPr>
              <w:ind w:left="40"/>
              <w:spacing w:after="0"/>
              <w:rPr>
                <w:sz w:val="20"/>
                <w:szCs w:val="20"/>
                <w:color w:val="auto"/>
              </w:rPr>
            </w:pPr>
            <w:r>
              <w:rPr>
                <w:rFonts w:ascii="Arial" w:cs="Arial" w:eastAsia="Arial" w:hAnsi="Arial"/>
                <w:sz w:val="18"/>
                <w:szCs w:val="18"/>
                <w:color w:val="auto"/>
              </w:rPr>
              <w:t>CLAIMS BY DIRECTORS AND OFFICERS</w:t>
            </w:r>
          </w:p>
        </w:tc>
        <w:tc>
          <w:tcPr>
            <w:tcW w:w="18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7660" w:type="dxa"/>
            <w:vAlign w:val="bottom"/>
          </w:tcPr>
          <w:p>
            <w:pPr>
              <w:ind w:left="40"/>
              <w:spacing w:after="0"/>
              <w:rPr>
                <w:sz w:val="20"/>
                <w:szCs w:val="20"/>
                <w:color w:val="auto"/>
              </w:rPr>
            </w:pPr>
            <w:r>
              <w:rPr>
                <w:rFonts w:ascii="Arial" w:cs="Arial" w:eastAsia="Arial" w:hAnsi="Arial"/>
                <w:sz w:val="18"/>
                <w:szCs w:val="18"/>
                <w:color w:val="auto"/>
              </w:rPr>
              <w:t>INDEMNIFICATION OF EMPLOYEES AND AGENTS</w:t>
            </w:r>
          </w:p>
        </w:tc>
        <w:tc>
          <w:tcPr>
            <w:tcW w:w="18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5.</w:t>
            </w:r>
          </w:p>
        </w:tc>
        <w:tc>
          <w:tcPr>
            <w:tcW w:w="7660" w:type="dxa"/>
            <w:vAlign w:val="bottom"/>
          </w:tcPr>
          <w:p>
            <w:pPr>
              <w:ind w:left="40"/>
              <w:spacing w:after="0"/>
              <w:rPr>
                <w:sz w:val="20"/>
                <w:szCs w:val="20"/>
                <w:color w:val="auto"/>
              </w:rPr>
            </w:pPr>
            <w:r>
              <w:rPr>
                <w:rFonts w:ascii="Arial" w:cs="Arial" w:eastAsia="Arial" w:hAnsi="Arial"/>
                <w:sz w:val="18"/>
                <w:szCs w:val="18"/>
                <w:color w:val="auto"/>
              </w:rPr>
              <w:t>ADVANCEMENT OF EXPENSES OF EMPLOYEES AND AGENTS</w:t>
            </w: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6.</w:t>
            </w:r>
          </w:p>
        </w:tc>
        <w:tc>
          <w:tcPr>
            <w:tcW w:w="7660" w:type="dxa"/>
            <w:vAlign w:val="bottom"/>
          </w:tcPr>
          <w:p>
            <w:pPr>
              <w:ind w:left="40"/>
              <w:spacing w:after="0"/>
              <w:rPr>
                <w:sz w:val="20"/>
                <w:szCs w:val="20"/>
                <w:color w:val="auto"/>
              </w:rPr>
            </w:pPr>
            <w:r>
              <w:rPr>
                <w:rFonts w:ascii="Arial" w:cs="Arial" w:eastAsia="Arial" w:hAnsi="Arial"/>
                <w:sz w:val="18"/>
                <w:szCs w:val="18"/>
                <w:color w:val="auto"/>
              </w:rPr>
              <w:t>NON-EXCLUSIVITY OF RIGHTS</w:t>
            </w: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w:t>
            </w:r>
          </w:p>
        </w:tc>
        <w:tc>
          <w:tcPr>
            <w:tcW w:w="7660" w:type="dxa"/>
            <w:vAlign w:val="bottom"/>
          </w:tcPr>
          <w:p>
            <w:pPr>
              <w:ind w:left="40"/>
              <w:spacing w:after="0"/>
              <w:rPr>
                <w:sz w:val="20"/>
                <w:szCs w:val="20"/>
                <w:color w:val="auto"/>
              </w:rPr>
            </w:pPr>
            <w:r>
              <w:rPr>
                <w:rFonts w:ascii="Arial" w:cs="Arial" w:eastAsia="Arial" w:hAnsi="Arial"/>
                <w:sz w:val="18"/>
                <w:szCs w:val="18"/>
                <w:color w:val="auto"/>
              </w:rPr>
              <w:t>OTHER INDEMNIFICATION</w:t>
            </w: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w:t>
            </w:r>
          </w:p>
        </w:tc>
        <w:tc>
          <w:tcPr>
            <w:tcW w:w="7660" w:type="dxa"/>
            <w:vAlign w:val="bottom"/>
          </w:tcPr>
          <w:p>
            <w:pPr>
              <w:ind w:left="40"/>
              <w:spacing w:after="0"/>
              <w:rPr>
                <w:sz w:val="20"/>
                <w:szCs w:val="20"/>
                <w:color w:val="auto"/>
              </w:rPr>
            </w:pPr>
            <w:r>
              <w:rPr>
                <w:rFonts w:ascii="Arial" w:cs="Arial" w:eastAsia="Arial" w:hAnsi="Arial"/>
                <w:sz w:val="18"/>
                <w:szCs w:val="18"/>
                <w:color w:val="auto"/>
              </w:rPr>
              <w:t>INSURANCE</w:t>
            </w: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9.</w:t>
            </w:r>
          </w:p>
        </w:tc>
        <w:tc>
          <w:tcPr>
            <w:tcW w:w="7660" w:type="dxa"/>
            <w:vAlign w:val="bottom"/>
          </w:tcPr>
          <w:p>
            <w:pPr>
              <w:ind w:left="40"/>
              <w:spacing w:after="0"/>
              <w:rPr>
                <w:sz w:val="20"/>
                <w:szCs w:val="20"/>
                <w:color w:val="auto"/>
              </w:rPr>
            </w:pPr>
            <w:r>
              <w:rPr>
                <w:rFonts w:ascii="Arial" w:cs="Arial" w:eastAsia="Arial" w:hAnsi="Arial"/>
                <w:sz w:val="18"/>
                <w:szCs w:val="18"/>
                <w:color w:val="auto"/>
              </w:rPr>
              <w:t>AMENDMENT OR REPEAL</w:t>
            </w: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ARTICLE VIII. DIVIDENDS</w:t>
            </w: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7660" w:type="dxa"/>
            <w:vAlign w:val="bottom"/>
          </w:tcPr>
          <w:p>
            <w:pPr>
              <w:ind w:left="40"/>
              <w:spacing w:after="0"/>
              <w:rPr>
                <w:sz w:val="20"/>
                <w:szCs w:val="20"/>
                <w:color w:val="auto"/>
              </w:rPr>
            </w:pPr>
            <w:r>
              <w:rPr>
                <w:rFonts w:ascii="Arial" w:cs="Arial" w:eastAsia="Arial" w:hAnsi="Arial"/>
                <w:sz w:val="18"/>
                <w:szCs w:val="18"/>
                <w:color w:val="auto"/>
              </w:rPr>
              <w:t>DECLARATIONS OF DIVIDENDS</w:t>
            </w: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7660" w:type="dxa"/>
            <w:vAlign w:val="bottom"/>
          </w:tcPr>
          <w:p>
            <w:pPr>
              <w:ind w:left="40"/>
              <w:spacing w:after="0"/>
              <w:rPr>
                <w:sz w:val="20"/>
                <w:szCs w:val="20"/>
                <w:color w:val="auto"/>
              </w:rPr>
            </w:pPr>
            <w:r>
              <w:rPr>
                <w:rFonts w:ascii="Arial" w:cs="Arial" w:eastAsia="Arial" w:hAnsi="Arial"/>
                <w:sz w:val="18"/>
                <w:szCs w:val="18"/>
                <w:color w:val="auto"/>
              </w:rPr>
              <w:t>SPECIAL PURPOSES RESERVES</w:t>
            </w: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316" w:name="page317"/>
    <w:bookmarkEnd w:id="316"/>
    <w:tbl>
      <w:tblPr>
        <w:tblLayout w:type="fixed"/>
        <w:tblInd w:w="0" w:type="dxa"/>
        <w:tblCellMar>
          <w:top w:w="0" w:type="dxa"/>
          <w:left w:w="0" w:type="dxa"/>
          <w:bottom w:w="0" w:type="dxa"/>
          <w:right w:w="0" w:type="dxa"/>
        </w:tblCellMar>
      </w:tblP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ARTICLE IX. NOTICE BY ELECTRONIC TRANSMISSION</w:t>
            </w:r>
          </w:p>
        </w:tc>
        <w:tc>
          <w:tcPr>
            <w:tcW w:w="29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6600" w:type="dxa"/>
            <w:vAlign w:val="bottom"/>
          </w:tcPr>
          <w:p>
            <w:pPr>
              <w:ind w:left="40"/>
              <w:spacing w:after="0"/>
              <w:rPr>
                <w:sz w:val="20"/>
                <w:szCs w:val="20"/>
                <w:color w:val="auto"/>
              </w:rPr>
            </w:pPr>
            <w:r>
              <w:rPr>
                <w:rFonts w:ascii="Arial" w:cs="Arial" w:eastAsia="Arial" w:hAnsi="Arial"/>
                <w:sz w:val="18"/>
                <w:szCs w:val="18"/>
                <w:color w:val="auto"/>
              </w:rPr>
              <w:t>NOTICE BY ELECTRONIC TRANSMISSION</w:t>
            </w:r>
          </w:p>
        </w:tc>
        <w:tc>
          <w:tcPr>
            <w:tcW w:w="29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6600" w:type="dxa"/>
            <w:vAlign w:val="bottom"/>
          </w:tcPr>
          <w:p>
            <w:pPr>
              <w:ind w:left="40"/>
              <w:spacing w:after="0"/>
              <w:rPr>
                <w:sz w:val="20"/>
                <w:szCs w:val="20"/>
                <w:color w:val="auto"/>
              </w:rPr>
            </w:pPr>
            <w:r>
              <w:rPr>
                <w:rFonts w:ascii="Arial" w:cs="Arial" w:eastAsia="Arial" w:hAnsi="Arial"/>
                <w:sz w:val="18"/>
                <w:szCs w:val="18"/>
                <w:color w:val="auto"/>
              </w:rPr>
              <w:t>DEFINITION OF ELECTRONIC TRANSMISSION</w:t>
            </w:r>
          </w:p>
        </w:tc>
        <w:tc>
          <w:tcPr>
            <w:tcW w:w="2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6600" w:type="dxa"/>
            <w:vAlign w:val="bottom"/>
          </w:tcPr>
          <w:p>
            <w:pPr>
              <w:ind w:left="40"/>
              <w:spacing w:after="0"/>
              <w:rPr>
                <w:sz w:val="20"/>
                <w:szCs w:val="20"/>
                <w:color w:val="auto"/>
              </w:rPr>
            </w:pPr>
            <w:r>
              <w:rPr>
                <w:rFonts w:ascii="Arial" w:cs="Arial" w:eastAsia="Arial" w:hAnsi="Arial"/>
                <w:sz w:val="18"/>
                <w:szCs w:val="18"/>
                <w:color w:val="auto"/>
              </w:rPr>
              <w:t>INAPPLICABILITY</w:t>
            </w:r>
          </w:p>
        </w:tc>
        <w:tc>
          <w:tcPr>
            <w:tcW w:w="2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8040" w:type="dxa"/>
            <w:vAlign w:val="bottom"/>
            <w:gridSpan w:val="2"/>
          </w:tcPr>
          <w:p>
            <w:pPr>
              <w:spacing w:after="0"/>
              <w:rPr>
                <w:sz w:val="20"/>
                <w:szCs w:val="20"/>
                <w:color w:val="auto"/>
              </w:rPr>
            </w:pPr>
            <w:r>
              <w:rPr>
                <w:rFonts w:ascii="Arial" w:cs="Arial" w:eastAsia="Arial" w:hAnsi="Arial"/>
                <w:sz w:val="18"/>
                <w:szCs w:val="18"/>
                <w:color w:val="auto"/>
              </w:rPr>
              <w:t>ARTICLE X. GENERAL PROVISIONS</w:t>
            </w:r>
          </w:p>
        </w:tc>
        <w:tc>
          <w:tcPr>
            <w:tcW w:w="2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6600" w:type="dxa"/>
            <w:vAlign w:val="bottom"/>
          </w:tcPr>
          <w:p>
            <w:pPr>
              <w:ind w:left="40"/>
              <w:spacing w:after="0"/>
              <w:rPr>
                <w:sz w:val="20"/>
                <w:szCs w:val="20"/>
                <w:color w:val="auto"/>
              </w:rPr>
            </w:pPr>
            <w:r>
              <w:rPr>
                <w:rFonts w:ascii="Arial" w:cs="Arial" w:eastAsia="Arial" w:hAnsi="Arial"/>
                <w:sz w:val="18"/>
                <w:szCs w:val="18"/>
                <w:color w:val="auto"/>
              </w:rPr>
              <w:t>FISCAL YEAR</w:t>
            </w:r>
          </w:p>
        </w:tc>
        <w:tc>
          <w:tcPr>
            <w:tcW w:w="2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6600" w:type="dxa"/>
            <w:vAlign w:val="bottom"/>
          </w:tcPr>
          <w:p>
            <w:pPr>
              <w:ind w:left="40"/>
              <w:spacing w:after="0"/>
              <w:rPr>
                <w:sz w:val="20"/>
                <w:szCs w:val="20"/>
                <w:color w:val="auto"/>
              </w:rPr>
            </w:pPr>
            <w:r>
              <w:rPr>
                <w:rFonts w:ascii="Arial" w:cs="Arial" w:eastAsia="Arial" w:hAnsi="Arial"/>
                <w:sz w:val="18"/>
                <w:szCs w:val="18"/>
                <w:color w:val="auto"/>
              </w:rPr>
              <w:t>SEAL</w:t>
            </w:r>
          </w:p>
        </w:tc>
        <w:tc>
          <w:tcPr>
            <w:tcW w:w="2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6600" w:type="dxa"/>
            <w:vAlign w:val="bottom"/>
          </w:tcPr>
          <w:p>
            <w:pPr>
              <w:ind w:left="40"/>
              <w:spacing w:after="0"/>
              <w:rPr>
                <w:sz w:val="20"/>
                <w:szCs w:val="20"/>
                <w:color w:val="auto"/>
              </w:rPr>
            </w:pPr>
            <w:r>
              <w:rPr>
                <w:rFonts w:ascii="Arial" w:cs="Arial" w:eastAsia="Arial" w:hAnsi="Arial"/>
                <w:sz w:val="18"/>
                <w:szCs w:val="18"/>
                <w:color w:val="auto"/>
              </w:rPr>
              <w:t>WRITTEN WAIVER OF NOTICE</w:t>
            </w:r>
          </w:p>
        </w:tc>
        <w:tc>
          <w:tcPr>
            <w:tcW w:w="2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6600" w:type="dxa"/>
            <w:vAlign w:val="bottom"/>
          </w:tcPr>
          <w:p>
            <w:pPr>
              <w:ind w:left="40"/>
              <w:spacing w:after="0"/>
              <w:rPr>
                <w:sz w:val="20"/>
                <w:szCs w:val="20"/>
                <w:color w:val="auto"/>
              </w:rPr>
            </w:pPr>
            <w:r>
              <w:rPr>
                <w:rFonts w:ascii="Arial" w:cs="Arial" w:eastAsia="Arial" w:hAnsi="Arial"/>
                <w:sz w:val="18"/>
                <w:szCs w:val="18"/>
                <w:color w:val="auto"/>
              </w:rPr>
              <w:t>ATTENDANCE AS WAIVER OF NOTICE</w:t>
            </w:r>
          </w:p>
        </w:tc>
        <w:tc>
          <w:tcPr>
            <w:tcW w:w="2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5.</w:t>
            </w:r>
          </w:p>
        </w:tc>
        <w:tc>
          <w:tcPr>
            <w:tcW w:w="6600" w:type="dxa"/>
            <w:vAlign w:val="bottom"/>
          </w:tcPr>
          <w:p>
            <w:pPr>
              <w:ind w:left="40"/>
              <w:spacing w:after="0"/>
              <w:rPr>
                <w:sz w:val="20"/>
                <w:szCs w:val="20"/>
                <w:color w:val="auto"/>
              </w:rPr>
            </w:pPr>
            <w:r>
              <w:rPr>
                <w:rFonts w:ascii="Arial" w:cs="Arial" w:eastAsia="Arial" w:hAnsi="Arial"/>
                <w:sz w:val="18"/>
                <w:szCs w:val="18"/>
                <w:color w:val="auto"/>
              </w:rPr>
              <w:t>WAIVER OF SECTION 1501</w:t>
            </w:r>
          </w:p>
        </w:tc>
        <w:tc>
          <w:tcPr>
            <w:tcW w:w="2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6.</w:t>
            </w:r>
          </w:p>
        </w:tc>
        <w:tc>
          <w:tcPr>
            <w:tcW w:w="6600" w:type="dxa"/>
            <w:vAlign w:val="bottom"/>
          </w:tcPr>
          <w:p>
            <w:pPr>
              <w:ind w:left="40"/>
              <w:spacing w:after="0"/>
              <w:rPr>
                <w:sz w:val="20"/>
                <w:szCs w:val="20"/>
                <w:color w:val="auto"/>
              </w:rPr>
            </w:pPr>
            <w:r>
              <w:rPr>
                <w:rFonts w:ascii="Arial" w:cs="Arial" w:eastAsia="Arial" w:hAnsi="Arial"/>
                <w:sz w:val="18"/>
                <w:szCs w:val="18"/>
                <w:color w:val="auto"/>
              </w:rPr>
              <w:t>CONTRACTS</w:t>
            </w:r>
          </w:p>
        </w:tc>
        <w:tc>
          <w:tcPr>
            <w:tcW w:w="2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w:t>
            </w:r>
          </w:p>
        </w:tc>
        <w:tc>
          <w:tcPr>
            <w:tcW w:w="6600" w:type="dxa"/>
            <w:vAlign w:val="bottom"/>
          </w:tcPr>
          <w:p>
            <w:pPr>
              <w:ind w:left="40"/>
              <w:spacing w:after="0"/>
              <w:rPr>
                <w:sz w:val="20"/>
                <w:szCs w:val="20"/>
                <w:color w:val="auto"/>
              </w:rPr>
            </w:pPr>
            <w:r>
              <w:rPr>
                <w:rFonts w:ascii="Arial" w:cs="Arial" w:eastAsia="Arial" w:hAnsi="Arial"/>
                <w:sz w:val="18"/>
                <w:szCs w:val="18"/>
                <w:color w:val="auto"/>
              </w:rPr>
              <w:t>LOANS</w:t>
            </w:r>
          </w:p>
        </w:tc>
        <w:tc>
          <w:tcPr>
            <w:tcW w:w="2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w:t>
            </w:r>
          </w:p>
        </w:tc>
        <w:tc>
          <w:tcPr>
            <w:tcW w:w="6600" w:type="dxa"/>
            <w:vAlign w:val="bottom"/>
          </w:tcPr>
          <w:p>
            <w:pPr>
              <w:ind w:left="40"/>
              <w:spacing w:after="0"/>
              <w:rPr>
                <w:sz w:val="20"/>
                <w:szCs w:val="20"/>
                <w:color w:val="auto"/>
              </w:rPr>
            </w:pPr>
            <w:r>
              <w:rPr>
                <w:rFonts w:ascii="Arial" w:cs="Arial" w:eastAsia="Arial" w:hAnsi="Arial"/>
                <w:sz w:val="18"/>
                <w:szCs w:val="18"/>
                <w:color w:val="auto"/>
              </w:rPr>
              <w:t>CHECKS, DRAFTS, ETC</w:t>
            </w:r>
          </w:p>
        </w:tc>
        <w:tc>
          <w:tcPr>
            <w:tcW w:w="2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9.</w:t>
            </w:r>
          </w:p>
        </w:tc>
        <w:tc>
          <w:tcPr>
            <w:tcW w:w="6600" w:type="dxa"/>
            <w:vAlign w:val="bottom"/>
          </w:tcPr>
          <w:p>
            <w:pPr>
              <w:ind w:left="40"/>
              <w:spacing w:after="0"/>
              <w:rPr>
                <w:sz w:val="20"/>
                <w:szCs w:val="20"/>
                <w:color w:val="auto"/>
              </w:rPr>
            </w:pPr>
            <w:r>
              <w:rPr>
                <w:rFonts w:ascii="Arial" w:cs="Arial" w:eastAsia="Arial" w:hAnsi="Arial"/>
                <w:sz w:val="18"/>
                <w:szCs w:val="18"/>
                <w:color w:val="auto"/>
              </w:rPr>
              <w:t>DEPOSITS</w:t>
            </w:r>
          </w:p>
        </w:tc>
        <w:tc>
          <w:tcPr>
            <w:tcW w:w="2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w:t>
            </w:r>
          </w:p>
        </w:tc>
        <w:tc>
          <w:tcPr>
            <w:tcW w:w="6600" w:type="dxa"/>
            <w:vAlign w:val="bottom"/>
          </w:tcPr>
          <w:p>
            <w:pPr>
              <w:ind w:left="40"/>
              <w:spacing w:after="0"/>
              <w:rPr>
                <w:sz w:val="20"/>
                <w:szCs w:val="20"/>
                <w:color w:val="auto"/>
              </w:rPr>
            </w:pPr>
            <w:r>
              <w:rPr>
                <w:rFonts w:ascii="Arial" w:cs="Arial" w:eastAsia="Arial" w:hAnsi="Arial"/>
                <w:sz w:val="18"/>
                <w:szCs w:val="18"/>
                <w:color w:val="auto"/>
              </w:rPr>
              <w:t>ANNUAL STATEMENT</w:t>
            </w:r>
          </w:p>
        </w:tc>
        <w:tc>
          <w:tcPr>
            <w:tcW w:w="2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w:t>
            </w:r>
          </w:p>
        </w:tc>
        <w:tc>
          <w:tcPr>
            <w:tcW w:w="6600" w:type="dxa"/>
            <w:vAlign w:val="bottom"/>
          </w:tcPr>
          <w:p>
            <w:pPr>
              <w:ind w:left="40"/>
              <w:spacing w:after="0"/>
              <w:rPr>
                <w:sz w:val="20"/>
                <w:szCs w:val="20"/>
                <w:color w:val="auto"/>
              </w:rPr>
            </w:pPr>
            <w:r>
              <w:rPr>
                <w:rFonts w:ascii="Arial" w:cs="Arial" w:eastAsia="Arial" w:hAnsi="Arial"/>
                <w:sz w:val="18"/>
                <w:szCs w:val="18"/>
                <w:color w:val="auto"/>
              </w:rPr>
              <w:t>VOTING OF SECURITIES</w:t>
            </w:r>
          </w:p>
        </w:tc>
        <w:tc>
          <w:tcPr>
            <w:tcW w:w="2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12.</w:t>
            </w:r>
          </w:p>
        </w:tc>
        <w:tc>
          <w:tcPr>
            <w:tcW w:w="6600" w:type="dxa"/>
            <w:vAlign w:val="bottom"/>
          </w:tcPr>
          <w:p>
            <w:pPr>
              <w:ind w:left="40"/>
              <w:spacing w:after="0"/>
              <w:rPr>
                <w:sz w:val="20"/>
                <w:szCs w:val="20"/>
                <w:color w:val="auto"/>
              </w:rPr>
            </w:pPr>
            <w:r>
              <w:rPr>
                <w:rFonts w:ascii="Arial" w:cs="Arial" w:eastAsia="Arial" w:hAnsi="Arial"/>
                <w:sz w:val="18"/>
                <w:szCs w:val="18"/>
                <w:color w:val="auto"/>
              </w:rPr>
              <w:t>EVIDENCE OF AUTHORITY</w:t>
            </w:r>
          </w:p>
        </w:tc>
        <w:tc>
          <w:tcPr>
            <w:tcW w:w="2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w:t>
            </w:r>
          </w:p>
        </w:tc>
        <w:tc>
          <w:tcPr>
            <w:tcW w:w="6600" w:type="dxa"/>
            <w:vAlign w:val="bottom"/>
          </w:tcPr>
          <w:p>
            <w:pPr>
              <w:ind w:left="40"/>
              <w:spacing w:after="0"/>
              <w:rPr>
                <w:sz w:val="20"/>
                <w:szCs w:val="20"/>
                <w:color w:val="auto"/>
              </w:rPr>
            </w:pPr>
            <w:r>
              <w:rPr>
                <w:rFonts w:ascii="Arial" w:cs="Arial" w:eastAsia="Arial" w:hAnsi="Arial"/>
                <w:sz w:val="18"/>
                <w:szCs w:val="18"/>
                <w:color w:val="auto"/>
              </w:rPr>
              <w:t>CERTIFICATE OF INCORPORATION</w:t>
            </w:r>
          </w:p>
        </w:tc>
        <w:tc>
          <w:tcPr>
            <w:tcW w:w="2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14.</w:t>
            </w:r>
          </w:p>
        </w:tc>
        <w:tc>
          <w:tcPr>
            <w:tcW w:w="6600" w:type="dxa"/>
            <w:vAlign w:val="bottom"/>
          </w:tcPr>
          <w:p>
            <w:pPr>
              <w:ind w:left="40"/>
              <w:spacing w:after="0"/>
              <w:rPr>
                <w:sz w:val="20"/>
                <w:szCs w:val="20"/>
                <w:color w:val="auto"/>
              </w:rPr>
            </w:pPr>
            <w:r>
              <w:rPr>
                <w:rFonts w:ascii="Arial" w:cs="Arial" w:eastAsia="Arial" w:hAnsi="Arial"/>
                <w:sz w:val="18"/>
                <w:szCs w:val="18"/>
                <w:color w:val="auto"/>
              </w:rPr>
              <w:t>SEVERABILITY</w:t>
            </w:r>
          </w:p>
        </w:tc>
        <w:tc>
          <w:tcPr>
            <w:tcW w:w="2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15.</w:t>
            </w:r>
          </w:p>
        </w:tc>
        <w:tc>
          <w:tcPr>
            <w:tcW w:w="6600" w:type="dxa"/>
            <w:vAlign w:val="bottom"/>
          </w:tcPr>
          <w:p>
            <w:pPr>
              <w:ind w:left="40"/>
              <w:spacing w:after="0"/>
              <w:rPr>
                <w:sz w:val="20"/>
                <w:szCs w:val="20"/>
                <w:color w:val="auto"/>
              </w:rPr>
            </w:pPr>
            <w:r>
              <w:rPr>
                <w:rFonts w:ascii="Arial" w:cs="Arial" w:eastAsia="Arial" w:hAnsi="Arial"/>
                <w:sz w:val="18"/>
                <w:szCs w:val="18"/>
                <w:color w:val="auto"/>
              </w:rPr>
              <w:t>PRONOUNS</w:t>
            </w:r>
          </w:p>
        </w:tc>
        <w:tc>
          <w:tcPr>
            <w:tcW w:w="2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8040" w:type="dxa"/>
            <w:vAlign w:val="bottom"/>
            <w:gridSpan w:val="2"/>
          </w:tcPr>
          <w:p>
            <w:pPr>
              <w:spacing w:after="0"/>
              <w:rPr>
                <w:sz w:val="20"/>
                <w:szCs w:val="20"/>
                <w:color w:val="auto"/>
              </w:rPr>
            </w:pPr>
            <w:r>
              <w:rPr>
                <w:rFonts w:ascii="Arial" w:cs="Arial" w:eastAsia="Arial" w:hAnsi="Arial"/>
                <w:sz w:val="18"/>
                <w:szCs w:val="18"/>
                <w:color w:val="auto"/>
              </w:rPr>
              <w:t>ARTICLE XI. AMENDMENTS</w:t>
            </w:r>
          </w:p>
        </w:tc>
        <w:tc>
          <w:tcPr>
            <w:tcW w:w="2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6600" w:type="dxa"/>
            <w:vAlign w:val="bottom"/>
          </w:tcPr>
          <w:p>
            <w:pPr>
              <w:ind w:left="40"/>
              <w:spacing w:after="0"/>
              <w:rPr>
                <w:sz w:val="20"/>
                <w:szCs w:val="20"/>
                <w:color w:val="auto"/>
              </w:rPr>
            </w:pPr>
            <w:r>
              <w:rPr>
                <w:rFonts w:ascii="Arial" w:cs="Arial" w:eastAsia="Arial" w:hAnsi="Arial"/>
                <w:sz w:val="18"/>
                <w:szCs w:val="18"/>
                <w:color w:val="auto"/>
              </w:rPr>
              <w:t>BY THE BOARD OF DIRECTORS</w:t>
            </w:r>
          </w:p>
        </w:tc>
        <w:tc>
          <w:tcPr>
            <w:tcW w:w="2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6600" w:type="dxa"/>
            <w:vAlign w:val="bottom"/>
          </w:tcPr>
          <w:p>
            <w:pPr>
              <w:ind w:left="40"/>
              <w:spacing w:after="0"/>
              <w:rPr>
                <w:sz w:val="20"/>
                <w:szCs w:val="20"/>
                <w:color w:val="auto"/>
              </w:rPr>
            </w:pPr>
            <w:r>
              <w:rPr>
                <w:rFonts w:ascii="Arial" w:cs="Arial" w:eastAsia="Arial" w:hAnsi="Arial"/>
                <w:sz w:val="18"/>
                <w:szCs w:val="18"/>
                <w:color w:val="auto"/>
              </w:rPr>
              <w:t>BY THE STOCKHOLDERS</w:t>
            </w:r>
          </w:p>
        </w:tc>
        <w:tc>
          <w:tcPr>
            <w:tcW w:w="292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317" w:name="page318"/>
    <w:bookmarkEnd w:id="31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IDENTIFICATION; OFFICES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 NAME. The name of the corporation is Adagio Therapeutics, Inc.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25" w:lineRule="exact"/>
        <w:rPr>
          <w:sz w:val="20"/>
          <w:szCs w:val="20"/>
          <w:color w:val="auto"/>
        </w:rPr>
      </w:pPr>
    </w:p>
    <w:p>
      <w:pPr>
        <w:ind w:right="360" w:firstLine="440"/>
        <w:spacing w:after="0" w:line="342" w:lineRule="auto"/>
        <w:rPr>
          <w:sz w:val="20"/>
          <w:szCs w:val="20"/>
          <w:color w:val="auto"/>
        </w:rPr>
      </w:pPr>
      <w:r>
        <w:rPr>
          <w:rFonts w:ascii="Arial" w:cs="Arial" w:eastAsia="Arial" w:hAnsi="Arial"/>
          <w:sz w:val="16"/>
          <w:szCs w:val="16"/>
          <w:color w:val="auto"/>
        </w:rPr>
        <w:t>SECTION 2. PRINCIPAL AND BUSINESS OFFICES. The Corporation may have such principal and other business offices, either within or outside of the state of Delaware, as the Board of Directors may designate or as the Corporation’s business may require from time to time.</w:t>
      </w:r>
    </w:p>
    <w:p>
      <w:pPr>
        <w:spacing w:after="0" w:line="124" w:lineRule="exact"/>
        <w:rPr>
          <w:sz w:val="20"/>
          <w:szCs w:val="20"/>
          <w:color w:val="auto"/>
        </w:rPr>
      </w:pPr>
    </w:p>
    <w:p>
      <w:pPr>
        <w:ind w:right="340" w:firstLine="440"/>
        <w:spacing w:after="0" w:line="275" w:lineRule="auto"/>
        <w:rPr>
          <w:sz w:val="20"/>
          <w:szCs w:val="20"/>
          <w:color w:val="auto"/>
        </w:rPr>
      </w:pPr>
      <w:r>
        <w:rPr>
          <w:rFonts w:ascii="Arial" w:cs="Arial" w:eastAsia="Arial" w:hAnsi="Arial"/>
          <w:sz w:val="17"/>
          <w:szCs w:val="17"/>
          <w:color w:val="auto"/>
        </w:rPr>
        <w:t>SECTION 3. REGISTERED AGENT AND OFFICE. The Corporation’s registered agent may be changed from time to time by or under the authority of the Board of Directors. The address of the Corporation’s registered agent may change from time to time by or under the authority of the Board of Directors, or the registered agent. The business office of the Corporation’s registered agent shall be identical to the registered office. The Corporation’s registered office may be but need not be identical with the Corporation’s principal office in the state of Delaware. The Corporation’s initial registered office shall be in the City of Wilmington, County of New Castle, State of Delaware.</w:t>
      </w:r>
    </w:p>
    <w:p>
      <w:pPr>
        <w:spacing w:after="0" w:line="176"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SECTION 4. CORPORATE RECORDS. Any records and documents required by law to be kept by the Corporation permanently or administered by the Corporation in the regular course of business may be kept on, or by means of, or be in the form of, any information storage device, method, or one more electronic networks or databases, provided that the records so kept can be converted into clearly legible paper form within a reasonable time and, with respect to the stock ledger, the records so kept comply with Section 224 of the Delaware General Corporation Law. The Corporation shall so convert any records so kept upon the request of any person entitled to inspect such records pursuant to applicable law.</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 xml:space="preserve">SECTION 1. ANNUAL MEETING. An annual meeting of the stockholders shall be held on such date as may be designated by the Board of Directors, the Chairman of the Board, the Chief Executive Officer or the President. At each annual meeting, the stockholders shall elect directors to hold office for the term provided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Article III of these Bylaws and transact such other business as may properly be brought before the meeting.</w:t>
      </w:r>
    </w:p>
    <w:p>
      <w:pPr>
        <w:spacing w:after="0" w:line="149"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SECTION 2. SPECIAL MEETING. A special meeting of the stockholders for any purpose or purposes may be called at any time only by the President, the Board of Directors, the Chairman of the Board, the Chief Executive Officer or any other person designated by the Board of Directors. The Board of Directors may postpone or reschedule any previously scheduled special meeting of stockholders. Business transacted at any special meeting of stockholders shall be limited to matters relating to the purpose or purposes stated in the notice of meeting.</w:t>
      </w:r>
    </w:p>
    <w:p>
      <w:pPr>
        <w:spacing w:after="0" w:line="171"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SECTION 3. PLACE OF STOCKHOLDER MEETINGS. The Board of Directors, the Chairman of the Board, the Chief Executive Officer or the President may designate any place, either within or without the State of Delaware, as the place of meeting for any annual meeting or for any special meeting. If no such place is designated by the Board of Directors, the place of meeting will be the principal business office of the Corporation or the Board of Directors may, in its sole discretion, determine that the meeting shall not be held at any place, but will instead be held solely by means of remote communication as provided under Section 211 of the Delaware General Corporation Law.</w:t>
      </w:r>
    </w:p>
    <w:p>
      <w:pPr>
        <w:sectPr>
          <w:pgSz w:w="11900" w:h="16838" w:orient="portrait"/>
          <w:cols w:equalWidth="0" w:num="1">
            <w:col w:w="10980"/>
          </w:cols>
          <w:pgMar w:left="440" w:top="270" w:right="479" w:bottom="1440" w:gutter="0" w:footer="0" w:header="0"/>
        </w:sectPr>
      </w:pPr>
    </w:p>
    <w:bookmarkStart w:id="318" w:name="page319"/>
    <w:bookmarkEnd w:id="318"/>
    <w:p>
      <w:pPr>
        <w:ind w:right="4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 NOTICE OF MEETINGS. Except as otherwise provided by law or waived as herein provided, whenever stockholders are required or permitted to take any action at a meeting, whether annual or special, notice of the meeting shall be given stating the place, if any, date and hour of the meeting, the means of remote communications, if any, by which stockholders may be deemed to be present in person and vote at such meeting and, in the case of a special meeting, the purpose or purposes for which the meeting is called. Such notice shall be given unless otherwise required by law not less than 10 days nor more than 60 days before the date of the meeting to each stockholder entitled to vote at the meeting.</w:t>
      </w:r>
    </w:p>
    <w:p>
      <w:pPr>
        <w:spacing w:after="0" w:line="161"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 xml:space="preserve">When a meeting is adjourned to reconvene at the same or another place, if any, or by means of remote communications, if any, in accordance with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Article II of these Bylaws, notice need not be given of the adjourned meeting if the time and place thereof are announced at the meeting at which the adjournment is taken.</w:t>
      </w:r>
    </w:p>
    <w:p>
      <w:pPr>
        <w:spacing w:after="0" w:line="184"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SECTION 5. QUORUM. Unless otherwise provided by law, the Corporation’s Certificate of Incorporation or these Bylaws, the holders of a majority in voting power of the shares of the capital stock of the Corporation issued and outstanding and entitled to vote at the meeting, present in person, present by means of remote communication in a manner, if any, authorized by the Board of Directors in its sole discretion, or represented by proxy, shall constitute a quorum for the transaction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where a separate vote by a class or classes or series of capital stock is required by law or the Certificate of Incorporation, the holders of a majority in voting power of the shares of such class or classes or series of the capital stock of the Corporation issued and outstanding and entitled to vote on such matter, present in person, present by means of remote communication in a manner, if any, authorized by the Board of Directors in its sole discretion, or represented by proxy, shall constitute a quorum entitled to take action with respect to the vote on such matter. If a quorum is present in person or represented by proxy at such meeting, such stockholders may continue to transact business until adjournment, notwithstanding the withdrawal of such number of stockholders as may leave less than a quorum.</w:t>
      </w:r>
    </w:p>
    <w:p>
      <w:pPr>
        <w:spacing w:after="0" w:line="166"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SECTION 6. ADJOURNED MEETINGS. Any meeting of stockholders may be adjourned from time to time to any other time and to any other place (or by means of remote communications, if any) at which a meeting of stockholders may be held under these Bylaws by the chairman of the meeting or by a majority of the stockholders present or represented at the meeting and entitled to vote, although less than a quorum. It shall not be necessary to notify any stockholder of any adjournment of less than 30 days if the time and place, if any, of the adjourned meeting, and the means of remote communication, if any, by which stockholders and proxyholders may be deemed to be present in person and vote at such adjourned meeting, are announced at the meeting at which adjournment is taken, unless after the adjournment a new record date is fixed for the adjourned meeting. At the adjourned meeting, the Corporation may transact any business which might have been transacted at the original meeting.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19" w:name="page320"/>
    <w:bookmarkEnd w:id="31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 FIXING OF RECORD DATE.</w:t>
      </w:r>
    </w:p>
    <w:p>
      <w:pPr>
        <w:spacing w:after="0" w:line="225" w:lineRule="exact"/>
        <w:rPr>
          <w:sz w:val="20"/>
          <w:szCs w:val="20"/>
          <w:color w:val="auto"/>
        </w:rPr>
      </w:pPr>
    </w:p>
    <w:p>
      <w:pPr>
        <w:ind w:right="40" w:firstLine="987"/>
        <w:spacing w:after="0" w:line="254" w:lineRule="auto"/>
        <w:tabs>
          <w:tab w:leader="none" w:pos="1236"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The Board of Directors may fix in advance a date as a record date for the determination of the stockholders entitled to notice of or to vote at any meeting of stockholders or any adjournment thereof. Such record date shall not precede the date upon which the resolution fixing the record date is adopted by the Board of Directors, and which record date shall not be more than 60 days nor less than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Board of Directors may fix a new record date for the adjourned meeting.</w:t>
      </w:r>
    </w:p>
    <w:p>
      <w:pPr>
        <w:spacing w:after="0" w:line="191" w:lineRule="exact"/>
        <w:rPr>
          <w:rFonts w:ascii="Arial" w:cs="Arial" w:eastAsia="Arial" w:hAnsi="Arial"/>
          <w:sz w:val="18"/>
          <w:szCs w:val="18"/>
          <w:color w:val="auto"/>
        </w:rPr>
      </w:pPr>
    </w:p>
    <w:p>
      <w:pPr>
        <w:ind w:firstLine="987"/>
        <w:spacing w:after="0" w:line="269" w:lineRule="auto"/>
        <w:tabs>
          <w:tab w:leader="none" w:pos="1246" w:val="left"/>
        </w:tabs>
        <w:numPr>
          <w:ilvl w:val="0"/>
          <w:numId w:val="210"/>
        </w:numPr>
        <w:rPr>
          <w:rFonts w:ascii="Arial" w:cs="Arial" w:eastAsia="Arial" w:hAnsi="Arial"/>
          <w:sz w:val="17"/>
          <w:szCs w:val="17"/>
          <w:color w:val="auto"/>
        </w:rPr>
      </w:pPr>
      <w:r>
        <w:rPr>
          <w:rFonts w:ascii="Arial" w:cs="Arial" w:eastAsia="Arial" w:hAnsi="Arial"/>
          <w:sz w:val="17"/>
          <w:szCs w:val="17"/>
          <w:color w:val="auto"/>
        </w:rPr>
        <w:t>For the purpose of determining stockholders entitled to consent to corporate action in writing without a meeting, the Board of Directors may fix a record date, which record date shall not precede the date upon which the resolution fixing the record date is established by the Board of Directors, and which date shall not be more than 10 days after the date on which the resolution fixing the record date is adopted by the Board of Directors. If no record date has been fixed by the Board of Directors, the record date for determining stockholders entitled to consent to corporate action in writing without a meeting, when no prior action by the Board of Directors is required by law, shall be the first date on which a signed written consent setting forth the action taken or proposed to be taken is delivered to the Corporation by delivery to its registered office in the State of Delaware, its principal office, or an officer or agent of the Corporation having custody of the book in which the proceedings of meetings of stockholders are recorded. Delivery to the Corporation’s registered office shall be by hand or by certified or registered mail, return receipt requested. If no record date has been fixed by the Board of Directors and prior action by the Board of Directors is required by law, the record date for determining stockholders’ consent to corporate action in writing without a meeting shall be the close of business on the day on which the Board of Directors adopts the resolution taking such prior action.</w:t>
      </w:r>
    </w:p>
    <w:p>
      <w:pPr>
        <w:spacing w:after="0" w:line="181" w:lineRule="exact"/>
        <w:rPr>
          <w:rFonts w:ascii="Arial" w:cs="Arial" w:eastAsia="Arial" w:hAnsi="Arial"/>
          <w:sz w:val="17"/>
          <w:szCs w:val="17"/>
          <w:color w:val="auto"/>
        </w:rPr>
      </w:pPr>
    </w:p>
    <w:p>
      <w:pPr>
        <w:ind w:right="20" w:firstLine="987"/>
        <w:spacing w:after="0" w:line="296" w:lineRule="auto"/>
        <w:tabs>
          <w:tab w:leader="none" w:pos="1236" w:val="left"/>
        </w:tabs>
        <w:numPr>
          <w:ilvl w:val="0"/>
          <w:numId w:val="210"/>
        </w:numPr>
        <w:rPr>
          <w:rFonts w:ascii="Arial" w:cs="Arial" w:eastAsia="Arial" w:hAnsi="Arial"/>
          <w:sz w:val="16"/>
          <w:szCs w:val="16"/>
          <w:color w:val="auto"/>
        </w:rPr>
      </w:pPr>
      <w:r>
        <w:rPr>
          <w:rFonts w:ascii="Arial" w:cs="Arial" w:eastAsia="Arial" w:hAnsi="Arial"/>
          <w:sz w:val="16"/>
          <w:szCs w:val="16"/>
          <w:color w:val="auto"/>
        </w:rPr>
        <w:t>For the purpose of determining the stockholders entitled to receive payment of any dividend or other distribution or allotment of any rights or the stockholders entitled to exercise any rights in respect to any change, conversion or exchange of stock, or for the purpose of any other lawful action, the Board of Directors may fix the record date, which record date shall not precede the date upon which the resolution fixing the record date is adopted, and which record date shall be not more than 60 days prior to such action. If no record date is fixed, the record date for determining the stockholders for any such purpose shall be the close of business on the day on which the Board of Directors adopts the resolution relating thereto.</w:t>
      </w:r>
    </w:p>
    <w:p>
      <w:pPr>
        <w:spacing w:after="0" w:line="161"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SECTION 8. VOTING LIST. The officer who has charge of the stock ledger of the Corporation shall prepare and make, at least 10 days before every meeting of stockholders, a complete list of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for a period of at least 10 days prior to the meeting, (i) by a reasonably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20" w:name="page321"/>
    <w:bookmarkEnd w:id="320"/>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the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such list shall be the only evidence as to the identity of stockholders entitled to examine the list of stockholders required by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or to vote in person or by proxy at any meeting of the stockholders. The Corporation shall not be required to include electronic mail addresses or other electronic contact information on such list.</w:t>
      </w:r>
    </w:p>
    <w:p>
      <w:pPr>
        <w:spacing w:after="0" w:line="194"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SECTION 9. VOTING. Unless otherwise provided by the Certificate of Incorporation, each stockholder shall be entitled to one vote for each share of capital stock held by each stockholder. When a quorum is present at any meeting, in all matters other than the election of directors, the affirmative vote of the majority of shares present in person or represented by proxy at the meeting and entitled to vote on the subject matter shall be the act of the stockholders, except when a different vote is required by law, the Certificate of Incorporation or these Bylaws. When a quorum is present at any meeting, directors shall be elected by plurality of the votes of the shares present in person or represented by a proxy at the meeting entitled to vote on the election of directors.</w:t>
      </w:r>
    </w:p>
    <w:p>
      <w:pPr>
        <w:spacing w:after="0" w:line="192"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SECTION 10. PROXIES. Each stockholder entitled to vote at a meeting of stockholders or to express consent or dissent to corporate action in writing without a meeting (including by means of remote communications, if any, by which stockholders may be deemed to be present in person and vote at such meeting) may authorize another person or persons to act for him by proxy (executed or transmitted in a manner permitted by the Delaware General Corporation Law), but no such proxy shall be voted or acted upon after three years from its date, unless the proxy provides for a longer period. A duly executed proxy shall be irrevocable if it states that it is irrevocable and if, and only as long as, it is coupled with an interest sufficient in law to support an irrevocable power. A proxy may remain irrevocable regardless of whether the interest with which it is coupled is an interest in the stock itself or an interest in the Corporation generally.</w:t>
      </w:r>
    </w:p>
    <w:p>
      <w:pPr>
        <w:spacing w:after="0" w:line="17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SECTION 11. RATIFICATION OF ACTS OF DIRECTORS AND OFFICERS. Except as otherwise provided by law or by the Certificate of Incorporation of the Corporation, any transaction or contract or act of the Corporation or of the directors or the officers of the Corporation may be ratified by the affirmative vote of the holders of the number of shares which would have been necessary to approve such transaction, contract or act at a meeting of stockholders, or by the written consent of stockholders in lieu of a meeting.</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321" w:name="page322"/>
    <w:bookmarkEnd w:id="321"/>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12. CONDUCT OF MEETINGS.</w:t>
      </w:r>
    </w:p>
    <w:p>
      <w:pPr>
        <w:spacing w:after="0" w:line="225" w:lineRule="exact"/>
        <w:rPr>
          <w:sz w:val="20"/>
          <w:szCs w:val="20"/>
          <w:color w:val="auto"/>
        </w:rPr>
      </w:pPr>
    </w:p>
    <w:p>
      <w:pPr>
        <w:ind w:left="4" w:firstLine="987"/>
        <w:spacing w:after="0" w:line="296" w:lineRule="auto"/>
        <w:tabs>
          <w:tab w:leader="none" w:pos="1240" w:val="left"/>
        </w:tabs>
        <w:numPr>
          <w:ilvl w:val="1"/>
          <w:numId w:val="211"/>
        </w:numPr>
        <w:rPr>
          <w:rFonts w:ascii="Arial" w:cs="Arial" w:eastAsia="Arial" w:hAnsi="Arial"/>
          <w:sz w:val="16"/>
          <w:szCs w:val="16"/>
          <w:color w:val="auto"/>
        </w:rPr>
      </w:pPr>
      <w:r>
        <w:rPr>
          <w:rFonts w:ascii="Arial" w:cs="Arial" w:eastAsia="Arial" w:hAnsi="Arial"/>
          <w:sz w:val="16"/>
          <w:szCs w:val="16"/>
          <w:u w:val="single" w:color="auto"/>
          <w:color w:val="auto"/>
        </w:rPr>
        <w:t>Chairman of Meeting</w:t>
      </w:r>
      <w:r>
        <w:rPr>
          <w:rFonts w:ascii="Arial" w:cs="Arial" w:eastAsia="Arial" w:hAnsi="Arial"/>
          <w:sz w:val="16"/>
          <w:szCs w:val="16"/>
          <w:color w:val="auto"/>
        </w:rPr>
        <w:t>. Meetings of stockholders shall be presided over by the Chairman of the Board, if any, or in the Chairman’s absence by the Vice Chairman of the Board, if any, or in the Vice Chairman’s absence by the Chief Executive Officer, or in the Chief Executive Officer’s absence, by the President, or in the President’s absence by a Vice President, or in the absence of all of the foregoing persons by a chairman designated by the Board of Directors, or in the absence of such designation by a chairman chosen by vote of the stockholders at the meeting. The Secretary shall act as secretary of the meeting, but in the Secretary’s absence the chairman of the meeting may appoint any person to act as secretary of the meeting.</w:t>
      </w:r>
    </w:p>
    <w:p>
      <w:pPr>
        <w:spacing w:after="0" w:line="161" w:lineRule="exact"/>
        <w:rPr>
          <w:rFonts w:ascii="Arial" w:cs="Arial" w:eastAsia="Arial" w:hAnsi="Arial"/>
          <w:sz w:val="16"/>
          <w:szCs w:val="16"/>
          <w:color w:val="auto"/>
        </w:rPr>
      </w:pPr>
    </w:p>
    <w:p>
      <w:pPr>
        <w:ind w:left="4" w:right="20" w:firstLine="987"/>
        <w:spacing w:after="0" w:line="283" w:lineRule="auto"/>
        <w:tabs>
          <w:tab w:leader="none" w:pos="1250" w:val="left"/>
        </w:tabs>
        <w:numPr>
          <w:ilvl w:val="1"/>
          <w:numId w:val="211"/>
        </w:numPr>
        <w:rPr>
          <w:rFonts w:ascii="Arial" w:cs="Arial" w:eastAsia="Arial" w:hAnsi="Arial"/>
          <w:sz w:val="16"/>
          <w:szCs w:val="16"/>
          <w:color w:val="auto"/>
        </w:rPr>
      </w:pPr>
      <w:r>
        <w:rPr>
          <w:rFonts w:ascii="Arial" w:cs="Arial" w:eastAsia="Arial" w:hAnsi="Arial"/>
          <w:sz w:val="16"/>
          <w:szCs w:val="16"/>
          <w:u w:val="single" w:color="auto"/>
          <w:color w:val="auto"/>
        </w:rPr>
        <w:t>Rules, Regulations and Procedures</w:t>
      </w:r>
      <w:r>
        <w:rPr>
          <w:rFonts w:ascii="Arial" w:cs="Arial" w:eastAsia="Arial" w:hAnsi="Arial"/>
          <w:sz w:val="16"/>
          <w:szCs w:val="16"/>
          <w:color w:val="auto"/>
        </w:rPr>
        <w:t>. The Board of Directors may adopt by resolution such rules, regulations and procedures for the conduct of any meeting of stockholders of the Corporation as it shall deem appropriate including, without limitation, such guidelines and procedures as it may deem appropriate regarding the participation by means of remote communication of stockholders and proxyholders not physically present at a meeting. Except to the extent inconsistent with such rules, regulations and procedures as adopted by the Board of Directors, the chairman of any meeting of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shall be determined;</w:t>
      </w:r>
    </w:p>
    <w:p>
      <w:pPr>
        <w:spacing w:after="0" w:line="5" w:lineRule="exact"/>
        <w:rPr>
          <w:rFonts w:ascii="Arial" w:cs="Arial" w:eastAsia="Arial" w:hAnsi="Arial"/>
          <w:sz w:val="16"/>
          <w:szCs w:val="16"/>
          <w:color w:val="auto"/>
        </w:rPr>
      </w:pPr>
    </w:p>
    <w:p>
      <w:pPr>
        <w:ind w:left="4" w:right="80" w:hanging="4"/>
        <w:spacing w:after="0" w:line="255" w:lineRule="auto"/>
        <w:tabs>
          <w:tab w:leader="none" w:pos="309" w:val="left"/>
        </w:tabs>
        <w:numPr>
          <w:ilvl w:val="0"/>
          <w:numId w:val="212"/>
        </w:numPr>
        <w:rPr>
          <w:rFonts w:ascii="Arial" w:cs="Arial" w:eastAsia="Arial" w:hAnsi="Arial"/>
          <w:sz w:val="18"/>
          <w:szCs w:val="18"/>
          <w:color w:val="auto"/>
        </w:rPr>
      </w:pPr>
      <w:r>
        <w:rPr>
          <w:rFonts w:ascii="Arial" w:cs="Arial" w:eastAsia="Arial" w:hAnsi="Arial"/>
          <w:sz w:val="18"/>
          <w:szCs w:val="18"/>
          <w:color w:val="auto"/>
        </w:rPr>
        <w:t>restrictions on entry to the meeting after the time fixed for the commencement thereof; and (v) limitations on the time allotted to questions or comments by participants. Unless and to the extent determined by the Board of Directors or the chairman of the meeting, meetings of stockholders shall not be required to be held in accordance with the rules of parliamentary procedure.</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SECTION 13. ACTION WITHOUT MEETING.</w:t>
      </w:r>
    </w:p>
    <w:p>
      <w:pPr>
        <w:spacing w:after="0" w:line="225" w:lineRule="exact"/>
        <w:rPr>
          <w:sz w:val="20"/>
          <w:szCs w:val="20"/>
          <w:color w:val="auto"/>
        </w:rPr>
      </w:pPr>
    </w:p>
    <w:p>
      <w:pPr>
        <w:ind w:left="4" w:right="40" w:firstLine="987"/>
        <w:spacing w:after="0" w:line="259" w:lineRule="auto"/>
        <w:tabs>
          <w:tab w:leader="none" w:pos="12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Any action required or permitted to be taken at any annual or special meeting of stockholders of the Corporation, may be taken without a meeting, without prior notice and without a vote, if a consent or consents in writing, setting forth the action so taken, shall be delivered to the Corporation signed by the holders of outstanding stock having not less than the minimum number of votes that would be necessary to authorize or take such action at a meeting at which all shares entitled to vote thereon were present and voted.</w:t>
      </w:r>
    </w:p>
    <w:p>
      <w:pPr>
        <w:spacing w:after="0" w:line="186" w:lineRule="exact"/>
        <w:rPr>
          <w:rFonts w:ascii="Arial" w:cs="Arial" w:eastAsia="Arial" w:hAnsi="Arial"/>
          <w:sz w:val="18"/>
          <w:szCs w:val="18"/>
          <w:color w:val="auto"/>
        </w:rPr>
      </w:pPr>
    </w:p>
    <w:p>
      <w:pPr>
        <w:ind w:left="4" w:right="80" w:firstLine="987"/>
        <w:spacing w:after="0" w:line="259" w:lineRule="auto"/>
        <w:tabs>
          <w:tab w:leader="none" w:pos="125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Prompt notice of the taking of the corporate action without a meeting by less than unanimous consent shall be given to those stockholders who have not consented in writing and who, if the action had been taken at a meeting, would have been entitled to notice of the meeting if the record date for such meeting had been the date that written consents signed by a sufficient number of holders to take the action were delivered to the Corporation.</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4"/>
          </w:cols>
          <w:pgMar w:left="436" w:top="274" w:right="439" w:bottom="1440" w:gutter="0" w:footer="0" w:header="0"/>
        </w:sectPr>
      </w:pPr>
    </w:p>
    <w:bookmarkStart w:id="322" w:name="page323"/>
    <w:bookmarkEnd w:id="322"/>
    <w:p>
      <w:pPr>
        <w:ind w:left="4" w:right="280" w:firstLine="987"/>
        <w:spacing w:after="0" w:line="286" w:lineRule="auto"/>
        <w:tabs>
          <w:tab w:leader="none" w:pos="1240" w:val="left"/>
        </w:tabs>
        <w:numPr>
          <w:ilvl w:val="1"/>
          <w:numId w:val="2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electronic transmission consenting to an action to be taken and transmitted by a stockholder or proxy holder, or by a person or persons authorized to act for a stockholder or proxy holder, shall be deemed to be written, signed and dated for the purposes of this section, provided that any such electronic transmission sets forth or is delivered with information from which the Corporation can determine (i) that the electronic transmission was transmitted by the stockholder or proxy holder or by a person or persons authorized to act for the stockholder or proxy holder and</w:t>
      </w:r>
    </w:p>
    <w:p>
      <w:pPr>
        <w:spacing w:after="0" w:line="1" w:lineRule="exact"/>
        <w:rPr>
          <w:rFonts w:ascii="Arial" w:cs="Arial" w:eastAsia="Arial" w:hAnsi="Arial"/>
          <w:sz w:val="16"/>
          <w:szCs w:val="16"/>
          <w:color w:val="auto"/>
        </w:rPr>
      </w:pPr>
    </w:p>
    <w:p>
      <w:pPr>
        <w:ind w:left="4" w:right="20" w:hanging="4"/>
        <w:spacing w:after="0" w:line="268" w:lineRule="auto"/>
        <w:tabs>
          <w:tab w:leader="none" w:pos="269"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 date on which such stockholder or proxy holder or authorized person or persons transmitted such electronic transmission. A consent given by electronic transmission is delivered to the Corporation upon the earliest of: (i) when the consent enters an information processing system, if any, designated by the Corporation for receiving consents, so long as the electronic transmission is in a form capable of being processed by that system and the Corporation is able to retrieve that electronic transmission; (ii) when a paper reproduction of the consent is delivered to the Corporation’s principal place of business or an officer or agent of the Corporation having custody of the book in which proceedings of meetings of stockholders or members are recorded; (iii) when a paper reproduction of the consent is delivered to the Corporation’s registered office in this State by hand or by certified or registered mail, return receipt requested; or (iv) when delivered in such other manner, if any, provided by resolution of the Board of Directors or governing body of the Corporation.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391" w:lineRule="exact"/>
        <w:rPr>
          <w:sz w:val="20"/>
          <w:szCs w:val="20"/>
          <w:color w:val="auto"/>
        </w:rPr>
      </w:pPr>
    </w:p>
    <w:p>
      <w:pPr>
        <w:ind w:left="4944"/>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4984"/>
        <w:spacing w:after="0"/>
        <w:rPr>
          <w:sz w:val="20"/>
          <w:szCs w:val="20"/>
          <w:color w:val="auto"/>
        </w:rPr>
      </w:pPr>
      <w:r>
        <w:rPr>
          <w:rFonts w:ascii="Arial" w:cs="Arial" w:eastAsia="Arial" w:hAnsi="Arial"/>
          <w:sz w:val="18"/>
          <w:szCs w:val="18"/>
          <w:b w:val="1"/>
          <w:bCs w:val="1"/>
          <w:color w:val="auto"/>
        </w:rPr>
        <w:t>DIRECTORS</w:t>
      </w:r>
    </w:p>
    <w:p>
      <w:pPr>
        <w:spacing w:after="0" w:line="211" w:lineRule="exact"/>
        <w:rPr>
          <w:sz w:val="20"/>
          <w:szCs w:val="20"/>
          <w:color w:val="auto"/>
        </w:rPr>
      </w:pPr>
    </w:p>
    <w:p>
      <w:pPr>
        <w:ind w:left="4" w:right="620" w:firstLine="440"/>
        <w:spacing w:after="0" w:line="342" w:lineRule="auto"/>
        <w:rPr>
          <w:sz w:val="20"/>
          <w:szCs w:val="20"/>
          <w:color w:val="auto"/>
        </w:rPr>
      </w:pPr>
      <w:r>
        <w:rPr>
          <w:rFonts w:ascii="Arial" w:cs="Arial" w:eastAsia="Arial" w:hAnsi="Arial"/>
          <w:sz w:val="16"/>
          <w:szCs w:val="16"/>
          <w:color w:val="auto"/>
        </w:rPr>
        <w:t>SECTION 1. GENERAL POWERS. The business and affairs of the Corporation shall be managed by or under the direction of a Board of Directors, who may exercise all of the powers of the Corporation except as otherwise provided by law or the Certificate of Incorporation.</w:t>
      </w:r>
    </w:p>
    <w:p>
      <w:pPr>
        <w:spacing w:after="0" w:line="124" w:lineRule="exact"/>
        <w:rPr>
          <w:sz w:val="20"/>
          <w:szCs w:val="20"/>
          <w:color w:val="auto"/>
        </w:rPr>
      </w:pPr>
    </w:p>
    <w:p>
      <w:pPr>
        <w:ind w:left="4" w:right="120" w:firstLine="440"/>
        <w:spacing w:after="0" w:line="259" w:lineRule="auto"/>
        <w:rPr>
          <w:sz w:val="20"/>
          <w:szCs w:val="20"/>
          <w:color w:val="auto"/>
        </w:rPr>
      </w:pPr>
      <w:r>
        <w:rPr>
          <w:rFonts w:ascii="Arial" w:cs="Arial" w:eastAsia="Arial" w:hAnsi="Arial"/>
          <w:sz w:val="18"/>
          <w:szCs w:val="18"/>
          <w:color w:val="auto"/>
        </w:rPr>
        <w:t>SECTION 2. NUMBER AND TENURE OF DIRECTORS. Subject to the rights of holders of any class or series of capital stock of the Corporation to elect directors, the number of directors of the Corporation shall be determined from time to time by the stockholders or the Board of Directors in a resolution adopted by the Board of Directors. Each director shall hold office until the next annual meeting of stockholders and until such director’s successor is elected and qualified or until such director’s earlier death, resignation or removal.</w:t>
      </w:r>
    </w:p>
    <w:p>
      <w:pPr>
        <w:spacing w:after="0" w:line="187"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SECTION 3. ELECTION OF DIRECTORS. Except as otherwise provided in these Bylaws, directors shall be elected at the annual meeting of stockholders by such stockholders as have the right to vote on such election. Directors need not be residents of the State of Delaware. Directors need not be stockholders of the Corporation. Elections of directors need not be by written ballot.</w:t>
      </w:r>
    </w:p>
    <w:p>
      <w:pPr>
        <w:spacing w:after="0" w:line="184"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SECTION 4. CHAIRMAN OF THE BOARD; VICE CHAIRMAN OF THE BOARD. The Board of Directors may appoint from its members a Chairman of the Board and a Vice Chairman of the Board, neither of whom need be an employee or officer of the Corporation. If the Board of Directors appoints a Chairman of the Board, such Chairman shall perform such duties</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74" w:right="479" w:bottom="1440" w:gutter="0" w:footer="0" w:header="0"/>
        </w:sectPr>
      </w:pPr>
    </w:p>
    <w:bookmarkStart w:id="323" w:name="page324"/>
    <w:bookmarkEnd w:id="323"/>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possess such powers as are assigned by the Board of Directors. If the Board of Directors appoints a Vice Chairman of the Board, such Vice Chairman shall perform such duties and possess such powers as are assigned by the Board of Directors. Unless otherwise provided by the Board of Directors, the Chairman of the Board or, in the Chairman’s absence, the Vice Chairman of the Board, if any, shall preside at all meetings of the Board of Directors.</w:t>
      </w:r>
    </w:p>
    <w:p>
      <w:pPr>
        <w:spacing w:after="0" w:line="18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5. QUORUM. The greater of (a) a majority of the directors at any time in office and (b) one-third of the number of directors fixed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Article III of these Bylaws shall constitute a quorum of the Board of Directors. If less than a quorum are present at a meeting of the Board of Directors, a majority of the directors present may adjourn the meeting from time to time without further notice other than announcement at the meeting, until such quorum shall be present.</w:t>
      </w:r>
    </w:p>
    <w:p>
      <w:pPr>
        <w:spacing w:after="0" w:line="187" w:lineRule="exact"/>
        <w:rPr>
          <w:sz w:val="20"/>
          <w:szCs w:val="20"/>
          <w:color w:val="auto"/>
        </w:rPr>
      </w:pPr>
    </w:p>
    <w:p>
      <w:pPr>
        <w:ind w:right="60" w:firstLine="440"/>
        <w:spacing w:after="0" w:line="308" w:lineRule="auto"/>
        <w:rPr>
          <w:sz w:val="20"/>
          <w:szCs w:val="20"/>
          <w:color w:val="auto"/>
        </w:rPr>
      </w:pPr>
      <w:r>
        <w:rPr>
          <w:rFonts w:ascii="Arial" w:cs="Arial" w:eastAsia="Arial" w:hAnsi="Arial"/>
          <w:sz w:val="17"/>
          <w:szCs w:val="17"/>
          <w:color w:val="auto"/>
        </w:rPr>
        <w:t>SECTION 6. VOTING. The vote of the majority of the directors present at a meeting at which a quorum is present shall be the act of the Board of Directors, unless the Delaware General Corporation Law or the Certificate of Incorporation requires a vote of a greater number.</w:t>
      </w:r>
    </w:p>
    <w:p>
      <w:pPr>
        <w:spacing w:after="0" w:line="146" w:lineRule="exact"/>
        <w:rPr>
          <w:sz w:val="20"/>
          <w:szCs w:val="20"/>
          <w:color w:val="auto"/>
        </w:rPr>
      </w:pPr>
    </w:p>
    <w:p>
      <w:pPr>
        <w:ind w:right="300" w:firstLine="440"/>
        <w:spacing w:after="0" w:line="255" w:lineRule="auto"/>
        <w:rPr>
          <w:sz w:val="20"/>
          <w:szCs w:val="20"/>
          <w:color w:val="auto"/>
        </w:rPr>
      </w:pPr>
      <w:r>
        <w:rPr>
          <w:rFonts w:ascii="Arial" w:cs="Arial" w:eastAsia="Arial" w:hAnsi="Arial"/>
          <w:sz w:val="18"/>
          <w:szCs w:val="18"/>
          <w:color w:val="auto"/>
        </w:rPr>
        <w:t>SECTION 7. VACANCIES. Subject to the rights of holders of any series of Preferred Stock to elect directors, unless and until filled by the stockholders, any vacancy or newly-created directorship on the Board of Directors, however occurring, may be filled by vote of a majority of the directors then in office, although less than a quorum, or by a sole remaining director. A director elected to fill a vacancy shall be elected for the unexpired term of such director’s predecessor in office, and a director chosen to fill a position resulting from a newly-created directorship shall hold office until the next annual meeting of stockholders and until a successor is elected and qualified, or until such director’s earlier death, resignation or removal.</w:t>
      </w:r>
    </w:p>
    <w:p>
      <w:pPr>
        <w:spacing w:after="0" w:line="192"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SECTION 8. REMOVAL OF DIRECTORS. Except as otherwise provided by the General Corporation Law of the State of Delaware, a director, or the entire Board of Directors, may be removed, with or without cause, by the holders of a majority of the shares then entitled to vote at an election of directors, except that the directors elected by the holders of a particular class or series of stock may be removed without cause only by vote of the holders of a majority of the outstanding shares of such class or series.</w:t>
      </w:r>
    </w:p>
    <w:p>
      <w:pPr>
        <w:spacing w:after="0" w:line="187" w:lineRule="exact"/>
        <w:rPr>
          <w:sz w:val="20"/>
          <w:szCs w:val="20"/>
          <w:color w:val="auto"/>
        </w:rPr>
      </w:pPr>
    </w:p>
    <w:p>
      <w:pPr>
        <w:jc w:val="both"/>
        <w:ind w:right="100" w:firstLine="440"/>
        <w:spacing w:after="0" w:line="286" w:lineRule="auto"/>
        <w:rPr>
          <w:sz w:val="20"/>
          <w:szCs w:val="20"/>
          <w:color w:val="auto"/>
        </w:rPr>
      </w:pPr>
      <w:r>
        <w:rPr>
          <w:rFonts w:ascii="Arial" w:cs="Arial" w:eastAsia="Arial" w:hAnsi="Arial"/>
          <w:sz w:val="17"/>
          <w:szCs w:val="17"/>
          <w:color w:val="auto"/>
        </w:rPr>
        <w:t>SECTION 9. RESIGNATION. Any director may resign by delivering a resignation in writing or by electronic transmission to the Corporation at its principal office or to the Chairman of the Board, the Chief Executive Officer, the President or the Secretary. Such resignation shall be effective upon delivery unless it is specified to be effective at some later time or upon the happening of some later event.</w:t>
      </w:r>
    </w:p>
    <w:p>
      <w:pPr>
        <w:spacing w:after="0" w:line="16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SECTION 10. REGULAR MEETINGS. Regular meetings of the Board of Directors may be held without notice at such time, place and manner as shall be determined from time to time by the Board of Directors; provided that any director who is absent when such a determination is made shall be given notice of the determination. A regular meeting of the Board of Directors may be held without notice immediately after and at the same place as the annual meeting of stockholders.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24" w:name="page325"/>
    <w:bookmarkEnd w:id="324"/>
    <w:p>
      <w:pPr>
        <w:ind w:right="10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11. SPECIAL MEETINGS. Special meetings of the Board of Directors may be called by or at the request of the Chairman of the Board, the Chief Executive Officer, the President, two or more directors or by one director in the event that there is only a single director in office. The person or persons authorized to call special meetings of the Board of Directors may fix any time, date or place, either within or without the State of Delaware, for holding any special meeting of the Board of Directors called by them.</w:t>
      </w:r>
    </w:p>
    <w:p>
      <w:pPr>
        <w:spacing w:after="0" w:line="187"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SECTION 12. NOTICE OF SPECIAL MEETINGS OF THE BOARD OF DIRECTORS. Notice of the date, place, if any, and time of any special meeting of the Board of Directors shall be given to each director by the Secretary or by the officer or one of the directors calling the meeting. Notice shall be duly given to each director (a) in person, by telephone, fax or by electronic transmission at least 24 hours in advance of the meeting, (b) by sending written notice by reputable overnight courier or delivering written notice by hand, to such director’s last known business, home or facsimile address at least 48 hours in advance of the meeting, or (c) by sending written notice by first-class mail to such director’s last known business or home address at least 72 hours in advance of the meeting. A notice or waiver of notice of a meeting of the Board of Directors need not specify the purposes of the meeting.</w:t>
      </w:r>
    </w:p>
    <w:p>
      <w:pPr>
        <w:spacing w:after="0" w:line="195"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SECTION 13. WRITTEN ACTION BY DIRECTORS. 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Without limiting the manner by which consent may be given, members of the Board of Directors may consent by delivery of an electronic transmission when such transmission is directed to a facsimile number or electronic mail address at which the Corporation has consented to receive such electronic transmissions, and copies of the electronic transmissions are filed with the minutes of proceedings of the Board of Directors or committee. After an action is taken, the consent or consents relating thereto shall be filed with the minutes of the proceedings of the Board of Directors, or the committee thereof, in the same paper or electronic form as the minutes are maintained.</w:t>
      </w:r>
    </w:p>
    <w:p>
      <w:pPr>
        <w:spacing w:after="0" w:line="178"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SECTION 14. PARTICIPATION BY CONFERENCE TELEPHONE. Members of the Board of Directors, or any committee designated by such board, may participate in a meeting of the Board of Directors, or committee thereof, by means of conference telephone or similar communications equipment as long as all persons participating in the meeting can speak with and hear each other, and participation by a director pursuant to this section shall constitute presence in person at such meeting.</w:t>
      </w:r>
    </w:p>
    <w:p>
      <w:pPr>
        <w:spacing w:after="0" w:line="18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SECTION 15. COMMITTEES. The Board of Directors may designate one or more committees, each committee to consist of one or more of the directors of the Corporation with such lawfully delegable powers and duties as the Board of Directors thereby confers, to serve at the pleasure of the Board of Directors. The Board may designate one or more directors as alternate members of any committee, who may replace any absent or disqualified member at any meeting of the committee. In the absence or disqualification of a member at any meeting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4" w:right="499" w:bottom="1440" w:gutter="0" w:footer="0" w:header="0"/>
        </w:sectPr>
      </w:pPr>
    </w:p>
    <w:bookmarkStart w:id="325" w:name="page326"/>
    <w:bookmarkEnd w:id="325"/>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member.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(i) approving or adopting, or recommending to the stockholders, any action or matter (other than the election or removal of directors) expressly required by law to be submitted to stockholders for approval or (ii) adopting, amending or repealing any bylaw of the Corporation. Each such committee shall keep minutes and make such reports as the Board of Directors may from time to time request. Except as the Board of Directors may otherwise determine, any committee may make rules for the conduct of its business, but unless otherwise provided by the directors or in such rules, its business shall be conducted as nearly as possible in the same manner as is provided in these Bylaws for the Board of Directors. Except as otherwise provided in the Certificate of Incorporation, these Bylaws, or the resolution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182"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SECTION 16. COMPENSATION OF DIRECTORS. 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therefore. Members of special or standing committees may be allowed like compensation for attending committee meetings.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11" w:lineRule="exact"/>
        <w:rPr>
          <w:sz w:val="20"/>
          <w:szCs w:val="20"/>
          <w:color w:val="auto"/>
        </w:rPr>
      </w:pPr>
    </w:p>
    <w:p>
      <w:pPr>
        <w:ind w:right="380" w:firstLine="440"/>
        <w:spacing w:after="0" w:line="296" w:lineRule="auto"/>
        <w:rPr>
          <w:sz w:val="20"/>
          <w:szCs w:val="20"/>
          <w:color w:val="auto"/>
        </w:rPr>
      </w:pPr>
      <w:r>
        <w:rPr>
          <w:rFonts w:ascii="Arial" w:cs="Arial" w:eastAsia="Arial" w:hAnsi="Arial"/>
          <w:sz w:val="16"/>
          <w:szCs w:val="16"/>
          <w:color w:val="auto"/>
        </w:rPr>
        <w:t>SECTION 1. GENERAL PROVISIONS. The officers of the Corporation shall consist of a Chief Executive Officer, a President, a Secretary, a Treasurer and such other officers with such other titles as the Board of Directors shall determine, including one or more Vice Presidents, Assistant Treasurers and Assistant Secretaries. The Board of Directors may appoint such other officers as it may deem appropriate. No officer need be a stockholder. Any two or more offices may be held by the same person. The officers elected by the Board of Directors shall have such duties as are hereafter described and such additional duties as the Board of Directors may from time to time prescribe.</w:t>
      </w:r>
    </w:p>
    <w:p>
      <w:pPr>
        <w:spacing w:after="0" w:line="161"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SECTION 2. ELECTION AND TERM OF OFFICE. The Chief Executive Officer, President, Treasurer and Secretary shall be elected annually by the Board of Directors at the regular meeting of the Board of Directors held after each annual meeting of the stockholders. If the election of officers is not held at such meeting, such election shall be held as soon thereafter as may be convenient. Other officers may be appointed at any time, at a meeting or by the written consent of the Board of Directors. Except as otherwise provided by law, by the Certificate of Incorporation or by these Bylaws, each officer shall hold office until his successor has been duly elected and qualified, unless a different term is specified in the resolution electing or appointing such officer, or until his earlier death, resignation or removal. Election or appointment of an officer or agent shall not of itself create contract rights.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326" w:name="page327"/>
    <w:bookmarkEnd w:id="326"/>
    <w:p>
      <w:pPr>
        <w:ind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 RESIGNATION AND REMOVAL OF OFFICERS. Any officer may resign by delivering a written resignation to the Corporation at its principal office or to the Chief Executive Officer, the President or the Secretary. Such resignation shall be effective upon receipt unless it is specified to be effective at some later time or upon the happening of some later event. Any officer may be removed at any time, with or without cause, by vote of a majority of the directors then in office. Except as the Board of Directors may otherwise determine, no officer who resigns or is removed shall have any right to any compensation as an officer for any period following such officer’s resignation or removal, or any right to damages on account of such removal, whether such officer’s compensation be by the month or by the year or otherwise, unless such compensation is expressly provided for in a duly authorized written agreement with the Corporation.</w:t>
      </w:r>
    </w:p>
    <w:p>
      <w:pPr>
        <w:spacing w:after="0" w:line="177"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SECTION 4. VACANCIES. The Board of Directors may fill any vacancy occurring in any office for any reason and may, in its discretion, leave unfilled for such period as it may determine any offices other than those of Chief Executive Officer, President, Treasurer and Secretary. Each such successor shall hold office for the unexpired term of such officer’s predecessor and until a successor is elected and qualified, or until such officer’s earlier death, resignation or removal.</w:t>
      </w:r>
    </w:p>
    <w:p>
      <w:pPr>
        <w:spacing w:after="0" w:line="187" w:lineRule="exact"/>
        <w:rPr>
          <w:sz w:val="20"/>
          <w:szCs w:val="20"/>
          <w:color w:val="auto"/>
        </w:rPr>
      </w:pPr>
    </w:p>
    <w:p>
      <w:pPr>
        <w:ind w:right="140" w:firstLine="440"/>
        <w:spacing w:after="0" w:line="288" w:lineRule="auto"/>
        <w:rPr>
          <w:sz w:val="20"/>
          <w:szCs w:val="20"/>
          <w:color w:val="auto"/>
        </w:rPr>
      </w:pPr>
      <w:r>
        <w:rPr>
          <w:rFonts w:ascii="Arial" w:cs="Arial" w:eastAsia="Arial" w:hAnsi="Arial"/>
          <w:sz w:val="16"/>
          <w:szCs w:val="16"/>
          <w:color w:val="auto"/>
        </w:rPr>
        <w:t>SECTION 5. THE CHIEF EXECUTIVE OFFICER. Unless the Board of Directors has designated another person as the Corporation’s Chief Executive Officer, the President shall be the Chief Executive Officer of the Corporation. The Chief Executive Officer shall have general charge and supervision of the business and affairs of the Corporation subject to the direction of the Board of Directors, and shall perform all duties and have all powers that are commonly incident to the office of chief executive or that are delegated to such officer by the Board of Directors. The Chief Executive Officer shall preside at all meetings of the Board of Directors and shall see that orders and resolutions of the Board of Directors are carried into effect. The Chief Executive Officer may sign bonds, mortgages, certificates for shares and all other contracts and documents whether or not under the seal of the Corporation except in cases where the signing and execution thereof shall be expressly delegated by law, by the Board of Directors or by these Bylaws to some other officer or agent of the Corporation. The Chief Executive Officer shall have general powers of supervision and shall be the final arbiter of all differences between officers of the Corporation and his decision as to any matter affecting the Corporation shall be final and binding as between the officers of the Corporation subject only to the Board of Directors.</w:t>
      </w:r>
    </w:p>
    <w:p>
      <w:pPr>
        <w:spacing w:after="0" w:line="168" w:lineRule="exact"/>
        <w:rPr>
          <w:sz w:val="20"/>
          <w:szCs w:val="20"/>
          <w:color w:val="auto"/>
        </w:rPr>
      </w:pPr>
    </w:p>
    <w:p>
      <w:pPr>
        <w:ind w:right="60" w:firstLine="440"/>
        <w:spacing w:after="0" w:line="290" w:lineRule="auto"/>
        <w:rPr>
          <w:sz w:val="20"/>
          <w:szCs w:val="20"/>
          <w:color w:val="auto"/>
        </w:rPr>
      </w:pPr>
      <w:r>
        <w:rPr>
          <w:rFonts w:ascii="Arial" w:cs="Arial" w:eastAsia="Arial" w:hAnsi="Arial"/>
          <w:sz w:val="16"/>
          <w:szCs w:val="16"/>
          <w:color w:val="auto"/>
        </w:rPr>
        <w:t>SECTION 6. THE PRESIDENT. In the absence of the Chief Executive Officer or in the event of his inability or refusal to act, the President shall perform the duties of the Chief Executive Officer, and when so acting, shall have all the powers of and be subject to all the restrictions upon the Chief Executive Officer. At all other times the President shall have the active management of the business of the Corporation under the general supervision of the Chief Executive Officer or the Board of Directors. The President shall have concurrent power with the Chief Executive Officer to sign bonds, mortgages, certificates for shares and other contracts and documents, whether or not under the seal of the Corporation except in cases where the signing and execution thereof shall be expressly delegated by law, by the Board of Directors, or by these Bylaws to some other officer or agent of the Corporation. In general, the President shall perform all duties incident to the office of president and such other duties as the Chief Executive Officer (if the President is not the Chief Executive Officer) or the Board of Directors may from time to time prescribe.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327" w:name="page328"/>
    <w:bookmarkEnd w:id="327"/>
    <w:p>
      <w:pPr>
        <w:ind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 THE VICE PRESIDENT. In the absence of the President or in the event of his inability or refusal to act, the Vice President (or in the event there be more than one Vice President, the Executive Vice President and then the other Vice President or Vice Presidents in the order designated, or in the absence of any designation, then in the order of their election) shall perform the duties of the President, and when so acting, shall have all the powers of and be subject to all the restrictions upon the President. The Vice Presidents shall perform such other duties and have such other powers as the Chief Executive Officer or the Board of Directors may from time to time prescribe.</w:t>
      </w:r>
    </w:p>
    <w:p>
      <w:pPr>
        <w:spacing w:after="0" w:line="176"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SECTION 8. THE SECRETARY. The Secretary shall perform such duties and shall have such powers as the Board of Directors or the Chief Executive Officer may from time to time prescribe. The Secretary shall perform such duties and have such powers as are incident to the office of the secretary, including without limitation the duty and power to attend all meetings of the Board of Directors and all meetings of the stockholders and record all the proceedings in a book to be kept for that purpose and shall perform like duties for the standing committees when required and to maintain a stock ledger and prepare lists of stockholders and their addresses as required. The Secretary shall give, or cause to be given, notice of all meetings of the stockholders and special meetings of the Board of Directors, and shall perform such other duties as may be prescribed by the Board of Directors or the Chief Executive Officer, under whose supervision he shall be. The Secretary shall have custody of the corporate records and the corporate seal of the Corporation and the Secretary,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185"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SECTION 9. THE ASSISTANT SECRETARY.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Chief Executive Officer, the Board of Directors or the Secretary may from time to time prescribe. In the absence of the Secretary or any Assistant Secretary at any meeting of stockholders or directors, the chairman of the meeting shall designate a temporary secretary to keep a record of the meeting.</w:t>
      </w:r>
    </w:p>
    <w:p>
      <w:pPr>
        <w:spacing w:after="0" w:line="192" w:lineRule="exact"/>
        <w:rPr>
          <w:sz w:val="20"/>
          <w:szCs w:val="20"/>
          <w:color w:val="auto"/>
        </w:rPr>
      </w:pPr>
    </w:p>
    <w:p>
      <w:pPr>
        <w:ind w:right="120" w:firstLine="440"/>
        <w:spacing w:after="0" w:line="293" w:lineRule="auto"/>
        <w:rPr>
          <w:sz w:val="20"/>
          <w:szCs w:val="20"/>
          <w:color w:val="auto"/>
        </w:rPr>
      </w:pPr>
      <w:r>
        <w:rPr>
          <w:rFonts w:ascii="Arial" w:cs="Arial" w:eastAsia="Arial" w:hAnsi="Arial"/>
          <w:sz w:val="16"/>
          <w:szCs w:val="16"/>
          <w:color w:val="auto"/>
        </w:rPr>
        <w:t>SECTION 10. THE TREASURER. The Treasurer shall perform such duties and shall have such powers as may from time to time be assigned by the Board of Directors or the Chief Executive Officer. In addition, the Treasurer shall perform such duties and have such powers as are incident to the office of treasurer, including without limitation, the duty and power to have the custody of the corporate funds and securities and to keep full and accurate accounts of receipts and disbursements in books belonging to the Corporation and deposit all moneys and other valuable effects in the name and to the credit of the Corporation in such depositories as may be designated by the Board of Directors. The Treasurer shall disburse the funds of the Corporation as may be ordered by the Board of Directors, taking proper vouchers for such disbursements, and shall render</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328" w:name="page329"/>
    <w:bookmarkEnd w:id="328"/>
    <w:p>
      <w:pPr>
        <w:ind w:right="2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President and the Board of Directors, as required by the Board of Directors, an account of all his transactions as Treasurer and of the financial condition of the Corporation. If required by the Board of Directors, the Treasurer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161" w:lineRule="exact"/>
        <w:rPr>
          <w:sz w:val="20"/>
          <w:szCs w:val="20"/>
          <w:color w:val="auto"/>
        </w:rPr>
      </w:pPr>
    </w:p>
    <w:p>
      <w:pPr>
        <w:jc w:val="both"/>
        <w:ind w:right="20" w:firstLine="440"/>
        <w:spacing w:after="0" w:line="279" w:lineRule="auto"/>
        <w:rPr>
          <w:sz w:val="20"/>
          <w:szCs w:val="20"/>
          <w:color w:val="auto"/>
        </w:rPr>
      </w:pPr>
      <w:r>
        <w:rPr>
          <w:rFonts w:ascii="Arial" w:cs="Arial" w:eastAsia="Arial" w:hAnsi="Arial"/>
          <w:sz w:val="17"/>
          <w:szCs w:val="17"/>
          <w:color w:val="auto"/>
        </w:rPr>
        <w:t>SECTION 11. THE ASSISTANT TREASURER. The Assistant Treasurer, or if there shall be more than one, the Assistant Treasurers in the order determined by the Board of Directors (or if there be no such determination, then in the order of their election), shall, in the absence of the Treasurer or in the event of his inability or refusal to act, perform the duties and exercise the powers of the Treasurer and shall perform such other duties and have such other powers as the Chief Executive Officer, the Board of Directors or the Treasurer may from time to time prescribe.</w:t>
      </w:r>
    </w:p>
    <w:p>
      <w:pPr>
        <w:spacing w:after="0" w:line="171"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SECTION 12. OTHER OFFICERS, ASSISTANT OFFICERS AND AGENTS. Officers, Assistant Officers and Agents, if any, other than those whose duties are provided for in these Bylaws, shall have such authority and perform such duties as may from time to time be prescribed by resolution of the Board of Directors.</w:t>
      </w:r>
    </w:p>
    <w:p>
      <w:pPr>
        <w:spacing w:after="0" w:line="184"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SECTION 13. ABSENCE OF OFFICERS, DELEGATION OF AUTHORITY. In the absence of any officer of the Corporation, or for any other reason the Board of Directors may deem sufficient, the Board of Directors may from time to time delegate the powers or duties, or any of such powers or duties, of any officers or officer to any other officer or to any director.</w:t>
      </w:r>
    </w:p>
    <w:p>
      <w:pPr>
        <w:spacing w:after="0" w:line="184" w:lineRule="exact"/>
        <w:rPr>
          <w:sz w:val="20"/>
          <w:szCs w:val="20"/>
          <w:color w:val="auto"/>
        </w:rPr>
      </w:pPr>
    </w:p>
    <w:p>
      <w:pPr>
        <w:ind w:right="1060" w:firstLine="440"/>
        <w:spacing w:after="0" w:line="277" w:lineRule="auto"/>
        <w:rPr>
          <w:sz w:val="20"/>
          <w:szCs w:val="20"/>
          <w:color w:val="auto"/>
        </w:rPr>
      </w:pPr>
      <w:r>
        <w:rPr>
          <w:rFonts w:ascii="Arial" w:cs="Arial" w:eastAsia="Arial" w:hAnsi="Arial"/>
          <w:sz w:val="18"/>
          <w:szCs w:val="18"/>
          <w:color w:val="auto"/>
        </w:rPr>
        <w:t>SECTION 14. COMPENSATION. The Board of Directors shall have the authority to establish reasonable salaries, compensation or reimbursement of all officers for services to the Corporation.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STOCK</w:t>
      </w:r>
    </w:p>
    <w:p>
      <w:pPr>
        <w:spacing w:after="0" w:line="211"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SECTION 1. ISSUANCE OF STOCK. Subject to the provisions of the Certificate of Incorporation, the whole or any part of any unissued balance of the authorized capital stock of the Corporation or the whole or any part of any shares of the authorized capital stock of the Corporation held in the Corporation’s treasury may be issued, sold, transferred or otherwise disposed of by vote of the Board of Directors in such manner, for such lawful consideration and on such terms as the Board of Directors may determine.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2. CERTIFICATES OF SHARES; UNCERTIFICATED SHARES.</w:t>
      </w:r>
    </w:p>
    <w:p>
      <w:pPr>
        <w:spacing w:after="0" w:line="225" w:lineRule="exact"/>
        <w:rPr>
          <w:sz w:val="20"/>
          <w:szCs w:val="20"/>
          <w:color w:val="auto"/>
        </w:rPr>
      </w:pPr>
    </w:p>
    <w:p>
      <w:pPr>
        <w:ind w:firstLine="987"/>
        <w:spacing w:after="0" w:line="255" w:lineRule="auto"/>
        <w:tabs>
          <w:tab w:leader="none" w:pos="1236"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shares of the Corporation shall be represented by certificates, provided that the Board of Directors of the Corporation may provide by resolution or resolutions that some or all of any or all classes or series of its stock shall be uncertificated shares. Any such resolution shall not apply to shares represented by a certificate until such certificate is surrendered to the Corporation. Every holder of stock represented by certificates shall be entitled to have a certificate, in such form as may be prescribed by law and by the Board of Directors, signed in a manner that complies with Section 158 of the Delaware General Corporation Law, representing the number of shares held by such holder registered in certificate form. Any or all the signatures on the certificate may be a facsimile or pdf.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329" w:name="page330"/>
    <w:bookmarkEnd w:id="329"/>
    <w:p>
      <w:pPr>
        <w:ind w:right="280" w:firstLine="987"/>
        <w:spacing w:after="0" w:line="311" w:lineRule="auto"/>
        <w:tabs>
          <w:tab w:leader="none" w:pos="1246" w:val="left"/>
        </w:tabs>
        <w:numPr>
          <w:ilvl w:val="0"/>
          <w:numId w:val="2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certificate for shares of stock which are subject to any restriction on transfer pursuant to the Certificate of Incorporation, these Bylaws, applicable securities laws or any agreement among any number of stockholders or among such holders and the Corporation shall have conspicuously noted on the face or back of the certificate either the full text of the restriction or a statement of the existence of such restriction.</w:t>
      </w:r>
    </w:p>
    <w:p>
      <w:pPr>
        <w:spacing w:after="0" w:line="148" w:lineRule="exact"/>
        <w:rPr>
          <w:rFonts w:ascii="Arial" w:cs="Arial" w:eastAsia="Arial" w:hAnsi="Arial"/>
          <w:sz w:val="16"/>
          <w:szCs w:val="16"/>
          <w:color w:val="auto"/>
        </w:rPr>
      </w:pPr>
    </w:p>
    <w:p>
      <w:pPr>
        <w:ind w:right="220" w:firstLine="987"/>
        <w:spacing w:after="0" w:line="272" w:lineRule="auto"/>
        <w:tabs>
          <w:tab w:leader="none" w:pos="1236" w:val="left"/>
        </w:tabs>
        <w:numPr>
          <w:ilvl w:val="0"/>
          <w:numId w:val="217"/>
        </w:numPr>
        <w:rPr>
          <w:rFonts w:ascii="Arial" w:cs="Arial" w:eastAsia="Arial" w:hAnsi="Arial"/>
          <w:sz w:val="17"/>
          <w:szCs w:val="17"/>
          <w:color w:val="auto"/>
        </w:rPr>
      </w:pPr>
      <w:r>
        <w:rPr>
          <w:rFonts w:ascii="Arial" w:cs="Arial" w:eastAsia="Arial" w:hAnsi="Arial"/>
          <w:sz w:val="17"/>
          <w:szCs w:val="17"/>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each certificate representing shares of such class or series of stock, provided that in lieu of the foregoing requirements there may be set forth on the face or back of each certificate representing shares of such class or series of stock a statement that the Corporation will furnish without charge to each stockholder who so requests a copy of the full text of the powers, designations, preferences and relative, participating, optional or other special rights of each class of stock or series thereof and the qualifications, limitations or restrictions of such preferences and/or rights.</w:t>
      </w:r>
    </w:p>
    <w:p>
      <w:pPr>
        <w:spacing w:after="0" w:line="177" w:lineRule="exact"/>
        <w:rPr>
          <w:rFonts w:ascii="Arial" w:cs="Arial" w:eastAsia="Arial" w:hAnsi="Arial"/>
          <w:sz w:val="17"/>
          <w:szCs w:val="17"/>
          <w:color w:val="auto"/>
        </w:rPr>
      </w:pPr>
    </w:p>
    <w:p>
      <w:pPr>
        <w:ind w:right="60" w:firstLine="987"/>
        <w:spacing w:after="0" w:line="296" w:lineRule="auto"/>
        <w:tabs>
          <w:tab w:leader="none" w:pos="1246" w:val="left"/>
        </w:tabs>
        <w:numPr>
          <w:ilvl w:val="0"/>
          <w:numId w:val="217"/>
        </w:numPr>
        <w:rPr>
          <w:rFonts w:ascii="Arial" w:cs="Arial" w:eastAsia="Arial" w:hAnsi="Arial"/>
          <w:sz w:val="16"/>
          <w:szCs w:val="16"/>
          <w:color w:val="auto"/>
        </w:rPr>
      </w:pPr>
      <w:r>
        <w:rPr>
          <w:rFonts w:ascii="Arial" w:cs="Arial" w:eastAsia="Arial" w:hAnsi="Arial"/>
          <w:sz w:val="16"/>
          <w:szCs w:val="16"/>
          <w:color w:val="auto"/>
        </w:rPr>
        <w:t>Within a reasonable time after the issuance or transfer of uncertificated shares, the Corporation shall send to the registered owner thereof a written notice containing the information required to be set forth or stated on certificates pursuant to Sections 151, 156, 202(a) or 218(a) of the General Corporation Law of the State of Delaware or, with respect to Section 151 of the General Corporation Law of the State of Delaware,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6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SECTION 3. SIGNATURES OF FORMER OFFICER, TRANSFER AGENT OR REGISTRAR.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or entity were such officer, transfer agent or registrar at the date of issue.</w:t>
      </w:r>
    </w:p>
    <w:p>
      <w:pPr>
        <w:spacing w:after="0" w:line="187"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SECTION 4. TRANSFER OF SHARES. Transfers of shares of the Corporation shall be made only on the books of the Corporation, or by transfer agents designated to transfer shares of the Corporation. Subject to applicable law, shares of stock represented by certificates shall be transferred only on the books of the Corporation by the surrender to the Corporation or its transfer agent of the certificate representing such shares properly endorsed or accompanied by a written assignment or power of attorney properly executed, and with such proof of authority or the authenticity of signature as the Corporation or its transfer agent may reasonably require.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vote with respect to such stock, regardless of any transfer, pledge or other disposition of such stock until the shares have been transferred on the books of the Corporation in accordance with the requirements of these Bylaws.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330" w:name="page331"/>
    <w:bookmarkEnd w:id="330"/>
    <w:p>
      <w:pPr>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5. LOST, DESTROYED OR STOLEN CERTIFICATES. Whenever a certificate representing shares of the Corporation has been lost, destroyed or stolen, the holder thereof may file in the office of the Corporation an affidavit setting forth, to the best of his knowledge and belief, the time, place, and circumstance of such loss, destruction or theft together with a statement of indemnity and posting of such bond sufficient in the opinion of the Board of Directors to indemnify the Corporation against any claim that may be made against it on account of the alleged loss of any such certificate. Thereupon the Board may cause to be issued to such person or such person’s legal representative a new certificate or a duplicate of the certificate alleged to have been lost, destroyed or stolen. In the exercise of its discretion, the Board of Directors may waive the indemnification and bond requirements provided herein.</w:t>
      </w:r>
    </w:p>
    <w:p>
      <w:pPr>
        <w:spacing w:after="0" w:line="195"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SECTION 6. REGULATIONS. The issue, transfer, conversion and registration of shares of stock of the Corporation shall be governed by such other regulations as the Board of Directors may establish.</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RESTRICTIONS ON TRANSFER AND RIGHT OF FIRST REFUSAL.</w:t>
      </w:r>
    </w:p>
    <w:p>
      <w:pPr>
        <w:spacing w:after="0" w:line="211"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SECTION 1. TRANSFERS. If a holder of any shares of stock of the Corporation (a “</w:t>
      </w:r>
      <w:r>
        <w:rPr>
          <w:rFonts w:ascii="Arial" w:cs="Arial" w:eastAsia="Arial" w:hAnsi="Arial"/>
          <w:sz w:val="16"/>
          <w:szCs w:val="16"/>
          <w:u w:val="single" w:color="auto"/>
          <w:color w:val="auto"/>
        </w:rPr>
        <w:t>Holder</w:t>
      </w:r>
      <w:r>
        <w:rPr>
          <w:rFonts w:ascii="Arial" w:cs="Arial" w:eastAsia="Arial" w:hAnsi="Arial"/>
          <w:sz w:val="16"/>
          <w:szCs w:val="16"/>
          <w:color w:val="auto"/>
        </w:rPr>
        <w:t>”) proposes to, directly or indirectly, sell, assign, transfer, pledge, hypothecate or otherwise dispose of, by operation of law or otherwise (collectively “</w:t>
      </w:r>
      <w:r>
        <w:rPr>
          <w:rFonts w:ascii="Arial" w:cs="Arial" w:eastAsia="Arial" w:hAnsi="Arial"/>
          <w:sz w:val="16"/>
          <w:szCs w:val="16"/>
          <w:u w:val="single" w:color="auto"/>
          <w:color w:val="auto"/>
        </w:rPr>
        <w:t>Transfer</w:t>
      </w:r>
      <w:r>
        <w:rPr>
          <w:rFonts w:ascii="Arial" w:cs="Arial" w:eastAsia="Arial" w:hAnsi="Arial"/>
          <w:sz w:val="16"/>
          <w:szCs w:val="16"/>
          <w:color w:val="auto"/>
        </w:rPr>
        <w:t>”) any such shares, or any right or interest therein (including, without limitation, the entering into of any swap or other arrangement that Transfers to another, in whole or in part, any of the economic consequences of ownership of the common stock of the Corporation, whether any such transaction described above is to be settled by delivery of common stock of the Corporation or other securities, in cash or otherwise), pursuant to a bona fide offer acceptable to such Holder, then Holder shall first give written notice of the proposed Transfer (the “</w:t>
      </w:r>
      <w:r>
        <w:rPr>
          <w:rFonts w:ascii="Arial" w:cs="Arial" w:eastAsia="Arial" w:hAnsi="Arial"/>
          <w:sz w:val="16"/>
          <w:szCs w:val="16"/>
          <w:u w:val="single" w:color="auto"/>
          <w:color w:val="auto"/>
        </w:rPr>
        <w:t>Transfer Notice</w:t>
      </w:r>
      <w:r>
        <w:rPr>
          <w:rFonts w:ascii="Arial" w:cs="Arial" w:eastAsia="Arial" w:hAnsi="Arial"/>
          <w:sz w:val="16"/>
          <w:szCs w:val="16"/>
          <w:color w:val="auto"/>
        </w:rPr>
        <w:t>”) to the Corporation. The Transfer Notice shall state the name of the proposed transferee, the number of shares Holder proposes to Transfer (the “</w:t>
      </w:r>
      <w:r>
        <w:rPr>
          <w:rFonts w:ascii="Arial" w:cs="Arial" w:eastAsia="Arial" w:hAnsi="Arial"/>
          <w:sz w:val="16"/>
          <w:szCs w:val="16"/>
          <w:u w:val="single" w:color="auto"/>
          <w:color w:val="auto"/>
        </w:rPr>
        <w:t>Offered Shares</w:t>
      </w:r>
      <w:r>
        <w:rPr>
          <w:rFonts w:ascii="Arial" w:cs="Arial" w:eastAsia="Arial" w:hAnsi="Arial"/>
          <w:sz w:val="16"/>
          <w:szCs w:val="16"/>
          <w:color w:val="auto"/>
        </w:rPr>
        <w:t>”), whether the Offered Shares are vested or unvested shares, the price per share and all other material terms and conditions of the Transfer, including any available exemption set forth in Section 4 below from the restrictions set forth in Sections 2 and 3 below and shall include a confirmation from the Holder that the proposed transferee is an accredited investor as defined in Rule 501(a) of Regulation D promulgated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w:t>
      </w:r>
    </w:p>
    <w:p>
      <w:pPr>
        <w:spacing w:after="0" w:line="168" w:lineRule="exact"/>
        <w:rPr>
          <w:sz w:val="20"/>
          <w:szCs w:val="20"/>
          <w:color w:val="auto"/>
        </w:rPr>
      </w:pPr>
    </w:p>
    <w:p>
      <w:pPr>
        <w:ind w:right="440" w:firstLine="440"/>
        <w:spacing w:after="0" w:line="255" w:lineRule="auto"/>
        <w:rPr>
          <w:sz w:val="20"/>
          <w:szCs w:val="20"/>
          <w:color w:val="auto"/>
        </w:rPr>
      </w:pPr>
      <w:r>
        <w:rPr>
          <w:rFonts w:ascii="Arial" w:cs="Arial" w:eastAsia="Arial" w:hAnsi="Arial"/>
          <w:sz w:val="18"/>
          <w:szCs w:val="18"/>
          <w:color w:val="auto"/>
        </w:rPr>
        <w:t xml:space="preserve">SECTION 2. CONSENT TO TRANSFER. Following receipt of the Transfer Notice, the prior written consent of the Corporation (upon duly authorized action of its Board of Directors) shall be required (and such consent may be withheld) if such Transfer (a) would be to an individual, company or any other form of entity identified by the Corporation as a competitor or potential competitor; (b) increases the risk of the Corporation having a class of equity security (other than an exempted security) held of record by either (i) 2,000 or more persons,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restriction shall only apply after the Corporation has a class of equity security (other than an exempted security) held of record by more than 1,000 persons or (ii) 500 or more persons who are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331" w:name="page332"/>
    <w:bookmarkEnd w:id="331"/>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 accredited investors, as described in Section 12(g) of the Securities and Exchange Act of 1934 (the “</w:t>
      </w:r>
      <w:r>
        <w:rPr>
          <w:rFonts w:ascii="Arial" w:cs="Arial" w:eastAsia="Arial" w:hAnsi="Arial"/>
          <w:sz w:val="17"/>
          <w:szCs w:val="17"/>
          <w:u w:val="single" w:color="auto"/>
          <w:color w:val="auto"/>
        </w:rPr>
        <w:t>1934 Act</w:t>
      </w:r>
      <w:r>
        <w:rPr>
          <w:rFonts w:ascii="Arial" w:cs="Arial" w:eastAsia="Arial" w:hAnsi="Arial"/>
          <w:sz w:val="17"/>
          <w:szCs w:val="17"/>
          <w:color w:val="auto"/>
        </w:rPr>
        <w:t>”), and Rule 12g5-1 promulgated thereunder, or otherwise requiring the Corporation to register any class of securities under the 1934 Act; (c) would result in the loss of any federal or state securities law exemption relied upon by the Corporation in connection with the initial issuance of such shares or the issuance of any other securities; (d) is facilitated in any manner by any public posting, message board, trading portal, internet site or similar method of communication, including without limitation any trading portal or internet site intended to facilitate secondary transfers of securities; (e) is to be effected in a brokered transaction; (f) represents a Transfer of less than all of the shares then held by the stockholder and its affiliates or is to be made to more than a single transferee or (g) is determined by the Corporation’s Board of Directors to require such consent for any legitimate corporate purpose. The provisions of subsections (f) and (g) of this Section 2 shall not apply to any Transfer of Preferred Stock of the Corporation or the shares of Common Stock issued upon conversion thereof. The Corporation shall notify Holder within 30 days of receipt of the Transfer Notice indicating whether the proposed transfer requires such consent and if so, whether such consent has been provided (a “</w:t>
      </w:r>
      <w:r>
        <w:rPr>
          <w:rFonts w:ascii="Arial" w:cs="Arial" w:eastAsia="Arial" w:hAnsi="Arial"/>
          <w:sz w:val="17"/>
          <w:szCs w:val="17"/>
          <w:u w:val="single" w:color="auto"/>
          <w:color w:val="auto"/>
        </w:rPr>
        <w:t>Transfer Approval</w:t>
      </w:r>
      <w:r>
        <w:rPr>
          <w:rFonts w:ascii="Arial" w:cs="Arial" w:eastAsia="Arial" w:hAnsi="Arial"/>
          <w:sz w:val="17"/>
          <w:szCs w:val="17"/>
          <w:color w:val="auto"/>
        </w:rPr>
        <w:t>”) or withheld (a “Transfer Denial” and together with “Transfer Approval”, the “</w:t>
      </w:r>
      <w:r>
        <w:rPr>
          <w:rFonts w:ascii="Arial" w:cs="Arial" w:eastAsia="Arial" w:hAnsi="Arial"/>
          <w:sz w:val="17"/>
          <w:szCs w:val="17"/>
          <w:u w:val="single" w:color="auto"/>
          <w:color w:val="auto"/>
        </w:rPr>
        <w:t>Transfer Determination</w:t>
      </w:r>
      <w:r>
        <w:rPr>
          <w:rFonts w:ascii="Arial" w:cs="Arial" w:eastAsia="Arial" w:hAnsi="Arial"/>
          <w:sz w:val="17"/>
          <w:szCs w:val="17"/>
          <w:color w:val="auto"/>
        </w:rPr>
        <w:t>”). For purposes of clarity, (i) if the Corporation determines no consent is required for the proposed Transfer, then this determination shall constitute a Transfer Approval and (ii) a Holder shall not be entitled to transfer any shares if such proposed Transfer results in a Transfer Denial. Any Transfer made following a Transfer Determination that results in a Transfer Approval shall be effected pursuant to a transfer agreement in a form reasonably acceptable to the Corporation (which form shall include, without limitation, a release in favor of the Corporation and representations from the Holder and transferee that the Corporation is not a party to the transaction and has made no representations to the transferee).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3. RIGHT OF FIRST REFUSAL.</w:t>
      </w:r>
    </w:p>
    <w:p>
      <w:pPr>
        <w:spacing w:after="0" w:line="225" w:lineRule="exact"/>
        <w:rPr>
          <w:sz w:val="20"/>
          <w:szCs w:val="20"/>
          <w:color w:val="auto"/>
        </w:rPr>
      </w:pPr>
    </w:p>
    <w:p>
      <w:pPr>
        <w:ind w:right="20" w:firstLine="987"/>
        <w:spacing w:after="0" w:line="269" w:lineRule="auto"/>
        <w:tabs>
          <w:tab w:leader="none" w:pos="1236" w:val="left"/>
        </w:tabs>
        <w:numPr>
          <w:ilvl w:val="0"/>
          <w:numId w:val="218"/>
        </w:numPr>
        <w:rPr>
          <w:rFonts w:ascii="Arial" w:cs="Arial" w:eastAsia="Arial" w:hAnsi="Arial"/>
          <w:sz w:val="17"/>
          <w:szCs w:val="17"/>
          <w:color w:val="auto"/>
        </w:rPr>
      </w:pPr>
      <w:r>
        <w:rPr>
          <w:rFonts w:ascii="Arial" w:cs="Arial" w:eastAsia="Arial" w:hAnsi="Arial"/>
          <w:sz w:val="17"/>
          <w:szCs w:val="17"/>
          <w:color w:val="auto"/>
        </w:rPr>
        <w:t>Subject to the exceptions set forth in Section 3(e) below, for 30 days following a Transfer Determination that results in a Transfer Approval, the Corporation or its assigns shall have the option to purchase all or part of the Offered Shares at the price and upon the terms set forth in the Transfer Notice (the “</w:t>
      </w:r>
      <w:r>
        <w:rPr>
          <w:rFonts w:ascii="Arial" w:cs="Arial" w:eastAsia="Arial" w:hAnsi="Arial"/>
          <w:sz w:val="17"/>
          <w:szCs w:val="17"/>
          <w:u w:val="single" w:color="auto"/>
          <w:color w:val="auto"/>
        </w:rPr>
        <w:t>Right of First Refusal</w:t>
      </w:r>
      <w:r>
        <w:rPr>
          <w:rFonts w:ascii="Arial" w:cs="Arial" w:eastAsia="Arial" w:hAnsi="Arial"/>
          <w:sz w:val="17"/>
          <w:szCs w:val="17"/>
          <w:color w:val="auto"/>
        </w:rPr>
        <w:t xml:space="preserve">”). In the event the Corporation or its assigns, as applicable, elects to purchase all or part of the Offered Shares, it shall give written notice of such election to the Holder within such 30 day period. Within 10 days after Holder’s receipt of such notice, Holder shall tender to the Corporation at its principal offices the certificate or certificates representing the Offered Shares to be purchased by the Corporation, duly endorsed in blank by Holder or with duly endorsed stock powers attached thereto, all in a form suitable for Transfer of the Offered Shares to the Corporation. Promptly following receipt of such certificate or certificates, the Corporation or its assigns, as applicable, shall deliver or mail to Holder a check in payment of the purchase price for such Offered Shares;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if the terms of payment set forth in the Transfer Notice were other than cash against delivery, the Corporation or its assigns, as applicable, may pay for the Offered Shares on the same terms and conditions as were set forth in the Transfer Notice.</w:t>
      </w:r>
    </w:p>
    <w:p>
      <w:pPr>
        <w:spacing w:after="0" w:line="185" w:lineRule="exact"/>
        <w:rPr>
          <w:rFonts w:ascii="Arial" w:cs="Arial" w:eastAsia="Arial" w:hAnsi="Arial"/>
          <w:sz w:val="17"/>
          <w:szCs w:val="17"/>
          <w:color w:val="auto"/>
        </w:rPr>
      </w:pPr>
    </w:p>
    <w:p>
      <w:pPr>
        <w:ind w:right="120" w:firstLine="987"/>
        <w:spacing w:after="0" w:line="263" w:lineRule="auto"/>
        <w:tabs>
          <w:tab w:leader="none" w:pos="1246" w:val="left"/>
        </w:tabs>
        <w:numPr>
          <w:ilvl w:val="0"/>
          <w:numId w:val="218"/>
        </w:numPr>
        <w:rPr>
          <w:rFonts w:ascii="Arial" w:cs="Arial" w:eastAsia="Arial" w:hAnsi="Arial"/>
          <w:sz w:val="18"/>
          <w:szCs w:val="18"/>
          <w:color w:val="auto"/>
        </w:rPr>
      </w:pPr>
      <w:r>
        <w:rPr>
          <w:rFonts w:ascii="Arial" w:cs="Arial" w:eastAsia="Arial" w:hAnsi="Arial"/>
          <w:sz w:val="18"/>
          <w:szCs w:val="18"/>
          <w:color w:val="auto"/>
        </w:rPr>
        <w:t xml:space="preserve">If the Corporation or its assigns, as applicable, does not elect to acquire any of the Offered Shares, Holder may, within the 30-day period following the expiration of the option granted to the Corporation under Section 3(a) above, Transfer the Offered Shares that the Corporation has not elected to acquire to the proposed transferee,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such Transfer shall</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332" w:name="page333"/>
    <w:bookmarkEnd w:id="332"/>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 be on terms and conditions more favorable to the transferee than those contained in the Transfer Notice, such Transfer shall be only to a prospective transferee that is an accredited investor as defined in Rule 501(a) of Regulation D promulgated under the Securities Act and such Transfer shall comply with the Securities Act. Notwithstanding any of the above, all Offered Shares transferred pursuant to this Section 3 shall remain subject to these Bylaws and any equity grant agreement such Offered Shares were subject to and such transferee shall, as a condition to such Transfer, deliver to the Corporation a written instrument confirming that such transferee shall be bound by all of the terms and conditions of these Bylaws and any applicable equity grant agreement.</w:t>
      </w:r>
    </w:p>
    <w:p>
      <w:pPr>
        <w:spacing w:after="0" w:line="192" w:lineRule="exact"/>
        <w:rPr>
          <w:sz w:val="20"/>
          <w:szCs w:val="20"/>
          <w:color w:val="auto"/>
        </w:rPr>
      </w:pPr>
    </w:p>
    <w:p>
      <w:pPr>
        <w:jc w:val="both"/>
        <w:ind w:right="140" w:firstLine="987"/>
        <w:spacing w:after="0" w:line="259" w:lineRule="auto"/>
        <w:tabs>
          <w:tab w:leader="none" w:pos="1236"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After the time at which the Offered Shares are required to be delivered to the Corporation for Transfer to the Corporation pursuant to subsection 3(a) above, the Corporation shall not pay any dividend to Holder on account of such Offered Shares or permit Holder to exercise any of the privileges or rights of a stockholder with respect to such Offered Shares, but shall, insofar as permitted by law, treat the Corporation as the owner of such Offered Shares.</w:t>
      </w:r>
    </w:p>
    <w:p>
      <w:pPr>
        <w:spacing w:after="0" w:line="186" w:lineRule="exact"/>
        <w:rPr>
          <w:rFonts w:ascii="Arial" w:cs="Arial" w:eastAsia="Arial" w:hAnsi="Arial"/>
          <w:sz w:val="18"/>
          <w:szCs w:val="18"/>
          <w:color w:val="auto"/>
        </w:rPr>
      </w:pPr>
    </w:p>
    <w:p>
      <w:pPr>
        <w:ind w:left="1240" w:hanging="253"/>
        <w:spacing w:after="0"/>
        <w:tabs>
          <w:tab w:leader="none" w:pos="124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The Corporation may assign its Right of First Refusal in any particular transaction under this Section 3 to one or more persons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entities.</w:t>
      </w:r>
    </w:p>
    <w:p>
      <w:pPr>
        <w:spacing w:after="0" w:line="210" w:lineRule="exact"/>
        <w:rPr>
          <w:rFonts w:ascii="Arial" w:cs="Arial" w:eastAsia="Arial" w:hAnsi="Arial"/>
          <w:sz w:val="17"/>
          <w:szCs w:val="17"/>
          <w:color w:val="auto"/>
        </w:rPr>
      </w:pPr>
    </w:p>
    <w:p>
      <w:pPr>
        <w:ind w:right="140" w:firstLine="987"/>
        <w:spacing w:after="0" w:line="277" w:lineRule="auto"/>
        <w:tabs>
          <w:tab w:leader="none" w:pos="1236"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provisions of this Section 3 shall not apply to any Transfer of Preferred Stock of the Corporation or the shares of Common Stock issued upon conversion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4. EXCEPTIONS.</w:t>
      </w:r>
    </w:p>
    <w:p>
      <w:pPr>
        <w:spacing w:after="0" w:line="225" w:lineRule="exact"/>
        <w:rPr>
          <w:sz w:val="20"/>
          <w:szCs w:val="20"/>
          <w:color w:val="auto"/>
        </w:rPr>
      </w:pPr>
    </w:p>
    <w:p>
      <w:pPr>
        <w:ind w:left="1240" w:hanging="253"/>
        <w:spacing w:after="0"/>
        <w:tabs>
          <w:tab w:leader="none" w:pos="124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 provisions of this Article VI may be waived with respect to any Transfer upon duly authorized action of its Board of Directors.</w:t>
      </w:r>
    </w:p>
    <w:p>
      <w:pPr>
        <w:spacing w:after="0" w:line="236" w:lineRule="exact"/>
        <w:rPr>
          <w:rFonts w:ascii="Arial" w:cs="Arial" w:eastAsia="Arial" w:hAnsi="Arial"/>
          <w:sz w:val="17"/>
          <w:szCs w:val="17"/>
          <w:color w:val="auto"/>
        </w:rPr>
      </w:pPr>
    </w:p>
    <w:p>
      <w:pPr>
        <w:ind w:left="1240" w:hanging="253"/>
        <w:spacing w:after="0"/>
        <w:tabs>
          <w:tab w:leader="none" w:pos="12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following transactions shall be exempt from the restrictions set forth in Article VI, Section 3:</w:t>
      </w:r>
    </w:p>
    <w:p>
      <w:pPr>
        <w:spacing w:after="0" w:line="117" w:lineRule="exact"/>
        <w:rPr>
          <w:rFonts w:ascii="Arial" w:cs="Arial" w:eastAsia="Arial" w:hAnsi="Arial"/>
          <w:sz w:val="18"/>
          <w:szCs w:val="18"/>
          <w:color w:val="auto"/>
        </w:rPr>
      </w:pPr>
    </w:p>
    <w:p>
      <w:pPr>
        <w:ind w:right="160" w:firstLine="1428"/>
        <w:spacing w:after="0" w:line="257" w:lineRule="auto"/>
        <w:tabs>
          <w:tab w:leader="none" w:pos="1727" w:val="left"/>
        </w:tabs>
        <w:numPr>
          <w:ilvl w:val="1"/>
          <w:numId w:val="220"/>
        </w:numPr>
        <w:rPr>
          <w:rFonts w:ascii="Arial" w:cs="Arial" w:eastAsia="Arial" w:hAnsi="Arial"/>
          <w:sz w:val="18"/>
          <w:szCs w:val="18"/>
          <w:color w:val="auto"/>
        </w:rPr>
      </w:pPr>
      <w:r>
        <w:rPr>
          <w:rFonts w:ascii="Arial" w:cs="Arial" w:eastAsia="Arial" w:hAnsi="Arial"/>
          <w:sz w:val="18"/>
          <w:szCs w:val="18"/>
          <w:color w:val="auto"/>
        </w:rPr>
        <w:t>any Transfer to or for the benefit of (i) any spouse, children, parents, uncles, aunts, siblings or grandchildren of the Holder or any other relatives of the Holder that have been approved by the Board of Directors (collectively, “</w:t>
      </w:r>
      <w:r>
        <w:rPr>
          <w:rFonts w:ascii="Arial" w:cs="Arial" w:eastAsia="Arial" w:hAnsi="Arial"/>
          <w:sz w:val="18"/>
          <w:szCs w:val="18"/>
          <w:u w:val="single" w:color="auto"/>
          <w:color w:val="auto"/>
        </w:rPr>
        <w:t>Approved Relatives</w:t>
      </w:r>
      <w:r>
        <w:rPr>
          <w:rFonts w:ascii="Arial" w:cs="Arial" w:eastAsia="Arial" w:hAnsi="Arial"/>
          <w:sz w:val="18"/>
          <w:szCs w:val="18"/>
          <w:color w:val="auto"/>
        </w:rPr>
        <w:t>”), (ii) a trust established solely for the benefit of the Holder and/or Approved Relatives or (iii) where the Holder is a trust, (x) a trust established solely for the benefit of one or more beneficiaries of the Holder trust and/or Approved Relatives of any such beneficiaries or (y) one or more beneficiaries of the Holder trust and/or Approved Relatives of any such beneficiaries;</w:t>
      </w:r>
    </w:p>
    <w:p>
      <w:pPr>
        <w:spacing w:after="0" w:line="187" w:lineRule="exact"/>
        <w:rPr>
          <w:rFonts w:ascii="Arial" w:cs="Arial" w:eastAsia="Arial" w:hAnsi="Arial"/>
          <w:sz w:val="18"/>
          <w:szCs w:val="18"/>
          <w:color w:val="auto"/>
        </w:rPr>
      </w:pPr>
    </w:p>
    <w:p>
      <w:pPr>
        <w:ind w:right="540" w:firstLine="1428"/>
        <w:spacing w:after="0" w:line="277" w:lineRule="auto"/>
        <w:tabs>
          <w:tab w:leader="none" w:pos="1717" w:val="left"/>
        </w:tabs>
        <w:numPr>
          <w:ilvl w:val="1"/>
          <w:numId w:val="220"/>
        </w:numPr>
        <w:rPr>
          <w:rFonts w:ascii="Arial" w:cs="Arial" w:eastAsia="Arial" w:hAnsi="Arial"/>
          <w:sz w:val="18"/>
          <w:szCs w:val="18"/>
          <w:color w:val="auto"/>
        </w:rPr>
      </w:pPr>
      <w:r>
        <w:rPr>
          <w:rFonts w:ascii="Arial" w:cs="Arial" w:eastAsia="Arial" w:hAnsi="Arial"/>
          <w:sz w:val="18"/>
          <w:szCs w:val="18"/>
          <w:color w:val="auto"/>
        </w:rPr>
        <w:t>any Transfer made as part of the sale of all or substantially all of the shares of capital stock of the Corporation (including pursuant to a merger or consolidation);</w:t>
      </w:r>
    </w:p>
    <w:p>
      <w:pPr>
        <w:spacing w:after="0" w:line="170" w:lineRule="exact"/>
        <w:rPr>
          <w:rFonts w:ascii="Arial" w:cs="Arial" w:eastAsia="Arial" w:hAnsi="Arial"/>
          <w:sz w:val="18"/>
          <w:szCs w:val="18"/>
          <w:color w:val="auto"/>
        </w:rPr>
      </w:pPr>
    </w:p>
    <w:p>
      <w:pPr>
        <w:ind w:left="1720" w:hanging="292"/>
        <w:spacing w:after="0"/>
        <w:tabs>
          <w:tab w:leader="none" w:pos="172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any Transfer pursuant to an effective registration statement filed by the Corporation under the Securities Act;</w:t>
      </w:r>
    </w:p>
    <w:p>
      <w:pPr>
        <w:spacing w:after="0" w:line="225" w:lineRule="exact"/>
        <w:rPr>
          <w:rFonts w:ascii="Arial" w:cs="Arial" w:eastAsia="Arial" w:hAnsi="Arial"/>
          <w:sz w:val="18"/>
          <w:szCs w:val="18"/>
          <w:color w:val="auto"/>
        </w:rPr>
      </w:pPr>
    </w:p>
    <w:p>
      <w:pPr>
        <w:ind w:left="1720" w:hanging="292"/>
        <w:spacing w:after="0"/>
        <w:tabs>
          <w:tab w:leader="none" w:pos="172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a stockholder’s bona fide pledge or mortgage of any Common Stock with a commercial lending institution;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40" w:top="274" w:right="499" w:bottom="1440" w:gutter="0" w:footer="0" w:header="0"/>
        </w:sectPr>
      </w:pPr>
    </w:p>
    <w:bookmarkStart w:id="333" w:name="page334"/>
    <w:bookmarkEnd w:id="333"/>
    <w:p>
      <w:pPr>
        <w:ind w:right="180" w:firstLine="1428"/>
        <w:spacing w:after="0" w:line="263" w:lineRule="auto"/>
        <w:tabs>
          <w:tab w:leader="none" w:pos="1707" w:val="left"/>
        </w:tabs>
        <w:numPr>
          <w:ilvl w:val="1"/>
          <w:numId w:val="2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corporate stockholder’s Transfer of any or all of its shares pursuant to and in accordance with the terms of any merger, consolidation, reclassification of common stock or capital reorganization of the corporate stockholder, or pursuant to a sale of all or substantially all of the stock or assets of a corporate stockholder;</w:t>
      </w:r>
    </w:p>
    <w:p>
      <w:pPr>
        <w:spacing w:after="0" w:line="183" w:lineRule="exact"/>
        <w:rPr>
          <w:rFonts w:ascii="Arial" w:cs="Arial" w:eastAsia="Arial" w:hAnsi="Arial"/>
          <w:sz w:val="18"/>
          <w:szCs w:val="18"/>
          <w:color w:val="auto"/>
        </w:rPr>
      </w:pPr>
    </w:p>
    <w:p>
      <w:pPr>
        <w:ind w:left="1700" w:hanging="272"/>
        <w:spacing w:after="0"/>
        <w:tabs>
          <w:tab w:leader="none" w:pos="170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 corporate stockholder’s Transfer of any or all of its shares to any or all of its stockholders; and</w:t>
      </w:r>
    </w:p>
    <w:p>
      <w:pPr>
        <w:spacing w:after="0" w:line="225" w:lineRule="exact"/>
        <w:rPr>
          <w:rFonts w:ascii="Arial" w:cs="Arial" w:eastAsia="Arial" w:hAnsi="Arial"/>
          <w:sz w:val="18"/>
          <w:szCs w:val="18"/>
          <w:color w:val="auto"/>
        </w:rPr>
      </w:pPr>
    </w:p>
    <w:p>
      <w:pPr>
        <w:ind w:left="1720" w:hanging="292"/>
        <w:spacing w:after="0"/>
        <w:tabs>
          <w:tab w:leader="none" w:pos="172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a Transfer of any or all of the shares held by a stockholder which is a limited or general partnership to any or all of its partners.</w:t>
      </w:r>
    </w:p>
    <w:p>
      <w:pPr>
        <w:spacing w:after="0" w:line="248" w:lineRule="exact"/>
        <w:rPr>
          <w:rFonts w:ascii="Arial" w:cs="Arial" w:eastAsia="Arial" w:hAnsi="Arial"/>
          <w:sz w:val="16"/>
          <w:szCs w:val="16"/>
          <w:color w:val="auto"/>
        </w:rPr>
      </w:pPr>
    </w:p>
    <w:p>
      <w:pPr>
        <w:ind w:right="20" w:firstLine="987"/>
        <w:spacing w:after="0" w:line="259" w:lineRule="auto"/>
        <w:tabs>
          <w:tab w:leader="none" w:pos="1236"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In the case of a Transfer pursuant to Sections 4(b)(A) and (D)-(G) above, such shares shall remain subject to these Bylaws and any existing equity grant agreement and such transferee shall, as a condition to such Transfer, deliver to the Corporation a written instrument confirming that such transferee shall be bound by all of the terms and conditions of these Bylaws and any applicable equity grant agreement and there shall be no further Transfer of such shares except in accordance with these Bylaws.</w:t>
      </w:r>
    </w:p>
    <w:p>
      <w:pPr>
        <w:spacing w:after="0" w:line="187" w:lineRule="exact"/>
        <w:rPr>
          <w:sz w:val="20"/>
          <w:szCs w:val="20"/>
          <w:color w:val="auto"/>
        </w:rPr>
      </w:pPr>
    </w:p>
    <w:p>
      <w:pPr>
        <w:ind w:right="700" w:firstLine="440"/>
        <w:spacing w:after="0" w:line="308" w:lineRule="auto"/>
        <w:rPr>
          <w:sz w:val="20"/>
          <w:szCs w:val="20"/>
          <w:color w:val="auto"/>
        </w:rPr>
      </w:pPr>
      <w:r>
        <w:rPr>
          <w:rFonts w:ascii="Arial" w:cs="Arial" w:eastAsia="Arial" w:hAnsi="Arial"/>
          <w:sz w:val="17"/>
          <w:szCs w:val="17"/>
          <w:color w:val="auto"/>
        </w:rPr>
        <w:t>SECTION 5. TERMINATION. The provisions of Article VI shall terminate upon the closing of the sale of shares of common stock in an underwritten public offering pursuant to an effective registration statement filed by the Corporation under the Securities Act.</w:t>
      </w:r>
    </w:p>
    <w:p>
      <w:pPr>
        <w:spacing w:after="0" w:line="146" w:lineRule="exact"/>
        <w:rPr>
          <w:sz w:val="20"/>
          <w:szCs w:val="20"/>
          <w:color w:val="auto"/>
        </w:rPr>
      </w:pPr>
    </w:p>
    <w:p>
      <w:pPr>
        <w:jc w:val="both"/>
        <w:ind w:right="240" w:firstLine="440"/>
        <w:spacing w:after="0" w:line="286" w:lineRule="auto"/>
        <w:rPr>
          <w:sz w:val="20"/>
          <w:szCs w:val="20"/>
          <w:color w:val="auto"/>
        </w:rPr>
      </w:pPr>
      <w:r>
        <w:rPr>
          <w:rFonts w:ascii="Arial" w:cs="Arial" w:eastAsia="Arial" w:hAnsi="Arial"/>
          <w:sz w:val="17"/>
          <w:szCs w:val="17"/>
          <w:color w:val="auto"/>
        </w:rPr>
        <w:t>SECTION 6. VOID TRANSFERS. The Corporation shall not be required (a) to Transfer on its books any shares which shall have been sold or otherwise transferred in violation of any of the provisions of this Article VI or (b) to treat as owner of such shares or to accord the right to vote or pay dividends to any purchaser or other transferee to whom any such shares shall have been so sold or transferred.</w:t>
      </w:r>
    </w:p>
    <w:p>
      <w:pPr>
        <w:spacing w:after="0" w:line="165"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SECTION 7. LEGENDS. The books and records of the Corporation and any certificates representing shares of stock of the Corporation shall contain or bear the following legend so long as the foregoing Transfer restrictions are in effect:</w:t>
      </w:r>
    </w:p>
    <w:p>
      <w:pPr>
        <w:spacing w:after="0" w:line="62" w:lineRule="exact"/>
        <w:rPr>
          <w:sz w:val="20"/>
          <w:szCs w:val="20"/>
          <w:color w:val="auto"/>
        </w:rPr>
      </w:pPr>
    </w:p>
    <w:p>
      <w:pPr>
        <w:ind w:left="980"/>
        <w:spacing w:after="0" w:line="263" w:lineRule="auto"/>
        <w:rPr>
          <w:sz w:val="20"/>
          <w:szCs w:val="20"/>
          <w:color w:val="auto"/>
        </w:rPr>
      </w:pPr>
      <w:r>
        <w:rPr>
          <w:rFonts w:ascii="Arial" w:cs="Arial" w:eastAsia="Arial" w:hAnsi="Arial"/>
          <w:sz w:val="18"/>
          <w:szCs w:val="18"/>
          <w:color w:val="auto"/>
        </w:rPr>
        <w:t>THE SHARES REPRESENTED BY THIS CERTIFICATE ARE SUBJECT TO (i) TRANSFER RESTRICTIONS AND (ii) A RIGHT OF FIRST REFUSAL OPTION IN FAVOR OF THE CORPORATION AND/OR ITS ASSIGNEE(S), EACH AS PROVIDED IN THE BYLAWS OF THE CORPORATION.</w:t>
      </w:r>
    </w:p>
    <w:p>
      <w:pPr>
        <w:spacing w:after="0" w:line="184"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SECTION 8. CONFLICTS. To the extent the Corporation has entered into any written agreement with the stockholder attempting to Transfer shares that contains terms restricting such Transfer and grants the Corporation a right of first refusal with respect thereto (“</w:t>
      </w:r>
      <w:r>
        <w:rPr>
          <w:rFonts w:ascii="Arial" w:cs="Arial" w:eastAsia="Arial" w:hAnsi="Arial"/>
          <w:sz w:val="17"/>
          <w:szCs w:val="17"/>
          <w:u w:val="single" w:color="auto"/>
          <w:color w:val="auto"/>
        </w:rPr>
        <w:t>Separate ROFR Terms</w:t>
      </w:r>
      <w:r>
        <w:rPr>
          <w:rFonts w:ascii="Arial" w:cs="Arial" w:eastAsia="Arial" w:hAnsi="Arial"/>
          <w:sz w:val="17"/>
          <w:szCs w:val="17"/>
          <w:color w:val="auto"/>
        </w:rPr>
        <w:t>”), then such Separate ROFR Terms shall supersede this Article VI and shall control such stockholder’s proposed Transfer of shares.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334" w:name="page335"/>
    <w:bookmarkEnd w:id="3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SECTION 1. RIGHT TO INDEMNIFICATION OF DIRECTORS AND OFFICERS. The Corporation shall indemnify and hold harmless, to the fullest extent permitted by applicable law as it presently exists or may hereafter be amended, any person (an “</w:t>
      </w:r>
      <w:r>
        <w:rPr>
          <w:rFonts w:ascii="Arial" w:cs="Arial" w:eastAsia="Arial" w:hAnsi="Arial"/>
          <w:sz w:val="16"/>
          <w:szCs w:val="16"/>
          <w:u w:val="single" w:color="auto"/>
          <w:color w:val="auto"/>
        </w:rPr>
        <w:t>Indemnified Person</w:t>
      </w:r>
      <w:r>
        <w:rPr>
          <w:rFonts w:ascii="Arial" w:cs="Arial" w:eastAsia="Arial" w:hAnsi="Arial"/>
          <w:sz w:val="16"/>
          <w:szCs w:val="16"/>
          <w:color w:val="auto"/>
        </w:rPr>
        <w:t>”) who was or is made or is threatened to be made a party or is otherwise involved in any action, suit or proceeding, whether civil, criminal, administrative or investigative (a “</w:t>
      </w:r>
      <w:r>
        <w:rPr>
          <w:rFonts w:ascii="Arial" w:cs="Arial" w:eastAsia="Arial" w:hAnsi="Arial"/>
          <w:sz w:val="16"/>
          <w:szCs w:val="16"/>
          <w:u w:val="single" w:color="auto"/>
          <w:color w:val="auto"/>
        </w:rPr>
        <w:t>Proceeding</w:t>
      </w:r>
      <w:r>
        <w:rPr>
          <w:rFonts w:ascii="Arial" w:cs="Arial" w:eastAsia="Arial" w:hAnsi="Arial"/>
          <w:sz w:val="16"/>
          <w:szCs w:val="16"/>
          <w:color w:val="auto"/>
        </w:rPr>
        <w:t>”), by reason of the fact that such person, or a person for whom such person is the legal representative, is or was a director or officer of the Corporation or, while a director or officer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Indemnified Person in such Proceeding. Notwithstanding the preceding sentence, except as otherwise provided in Section 3 of this Article VII, the Corporation shall be required to indemnify an Indemnified Person in connection with a Proceeding (or part thereof) commenced by such Indemnified Person only if the commencement of such Proceeding (or part thereof) by the Indemnified Person was authorized in advance by the Board of Directors.</w:t>
      </w:r>
    </w:p>
    <w:p>
      <w:pPr>
        <w:spacing w:after="0" w:line="168"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SECTION 2. PREPAYMENT OF EXPENSES OF DIRECTORS AND OFFICERS. The Corporation shall pay the expenses (including attorneys’ fees) incurred by an Indemnified Person in defending any Proceeding in advance of its final disposition,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required by law,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this Article VII or otherwise.</w:t>
      </w:r>
    </w:p>
    <w:p>
      <w:pPr>
        <w:spacing w:after="0" w:line="188" w:lineRule="exact"/>
        <w:rPr>
          <w:sz w:val="20"/>
          <w:szCs w:val="20"/>
          <w:color w:val="auto"/>
        </w:rPr>
      </w:pPr>
    </w:p>
    <w:p>
      <w:pPr>
        <w:ind w:right="200" w:firstLine="440"/>
        <w:spacing w:after="0" w:line="257" w:lineRule="auto"/>
        <w:rPr>
          <w:sz w:val="20"/>
          <w:szCs w:val="20"/>
          <w:color w:val="auto"/>
        </w:rPr>
      </w:pPr>
      <w:r>
        <w:rPr>
          <w:rFonts w:ascii="Arial" w:cs="Arial" w:eastAsia="Arial" w:hAnsi="Arial"/>
          <w:sz w:val="18"/>
          <w:szCs w:val="18"/>
          <w:color w:val="auto"/>
        </w:rPr>
        <w:t>SECTION 3. CLAIMS BY DIRECTORS AND OFFICERS. If a claim for indemnification or advancement of expenses under this Article VII is not paid in full within 30 days after a written claim therefor by the Indemnified Person has been received by the Corporation, the Indemnified Person may file suit to recover the unpaid amount of such claim and, if successful in whole or in part, shall be entitled to be paid the expense of prosecuting such claim. In any such action the Corporation shall have the burden of proving that the Indemnified Person is not entitled to the requested indemnification or advancement of expenses under applicable law.</w:t>
      </w:r>
    </w:p>
    <w:p>
      <w:pPr>
        <w:spacing w:after="0" w:line="188"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SECTION 4. INDEMNIFICATION OF EMPLOYEES AND AGENTS. The Corporation may indemnify and advance expenses to any person who was or is made or is threatened to be made or is otherwise involved in any Proceeding by reason of the fact that such person, or a person for whom such person is the legal representative, is or was an employee or agent of the Corporation or, while an employee or agent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person in connection with such Proceeding. The ultimate determination of entitlement to indemnification of persons who are non-director or officer employees or agents shall be made in such manner as is determined by the Board of Directors in its sole discretion. Notwithstanding the foregoing sentence, the Corporation shall not be required to indemnify a person in connection with a Proceeding initiated by such person if the Proceeding was not authorized in advance by the Board of Directors.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0" w:right="439" w:bottom="1440" w:gutter="0" w:footer="0" w:header="0"/>
        </w:sectPr>
      </w:pPr>
    </w:p>
    <w:bookmarkStart w:id="335" w:name="page336"/>
    <w:bookmarkEnd w:id="335"/>
    <w:p>
      <w:pPr>
        <w:ind w:right="2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5. ADVANCEMENT OF EXPENSES OF EMPLOYEES AND AGENTS. The Corporation may pay the expenses (including attorneys’ fees) incurred by an employee or agent in defending any Proceeding in advance of its final disposition on such terms and conditions as may be determined by the Board of Directors.</w:t>
      </w:r>
    </w:p>
    <w:p>
      <w:pPr>
        <w:spacing w:after="0" w:line="184"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SECTION 6. NON-EXCLUSIVITY OF RIGHTS. The rights conferred on any person by this Article VII shall not be exclusive of any other rights which such person may have or hereafter acquire under any statute, provision of the Certificate of Incorporation, these bylaws, agreement, vote of stockholders or disinterested directors or otherwise.</w:t>
      </w:r>
    </w:p>
    <w:p>
      <w:pPr>
        <w:spacing w:after="0" w:line="184"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SECTION 7. OTHER INDEMNIFICATION. The Corporation’s obligation, if any, to indemnify any person who was or is serving at its request as a director, officer or employee of another corporation, partnership, limited liability company, joint venture, trust, organization or other enterprise shall be reduced by any amount such person may collect as indemnification from such other corporation, partnership, limited liability company, joint venture, trust, organization or other enterprise.</w:t>
      </w:r>
    </w:p>
    <w:p>
      <w:pPr>
        <w:spacing w:after="0" w:line="187"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SECTION 8. INSURANCE. The Board of Directors may, to the full extent permitted by applicable law as it presently exists, or may hereafter be amended from time to time, authorize an appropriate officer or officers to purchase and maintain at the Corporation’s expense insurance: (a) to indemnify the Corporation for any obligation which it incurs as a result of the indemnification of directors, officers and employees under the provisions of this Article VII; and (b) to indemnify or insure directors, officers and employees against liability in instances in which they may not otherwise be indemnified by the Corporation under the provisions of this Article VII.</w:t>
      </w:r>
    </w:p>
    <w:p>
      <w:pPr>
        <w:spacing w:after="0" w:line="188" w:lineRule="exact"/>
        <w:rPr>
          <w:sz w:val="20"/>
          <w:szCs w:val="20"/>
          <w:color w:val="auto"/>
        </w:rPr>
      </w:pPr>
    </w:p>
    <w:p>
      <w:pPr>
        <w:jc w:val="both"/>
        <w:ind w:right="180" w:firstLine="440"/>
        <w:spacing w:after="0" w:line="286" w:lineRule="auto"/>
        <w:rPr>
          <w:sz w:val="20"/>
          <w:szCs w:val="20"/>
          <w:color w:val="auto"/>
        </w:rPr>
      </w:pPr>
      <w:r>
        <w:rPr>
          <w:rFonts w:ascii="Arial" w:cs="Arial" w:eastAsia="Arial" w:hAnsi="Arial"/>
          <w:sz w:val="17"/>
          <w:szCs w:val="17"/>
          <w:color w:val="auto"/>
        </w:rPr>
        <w:t>SECTION 9. AMENDMENT OR REPEAL. Any repeal or modification of the foregoing provisions of this Article VII shall not adversely affect any right or protection hereunder of any person in respect of any act or omission occurring prior to the time of such repeal or modification. The rights provided hereunder shall inure to the benefit of any Indemnified Person and such person’s heirs, executors and administrators.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DIVIDENDS</w:t>
      </w:r>
    </w:p>
    <w:p>
      <w:pPr>
        <w:spacing w:after="0" w:line="211"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SECTION 1. DECLARATIONS OF DIVIDENDS. Dividends upon the capital stock of the Corporation, subject to the provisions of the Certificate of Incorporation, if any, may be declared by the Board of Directors at any regular or special meeting, pursuant to law. Dividends may be paid in cash, in property, or in shares of the capital stock, subject to the provisions of the Certificate of Incorporation.</w:t>
      </w:r>
    </w:p>
    <w:p>
      <w:pPr>
        <w:spacing w:after="0" w:line="184"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SECTION 2. SPECIAL PURPOSES RESERVES. The Board of Directors may set apart out of any of the funds of the Corporation available for dividends a reserve or reserves for any proper purpose and may abolish any such reserve.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336" w:name="page337"/>
    <w:bookmarkEnd w:id="336"/>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IX.</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NOTICE BY ELECTRONIC TRANSMISSION</w:t>
      </w:r>
    </w:p>
    <w:p>
      <w:pPr>
        <w:spacing w:after="0" w:line="211" w:lineRule="exact"/>
        <w:rPr>
          <w:sz w:val="20"/>
          <w:szCs w:val="20"/>
          <w:color w:val="auto"/>
        </w:rPr>
      </w:pPr>
    </w:p>
    <w:p>
      <w:pPr>
        <w:ind w:left="4" w:firstLine="440"/>
        <w:spacing w:after="0" w:line="290" w:lineRule="auto"/>
        <w:rPr>
          <w:sz w:val="20"/>
          <w:szCs w:val="20"/>
          <w:color w:val="auto"/>
        </w:rPr>
      </w:pPr>
      <w:r>
        <w:rPr>
          <w:rFonts w:ascii="Arial" w:cs="Arial" w:eastAsia="Arial" w:hAnsi="Arial"/>
          <w:sz w:val="16"/>
          <w:szCs w:val="16"/>
          <w:color w:val="auto"/>
        </w:rPr>
        <w:t>SECTION 1. NOTICE BY ELECTRONIC TRANSMISSION. Without limiting the manner by which notice otherwise may be given effectively to stockholders, any notice to stockholders given by the Corporation under the Delaware General Corporation Law, the Certificate of Incorporation, or these Bylaws may be given in writing directed to the stockholder’s mailing address (or by electronic transmission directed to the stockholder’s electronic mail address, as applicable) as it appears on the records of the Corporation and shall be given (1) if mailed, when the notice is deposited in the U.S. mail, postage prepaid, (2) if 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 transmission of an objection to receiving notice by electronic mail or such notice is prohibited by Section 3 of this Article. A notice by electronic mail must include a prominent legend that the communication is an important notice regarding the Corporation.</w:t>
      </w:r>
    </w:p>
    <w:p>
      <w:pPr>
        <w:spacing w:after="0" w:line="57" w:lineRule="exact"/>
        <w:rPr>
          <w:sz w:val="20"/>
          <w:szCs w:val="20"/>
          <w:color w:val="auto"/>
        </w:rPr>
      </w:pPr>
    </w:p>
    <w:p>
      <w:pPr>
        <w:ind w:left="4" w:right="180" w:firstLine="991"/>
        <w:spacing w:after="0" w:line="279" w:lineRule="auto"/>
        <w:rPr>
          <w:sz w:val="20"/>
          <w:szCs w:val="20"/>
          <w:color w:val="auto"/>
        </w:rPr>
      </w:pPr>
      <w:r>
        <w:rPr>
          <w:rFonts w:ascii="Arial" w:cs="Arial" w:eastAsia="Arial" w:hAnsi="Arial"/>
          <w:sz w:val="17"/>
          <w:szCs w:val="17"/>
          <w:color w:val="auto"/>
        </w:rPr>
        <w:t>Without limiting the manner by which notice otherwise may be given effectively to stockholders, but subject to Section 3 of this Article, any notice to stockholders given by the Corporation under any provision of the Delaware General Corporation Law,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color w:val="auto"/>
        </w:rPr>
        <w:t>Any notice given pursuant to the preceding paragraph shall be deemed given:</w:t>
      </w:r>
    </w:p>
    <w:p>
      <w:pPr>
        <w:spacing w:after="0" w:line="117" w:lineRule="exact"/>
        <w:rPr>
          <w:sz w:val="20"/>
          <w:szCs w:val="20"/>
          <w:color w:val="auto"/>
        </w:rPr>
      </w:pPr>
    </w:p>
    <w:p>
      <w:pPr>
        <w:ind w:left="1244" w:hanging="253"/>
        <w:spacing w:after="0"/>
        <w:tabs>
          <w:tab w:leader="none" w:pos="1244" w:val="left"/>
        </w:tabs>
        <w:numPr>
          <w:ilvl w:val="1"/>
          <w:numId w:val="223"/>
        </w:numPr>
        <w:rPr>
          <w:rFonts w:ascii="Arial" w:cs="Arial" w:eastAsia="Arial" w:hAnsi="Arial"/>
          <w:sz w:val="18"/>
          <w:szCs w:val="18"/>
          <w:color w:val="auto"/>
        </w:rPr>
      </w:pPr>
      <w:r>
        <w:rPr>
          <w:rFonts w:ascii="Arial" w:cs="Arial" w:eastAsia="Arial" w:hAnsi="Arial"/>
          <w:sz w:val="18"/>
          <w:szCs w:val="18"/>
          <w:color w:val="auto"/>
        </w:rPr>
        <w:t>if by facsimile telecommunication, when directed to a number at which the stockholder has consented to receive notice;</w:t>
      </w:r>
    </w:p>
    <w:p>
      <w:pPr>
        <w:spacing w:after="0" w:line="225" w:lineRule="exact"/>
        <w:rPr>
          <w:rFonts w:ascii="Arial" w:cs="Arial" w:eastAsia="Arial" w:hAnsi="Arial"/>
          <w:sz w:val="18"/>
          <w:szCs w:val="18"/>
          <w:color w:val="auto"/>
        </w:rPr>
      </w:pPr>
    </w:p>
    <w:p>
      <w:pPr>
        <w:ind w:left="1244" w:hanging="253"/>
        <w:spacing w:after="0"/>
        <w:tabs>
          <w:tab w:leader="none" w:pos="1244" w:val="left"/>
        </w:tabs>
        <w:numPr>
          <w:ilvl w:val="1"/>
          <w:numId w:val="223"/>
        </w:numPr>
        <w:rPr>
          <w:rFonts w:ascii="Arial" w:cs="Arial" w:eastAsia="Arial" w:hAnsi="Arial"/>
          <w:sz w:val="17"/>
          <w:szCs w:val="17"/>
          <w:color w:val="auto"/>
        </w:rPr>
      </w:pPr>
      <w:r>
        <w:rPr>
          <w:rFonts w:ascii="Arial" w:cs="Arial" w:eastAsia="Arial" w:hAnsi="Arial"/>
          <w:sz w:val="17"/>
          <w:szCs w:val="17"/>
          <w:color w:val="auto"/>
        </w:rPr>
        <w:t>if by a posting on an electronic network together with separate notice to the stockholder of such specific posting, upon the later of</w:t>
      </w:r>
    </w:p>
    <w:p>
      <w:pPr>
        <w:spacing w:after="0" w:line="34" w:lineRule="exact"/>
        <w:rPr>
          <w:rFonts w:ascii="Arial" w:cs="Arial" w:eastAsia="Arial" w:hAnsi="Arial"/>
          <w:sz w:val="17"/>
          <w:szCs w:val="17"/>
          <w:color w:val="auto"/>
        </w:rPr>
      </w:pPr>
    </w:p>
    <w:p>
      <w:pPr>
        <w:ind w:left="304" w:hanging="304"/>
        <w:spacing w:after="0"/>
        <w:tabs>
          <w:tab w:leader="none" w:pos="304" w:val="left"/>
        </w:tabs>
        <w:numPr>
          <w:ilvl w:val="0"/>
          <w:numId w:val="224"/>
        </w:numPr>
        <w:rPr>
          <w:rFonts w:ascii="Arial" w:cs="Arial" w:eastAsia="Arial" w:hAnsi="Arial"/>
          <w:sz w:val="18"/>
          <w:szCs w:val="18"/>
          <w:color w:val="auto"/>
        </w:rPr>
      </w:pPr>
      <w:r>
        <w:rPr>
          <w:rFonts w:ascii="Arial" w:cs="Arial" w:eastAsia="Arial" w:hAnsi="Arial"/>
          <w:sz w:val="18"/>
          <w:szCs w:val="18"/>
          <w:color w:val="auto"/>
        </w:rPr>
        <w:t>such posting and (B) the giving of such separate notice; and</w:t>
      </w:r>
    </w:p>
    <w:p>
      <w:pPr>
        <w:spacing w:after="0" w:line="210" w:lineRule="exact"/>
        <w:rPr>
          <w:rFonts w:ascii="Arial" w:cs="Arial" w:eastAsia="Arial" w:hAnsi="Arial"/>
          <w:sz w:val="18"/>
          <w:szCs w:val="18"/>
          <w:color w:val="auto"/>
        </w:rPr>
      </w:pPr>
    </w:p>
    <w:p>
      <w:pPr>
        <w:ind w:left="1244" w:hanging="253"/>
        <w:spacing w:after="0"/>
        <w:tabs>
          <w:tab w:leader="none" w:pos="1244" w:val="left"/>
        </w:tabs>
        <w:numPr>
          <w:ilvl w:val="1"/>
          <w:numId w:val="224"/>
        </w:numPr>
        <w:rPr>
          <w:rFonts w:ascii="Arial" w:cs="Arial" w:eastAsia="Arial" w:hAnsi="Arial"/>
          <w:sz w:val="18"/>
          <w:szCs w:val="18"/>
          <w:color w:val="auto"/>
        </w:rPr>
      </w:pPr>
      <w:r>
        <w:rPr>
          <w:rFonts w:ascii="Arial" w:cs="Arial" w:eastAsia="Arial" w:hAnsi="Arial"/>
          <w:sz w:val="18"/>
          <w:szCs w:val="18"/>
          <w:color w:val="auto"/>
        </w:rPr>
        <w:t>if by any other form of electronic transmission, when directed to the stockholder.</w:t>
      </w:r>
    </w:p>
    <w:p>
      <w:pPr>
        <w:spacing w:after="0" w:line="225" w:lineRule="exact"/>
        <w:rPr>
          <w:sz w:val="20"/>
          <w:szCs w:val="20"/>
          <w:color w:val="auto"/>
        </w:rPr>
      </w:pPr>
    </w:p>
    <w:p>
      <w:pPr>
        <w:ind w:left="4" w:right="300"/>
        <w:spacing w:after="0" w:line="259" w:lineRule="auto"/>
        <w:rPr>
          <w:sz w:val="20"/>
          <w:szCs w:val="20"/>
          <w:color w:val="auto"/>
        </w:rPr>
      </w:pPr>
      <w:r>
        <w:rPr>
          <w:rFonts w:ascii="Arial" w:cs="Arial" w:eastAsia="Arial" w:hAnsi="Arial"/>
          <w:sz w:val="18"/>
          <w:szCs w:val="18"/>
          <w:color w:val="auto"/>
        </w:rPr>
        <w:t>Notwithstanding the foregoing, a notice may not be given by an electronic transmission from and after the time that (1) the Corporation is unable to deliver by such electronic transmission 2 consecutive notices given by the Corporation and (2) such inability becomes known to the secretary or an assistant secretary of the Corporation or to the transfer agent, or other person responsible for the giving of notice, provided, however, the inadvertent failure to discover such inability shall not invalidate any meeting or other action.</w:t>
      </w:r>
    </w:p>
    <w:p>
      <w:pPr>
        <w:spacing w:after="0" w:line="187"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 xml:space="preserve">An affidavit of the secretary or an assistant secretary or of the transfer agent or other agent of the Corporation that the notice has been given shall, in the absence of fraud,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facts stated therein.</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0" w:right="459" w:bottom="1440" w:gutter="0" w:footer="0" w:header="0"/>
        </w:sectPr>
      </w:pPr>
    </w:p>
    <w:bookmarkStart w:id="337" w:name="page338"/>
    <w:bookmarkEnd w:id="337"/>
    <w:p>
      <w:pPr>
        <w:ind w:firstLine="4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 DEFINITION OF ELECTRONIC TRANSMISSION; ELECTRONIC MAIL; ELECTRONIC MAIL ADDRESS. An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 An “electronic mail”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 An “electronic mail address”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spacing w:after="0" w:line="196"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SECTION 3. INAPPLICABILITY. Notice by a form of electronic transmission shall not apply to Sections 164, 296, 311, 312 or 324 of the Delaware General Corporation Law.</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 FISCAL YEAR. The fiscal year of the Corporation shall be fixed by resolution of the Board of Directors.</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SECTION 2. SEAL. The corporate seal shall have inscribed thereon the name of the Corporation, the year of its organization and the words “Corporate Seal, Delaware” or such other form as shall be approved by the Board of Directors. Said seal may be used by causing it or a facsimile thereof to be impressed or affixed or reproduced or otherwise.</w:t>
      </w:r>
    </w:p>
    <w:p>
      <w:pPr>
        <w:spacing w:after="0" w:line="184"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SECTION 3. WRITTEN WAIVER OF NOTICE. A written waiver of any notice required to be given by law, the Certificate of Incorporation or by these Bylaws, signed by or electronically transmitted by the person entitled to notice, whether before, at or after the time of the event for which notice is to be given, shall be deemed equivalent to notice required to be given to such person. Neither the business to be transacted at, nor the purpose of, any regular or special meeting of stockholders, directors or members of a committee of directors need be specified in any written waiver of notice.</w:t>
      </w:r>
    </w:p>
    <w:p>
      <w:pPr>
        <w:spacing w:after="0" w:line="15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SECTION 4. ATTENDANCE AS WAIVER OF NOTICE. Attendance of a person at a meeting shall constitute a waiver of notice of such meeting, except when the person attends a meeting for the express purpose of objecting at the beginning of the meeting, and objects, to the transaction of any business because the meeting is not lawfully called or convened.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5. WAIVER OF SECTION 1501.</w:t>
      </w:r>
    </w:p>
    <w:p>
      <w:pPr>
        <w:spacing w:after="0" w:line="225"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To the fullest extent provided by the law, the Corporation shall not be required to cause annual reports to be delivered to its stockholders under Section 1501 of the California General Corporation Law.</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38" w:name="page339"/>
    <w:bookmarkEnd w:id="338"/>
    <w:p>
      <w:pPr>
        <w:ind w:right="22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 CONTRACTS. The Board of Directors may authorize any officer or officers, agent or agents, to enter into any contract or execute and deliver any instrument in the name of and on behalf of the Corporation, and such authority may be general or confined to specific instances.</w:t>
      </w:r>
    </w:p>
    <w:p>
      <w:pPr>
        <w:spacing w:after="0" w:line="124" w:lineRule="exact"/>
        <w:rPr>
          <w:sz w:val="20"/>
          <w:szCs w:val="20"/>
          <w:color w:val="auto"/>
        </w:rPr>
      </w:pPr>
    </w:p>
    <w:p>
      <w:pPr>
        <w:ind w:right="400" w:firstLine="440"/>
        <w:spacing w:after="0" w:line="308" w:lineRule="auto"/>
        <w:rPr>
          <w:sz w:val="20"/>
          <w:szCs w:val="20"/>
          <w:color w:val="auto"/>
        </w:rPr>
      </w:pPr>
      <w:r>
        <w:rPr>
          <w:rFonts w:ascii="Arial" w:cs="Arial" w:eastAsia="Arial" w:hAnsi="Arial"/>
          <w:sz w:val="17"/>
          <w:szCs w:val="17"/>
          <w:color w:val="auto"/>
        </w:rPr>
        <w:t>SECTION 7. LOANS. No loans shall be contracted on behalf of the Corporation and no evidences of indebtedness shall be issued in its name unless authorized by a resolution of the Board of Directors. Such authority may be general or confined to specific instances.</w:t>
      </w:r>
    </w:p>
    <w:p>
      <w:pPr>
        <w:spacing w:after="0" w:line="146"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SECTION 8. CHECKS, DRAFTS, ETC. All checks, drafts or other orders for the payment of money, notes or other evidences of indebtedness issued in the name of the Corporation shall be signed by one or more officers or agents of the Corporation and in such manner as shall from time to time be determined by resolution of the Board of Directors.</w:t>
      </w:r>
    </w:p>
    <w:p>
      <w:pPr>
        <w:spacing w:after="0" w:line="184"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SECTION 9. DEPOSITS. The funds of the Corporation may be deposited or invested in such bank account, in such investments or with such other depositaries as determined by the Board of Directors.</w:t>
      </w:r>
    </w:p>
    <w:p>
      <w:pPr>
        <w:spacing w:after="0" w:line="170" w:lineRule="exact"/>
        <w:rPr>
          <w:sz w:val="20"/>
          <w:szCs w:val="20"/>
          <w:color w:val="auto"/>
        </w:rPr>
      </w:pPr>
    </w:p>
    <w:p>
      <w:pPr>
        <w:ind w:right="820" w:firstLine="440"/>
        <w:spacing w:after="0" w:line="342" w:lineRule="auto"/>
        <w:rPr>
          <w:sz w:val="20"/>
          <w:szCs w:val="20"/>
          <w:color w:val="auto"/>
        </w:rPr>
      </w:pPr>
      <w:r>
        <w:rPr>
          <w:rFonts w:ascii="Arial" w:cs="Arial" w:eastAsia="Arial" w:hAnsi="Arial"/>
          <w:sz w:val="16"/>
          <w:szCs w:val="16"/>
          <w:color w:val="auto"/>
        </w:rPr>
        <w:t>SECTION 10. ANNUAL STATEMENT. The Board of Directors shall present at each annual meeting, and at any special meeting of the stockholders when called for by vote of the stockholders, a full and clear statement of the business and condition of the Corporation.</w:t>
      </w:r>
    </w:p>
    <w:p>
      <w:pPr>
        <w:spacing w:after="0" w:line="124" w:lineRule="exact"/>
        <w:rPr>
          <w:sz w:val="20"/>
          <w:szCs w:val="20"/>
          <w:color w:val="auto"/>
        </w:rPr>
      </w:pPr>
    </w:p>
    <w:p>
      <w:pPr>
        <w:jc w:val="both"/>
        <w:ind w:right="20" w:firstLine="440"/>
        <w:spacing w:after="0" w:line="259" w:lineRule="auto"/>
        <w:rPr>
          <w:sz w:val="20"/>
          <w:szCs w:val="20"/>
          <w:color w:val="auto"/>
        </w:rPr>
      </w:pPr>
      <w:r>
        <w:rPr>
          <w:rFonts w:ascii="Arial" w:cs="Arial" w:eastAsia="Arial" w:hAnsi="Arial"/>
          <w:sz w:val="18"/>
          <w:szCs w:val="18"/>
          <w:color w:val="auto"/>
        </w:rPr>
        <w:t>SECTION 11. VOTING OF SECURITIES. Except as the Board of Directors may otherwise designate, the Chief Executive Officer, the President or the Treasurer may waive notice of, vote, or appoint any person or persons to vote, on behalf of the Corporation at, and act as, or appoint any person or persons to act as, proxy or attorney-in-fact for this Corporation (with or without power of substitution) at, any meeting of stockholders or securityholders of any other entity, the securities of which may be held by this Corporation.</w:t>
      </w:r>
    </w:p>
    <w:p>
      <w:pPr>
        <w:spacing w:after="0" w:line="187"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SECTION 12. EVIDENCE OF AUTHORITY. A certificate by the Secretary, or an Assistant Secretary, or a temporary Secretary, as to any action taken by the stockholders, directors, a committee or any officer or representative of the Corporation shall as to all persons who rely on the certificate in good faith be conclusive evidence of such action.</w:t>
      </w:r>
    </w:p>
    <w:p>
      <w:pPr>
        <w:spacing w:after="0" w:line="184"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SECTION 13. CERTIFICATE OF INCORPORATION. All references in these Bylaws to the Certificate of Incorporation shall be deemed to refer to the Certificate of Incorporation of the Corporation, as amended and in effect from time to time.</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SECTION 14. SEVERABILITY. Any determination that any provision of these Bylaws is for any reason inapplicable, illegal or ineffective shall not affect or invalidate any other provision of these Bylaws.</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SECTION 15. PRONOUNS. All pronouns used in these Bylaws shall be deemed to refer to the masculine, feminine or neuter, singular or plural, as the identity of the person or persons may require.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339" w:name="page340"/>
    <w:bookmarkEnd w:id="3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w:t>
      </w:r>
    </w:p>
    <w:p>
      <w:pPr>
        <w:spacing w:after="0" w:line="211"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SECTION 1. BY THE BOARD OF DIRECTORS. These Bylaws may be altered, amended or repealed, in whole or in part, or new Bylaws may be adopted by the Board of Directors, when such power is conferred upon the Board of Directors by the Certificate of Incorporation.</w:t>
      </w:r>
    </w:p>
    <w:p>
      <w:pPr>
        <w:spacing w:after="0" w:line="146"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SECTION 2. BY THE STOCKHOLDERS. These Bylaws may be altered, amended or repealed, in whole or in part, or new Bylaws may be adopted, by the affirmative vote of the holders of a majority of the shares of the capital stock of the Corporation issued and outstanding and entitled to vote at any annual meeting of stockholders, or at any special meeting of stockholders, provided notice of such alteration, amendment, repeal or adoption of new Bylaws shall have been stated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0" w:right="459" w:bottom="1440" w:gutter="0" w:footer="0" w:header="0"/>
        </w:sectPr>
      </w:pPr>
    </w:p>
    <w:bookmarkStart w:id="340" w:name="page341"/>
    <w:bookmarkEnd w:id="340"/>
    <w:p>
      <w:pPr>
        <w:jc w:val="right"/>
        <w:spacing w:after="0"/>
        <w:rPr>
          <w:sz w:val="20"/>
          <w:szCs w:val="20"/>
          <w:color w:val="auto"/>
        </w:rPr>
      </w:pPr>
      <w:r>
        <w:rPr>
          <w:rFonts w:ascii="Arial" w:cs="Arial" w:eastAsia="Arial" w:hAnsi="Arial"/>
          <w:sz w:val="18"/>
          <w:szCs w:val="18"/>
          <w:b w:val="1"/>
          <w:bCs w:val="1"/>
          <w:color w:val="auto"/>
        </w:rPr>
        <w:t>Exhibit 3.4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ADAGIO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29"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Adagio Therapeutics, Inc., a corporation organized and existing under the laws of the State of Delaware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does hereby certify as follows:</w:t>
      </w:r>
    </w:p>
    <w:p>
      <w:pPr>
        <w:spacing w:after="0" w:line="58" w:lineRule="exact"/>
        <w:rPr>
          <w:sz w:val="20"/>
          <w:szCs w:val="20"/>
          <w:color w:val="auto"/>
        </w:rPr>
      </w:pPr>
    </w:p>
    <w:p>
      <w:pPr>
        <w:ind w:right="60" w:firstLine="440"/>
        <w:spacing w:after="0" w:line="281" w:lineRule="auto"/>
        <w:rPr>
          <w:sz w:val="20"/>
          <w:szCs w:val="20"/>
          <w:color w:val="auto"/>
        </w:rPr>
      </w:pPr>
      <w:r>
        <w:rPr>
          <w:rFonts w:ascii="Arial" w:cs="Arial" w:eastAsia="Arial" w:hAnsi="Arial"/>
          <w:sz w:val="17"/>
          <w:szCs w:val="17"/>
          <w:b w:val="1"/>
          <w:bCs w:val="1"/>
          <w:color w:val="auto"/>
        </w:rPr>
        <w:t>F</w:t>
      </w:r>
      <w:r>
        <w:rPr>
          <w:rFonts w:ascii="Arial" w:cs="Arial" w:eastAsia="Arial" w:hAnsi="Arial"/>
          <w:sz w:val="13"/>
          <w:szCs w:val="13"/>
          <w:b w:val="1"/>
          <w:bCs w:val="1"/>
          <w:color w:val="auto"/>
        </w:rPr>
        <w:t>IRST</w:t>
      </w:r>
      <w:r>
        <w:rPr>
          <w:rFonts w:ascii="Arial" w:cs="Arial" w:eastAsia="Arial" w:hAnsi="Arial"/>
          <w:sz w:val="17"/>
          <w:szCs w:val="17"/>
          <w:color w:val="auto"/>
        </w:rPr>
        <w:t>: That the name of this corporation is Adagio Therapeutics, Inc. The original Certificate of Incorporation of the Company was filed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Secretary of State on June 3, 2020. An Amended and Restated Certificate of Incorporation was filed on July 9, 2020, an Amended and Restated Certificate of Incorporation was filed on October 30, 2020, an Amended and Restated Certificate of Incorporation was filed on April 15, 2021, and a Certificate of Amendment to the Amended and Restated Certificate of Incorporation was filed on July 30, 2021.</w:t>
      </w:r>
    </w:p>
    <w:p>
      <w:pPr>
        <w:spacing w:after="0" w:line="165" w:lineRule="exact"/>
        <w:rPr>
          <w:sz w:val="20"/>
          <w:szCs w:val="20"/>
          <w:color w:val="auto"/>
        </w:rPr>
      </w:pPr>
    </w:p>
    <w:p>
      <w:pPr>
        <w:ind w:right="20" w:firstLine="440"/>
        <w:spacing w:after="0" w:line="298" w:lineRule="auto"/>
        <w:rPr>
          <w:sz w:val="20"/>
          <w:szCs w:val="20"/>
          <w:color w:val="auto"/>
        </w:rPr>
      </w:pPr>
      <w:r>
        <w:rPr>
          <w:rFonts w:ascii="Arial" w:cs="Arial" w:eastAsia="Arial" w:hAnsi="Arial"/>
          <w:sz w:val="16"/>
          <w:szCs w:val="16"/>
          <w:b w:val="1"/>
          <w:bCs w:val="1"/>
          <w:color w:val="auto"/>
        </w:rPr>
        <w:t>S</w:t>
      </w:r>
      <w:r>
        <w:rPr>
          <w:rFonts w:ascii="Arial" w:cs="Arial" w:eastAsia="Arial" w:hAnsi="Arial"/>
          <w:sz w:val="12"/>
          <w:szCs w:val="12"/>
          <w:b w:val="1"/>
          <w:bCs w:val="1"/>
          <w:color w:val="auto"/>
        </w:rPr>
        <w:t>ECOND</w:t>
      </w:r>
      <w:r>
        <w:rPr>
          <w:rFonts w:ascii="Arial" w:cs="Arial" w:eastAsia="Arial" w:hAnsi="Arial"/>
          <w:sz w:val="16"/>
          <w:szCs w:val="16"/>
          <w:color w:val="auto"/>
        </w:rPr>
        <w:t>: That the Board of Directors of the Company, acting in accordance with the provisions of Sections 141 and 242 of the General</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Law of the State of Delaware (the “</w:t>
      </w:r>
      <w:r>
        <w:rPr>
          <w:rFonts w:ascii="Arial" w:cs="Arial" w:eastAsia="Arial" w:hAnsi="Arial"/>
          <w:sz w:val="16"/>
          <w:szCs w:val="16"/>
          <w:b w:val="1"/>
          <w:bCs w:val="1"/>
          <w:i w:val="1"/>
          <w:iCs w:val="1"/>
          <w:color w:val="auto"/>
        </w:rPr>
        <w:t>DGCL</w:t>
      </w:r>
      <w:r>
        <w:rPr>
          <w:rFonts w:ascii="Arial" w:cs="Arial" w:eastAsia="Arial" w:hAnsi="Arial"/>
          <w:sz w:val="16"/>
          <w:szCs w:val="16"/>
          <w:color w:val="auto"/>
        </w:rPr>
        <w:t>”), duly adopted resolutions proposing to amend and restate the Certificate of Incorporation of the Company, declaring said amendment and restatement to be advisable and in the best interests of the Company and its stockholders, and authorizing the appropriate officers of the Company to solicit the consent of the stockholders therefore, and this Amended and Restated Certificate of Incorporation was approved by the holders of the requisite number of shares of stock of the Company in accordance with Section 228 of the DGCL.</w:t>
      </w:r>
    </w:p>
    <w:p>
      <w:pPr>
        <w:spacing w:after="0" w:line="154" w:lineRule="exact"/>
        <w:rPr>
          <w:sz w:val="20"/>
          <w:szCs w:val="20"/>
          <w:color w:val="auto"/>
        </w:rPr>
      </w:pPr>
    </w:p>
    <w:p>
      <w:pPr>
        <w:ind w:right="480" w:firstLine="440"/>
        <w:spacing w:after="0" w:line="282"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HIRD</w:t>
      </w:r>
      <w:r>
        <w:rPr>
          <w:rFonts w:ascii="Arial" w:cs="Arial" w:eastAsia="Arial" w:hAnsi="Arial"/>
          <w:sz w:val="18"/>
          <w:szCs w:val="18"/>
          <w:color w:val="auto"/>
        </w:rPr>
        <w:t>: That this Amended and Restated Certificate of Incorporation has been duly adopted and approved by the Board of Directors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of the Company in accordance with Sections 242 and 245 of the DGCL.</w:t>
      </w:r>
    </w:p>
    <w:p>
      <w:pPr>
        <w:spacing w:after="0" w:line="162"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OURTH</w:t>
      </w:r>
      <w:r>
        <w:rPr>
          <w:rFonts w:ascii="Arial" w:cs="Arial" w:eastAsia="Arial" w:hAnsi="Arial"/>
          <w:sz w:val="18"/>
          <w:szCs w:val="18"/>
          <w:color w:val="auto"/>
        </w:rPr>
        <w:t>: That this Amended and Restated Certificate of Incorporation so adopted reads in full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and is</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herein by reference in its entirety.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w:t>
      </w:r>
    </w:p>
    <w:p>
      <w:pPr>
        <w:spacing w:after="0" w:line="221"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Adagio Therapeutics, Inc. has caused this Amended and Restated Certificate of Incorporation to be signed by its Chief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on this day of August 2021.</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ADAGIO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Tillman U. Gerngross, Ph.D.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020"/>
          </w:cols>
          <w:pgMar w:left="440" w:top="121" w:right="439" w:bottom="1440" w:gutter="0" w:footer="0" w:header="0"/>
        </w:sectPr>
      </w:pPr>
    </w:p>
    <w:bookmarkStart w:id="341" w:name="page342"/>
    <w:bookmarkEnd w:id="3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ADAGIO THERAPEUTICS,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this corporation is Adagio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w:t>
      </w:r>
    </w:p>
    <w:p>
      <w:pPr>
        <w:spacing w:after="0" w:line="229"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The address of the registered office of the Company in the State of Delaware is 3500 S. Dupont Hwy, in the city of Dover, county of Kent, Delaware 19901. The name of its registered agent at such address is Incorporating Services, Ltd.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III.</w:t>
      </w:r>
    </w:p>
    <w:p>
      <w:pPr>
        <w:spacing w:after="0" w:line="229"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The purpose of the Company is to engage in any lawful act or activity for which a corporation may be organized under the Delaware General Corporation Law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w:t>
      </w:r>
    </w:p>
    <w:p>
      <w:pPr>
        <w:spacing w:after="0" w:line="225" w:lineRule="exact"/>
        <w:rPr>
          <w:sz w:val="20"/>
          <w:szCs w:val="20"/>
          <w:color w:val="auto"/>
        </w:rPr>
      </w:pPr>
    </w:p>
    <w:p>
      <w:pPr>
        <w:ind w:right="140" w:firstLine="440"/>
        <w:spacing w:after="0" w:line="303"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The Company is authorized to issue two classes of stock to be designated, respectively, “Common Stock” and “Preferred Stock.” The total</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shares of all classes of capital stock which the Company shall have authority to issue is one billion (1,000,000,000) shares shall be Common Stock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each share having a par value of one-ten thousandth of one cent ($0.0001), and ten million (10,000,000) shares shall be Preferred Stock (the “</w:t>
      </w: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 each share having a par value of one-ten thousandth of one cent ($0.0001).</w:t>
      </w:r>
    </w:p>
    <w:p>
      <w:pPr>
        <w:spacing w:after="0" w:line="151" w:lineRule="exact"/>
        <w:rPr>
          <w:sz w:val="20"/>
          <w:szCs w:val="20"/>
          <w:color w:val="auto"/>
        </w:rPr>
      </w:pPr>
    </w:p>
    <w:p>
      <w:pPr>
        <w:ind w:right="120" w:firstLine="440"/>
        <w:spacing w:after="0" w:line="269" w:lineRule="auto"/>
        <w:rPr>
          <w:sz w:val="20"/>
          <w:szCs w:val="20"/>
          <w:color w:val="auto"/>
        </w:rPr>
      </w:pPr>
      <w:r>
        <w:rPr>
          <w:rFonts w:ascii="Arial" w:cs="Arial" w:eastAsia="Arial" w:hAnsi="Arial"/>
          <w:sz w:val="17"/>
          <w:szCs w:val="17"/>
          <w:b w:val="1"/>
          <w:bCs w:val="1"/>
          <w:color w:val="auto"/>
        </w:rPr>
        <w:t xml:space="preserve">B. </w:t>
      </w:r>
      <w:r>
        <w:rPr>
          <w:rFonts w:ascii="Arial" w:cs="Arial" w:eastAsia="Arial" w:hAnsi="Arial"/>
          <w:sz w:val="17"/>
          <w:szCs w:val="17"/>
          <w:color w:val="auto"/>
        </w:rPr>
        <w:t>The Preferred Stock may be issued from time to time in one or more series. 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is hereby</w:t>
      </w:r>
      <w:r>
        <w:rPr>
          <w:rFonts w:ascii="Arial" w:cs="Arial" w:eastAsia="Arial" w:hAnsi="Arial"/>
          <w:sz w:val="17"/>
          <w:szCs w:val="17"/>
          <w:b w:val="1"/>
          <w:bCs w:val="1"/>
          <w:color w:val="auto"/>
        </w:rPr>
        <w:t xml:space="preserve"> </w:t>
      </w:r>
      <w:r>
        <w:rPr>
          <w:rFonts w:ascii="Arial" w:cs="Arial" w:eastAsia="Arial" w:hAnsi="Arial"/>
          <w:sz w:val="17"/>
          <w:szCs w:val="17"/>
          <w:color w:val="auto"/>
        </w:rPr>
        <w:t>expressly authorized to provide for the issue of the shares of the Preferred Stock in one or more series, and to fix the number of shares and to determine or alter for each such series, such voting powers, full or limited, or no voting powers, and such designation, preferences, and relative, participating, optional, or other rights and such qualifications, limitations, or restrictions thereof, as shall be stated and expressed in the resolution or resolutions adopted by the Board providing for the issuance of such shares and as may be permitted by the DGCL. The Board is also expressly authorized to increase or decrease the number of shares of any series subsequent to the issuance of shares of that series, but not below the number of shares of such series then outstanding. In case the number of shares of any series shall be decreased in accordance with the foregoing sentence, the shares constituting such decrease shall resume the status that they had prior to the adoption of the resolution originally fixing the number of shares of such series. The number of authorized shares of Preferred Stock may be increased or decreased (but not below the number of shares thereof then outstanding) by the affirmative vote of the holders of a majority of the voting power of the stock of the Company entitled to vote thereon, without a separate vote of the holders of the Preferred Stock, or of any series thereof, unless a vote of any such holders is required pursuant to the terms of any certificate of designation filed with respect to any series of Preferred Stock.</w:t>
      </w:r>
    </w:p>
    <w:p>
      <w:pPr>
        <w:sectPr>
          <w:pgSz w:w="11900" w:h="16838" w:orient="portrait"/>
          <w:cols w:equalWidth="0" w:num="1">
            <w:col w:w="11020"/>
          </w:cols>
          <w:pgMar w:left="440" w:top="270" w:right="439" w:bottom="1440" w:gutter="0" w:footer="0" w:header="0"/>
        </w:sectPr>
      </w:pPr>
    </w:p>
    <w:bookmarkStart w:id="342" w:name="page343"/>
    <w:bookmarkEnd w:id="342"/>
    <w:p>
      <w:pPr>
        <w:ind w:right="120" w:firstLine="440"/>
        <w:spacing w:after="0" w:line="29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 </w:t>
      </w:r>
      <w:r>
        <w:rPr>
          <w:rFonts w:ascii="Arial" w:cs="Arial" w:eastAsia="Arial" w:hAnsi="Arial"/>
          <w:sz w:val="16"/>
          <w:szCs w:val="16"/>
          <w:color w:val="auto"/>
        </w:rPr>
        <w:t>Each outstanding share of Common Stock shall entitle the holder thereof to one vote on each matter properly submitted to the stockholders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Company for their vote;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except as otherwise required by law, holders of Common Stock shall not be entitled to vote on any amendment to this Amended and Restated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Amended and Restated Certificate of Incorporation (including any certificate of designation filed with respect to any series of Preferred Stock).</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w:t>
      </w:r>
    </w:p>
    <w:p>
      <w:pPr>
        <w:spacing w:after="0" w:line="229" w:lineRule="exact"/>
        <w:rPr>
          <w:sz w:val="20"/>
          <w:szCs w:val="20"/>
          <w:color w:val="auto"/>
        </w:rPr>
      </w:pPr>
    </w:p>
    <w:p>
      <w:pPr>
        <w:ind w:right="240" w:firstLine="440"/>
        <w:spacing w:after="0" w:line="308" w:lineRule="auto"/>
        <w:rPr>
          <w:sz w:val="20"/>
          <w:szCs w:val="20"/>
          <w:color w:val="auto"/>
        </w:rPr>
      </w:pPr>
      <w:r>
        <w:rPr>
          <w:rFonts w:ascii="Arial" w:cs="Arial" w:eastAsia="Arial" w:hAnsi="Arial"/>
          <w:sz w:val="17"/>
          <w:szCs w:val="17"/>
          <w:color w:val="auto"/>
        </w:rPr>
        <w:t>For the management of the business and for the conduct of the affairs of the Company, and in further definition, limitation and regulation of the powers of the Company, of its directors and of its stockholders or any class thereof, as the case may be, it is further provided that:</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A. M</w:t>
      </w:r>
      <w:r>
        <w:rPr>
          <w:rFonts w:ascii="Arial" w:cs="Arial" w:eastAsia="Arial" w:hAnsi="Arial"/>
          <w:sz w:val="13"/>
          <w:szCs w:val="13"/>
          <w:b w:val="1"/>
          <w:bCs w:val="1"/>
          <w:color w:val="auto"/>
        </w:rPr>
        <w:t>ANAGEMENT</w:t>
      </w:r>
      <w:r>
        <w:rPr>
          <w:rFonts w:ascii="Arial" w:cs="Arial" w:eastAsia="Arial" w:hAnsi="Arial"/>
          <w:sz w:val="17"/>
          <w:szCs w:val="17"/>
          <w:b w:val="1"/>
          <w:bCs w:val="1"/>
          <w:color w:val="auto"/>
        </w:rPr>
        <w:t xml:space="preserve"> O</w:t>
      </w:r>
      <w:r>
        <w:rPr>
          <w:rFonts w:ascii="Arial" w:cs="Arial" w:eastAsia="Arial" w:hAnsi="Arial"/>
          <w:sz w:val="13"/>
          <w:szCs w:val="13"/>
          <w:b w:val="1"/>
          <w:bCs w:val="1"/>
          <w:color w:val="auto"/>
        </w:rPr>
        <w:t>F</w:t>
      </w:r>
      <w:r>
        <w:rPr>
          <w:rFonts w:ascii="Arial" w:cs="Arial" w:eastAsia="Arial" w:hAnsi="Arial"/>
          <w:sz w:val="17"/>
          <w:szCs w:val="17"/>
          <w:b w:val="1"/>
          <w:bCs w:val="1"/>
          <w:color w:val="auto"/>
        </w:rPr>
        <w:t xml:space="preserve"> B</w:t>
      </w:r>
      <w:r>
        <w:rPr>
          <w:rFonts w:ascii="Arial" w:cs="Arial" w:eastAsia="Arial" w:hAnsi="Arial"/>
          <w:sz w:val="13"/>
          <w:szCs w:val="13"/>
          <w:b w:val="1"/>
          <w:bCs w:val="1"/>
          <w:color w:val="auto"/>
        </w:rPr>
        <w:t>USINESS</w:t>
      </w:r>
      <w:r>
        <w:rPr>
          <w:rFonts w:ascii="Arial" w:cs="Arial" w:eastAsia="Arial" w:hAnsi="Arial"/>
          <w:sz w:val="17"/>
          <w:szCs w:val="17"/>
          <w:color w:val="auto"/>
        </w:rPr>
        <w:t>. The management of the business and the conduct of the affairs of the Company shall be vested in its Board.</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B.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color w:val="auto"/>
        </w:rPr>
        <w:t>.</w:t>
      </w:r>
    </w:p>
    <w:p>
      <w:pPr>
        <w:spacing w:after="0" w:line="225" w:lineRule="exact"/>
        <w:rPr>
          <w:sz w:val="20"/>
          <w:szCs w:val="20"/>
          <w:color w:val="auto"/>
        </w:rPr>
      </w:pPr>
    </w:p>
    <w:p>
      <w:pPr>
        <w:ind w:right="140" w:firstLine="987"/>
        <w:spacing w:after="0" w:line="282" w:lineRule="auto"/>
        <w:tabs>
          <w:tab w:leader="none" w:pos="1171"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Number</w:t>
      </w:r>
      <w:r>
        <w:rPr>
          <w:rFonts w:ascii="Arial" w:cs="Arial" w:eastAsia="Arial" w:hAnsi="Arial"/>
          <w:sz w:val="18"/>
          <w:szCs w:val="18"/>
          <w:color w:val="auto"/>
        </w:rPr>
        <w:t>. The number of directors that shall constitute the Board shall be fixed exclusively by resolutions adopted by a majority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number of directors constituting the Board.</w:t>
      </w:r>
    </w:p>
    <w:p>
      <w:pPr>
        <w:spacing w:after="0" w:line="161" w:lineRule="exact"/>
        <w:rPr>
          <w:rFonts w:ascii="Arial" w:cs="Arial" w:eastAsia="Arial" w:hAnsi="Arial"/>
          <w:sz w:val="18"/>
          <w:szCs w:val="18"/>
          <w:b w:val="1"/>
          <w:bCs w:val="1"/>
          <w:color w:val="auto"/>
        </w:rPr>
      </w:pPr>
    </w:p>
    <w:p>
      <w:pPr>
        <w:ind w:firstLine="987"/>
        <w:spacing w:after="0" w:line="287" w:lineRule="auto"/>
        <w:tabs>
          <w:tab w:leader="none" w:pos="1171" w:val="left"/>
        </w:tabs>
        <w:numPr>
          <w:ilvl w:val="0"/>
          <w:numId w:val="225"/>
        </w:numPr>
        <w:rPr>
          <w:rFonts w:ascii="Arial" w:cs="Arial" w:eastAsia="Arial" w:hAnsi="Arial"/>
          <w:sz w:val="16"/>
          <w:szCs w:val="16"/>
          <w:b w:val="1"/>
          <w:bCs w:val="1"/>
          <w:color w:val="auto"/>
        </w:rPr>
      </w:pPr>
      <w:r>
        <w:rPr>
          <w:rFonts w:ascii="Arial" w:cs="Arial" w:eastAsia="Arial" w:hAnsi="Arial"/>
          <w:sz w:val="16"/>
          <w:szCs w:val="16"/>
          <w:b w:val="1"/>
          <w:bCs w:val="1"/>
          <w:color w:val="auto"/>
        </w:rPr>
        <w:t>Term</w:t>
      </w:r>
      <w:r>
        <w:rPr>
          <w:rFonts w:ascii="Arial" w:cs="Arial" w:eastAsia="Arial" w:hAnsi="Arial"/>
          <w:sz w:val="16"/>
          <w:szCs w:val="16"/>
          <w:color w:val="auto"/>
        </w:rPr>
        <w:t>. Subject to the rights of the holders of any series of Preferred Stock to elect additional directors under specified circumstances,</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the closing of the initial public offering pursuant to an effective registration statement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covering the offer and sale of securities to the public (the “</w:t>
      </w:r>
      <w:r>
        <w:rPr>
          <w:rFonts w:ascii="Arial" w:cs="Arial" w:eastAsia="Arial" w:hAnsi="Arial"/>
          <w:sz w:val="16"/>
          <w:szCs w:val="16"/>
          <w:b w:val="1"/>
          <w:bCs w:val="1"/>
          <w:i w:val="1"/>
          <w:iCs w:val="1"/>
          <w:color w:val="auto"/>
        </w:rPr>
        <w:t>Initial Public Offering</w:t>
      </w:r>
      <w:r>
        <w:rPr>
          <w:rFonts w:ascii="Arial" w:cs="Arial" w:eastAsia="Arial" w:hAnsi="Arial"/>
          <w:sz w:val="16"/>
          <w:szCs w:val="16"/>
          <w:color w:val="auto"/>
        </w:rPr>
        <w:t>”), the directors shall be divided into three classes designated as Class I, Class II and Class III, respectively. The Board is authorized to assign members of the Board already in office to such classes at the time the classification becomes effective. At the first annual meeting of stockholders following the closing of the Initial Public Offering, the term of office of the Class I directors shall expire and Class I directors shall be elected for a full term of three years. At the second annual meeting of stockholders following the closing of the Initial Public Offering, the term of office of the Class II directors shall expire and Class II directors shall be elected for a full term of three years. At the third annual meeting of stockholders following the closing of the Initial Public Offering,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Notwithstanding the foregoing provisions of this section, each director shall serve until his or her successor is duly elected and qualified or until his or her earlier death, resignation or removal. No decrease in the number of directors constituting the Board shall shorten the term of any incumbent director.</w:t>
      </w:r>
    </w:p>
    <w:p>
      <w:pPr>
        <w:sectPr>
          <w:pgSz w:w="11900" w:h="16838" w:orient="portrait"/>
          <w:cols w:equalWidth="0" w:num="1">
            <w:col w:w="11000"/>
          </w:cols>
          <w:pgMar w:left="440" w:top="270" w:right="459" w:bottom="1440" w:gutter="0" w:footer="0" w:header="0"/>
        </w:sectPr>
      </w:pPr>
    </w:p>
    <w:bookmarkStart w:id="343" w:name="page344"/>
    <w:bookmarkEnd w:id="343"/>
    <w:p>
      <w:pPr>
        <w:ind w:left="724" w:hanging="173"/>
        <w:spacing w:after="0"/>
        <w:tabs>
          <w:tab w:leader="none" w:pos="724" w:val="left"/>
        </w:tabs>
        <w:numPr>
          <w:ilvl w:val="1"/>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Removal</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436" w:right="340" w:firstLine="1428"/>
        <w:spacing w:after="0" w:line="277" w:lineRule="auto"/>
        <w:tabs>
          <w:tab w:leader="none" w:pos="1175" w:val="left"/>
        </w:tabs>
        <w:numPr>
          <w:ilvl w:val="2"/>
          <w:numId w:val="226"/>
        </w:numPr>
        <w:rPr>
          <w:rFonts w:ascii="Arial" w:cs="Arial" w:eastAsia="Arial" w:hAnsi="Arial"/>
          <w:sz w:val="18"/>
          <w:szCs w:val="18"/>
          <w:b w:val="1"/>
          <w:bCs w:val="1"/>
          <w:color w:val="auto"/>
        </w:rPr>
      </w:pPr>
      <w:r>
        <w:rPr>
          <w:rFonts w:ascii="Arial" w:cs="Arial" w:eastAsia="Arial" w:hAnsi="Arial"/>
          <w:sz w:val="18"/>
          <w:szCs w:val="18"/>
          <w:color w:val="auto"/>
        </w:rPr>
        <w:t>Subject to the rights of any series of Preferred Stock to elect additional directors under specified circumstances, following the closing of the Initial Public Offering, neither the Board nor any individual director may be removed without cause.</w:t>
      </w:r>
    </w:p>
    <w:p>
      <w:pPr>
        <w:spacing w:after="0" w:line="170" w:lineRule="exact"/>
        <w:rPr>
          <w:rFonts w:ascii="Arial" w:cs="Arial" w:eastAsia="Arial" w:hAnsi="Arial"/>
          <w:sz w:val="18"/>
          <w:szCs w:val="18"/>
          <w:b w:val="1"/>
          <w:bCs w:val="1"/>
          <w:color w:val="auto"/>
        </w:rPr>
      </w:pPr>
    </w:p>
    <w:p>
      <w:pPr>
        <w:ind w:left="-436" w:right="80" w:firstLine="1428"/>
        <w:spacing w:after="0" w:line="263" w:lineRule="auto"/>
        <w:tabs>
          <w:tab w:leader="none" w:pos="1186" w:val="left"/>
        </w:tabs>
        <w:numPr>
          <w:ilvl w:val="2"/>
          <w:numId w:val="226"/>
        </w:numPr>
        <w:rPr>
          <w:rFonts w:ascii="Arial" w:cs="Arial" w:eastAsia="Arial" w:hAnsi="Arial"/>
          <w:sz w:val="18"/>
          <w:szCs w:val="18"/>
          <w:b w:val="1"/>
          <w:bCs w:val="1"/>
          <w:color w:val="auto"/>
        </w:rPr>
      </w:pPr>
      <w:r>
        <w:rPr>
          <w:rFonts w:ascii="Arial" w:cs="Arial" w:eastAsia="Arial" w:hAnsi="Arial"/>
          <w:sz w:val="18"/>
          <w:szCs w:val="18"/>
          <w:color w:val="auto"/>
        </w:rPr>
        <w:t>Subject to any limitation imposed by law, any individual director or directors may be removed with cause by the affirmative vote of the holders of at least sixty-six and two-thirds percent (66 2/3%) of the voting power of all then-outstanding shares of capital stock of the Company entitled to vote generally at an election of directors.</w:t>
      </w:r>
    </w:p>
    <w:p>
      <w:pPr>
        <w:spacing w:after="0" w:line="179" w:lineRule="exact"/>
        <w:rPr>
          <w:rFonts w:ascii="Arial" w:cs="Arial" w:eastAsia="Arial" w:hAnsi="Arial"/>
          <w:sz w:val="18"/>
          <w:szCs w:val="18"/>
          <w:b w:val="1"/>
          <w:bCs w:val="1"/>
          <w:color w:val="auto"/>
        </w:rPr>
      </w:pPr>
    </w:p>
    <w:p>
      <w:pPr>
        <w:ind w:left="-436" w:firstLine="987"/>
        <w:spacing w:after="0" w:line="274" w:lineRule="auto"/>
        <w:tabs>
          <w:tab w:leader="none" w:pos="735" w:val="left"/>
        </w:tabs>
        <w:numPr>
          <w:ilvl w:val="1"/>
          <w:numId w:val="226"/>
        </w:numPr>
        <w:rPr>
          <w:rFonts w:ascii="Arial" w:cs="Arial" w:eastAsia="Arial" w:hAnsi="Arial"/>
          <w:sz w:val="17"/>
          <w:szCs w:val="17"/>
          <w:b w:val="1"/>
          <w:bCs w:val="1"/>
          <w:color w:val="auto"/>
        </w:rPr>
      </w:pPr>
      <w:r>
        <w:rPr>
          <w:rFonts w:ascii="Arial" w:cs="Arial" w:eastAsia="Arial" w:hAnsi="Arial"/>
          <w:sz w:val="17"/>
          <w:szCs w:val="17"/>
          <w:b w:val="1"/>
          <w:bCs w:val="1"/>
          <w:color w:val="auto"/>
        </w:rPr>
        <w:t>Vacancies</w:t>
      </w:r>
      <w:r>
        <w:rPr>
          <w:rFonts w:ascii="Arial" w:cs="Arial" w:eastAsia="Arial" w:hAnsi="Arial"/>
          <w:sz w:val="17"/>
          <w:szCs w:val="17"/>
          <w:color w:val="auto"/>
        </w:rPr>
        <w:t>. Subject to the rights of the holders of any series of Preferred Stock, any vacancies on the Board resulting from death,</w:t>
      </w:r>
      <w:r>
        <w:rPr>
          <w:rFonts w:ascii="Arial" w:cs="Arial" w:eastAsia="Arial" w:hAnsi="Arial"/>
          <w:sz w:val="17"/>
          <w:szCs w:val="17"/>
          <w:b w:val="1"/>
          <w:bCs w:val="1"/>
          <w:color w:val="auto"/>
        </w:rPr>
        <w:t xml:space="preserve"> </w:t>
      </w:r>
      <w:r>
        <w:rPr>
          <w:rFonts w:ascii="Arial" w:cs="Arial" w:eastAsia="Arial" w:hAnsi="Arial"/>
          <w:sz w:val="17"/>
          <w:szCs w:val="17"/>
          <w:color w:val="auto"/>
        </w:rPr>
        <w:t>resignation, disqualification, removal or other causes, and any newly created directorships resulting from any increase in the number of directors, shall, unless the Board determines by resolution that any such vacancies or newly created directorships shall be filled by the stockholders, except as otherwise provided by law, be filled only by the affirmative vote of a majority of the directors then in office, even though less than a quorum of the Board, and not by the stockholders. Any director elected in accordance with the preceding sentence shall hold office for the remainder of the full term of the director for which the vacancy was created or occurred and until such director’s successor shall have been elected and qualified.</w:t>
      </w:r>
    </w:p>
    <w:p>
      <w:pPr>
        <w:spacing w:after="0" w:line="173" w:lineRule="exact"/>
        <w:rPr>
          <w:rFonts w:ascii="Arial" w:cs="Arial" w:eastAsia="Arial" w:hAnsi="Arial"/>
          <w:sz w:val="17"/>
          <w:szCs w:val="17"/>
          <w:b w:val="1"/>
          <w:bCs w:val="1"/>
          <w:color w:val="auto"/>
        </w:rPr>
      </w:pPr>
    </w:p>
    <w:p>
      <w:pPr>
        <w:ind w:left="-436" w:right="40" w:firstLine="436"/>
        <w:spacing w:after="0" w:line="294" w:lineRule="auto"/>
        <w:tabs>
          <w:tab w:leader="none" w:pos="224" w:val="left"/>
        </w:tabs>
        <w:numPr>
          <w:ilvl w:val="0"/>
          <w:numId w:val="227"/>
        </w:numPr>
        <w:rPr>
          <w:rFonts w:ascii="Arial" w:cs="Arial" w:eastAsia="Arial" w:hAnsi="Arial"/>
          <w:sz w:val="16"/>
          <w:szCs w:val="16"/>
          <w:b w:val="1"/>
          <w:bCs w:val="1"/>
          <w:color w:val="auto"/>
        </w:rPr>
      </w:pPr>
      <w:r>
        <w:rPr>
          <w:rFonts w:ascii="Arial" w:cs="Arial" w:eastAsia="Arial" w:hAnsi="Arial"/>
          <w:sz w:val="16"/>
          <w:szCs w:val="16"/>
          <w:b w:val="1"/>
          <w:bCs w:val="1"/>
          <w:color w:val="auto"/>
        </w:rPr>
        <w:t>B</w:t>
      </w:r>
      <w:r>
        <w:rPr>
          <w:rFonts w:ascii="Arial" w:cs="Arial" w:eastAsia="Arial" w:hAnsi="Arial"/>
          <w:sz w:val="12"/>
          <w:szCs w:val="12"/>
          <w:b w:val="1"/>
          <w:bCs w:val="1"/>
          <w:color w:val="auto"/>
        </w:rPr>
        <w:t>YLAW</w:t>
      </w:r>
      <w:r>
        <w:rPr>
          <w:rFonts w:ascii="Arial" w:cs="Arial" w:eastAsia="Arial" w:hAnsi="Arial"/>
          <w:sz w:val="16"/>
          <w:szCs w:val="16"/>
          <w:b w:val="1"/>
          <w:bCs w:val="1"/>
          <w:color w:val="auto"/>
        </w:rPr>
        <w:t xml:space="preserve"> A</w:t>
      </w:r>
      <w:r>
        <w:rPr>
          <w:rFonts w:ascii="Arial" w:cs="Arial" w:eastAsia="Arial" w:hAnsi="Arial"/>
          <w:sz w:val="12"/>
          <w:szCs w:val="12"/>
          <w:b w:val="1"/>
          <w:bCs w:val="1"/>
          <w:color w:val="auto"/>
        </w:rPr>
        <w:t>MENDMENTS</w:t>
      </w:r>
      <w:r>
        <w:rPr>
          <w:rFonts w:ascii="Arial" w:cs="Arial" w:eastAsia="Arial" w:hAnsi="Arial"/>
          <w:sz w:val="16"/>
          <w:szCs w:val="16"/>
          <w:color w:val="auto"/>
        </w:rPr>
        <w:t>. The Board is expressly empowered to adopt, amend or repeal the Bylaws of the Company. Any adoption, 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repeal of the Bylaws of the Company by the Board shall require the approval of a majority of the authorized number of directors. The stockholders shall also have power to adopt, amend or repeal the Bylaws of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addition to any vote of the holders of any class or series of stock of the Company required by law or by this Amended and Restated Certificate of Incorporation, such action by stockholders shall require the affirmative vote of the holders of at least sixty-six and two-thirds percent (66 2/3%) of the voting power of all of the then-outstanding shares of the capital stock of the Company entitled to vote generally in the election of directors, voting together as a single class.</w:t>
      </w:r>
    </w:p>
    <w:p>
      <w:pPr>
        <w:spacing w:after="0" w:line="159" w:lineRule="exact"/>
        <w:rPr>
          <w:rFonts w:ascii="Arial" w:cs="Arial" w:eastAsia="Arial" w:hAnsi="Arial"/>
          <w:sz w:val="16"/>
          <w:szCs w:val="16"/>
          <w:b w:val="1"/>
          <w:bCs w:val="1"/>
          <w:color w:val="auto"/>
        </w:rPr>
      </w:pPr>
    </w:p>
    <w:p>
      <w:pPr>
        <w:ind w:left="224" w:hanging="224"/>
        <w:spacing w:after="0"/>
        <w:tabs>
          <w:tab w:leader="none" w:pos="224"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RITTEN</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ALLOTS</w:t>
      </w:r>
      <w:r>
        <w:rPr>
          <w:rFonts w:ascii="Arial" w:cs="Arial" w:eastAsia="Arial" w:hAnsi="Arial"/>
          <w:sz w:val="18"/>
          <w:szCs w:val="18"/>
          <w:color w:val="auto"/>
        </w:rPr>
        <w:t>. The directors of the Company need not be elected by written ballot unless the Bylaws so provide.</w:t>
      </w:r>
    </w:p>
    <w:p>
      <w:pPr>
        <w:spacing w:after="0" w:line="225" w:lineRule="exact"/>
        <w:rPr>
          <w:rFonts w:ascii="Arial" w:cs="Arial" w:eastAsia="Arial" w:hAnsi="Arial"/>
          <w:sz w:val="18"/>
          <w:szCs w:val="18"/>
          <w:b w:val="1"/>
          <w:bCs w:val="1"/>
          <w:color w:val="auto"/>
        </w:rPr>
      </w:pPr>
    </w:p>
    <w:p>
      <w:pPr>
        <w:ind w:left="-436" w:right="540" w:firstLine="436"/>
        <w:spacing w:after="0" w:line="347" w:lineRule="auto"/>
        <w:tabs>
          <w:tab w:leader="none" w:pos="214" w:val="left"/>
        </w:tabs>
        <w:numPr>
          <w:ilvl w:val="0"/>
          <w:numId w:val="227"/>
        </w:numPr>
        <w:rPr>
          <w:rFonts w:ascii="Arial" w:cs="Arial" w:eastAsia="Arial" w:hAnsi="Arial"/>
          <w:sz w:val="16"/>
          <w:szCs w:val="16"/>
          <w:b w:val="1"/>
          <w:bCs w:val="1"/>
          <w:color w:val="auto"/>
        </w:rPr>
      </w:pPr>
      <w:r>
        <w:rPr>
          <w:rFonts w:ascii="Arial" w:cs="Arial" w:eastAsia="Arial" w:hAnsi="Arial"/>
          <w:sz w:val="16"/>
          <w:szCs w:val="16"/>
          <w:b w:val="1"/>
          <w:bCs w:val="1"/>
          <w:color w:val="auto"/>
        </w:rPr>
        <w:t>A</w:t>
      </w:r>
      <w:r>
        <w:rPr>
          <w:rFonts w:ascii="Arial" w:cs="Arial" w:eastAsia="Arial" w:hAnsi="Arial"/>
          <w:sz w:val="12"/>
          <w:szCs w:val="12"/>
          <w:b w:val="1"/>
          <w:bCs w:val="1"/>
          <w:color w:val="auto"/>
        </w:rPr>
        <w:t>CTION</w:t>
      </w:r>
      <w:r>
        <w:rPr>
          <w:rFonts w:ascii="Arial" w:cs="Arial" w:eastAsia="Arial" w:hAnsi="Arial"/>
          <w:sz w:val="16"/>
          <w:szCs w:val="16"/>
          <w:b w:val="1"/>
          <w:bCs w:val="1"/>
          <w:color w:val="auto"/>
        </w:rPr>
        <w:t xml:space="preserve"> B</w:t>
      </w:r>
      <w:r>
        <w:rPr>
          <w:rFonts w:ascii="Arial" w:cs="Arial" w:eastAsia="Arial" w:hAnsi="Arial"/>
          <w:sz w:val="12"/>
          <w:szCs w:val="12"/>
          <w:b w:val="1"/>
          <w:bCs w:val="1"/>
          <w:color w:val="auto"/>
        </w:rPr>
        <w:t>Y</w:t>
      </w:r>
      <w:r>
        <w:rPr>
          <w:rFonts w:ascii="Arial" w:cs="Arial" w:eastAsia="Arial" w:hAnsi="Arial"/>
          <w:sz w:val="16"/>
          <w:szCs w:val="16"/>
          <w:b w:val="1"/>
          <w:bCs w:val="1"/>
          <w:color w:val="auto"/>
        </w:rPr>
        <w:t xml:space="preserve"> S</w:t>
      </w:r>
      <w:r>
        <w:rPr>
          <w:rFonts w:ascii="Arial" w:cs="Arial" w:eastAsia="Arial" w:hAnsi="Arial"/>
          <w:sz w:val="12"/>
          <w:szCs w:val="12"/>
          <w:b w:val="1"/>
          <w:bCs w:val="1"/>
          <w:color w:val="auto"/>
        </w:rPr>
        <w:t>TOCKHOLDERS</w:t>
      </w:r>
      <w:r>
        <w:rPr>
          <w:rFonts w:ascii="Arial" w:cs="Arial" w:eastAsia="Arial" w:hAnsi="Arial"/>
          <w:sz w:val="16"/>
          <w:szCs w:val="16"/>
          <w:color w:val="auto"/>
        </w:rPr>
        <w:t>. No action shall be taken by the stockholders of the Company except at an annual or special meeting of</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called in accordance with the Bylaws and no action shall be taken by the stockholders by written consent or electronic transmission.</w:t>
      </w:r>
    </w:p>
    <w:p>
      <w:pPr>
        <w:spacing w:after="0" w:line="115" w:lineRule="exact"/>
        <w:rPr>
          <w:rFonts w:ascii="Arial" w:cs="Arial" w:eastAsia="Arial" w:hAnsi="Arial"/>
          <w:sz w:val="16"/>
          <w:szCs w:val="16"/>
          <w:b w:val="1"/>
          <w:bCs w:val="1"/>
          <w:color w:val="auto"/>
        </w:rPr>
      </w:pPr>
    </w:p>
    <w:p>
      <w:pPr>
        <w:ind w:left="-436" w:right="380" w:firstLine="436"/>
        <w:spacing w:after="0" w:line="312" w:lineRule="auto"/>
        <w:tabs>
          <w:tab w:leader="none" w:pos="187" w:val="left"/>
        </w:tabs>
        <w:numPr>
          <w:ilvl w:val="0"/>
          <w:numId w:val="227"/>
        </w:numPr>
        <w:rPr>
          <w:rFonts w:ascii="Arial" w:cs="Arial" w:eastAsia="Arial" w:hAnsi="Arial"/>
          <w:sz w:val="17"/>
          <w:szCs w:val="17"/>
          <w:b w:val="1"/>
          <w:bCs w:val="1"/>
          <w:color w:val="auto"/>
        </w:rPr>
      </w:pPr>
      <w:r>
        <w:rPr>
          <w:rFonts w:ascii="Arial" w:cs="Arial" w:eastAsia="Arial" w:hAnsi="Arial"/>
          <w:sz w:val="17"/>
          <w:szCs w:val="17"/>
          <w:b w:val="1"/>
          <w:bCs w:val="1"/>
          <w:color w:val="auto"/>
        </w:rPr>
        <w:t>A</w:t>
      </w:r>
      <w:r>
        <w:rPr>
          <w:rFonts w:ascii="Arial" w:cs="Arial" w:eastAsia="Arial" w:hAnsi="Arial"/>
          <w:sz w:val="13"/>
          <w:szCs w:val="13"/>
          <w:b w:val="1"/>
          <w:bCs w:val="1"/>
          <w:color w:val="auto"/>
        </w:rPr>
        <w:t>DVANCE</w:t>
      </w:r>
      <w:r>
        <w:rPr>
          <w:rFonts w:ascii="Arial" w:cs="Arial" w:eastAsia="Arial" w:hAnsi="Arial"/>
          <w:sz w:val="17"/>
          <w:szCs w:val="17"/>
          <w:b w:val="1"/>
          <w:bCs w:val="1"/>
          <w:color w:val="auto"/>
        </w:rPr>
        <w:t xml:space="preserve"> N</w:t>
      </w:r>
      <w:r>
        <w:rPr>
          <w:rFonts w:ascii="Arial" w:cs="Arial" w:eastAsia="Arial" w:hAnsi="Arial"/>
          <w:sz w:val="13"/>
          <w:szCs w:val="13"/>
          <w:b w:val="1"/>
          <w:bCs w:val="1"/>
          <w:color w:val="auto"/>
        </w:rPr>
        <w:t>OTICE</w:t>
      </w:r>
      <w:r>
        <w:rPr>
          <w:rFonts w:ascii="Arial" w:cs="Arial" w:eastAsia="Arial" w:hAnsi="Arial"/>
          <w:sz w:val="17"/>
          <w:szCs w:val="17"/>
          <w:color w:val="auto"/>
        </w:rPr>
        <w:t>. Advance notice of stockholder nominations for the election of directors and of business to be brought by stockholders</w:t>
      </w:r>
      <w:r>
        <w:rPr>
          <w:rFonts w:ascii="Arial" w:cs="Arial" w:eastAsia="Arial" w:hAnsi="Arial"/>
          <w:sz w:val="17"/>
          <w:szCs w:val="17"/>
          <w:b w:val="1"/>
          <w:bCs w:val="1"/>
          <w:color w:val="auto"/>
        </w:rPr>
        <w:t xml:space="preserve"> </w:t>
      </w:r>
      <w:r>
        <w:rPr>
          <w:rFonts w:ascii="Arial" w:cs="Arial" w:eastAsia="Arial" w:hAnsi="Arial"/>
          <w:sz w:val="17"/>
          <w:szCs w:val="17"/>
          <w:color w:val="auto"/>
        </w:rPr>
        <w:t>before any meeting of the stockholders of the Company shall be given in the manner provided in the Bylaws of the Company.</w:t>
      </w:r>
    </w:p>
    <w:p>
      <w:pPr>
        <w:sectPr>
          <w:pgSz w:w="11900" w:h="16838" w:orient="portrait"/>
          <w:cols w:equalWidth="0" w:num="1">
            <w:col w:w="10544"/>
          </w:cols>
          <w:pgMar w:left="876" w:top="270" w:right="479" w:bottom="1440" w:gutter="0" w:footer="0" w:header="0"/>
        </w:sectPr>
      </w:pPr>
    </w:p>
    <w:bookmarkStart w:id="344" w:name="page345"/>
    <w:bookmarkEnd w:id="3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VI.</w:t>
      </w:r>
    </w:p>
    <w:p>
      <w:pPr>
        <w:spacing w:after="0" w:line="225" w:lineRule="exact"/>
        <w:rPr>
          <w:sz w:val="20"/>
          <w:szCs w:val="20"/>
          <w:color w:val="auto"/>
        </w:rPr>
      </w:pPr>
    </w:p>
    <w:p>
      <w:pPr>
        <w:ind w:right="260" w:firstLine="440"/>
        <w:spacing w:after="0" w:line="266"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The liability of the directors for monetary damages shall be eliminated to the fullest extent under applicable law. If the DGCL is amended to</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 corporate action further eliminating or limiting the personal liability of directors, then the liability of a director of the Company shall be eliminated to the fullest extent permitted by the DGCL, as so amended.</w:t>
      </w:r>
    </w:p>
    <w:p>
      <w:pPr>
        <w:spacing w:after="0" w:line="176"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Any repeal or modification of this Article VI shall be prospective and shall not affect the rights under this Article VI in effect at the time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alleged occurrence of any act or omission to act giving rise to liability or indemnification.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VII.</w:t>
      </w:r>
    </w:p>
    <w:p>
      <w:pPr>
        <w:spacing w:after="0" w:line="225"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b w:val="1"/>
          <w:bCs w:val="1"/>
          <w:color w:val="auto"/>
        </w:rPr>
        <w:t xml:space="preserve">A. </w:t>
      </w:r>
      <w:r>
        <w:rPr>
          <w:rFonts w:ascii="Arial" w:cs="Arial" w:eastAsia="Arial" w:hAnsi="Arial"/>
          <w:sz w:val="17"/>
          <w:szCs w:val="17"/>
          <w:color w:val="auto"/>
        </w:rPr>
        <w:t>Unless the Company consents in writing to the selection of an alternative forum, the Court of Chancery of the State of Delaware (or, if and only</w:t>
      </w:r>
      <w:r>
        <w:rPr>
          <w:rFonts w:ascii="Arial" w:cs="Arial" w:eastAsia="Arial" w:hAnsi="Arial"/>
          <w:sz w:val="17"/>
          <w:szCs w:val="17"/>
          <w:b w:val="1"/>
          <w:bCs w:val="1"/>
          <w:color w:val="auto"/>
        </w:rPr>
        <w:t xml:space="preserve"> </w:t>
      </w:r>
      <w:r>
        <w:rPr>
          <w:rFonts w:ascii="Arial" w:cs="Arial" w:eastAsia="Arial" w:hAnsi="Arial"/>
          <w:sz w:val="17"/>
          <w:szCs w:val="17"/>
          <w:color w:val="auto"/>
        </w:rPr>
        <w:t>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under the Delaware statutory or common law: (i) any derivative claim or cause of action brought on behalf of the Company; (ii) any claim or cause of action for breach of a fiduciary duty owed by any current or former director, officer or other employee of the Company, to the Company or the Company’s stockholders; (iii) any claim or cause of action against the Company or any current or former director, officer or other employee of the Company, arising out of or pursuant to any provision of the DGCL, this Amended and Restated Certificate of Incorporation or the Bylaws of the Company (as each may be amended from time to time); (iv) any claim or cause of action seeking to interpret, apply, enforce or determine the validity of this Amended and Restated Certificate of Incorporation or the Bylaws of the Company (as each may be amended from time to time, including any right, obligation, or remedy thereunder); (v) any claim or cause of action as to which the DGCL confers jurisdiction on the Court of Chancery of the State of Delaware; and (vi) any claim or cause of action against the Company or any current or former director, officer or other employee of the Company, governed by the internal-affairs doctrine, in all cases to the fullest extent permitted by law and subject to the court having personal jurisdiction over the indispensable parties named as defendants. This Section A of Article VII shall not apply to claims or causes of action brought to enforce a duty or liability created by the Securities Act, or the Securities Exchange Act of 1934, as amended, or any other claim for which the federal courts have exclusive jurisdiction.</w:t>
      </w:r>
    </w:p>
    <w:p>
      <w:pPr>
        <w:spacing w:after="0" w:line="18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Unless the Company consents in writing to the selection of an alternative forum, to the fullest extent permitted by law, the federal district courts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United States of America shall be the exclusive forum for the resolution of any complaint asserting a cause of action arising under the Securities Act.</w:t>
      </w:r>
    </w:p>
    <w:p>
      <w:pPr>
        <w:spacing w:after="0" w:line="176"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Any person or entity holding, owning or otherwise acquiring any interest in any security of the Company shall be deemed to have notice of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consented to the provisions of this Amended and Restated Certificate of Incorporation.</w:t>
      </w:r>
    </w:p>
    <w:p>
      <w:pPr>
        <w:sectPr>
          <w:pgSz w:w="11900" w:h="16838" w:orient="portrait"/>
          <w:cols w:equalWidth="0" w:num="1">
            <w:col w:w="11000"/>
          </w:cols>
          <w:pgMar w:left="440" w:top="270" w:right="459" w:bottom="1440" w:gutter="0" w:footer="0" w:header="0"/>
        </w:sectPr>
      </w:pPr>
    </w:p>
    <w:bookmarkStart w:id="345" w:name="page346"/>
    <w:bookmarkEnd w:id="34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VIII.</w:t>
      </w:r>
    </w:p>
    <w:p>
      <w:pPr>
        <w:spacing w:after="0" w:line="225"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The Company reserves the right to amend, alter, change or repeal any provision contained in this Amended and Restated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in the manner now or hereafter prescribed by statute, except as provided in paragraph B. of this Article VIII, and all rights conferred upon the stockholders herein are granted subject to this reservation.</w:t>
      </w:r>
    </w:p>
    <w:p>
      <w:pPr>
        <w:spacing w:after="0" w:line="176"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Notwithstanding any other provisions of this Amended and Restated Certificate of Incorporation or any provision of law which might</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permit a lesser vote or no vote, but in addition to any affirmative vote of the holders of any particular class or series of the Company required by law or by this Amended and Restated Certificate of Incorporation or any certificate of designation filed with respect to a series of Preferred Stock that may be designated from time to time, the affirmative vote of the holders of at least sixty-six and two-thirds percent (66 2/3%) of the voting power of all of the then-outstanding shares of capital stock of the Company entitled to vote generally in the election of directors, voting together as a single class, shall be required to alter, amend or repeal Articles V, VI, VII and VIII.</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w:t>
      </w:r>
    </w:p>
    <w:p>
      <w:pPr>
        <w:sectPr>
          <w:pgSz w:w="11900" w:h="16838" w:orient="portrait"/>
          <w:cols w:equalWidth="0" w:num="1">
            <w:col w:w="11000"/>
          </w:cols>
          <w:pgMar w:left="440" w:top="270" w:right="459" w:bottom="1440" w:gutter="0" w:footer="0" w:header="0"/>
        </w:sectPr>
      </w:pPr>
    </w:p>
    <w:bookmarkStart w:id="346" w:name="page347"/>
    <w:bookmarkEnd w:id="346"/>
    <w:p>
      <w:pPr>
        <w:jc w:val="right"/>
        <w:spacing w:after="0"/>
        <w:rPr>
          <w:sz w:val="20"/>
          <w:szCs w:val="20"/>
          <w:color w:val="auto"/>
        </w:rPr>
      </w:pPr>
      <w:r>
        <w:rPr>
          <w:rFonts w:ascii="Arial" w:cs="Arial" w:eastAsia="Arial" w:hAnsi="Arial"/>
          <w:sz w:val="18"/>
          <w:szCs w:val="18"/>
          <w:b w:val="1"/>
          <w:bCs w:val="1"/>
          <w:color w:val="auto"/>
        </w:rPr>
        <w:t>Exhibit 3.5</w:t>
      </w:r>
    </w:p>
    <w:p>
      <w:pPr>
        <w:spacing w:after="0" w:line="200" w:lineRule="exact"/>
        <w:rPr>
          <w:sz w:val="20"/>
          <w:szCs w:val="20"/>
          <w:color w:val="auto"/>
        </w:rPr>
      </w:pPr>
    </w:p>
    <w:p>
      <w:pPr>
        <w:spacing w:after="0" w:line="241" w:lineRule="exact"/>
        <w:rPr>
          <w:sz w:val="20"/>
          <w:szCs w:val="20"/>
          <w:color w:val="auto"/>
        </w:rPr>
      </w:pPr>
    </w:p>
    <w:p>
      <w:pPr>
        <w:jc w:val="center"/>
        <w:ind w:right="1020"/>
        <w:spacing w:after="0"/>
        <w:rPr>
          <w:sz w:val="20"/>
          <w:szCs w:val="20"/>
          <w:color w:val="auto"/>
        </w:rPr>
      </w:pPr>
      <w:r>
        <w:rPr>
          <w:rFonts w:ascii="Arial" w:cs="Arial" w:eastAsia="Arial" w:hAnsi="Arial"/>
          <w:sz w:val="17"/>
          <w:szCs w:val="17"/>
          <w:b w:val="1"/>
          <w:bCs w:val="1"/>
          <w:color w:val="auto"/>
        </w:rPr>
        <w:t>AMENDED AND RESTATED BYLAWS</w:t>
      </w: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ADAGIO THERAPEUTICS,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(A DELAWARE CORPORATION)</w:t>
      </w:r>
    </w:p>
    <w:p>
      <w:pPr>
        <w:spacing w:after="0" w:line="20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[__], 2021</w:t>
      </w:r>
    </w:p>
    <w:p>
      <w:pPr>
        <w:sectPr>
          <w:pgSz w:w="11900" w:h="16838" w:orient="portrait"/>
          <w:cols w:equalWidth="0" w:num="1">
            <w:col w:w="10020"/>
          </w:cols>
          <w:pgMar w:left="1440" w:top="121" w:right="439" w:bottom="1440" w:gutter="0" w:footer="0" w:header="0"/>
        </w:sectPr>
      </w:pPr>
    </w:p>
    <w:bookmarkStart w:id="347" w:name="page348"/>
    <w:bookmarkEnd w:id="34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ADAGIO THERAPEUTICS,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AMENDED AND RESTATED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OFFICES</w:t>
      </w:r>
    </w:p>
    <w:p>
      <w:pPr>
        <w:spacing w:after="0" w:line="225"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b w:val="1"/>
          <w:bCs w:val="1"/>
          <w:color w:val="auto"/>
        </w:rPr>
        <w:t>Section 1. Registered Office</w:t>
      </w:r>
      <w:r>
        <w:rPr>
          <w:rFonts w:ascii="Arial" w:cs="Arial" w:eastAsia="Arial" w:hAnsi="Arial"/>
          <w:sz w:val="18"/>
          <w:szCs w:val="18"/>
          <w:color w:val="auto"/>
        </w:rPr>
        <w:t>. The registered office shall be established and maintained at the office of Incorporating Services, Ltd., 3500 S.</w:t>
      </w:r>
      <w:r>
        <w:rPr>
          <w:rFonts w:ascii="Arial" w:cs="Arial" w:eastAsia="Arial" w:hAnsi="Arial"/>
          <w:sz w:val="18"/>
          <w:szCs w:val="18"/>
          <w:b w:val="1"/>
          <w:bCs w:val="1"/>
          <w:color w:val="auto"/>
        </w:rPr>
        <w:t xml:space="preserve"> </w:t>
      </w:r>
      <w:r>
        <w:rPr>
          <w:rFonts w:ascii="Arial" w:cs="Arial" w:eastAsia="Arial" w:hAnsi="Arial"/>
          <w:sz w:val="18"/>
          <w:szCs w:val="18"/>
          <w:color w:val="auto"/>
        </w:rPr>
        <w:t>Dupont Hwy, in the city of Dover, county of Kent, Delaware 19901, and said corporation, or other such person or entity as the Board of Directors may from time to time designate, shall be the registered agent of the corporation.</w:t>
      </w:r>
    </w:p>
    <w:p>
      <w:pPr>
        <w:spacing w:after="0" w:line="176" w:lineRule="exact"/>
        <w:rPr>
          <w:sz w:val="20"/>
          <w:szCs w:val="20"/>
          <w:color w:val="auto"/>
        </w:rPr>
      </w:pPr>
    </w:p>
    <w:p>
      <w:pPr>
        <w:ind w:right="180" w:firstLine="440"/>
        <w:spacing w:after="0" w:line="266" w:lineRule="auto"/>
        <w:rPr>
          <w:sz w:val="20"/>
          <w:szCs w:val="20"/>
          <w:color w:val="auto"/>
        </w:rPr>
      </w:pPr>
      <w:r>
        <w:rPr>
          <w:rFonts w:ascii="Arial" w:cs="Arial" w:eastAsia="Arial" w:hAnsi="Arial"/>
          <w:sz w:val="18"/>
          <w:szCs w:val="18"/>
          <w:b w:val="1"/>
          <w:bCs w:val="1"/>
          <w:color w:val="auto"/>
        </w:rPr>
        <w:t>Section 2. Other Offices</w:t>
      </w:r>
      <w:r>
        <w:rPr>
          <w:rFonts w:ascii="Arial" w:cs="Arial" w:eastAsia="Arial" w:hAnsi="Arial"/>
          <w:sz w:val="18"/>
          <w:szCs w:val="18"/>
          <w:color w:val="auto"/>
        </w:rPr>
        <w:t>. The corporation shall also have and maintain an office or principal place of business at such place as may be fixed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and may also have offices at such other places, both within and without the State of Delaware as the Board of Directors may from time to time determine or the business of the corporation may require.</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SEAL</w:t>
      </w:r>
    </w:p>
    <w:p>
      <w:pPr>
        <w:spacing w:after="0" w:line="225" w:lineRule="exact"/>
        <w:rPr>
          <w:sz w:val="20"/>
          <w:szCs w:val="20"/>
          <w:color w:val="auto"/>
        </w:rPr>
      </w:pPr>
    </w:p>
    <w:p>
      <w:pPr>
        <w:ind w:right="220" w:firstLine="440"/>
        <w:spacing w:after="0" w:line="266" w:lineRule="auto"/>
        <w:rPr>
          <w:sz w:val="20"/>
          <w:szCs w:val="20"/>
          <w:color w:val="auto"/>
        </w:rPr>
      </w:pPr>
      <w:r>
        <w:rPr>
          <w:rFonts w:ascii="Arial" w:cs="Arial" w:eastAsia="Arial" w:hAnsi="Arial"/>
          <w:sz w:val="18"/>
          <w:szCs w:val="18"/>
          <w:b w:val="1"/>
          <w:bCs w:val="1"/>
          <w:color w:val="auto"/>
        </w:rPr>
        <w:t>Section 3. Corporate Seal</w:t>
      </w:r>
      <w:r>
        <w:rPr>
          <w:rFonts w:ascii="Arial" w:cs="Arial" w:eastAsia="Arial" w:hAnsi="Arial"/>
          <w:sz w:val="18"/>
          <w:szCs w:val="18"/>
          <w:color w:val="auto"/>
        </w:rPr>
        <w:t>. The Board of Directors may adopt a corporate seal. If adopted, the corporate seal shall consist of a die bearing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name of the corporation and the inscription, “Corporate Seal-Delaware.” Said seal may be used by causing it or a facsimile thereof to be impressed or affixed or reproduced or otherwise.</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STOCKHOLDERS’ MEETINGS</w:t>
      </w:r>
    </w:p>
    <w:p>
      <w:pPr>
        <w:spacing w:after="0" w:line="225" w:lineRule="exact"/>
        <w:rPr>
          <w:sz w:val="20"/>
          <w:szCs w:val="20"/>
          <w:color w:val="auto"/>
        </w:rPr>
      </w:pPr>
    </w:p>
    <w:p>
      <w:pPr>
        <w:jc w:val="both"/>
        <w:ind w:right="340" w:firstLine="440"/>
        <w:spacing w:after="0" w:line="261" w:lineRule="auto"/>
        <w:rPr>
          <w:sz w:val="20"/>
          <w:szCs w:val="20"/>
          <w:color w:val="auto"/>
        </w:rPr>
      </w:pPr>
      <w:r>
        <w:rPr>
          <w:rFonts w:ascii="Arial" w:cs="Arial" w:eastAsia="Arial" w:hAnsi="Arial"/>
          <w:sz w:val="18"/>
          <w:szCs w:val="18"/>
          <w:b w:val="1"/>
          <w:bCs w:val="1"/>
          <w:color w:val="auto"/>
        </w:rPr>
        <w:t>Section 4. Place of Meetings</w:t>
      </w:r>
      <w:r>
        <w:rPr>
          <w:rFonts w:ascii="Arial" w:cs="Arial" w:eastAsia="Arial" w:hAnsi="Arial"/>
          <w:sz w:val="18"/>
          <w:szCs w:val="18"/>
          <w:color w:val="auto"/>
        </w:rPr>
        <w:t>. Meetings of the stockholders of the corporation may be held at such place, either within or without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as may be determined from time to time by the Board of Directors. The Board of Directors may, in its sole discretion, determine that the meeting shall not be held at any place, but may instead be held solely by means of remote communication as provided under the Delaware General Corporation Law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5. Annual Meetings</w:t>
      </w:r>
      <w:r>
        <w:rPr>
          <w:rFonts w:ascii="Arial" w:cs="Arial" w:eastAsia="Arial" w:hAnsi="Arial"/>
          <w:sz w:val="18"/>
          <w:szCs w:val="18"/>
          <w:color w:val="auto"/>
        </w:rPr>
        <w:t>.</w:t>
      </w:r>
    </w:p>
    <w:p>
      <w:pPr>
        <w:spacing w:after="0" w:line="121" w:lineRule="exact"/>
        <w:rPr>
          <w:sz w:val="20"/>
          <w:szCs w:val="20"/>
          <w:color w:val="auto"/>
        </w:rPr>
      </w:pPr>
    </w:p>
    <w:p>
      <w:pPr>
        <w:ind w:firstLine="987"/>
        <w:spacing w:after="0" w:line="296" w:lineRule="auto"/>
        <w:tabs>
          <w:tab w:leader="none" w:pos="1246" w:val="left"/>
        </w:tabs>
        <w:numPr>
          <w:ilvl w:val="0"/>
          <w:numId w:val="228"/>
        </w:numPr>
        <w:rPr>
          <w:rFonts w:ascii="Arial" w:cs="Arial" w:eastAsia="Arial" w:hAnsi="Arial"/>
          <w:sz w:val="16"/>
          <w:szCs w:val="16"/>
          <w:b w:val="1"/>
          <w:bCs w:val="1"/>
          <w:color w:val="auto"/>
        </w:rPr>
      </w:pPr>
      <w:r>
        <w:rPr>
          <w:rFonts w:ascii="Arial" w:cs="Arial" w:eastAsia="Arial" w:hAnsi="Arial"/>
          <w:sz w:val="16"/>
          <w:szCs w:val="16"/>
          <w:color w:val="auto"/>
        </w:rPr>
        <w:t>The annual meeting of the stockholders of the corporation, for the purpose of election of directors and for such other business as may properly come before it, shall be held on such date and at such time as may be designated from time to time by the Board of Directors. Nominations of persons for election to the Board of Directors of the corporation and the proposal of business to be considered by the stockholders may be made at an annual meeting of stockholders: (i) pursuant to the corporation’s notice of meeting of stockholders (with respect to business other than nominations); (ii) brought specifically by or at the direction of the Board of Directors; or (iii) by any stockholder of the corporation who was a stockholder of record at the</w:t>
      </w:r>
    </w:p>
    <w:p>
      <w:pPr>
        <w:sectPr>
          <w:pgSz w:w="11900" w:h="16838" w:orient="portrait"/>
          <w:cols w:equalWidth="0" w:num="1">
            <w:col w:w="10980"/>
          </w:cols>
          <w:pgMar w:left="440" w:top="270" w:right="479" w:bottom="1440" w:gutter="0" w:footer="0" w:header="0"/>
        </w:sectPr>
      </w:pPr>
    </w:p>
    <w:bookmarkStart w:id="348" w:name="page349"/>
    <w:bookmarkEnd w:id="348"/>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time of giving the stockholder’s notice provided for in Section 5(b) below, who is entitled to vote at the meeting and who complied with the notice procedures set forth in this Section 5. For the avoidance of doubt, clause (iii) above shall be the exclusive means for a stockholder to make nominations and submit other business (other than matters properly included in the corporation’s notice of meeting of stockholders and proxy statement under Rule 14a-8 under the Securities Exchange Act of 1934, as amended, and the rules and regulations thereunder (the “</w:t>
      </w:r>
      <w:r>
        <w:rPr>
          <w:rFonts w:ascii="Arial" w:cs="Arial" w:eastAsia="Arial" w:hAnsi="Arial"/>
          <w:sz w:val="18"/>
          <w:szCs w:val="18"/>
          <w:b w:val="1"/>
          <w:bCs w:val="1"/>
          <w:i w:val="1"/>
          <w:iCs w:val="1"/>
          <w:color w:val="auto"/>
        </w:rPr>
        <w:t>1934 Act</w:t>
      </w:r>
      <w:r>
        <w:rPr>
          <w:rFonts w:ascii="Arial" w:cs="Arial" w:eastAsia="Arial" w:hAnsi="Arial"/>
          <w:sz w:val="18"/>
          <w:szCs w:val="18"/>
          <w:color w:val="auto"/>
        </w:rPr>
        <w:t>”)) before an annual meeting of stockholders.</w:t>
      </w:r>
    </w:p>
    <w:p>
      <w:pPr>
        <w:spacing w:after="0" w:line="80" w:lineRule="exact"/>
        <w:rPr>
          <w:sz w:val="20"/>
          <w:szCs w:val="20"/>
          <w:color w:val="auto"/>
        </w:rPr>
      </w:pPr>
    </w:p>
    <w:p>
      <w:pPr>
        <w:ind w:right="360" w:firstLine="987"/>
        <w:spacing w:after="0" w:line="277" w:lineRule="auto"/>
        <w:tabs>
          <w:tab w:leader="none" w:pos="1256" w:val="left"/>
        </w:tabs>
        <w:numPr>
          <w:ilvl w:val="0"/>
          <w:numId w:val="229"/>
        </w:numPr>
        <w:rPr>
          <w:rFonts w:ascii="Arial" w:cs="Arial" w:eastAsia="Arial" w:hAnsi="Arial"/>
          <w:sz w:val="18"/>
          <w:szCs w:val="18"/>
          <w:b w:val="1"/>
          <w:bCs w:val="1"/>
          <w:color w:val="auto"/>
        </w:rPr>
      </w:pPr>
      <w:r>
        <w:rPr>
          <w:rFonts w:ascii="Arial" w:cs="Arial" w:eastAsia="Arial" w:hAnsi="Arial"/>
          <w:sz w:val="18"/>
          <w:szCs w:val="18"/>
          <w:color w:val="auto"/>
        </w:rPr>
        <w:t>At an annual meeting of the stockholders, only such business shall be conducted as is a proper matter for stockholder action under Delaware law and as shall have been properly brought before the meeting.</w:t>
      </w:r>
    </w:p>
    <w:p>
      <w:pPr>
        <w:spacing w:after="0" w:line="62" w:lineRule="exact"/>
        <w:rPr>
          <w:rFonts w:ascii="Arial" w:cs="Arial" w:eastAsia="Arial" w:hAnsi="Arial"/>
          <w:sz w:val="18"/>
          <w:szCs w:val="18"/>
          <w:b w:val="1"/>
          <w:bCs w:val="1"/>
          <w:color w:val="auto"/>
        </w:rPr>
      </w:pPr>
    </w:p>
    <w:p>
      <w:pPr>
        <w:ind w:right="60" w:firstLine="1428"/>
        <w:spacing w:after="0" w:line="286" w:lineRule="auto"/>
        <w:tabs>
          <w:tab w:leader="none" w:pos="1687" w:val="left"/>
        </w:tabs>
        <w:numPr>
          <w:ilvl w:val="1"/>
          <w:numId w:val="229"/>
        </w:numPr>
        <w:rPr>
          <w:rFonts w:ascii="Arial" w:cs="Arial" w:eastAsia="Arial" w:hAnsi="Arial"/>
          <w:sz w:val="16"/>
          <w:szCs w:val="16"/>
          <w:b w:val="1"/>
          <w:bCs w:val="1"/>
          <w:color w:val="auto"/>
        </w:rPr>
      </w:pPr>
      <w:r>
        <w:rPr>
          <w:rFonts w:ascii="Arial" w:cs="Arial" w:eastAsia="Arial" w:hAnsi="Arial"/>
          <w:sz w:val="16"/>
          <w:szCs w:val="16"/>
          <w:color w:val="auto"/>
        </w:rPr>
        <w:t>For nominations for the election to the Board of Directors to be properly brought before an annual meeting by a stockholder pursuant to clause (iii) of Section 5(a) of these Bylaws, the stockholder must deliver written notice to the Secretary at the principal executive offices of the corporation on a timely basis as set forth in Section 5(b)(3) and must update and supplement such written notice on a timely basis as set forth in Section 5(c). Such stockholder’s notice shall set forth: (A) as to each nominee such stockholder proposes to nominate at the meeting: (1) the name, age, business address and residence address of such nominee, (2) the principal occupation or employment of such nominee, (3) the class and number of shares of each class of capital stock of the corporation which are owned of record and beneficially by such nominee, (4) the date or dates on which such shares were acquired and the investment intent of such acquisition and (5) such other information concerning such nominee as would be required to be disclosed in a proxy statement soliciting proxies for the election of such nominee as a director in an election contest (even if an election contest is not involved), or that is otherwise required to be disclosed pursuant to Section 14 of the 1934 Act and the rules and regulations promulgated thereunder (including such person’s written consent to being named as a nominee and to serving as a director if elected); and (B) the information required by Section 5(b)(4). The corporation may require any proposed nominee to furnish such other information as it may reasonably require to determine the eligibility of such proposed nominee to serve as an independent director of the corporation or that could be material to a reasonable stockholder’s understanding of the independence, or lack thereof, of such proposed nominee.</w:t>
      </w:r>
    </w:p>
    <w:p>
      <w:pPr>
        <w:spacing w:after="0" w:line="65" w:lineRule="exact"/>
        <w:rPr>
          <w:rFonts w:ascii="Arial" w:cs="Arial" w:eastAsia="Arial" w:hAnsi="Arial"/>
          <w:sz w:val="16"/>
          <w:szCs w:val="16"/>
          <w:b w:val="1"/>
          <w:bCs w:val="1"/>
          <w:color w:val="auto"/>
        </w:rPr>
      </w:pPr>
    </w:p>
    <w:p>
      <w:pPr>
        <w:ind w:firstLine="1428"/>
        <w:spacing w:after="0" w:line="270" w:lineRule="auto"/>
        <w:tabs>
          <w:tab w:leader="none" w:pos="1687" w:val="left"/>
        </w:tabs>
        <w:numPr>
          <w:ilvl w:val="1"/>
          <w:numId w:val="229"/>
        </w:numPr>
        <w:rPr>
          <w:rFonts w:ascii="Arial" w:cs="Arial" w:eastAsia="Arial" w:hAnsi="Arial"/>
          <w:sz w:val="17"/>
          <w:szCs w:val="17"/>
          <w:b w:val="1"/>
          <w:bCs w:val="1"/>
          <w:color w:val="auto"/>
        </w:rPr>
      </w:pPr>
      <w:r>
        <w:rPr>
          <w:rFonts w:ascii="Arial" w:cs="Arial" w:eastAsia="Arial" w:hAnsi="Arial"/>
          <w:sz w:val="17"/>
          <w:szCs w:val="17"/>
          <w:color w:val="auto"/>
        </w:rPr>
        <w:t>Other than proposals sought to be included in the corporation’s proxy materials pursuant to Rule 14a-8 under the 1934 Act, for business other than nominations for the election to the Board of Directors to be properly brought before an annual meeting by a stockholder pursuant to clause (iii) of Section 5(a) of these Bylaws, the stockholder must deliver written notice to the Secretary at the principal executive offices of the corporation on a timely basis as set forth in Section 5(b)(3), and must update and supplement such written notice on a timely basis as set forth in Section 5(c). Such stockholder’s notice shall set forth: (A) as to each matter such stockholder proposes to bring before the meeting, a brief description of the business desired to be brought before the meeting, the reasons for conducting such business at the meeting, and any material interest (including any anticipated benefit of such business to any Proponent (as defined below) other than solely as a result of its ownership of the corporation’s capital stock, that is material to any Proponent individually, or to the Proponents in the aggregate) in such business of any Proponent; and (B) the information required by Section 5(b)(4).</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349" w:name="page350"/>
    <w:bookmarkEnd w:id="349"/>
    <w:p>
      <w:pPr>
        <w:ind w:left="4" w:right="140" w:firstLine="1428"/>
        <w:spacing w:after="0" w:line="286" w:lineRule="auto"/>
        <w:tabs>
          <w:tab w:leader="none" w:pos="1691" w:val="left"/>
        </w:tabs>
        <w:numPr>
          <w:ilvl w:val="1"/>
          <w:numId w:val="230"/>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be timely, the written notice required by Section 5(b)(1) or 5(b)(2) must be received by the Secretary at the principal executive offices of the corporation not later than the close of business on the ninetieth (90</w:t>
      </w:r>
      <w:r>
        <w:rPr>
          <w:rFonts w:ascii="Arial" w:cs="Arial" w:eastAsia="Arial" w:hAnsi="Arial"/>
          <w:sz w:val="13"/>
          <w:szCs w:val="13"/>
          <w:color w:val="auto"/>
        </w:rPr>
        <w:t>th</w:t>
      </w:r>
      <w:r>
        <w:rPr>
          <w:rFonts w:ascii="Arial" w:cs="Arial" w:eastAsia="Arial" w:hAnsi="Arial"/>
          <w:sz w:val="16"/>
          <w:szCs w:val="16"/>
          <w:color w:val="auto"/>
        </w:rPr>
        <w:t>) day nor earlier than the close of business on the one hundred twentieth (120</w:t>
      </w:r>
      <w:r>
        <w:rPr>
          <w:rFonts w:ascii="Arial" w:cs="Arial" w:eastAsia="Arial" w:hAnsi="Arial"/>
          <w:sz w:val="13"/>
          <w:szCs w:val="13"/>
          <w:color w:val="auto"/>
        </w:rPr>
        <w:t>th</w:t>
      </w:r>
      <w:r>
        <w:rPr>
          <w:rFonts w:ascii="Arial" w:cs="Arial" w:eastAsia="Arial" w:hAnsi="Arial"/>
          <w:sz w:val="16"/>
          <w:szCs w:val="16"/>
          <w:color w:val="auto"/>
        </w:rPr>
        <w:t xml:space="preserve">) day prior to the first anniversary of the preceding year’s annual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subject to the last sentence of this Section 5(b)(3), in the event that the date of the annual meeting is advanced more than thirty (30) days prior to or delayed by more than thirty</w:t>
      </w:r>
    </w:p>
    <w:p>
      <w:pPr>
        <w:spacing w:after="0" w:line="1" w:lineRule="exact"/>
        <w:rPr>
          <w:rFonts w:ascii="Arial" w:cs="Arial" w:eastAsia="Arial" w:hAnsi="Arial"/>
          <w:sz w:val="16"/>
          <w:szCs w:val="16"/>
          <w:b w:val="1"/>
          <w:bCs w:val="1"/>
          <w:color w:val="auto"/>
        </w:rPr>
      </w:pPr>
    </w:p>
    <w:p>
      <w:pPr>
        <w:ind w:left="4" w:right="80" w:hanging="4"/>
        <w:spacing w:after="0" w:line="271" w:lineRule="auto"/>
        <w:tabs>
          <w:tab w:leader="none" w:pos="349" w:val="left"/>
        </w:tabs>
        <w:numPr>
          <w:ilvl w:val="0"/>
          <w:numId w:val="231"/>
        </w:numPr>
        <w:rPr>
          <w:rFonts w:ascii="Arial" w:cs="Arial" w:eastAsia="Arial" w:hAnsi="Arial"/>
          <w:sz w:val="17"/>
          <w:szCs w:val="17"/>
          <w:color w:val="auto"/>
        </w:rPr>
      </w:pPr>
      <w:r>
        <w:rPr>
          <w:rFonts w:ascii="Arial" w:cs="Arial" w:eastAsia="Arial" w:hAnsi="Arial"/>
          <w:sz w:val="17"/>
          <w:szCs w:val="17"/>
          <w:color w:val="auto"/>
        </w:rPr>
        <w:t>days after the anniversary of the preceding year’s annual meeting, notice by the stockholder to be timely must be so received not earlier than the close of business on the one hundred twentieth (120</w:t>
      </w:r>
      <w:r>
        <w:rPr>
          <w:rFonts w:ascii="Arial" w:cs="Arial" w:eastAsia="Arial" w:hAnsi="Arial"/>
          <w:sz w:val="14"/>
          <w:szCs w:val="14"/>
          <w:color w:val="auto"/>
        </w:rPr>
        <w:t>th</w:t>
      </w:r>
      <w:r>
        <w:rPr>
          <w:rFonts w:ascii="Arial" w:cs="Arial" w:eastAsia="Arial" w:hAnsi="Arial"/>
          <w:sz w:val="17"/>
          <w:szCs w:val="17"/>
          <w:color w:val="auto"/>
        </w:rPr>
        <w:t>) day prior to such annual meeting and not later than the close of business on the later of the ninetieth (90</w:t>
      </w:r>
      <w:r>
        <w:rPr>
          <w:rFonts w:ascii="Arial" w:cs="Arial" w:eastAsia="Arial" w:hAnsi="Arial"/>
          <w:sz w:val="14"/>
          <w:szCs w:val="14"/>
          <w:color w:val="auto"/>
        </w:rPr>
        <w:t>th</w:t>
      </w:r>
      <w:r>
        <w:rPr>
          <w:rFonts w:ascii="Arial" w:cs="Arial" w:eastAsia="Arial" w:hAnsi="Arial"/>
          <w:sz w:val="17"/>
          <w:szCs w:val="17"/>
          <w:color w:val="auto"/>
        </w:rPr>
        <w:t>) day prior to such annual meeting or the tenth (10</w:t>
      </w:r>
      <w:r>
        <w:rPr>
          <w:rFonts w:ascii="Arial" w:cs="Arial" w:eastAsia="Arial" w:hAnsi="Arial"/>
          <w:sz w:val="14"/>
          <w:szCs w:val="14"/>
          <w:color w:val="auto"/>
        </w:rPr>
        <w:t>th</w:t>
      </w:r>
      <w:r>
        <w:rPr>
          <w:rFonts w:ascii="Arial" w:cs="Arial" w:eastAsia="Arial" w:hAnsi="Arial"/>
          <w:sz w:val="17"/>
          <w:szCs w:val="17"/>
          <w:color w:val="auto"/>
        </w:rPr>
        <w:t>) day following the day on which public announcement of the date of such meeting is first made. In no event shall an adjournment or a postponement of an annual meeting for which notice has been given, or the public announcement thereof has been made, commence a new time period for the giving of a stockholder’s notice as described above.</w:t>
      </w:r>
    </w:p>
    <w:p>
      <w:pPr>
        <w:spacing w:after="0" w:line="70" w:lineRule="exact"/>
        <w:rPr>
          <w:rFonts w:ascii="Arial" w:cs="Arial" w:eastAsia="Arial" w:hAnsi="Arial"/>
          <w:sz w:val="17"/>
          <w:szCs w:val="17"/>
          <w:color w:val="auto"/>
        </w:rPr>
      </w:pPr>
    </w:p>
    <w:p>
      <w:pPr>
        <w:ind w:left="4" w:firstLine="1428"/>
        <w:spacing w:after="0" w:line="268" w:lineRule="auto"/>
        <w:tabs>
          <w:tab w:leader="none" w:pos="1691" w:val="left"/>
        </w:tabs>
        <w:numPr>
          <w:ilvl w:val="1"/>
          <w:numId w:val="231"/>
        </w:numPr>
        <w:rPr>
          <w:rFonts w:ascii="Arial" w:cs="Arial" w:eastAsia="Arial" w:hAnsi="Arial"/>
          <w:sz w:val="17"/>
          <w:szCs w:val="17"/>
          <w:b w:val="1"/>
          <w:bCs w:val="1"/>
          <w:color w:val="auto"/>
        </w:rPr>
      </w:pPr>
      <w:r>
        <w:rPr>
          <w:rFonts w:ascii="Arial" w:cs="Arial" w:eastAsia="Arial" w:hAnsi="Arial"/>
          <w:sz w:val="17"/>
          <w:szCs w:val="17"/>
          <w:color w:val="auto"/>
        </w:rPr>
        <w:t>The written notice required by Section 5(b)(1) or 5(b)(2) shall also set forth, as of the date of the notice and as to the stockholder giving the notice and the beneficial owner, if any, on whose behalf the nomination or proposal is made (each, a “</w:t>
      </w:r>
      <w:r>
        <w:rPr>
          <w:rFonts w:ascii="Arial" w:cs="Arial" w:eastAsia="Arial" w:hAnsi="Arial"/>
          <w:sz w:val="17"/>
          <w:szCs w:val="17"/>
          <w:b w:val="1"/>
          <w:bCs w:val="1"/>
          <w:i w:val="1"/>
          <w:iCs w:val="1"/>
          <w:color w:val="auto"/>
        </w:rPr>
        <w:t>Proponent</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Proponents</w:t>
      </w:r>
      <w:r>
        <w:rPr>
          <w:rFonts w:ascii="Arial" w:cs="Arial" w:eastAsia="Arial" w:hAnsi="Arial"/>
          <w:sz w:val="17"/>
          <w:szCs w:val="17"/>
          <w:color w:val="auto"/>
        </w:rPr>
        <w:t>”): (A) the name and address of each Proponent, as they appear on the corporation’s books; (B) the class, series and number of shares of the corporation that are owned beneficially and of record by each Proponent; (C) a description of any agreement, arrangement or understanding (whether oral or in writing) with respect to such nomination or proposal between or among any Proponent and any of its affiliates or associates, and any others (including their names) acting in concert, or otherwise under the agreement, arrangement or understanding, with any of the foregoing; (D) a representation that the Proponents are holders of record or beneficial owners, as the case may be, of shares of the corporation entitled to vote at the meeting and intend to appear in person or by proxy at the meeting to nominate the person or persons specified in the notice (with respect to a notice under Section 5(b)(1)) or to propose the business that is specified in the notice (with respect to a notice under Section 5(b)(2)); (E) a representation as to whether the Proponents intend to deliver a proxy statement and form of proxy to holders of a sufficient number of holders of the corporation’s voting shares to elect such nominee or nominees (with respect to a notice under Section 5(b)(1)) or to carry such proposal (with respect to a notice under Section 5(b)(2)); (F) to the extent known by any Proponent, the name and address of any other stockholder supporting the proposal on the date of such stockholder’s notice; and (G) a description of all Derivative Transactions (as defined below) by each Proponent during the previous twelve (12) month period, including the date of the transactions and the class, series and number of securities involved in, and the material economic terms of, such Derivative Transactions.</w:t>
      </w:r>
    </w:p>
    <w:p>
      <w:pPr>
        <w:spacing w:after="0" w:line="182"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For purposes of Sections 5 and 6, a “</w:t>
      </w:r>
      <w:r>
        <w:rPr>
          <w:rFonts w:ascii="Arial" w:cs="Arial" w:eastAsia="Arial" w:hAnsi="Arial"/>
          <w:sz w:val="18"/>
          <w:szCs w:val="18"/>
          <w:b w:val="1"/>
          <w:bCs w:val="1"/>
          <w:i w:val="1"/>
          <w:iCs w:val="1"/>
          <w:color w:val="auto"/>
        </w:rPr>
        <w:t>Derivative Transaction</w:t>
      </w:r>
      <w:r>
        <w:rPr>
          <w:rFonts w:ascii="Arial" w:cs="Arial" w:eastAsia="Arial" w:hAnsi="Arial"/>
          <w:sz w:val="18"/>
          <w:szCs w:val="18"/>
          <w:color w:val="auto"/>
        </w:rPr>
        <w:t>” means any agreement, arrangement, interest or understanding entered into by, or on behalf or for the benefit of, any Proponent or any of its affiliates or associates, whether record or beneficial:</w:t>
      </w:r>
    </w:p>
    <w:p>
      <w:pPr>
        <w:spacing w:after="0" w:line="62" w:lineRule="exact"/>
        <w:rPr>
          <w:sz w:val="20"/>
          <w:szCs w:val="20"/>
          <w:color w:val="auto"/>
        </w:rPr>
      </w:pPr>
    </w:p>
    <w:p>
      <w:pPr>
        <w:ind w:left="744" w:hanging="304"/>
        <w:spacing w:after="0"/>
        <w:tabs>
          <w:tab w:leader="none" w:pos="744"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the value of which is derived in whole or in part from the value of any class or series of shares or other securities of the corporation,</w:t>
      </w:r>
    </w:p>
    <w:p>
      <w:pPr>
        <w:spacing w:after="0" w:line="169" w:lineRule="exact"/>
        <w:rPr>
          <w:rFonts w:ascii="Arial" w:cs="Arial" w:eastAsia="Arial" w:hAnsi="Arial"/>
          <w:sz w:val="17"/>
          <w:szCs w:val="17"/>
          <w:color w:val="auto"/>
        </w:rPr>
      </w:pPr>
    </w:p>
    <w:p>
      <w:pPr>
        <w:ind w:left="5444"/>
        <w:spacing w:after="0"/>
        <w:rPr>
          <w:rFonts w:ascii="Arial" w:cs="Arial" w:eastAsia="Arial" w:hAnsi="Arial"/>
          <w:sz w:val="17"/>
          <w:szCs w:val="17"/>
          <w:color w:val="auto"/>
        </w:rPr>
      </w:pPr>
      <w:r>
        <w:rPr>
          <w:rFonts w:ascii="Arial" w:cs="Arial" w:eastAsia="Arial" w:hAnsi="Arial"/>
          <w:sz w:val="18"/>
          <w:szCs w:val="18"/>
          <w:color w:val="auto"/>
        </w:rPr>
        <w:t>3.</w:t>
      </w:r>
    </w:p>
    <w:p>
      <w:pPr>
        <w:sectPr>
          <w:pgSz w:w="11900" w:h="16838" w:orient="portrait"/>
          <w:cols w:equalWidth="0" w:num="1">
            <w:col w:w="10984"/>
          </w:cols>
          <w:pgMar w:left="436" w:top="274" w:right="479" w:bottom="1440" w:gutter="0" w:footer="0" w:header="0"/>
        </w:sectPr>
      </w:pPr>
    </w:p>
    <w:bookmarkStart w:id="350" w:name="page351"/>
    <w:bookmarkEnd w:id="350"/>
    <w:p>
      <w:pPr>
        <w:ind w:left="444" w:right="40" w:hanging="4"/>
        <w:spacing w:after="0" w:line="277" w:lineRule="auto"/>
        <w:tabs>
          <w:tab w:leader="none" w:pos="699" w:val="left"/>
        </w:tabs>
        <w:numPr>
          <w:ilvl w:val="0"/>
          <w:numId w:val="2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which otherwise provides any direct or indirect opportunity to gain or share in any gain derived from a change in the value of securities of the corporation,</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(z) the effect or intent of which is to mitigate loss, manage risk or benefit of security value or price changes, or</w:t>
      </w:r>
    </w:p>
    <w:p>
      <w:pPr>
        <w:spacing w:after="0" w:line="117" w:lineRule="exact"/>
        <w:rPr>
          <w:sz w:val="20"/>
          <w:szCs w:val="20"/>
          <w:color w:val="auto"/>
        </w:rPr>
      </w:pPr>
    </w:p>
    <w:p>
      <w:pPr>
        <w:ind w:left="444" w:right="60" w:hanging="4"/>
        <w:spacing w:after="0" w:line="277" w:lineRule="auto"/>
        <w:tabs>
          <w:tab w:leader="none" w:pos="689" w:val="left"/>
        </w:tabs>
        <w:numPr>
          <w:ilvl w:val="0"/>
          <w:numId w:val="234"/>
        </w:numPr>
        <w:rPr>
          <w:rFonts w:ascii="Arial" w:cs="Arial" w:eastAsia="Arial" w:hAnsi="Arial"/>
          <w:sz w:val="18"/>
          <w:szCs w:val="18"/>
          <w:color w:val="auto"/>
        </w:rPr>
      </w:pPr>
      <w:r>
        <w:rPr>
          <w:rFonts w:ascii="Arial" w:cs="Arial" w:eastAsia="Arial" w:hAnsi="Arial"/>
          <w:sz w:val="18"/>
          <w:szCs w:val="18"/>
          <w:color w:val="auto"/>
        </w:rPr>
        <w:t>which provides the right to vote or increase or decrease the voting power of, such Proponent, or any of its affiliates or associates, with respect to any securities of the corporation,</w:t>
      </w:r>
    </w:p>
    <w:p>
      <w:pPr>
        <w:spacing w:after="0" w:line="170" w:lineRule="exact"/>
        <w:rPr>
          <w:sz w:val="20"/>
          <w:szCs w:val="20"/>
          <w:color w:val="auto"/>
        </w:rPr>
      </w:pPr>
    </w:p>
    <w:p>
      <w:pPr>
        <w:ind w:left="4" w:right="40"/>
        <w:spacing w:after="0" w:line="275" w:lineRule="auto"/>
        <w:rPr>
          <w:sz w:val="20"/>
          <w:szCs w:val="20"/>
          <w:color w:val="auto"/>
        </w:rPr>
      </w:pPr>
      <w:r>
        <w:rPr>
          <w:rFonts w:ascii="Arial" w:cs="Arial" w:eastAsia="Arial" w:hAnsi="Arial"/>
          <w:sz w:val="17"/>
          <w:szCs w:val="17"/>
          <w:color w:val="auto"/>
        </w:rPr>
        <w:t>which agreement, arrangement, interest or understanding may include, without limitation, any option, warrant, debt position, note, bond, convertible security, swap, stock appreciation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Proponent in the securities of the corporation held by any general or limited partnership, or any limited liability company, of which such Proponent is, directly or indirectly, a general partner or managing member.</w:t>
      </w:r>
    </w:p>
    <w:p>
      <w:pPr>
        <w:spacing w:after="0" w:line="68" w:lineRule="exact"/>
        <w:rPr>
          <w:sz w:val="20"/>
          <w:szCs w:val="20"/>
          <w:color w:val="auto"/>
        </w:rPr>
      </w:pPr>
    </w:p>
    <w:p>
      <w:pPr>
        <w:ind w:left="4" w:right="160" w:firstLine="987"/>
        <w:spacing w:after="0" w:line="287" w:lineRule="auto"/>
        <w:tabs>
          <w:tab w:leader="none" w:pos="1240" w:val="left"/>
        </w:tabs>
        <w:numPr>
          <w:ilvl w:val="1"/>
          <w:numId w:val="235"/>
        </w:numPr>
        <w:rPr>
          <w:rFonts w:ascii="Arial" w:cs="Arial" w:eastAsia="Arial" w:hAnsi="Arial"/>
          <w:sz w:val="16"/>
          <w:szCs w:val="16"/>
          <w:b w:val="1"/>
          <w:bCs w:val="1"/>
          <w:color w:val="auto"/>
        </w:rPr>
      </w:pPr>
      <w:r>
        <w:rPr>
          <w:rFonts w:ascii="Arial" w:cs="Arial" w:eastAsia="Arial" w:hAnsi="Arial"/>
          <w:sz w:val="16"/>
          <w:szCs w:val="16"/>
          <w:color w:val="auto"/>
        </w:rPr>
        <w:t>A stockholder providing written notice required by Section 5(b)(1) or (2) shall update and supplement such notice in writing, if necessary, so that the information provided or required to be provided in such notice is true and correct in all material respects as of (i) the record date for the meeting and (ii) the date that is five (5) business days prior to the meeting and, in the event of any adjournment or postponement thereof, five</w:t>
      </w:r>
    </w:p>
    <w:p>
      <w:pPr>
        <w:spacing w:after="0" w:line="2" w:lineRule="exact"/>
        <w:rPr>
          <w:rFonts w:ascii="Arial" w:cs="Arial" w:eastAsia="Arial" w:hAnsi="Arial"/>
          <w:sz w:val="16"/>
          <w:szCs w:val="16"/>
          <w:b w:val="1"/>
          <w:bCs w:val="1"/>
          <w:color w:val="auto"/>
        </w:rPr>
      </w:pPr>
    </w:p>
    <w:p>
      <w:pPr>
        <w:ind w:left="4" w:hanging="4"/>
        <w:spacing w:after="0" w:line="292" w:lineRule="auto"/>
        <w:tabs>
          <w:tab w:leader="none" w:pos="259" w:val="left"/>
        </w:tabs>
        <w:numPr>
          <w:ilvl w:val="0"/>
          <w:numId w:val="236"/>
        </w:numPr>
        <w:rPr>
          <w:rFonts w:ascii="Arial" w:cs="Arial" w:eastAsia="Arial" w:hAnsi="Arial"/>
          <w:sz w:val="16"/>
          <w:szCs w:val="16"/>
          <w:color w:val="auto"/>
        </w:rPr>
      </w:pPr>
      <w:r>
        <w:rPr>
          <w:rFonts w:ascii="Arial" w:cs="Arial" w:eastAsia="Arial" w:hAnsi="Arial"/>
          <w:sz w:val="16"/>
          <w:szCs w:val="16"/>
          <w:color w:val="auto"/>
        </w:rPr>
        <w:t>business days prior to such adjourned or postponed meeting. In the case of an update and supplement pursuant to clause (i) of this Section 5(c), such update and supplement shall be received by the Secretary at the principal executive offices of the corporation not later than five (5) business days after the record date for the meeting. In the case of an update and supplement pursuant to clause (ii) of this Section 5(c), such update and supplement shall be received by the Secretary at the principal executive offices of the corporation not later than two (2) business days prior to the date for the meeting, and, in the event of any adjournment or postponement thereof, two (2) business days prior to such adjourned or postponed meeting.</w:t>
      </w:r>
    </w:p>
    <w:p>
      <w:pPr>
        <w:spacing w:after="0" w:line="54" w:lineRule="exact"/>
        <w:rPr>
          <w:rFonts w:ascii="Arial" w:cs="Arial" w:eastAsia="Arial" w:hAnsi="Arial"/>
          <w:sz w:val="16"/>
          <w:szCs w:val="16"/>
          <w:color w:val="auto"/>
        </w:rPr>
      </w:pPr>
    </w:p>
    <w:p>
      <w:pPr>
        <w:ind w:left="4" w:right="40" w:firstLine="987"/>
        <w:spacing w:after="0" w:line="271" w:lineRule="auto"/>
        <w:tabs>
          <w:tab w:leader="none" w:pos="1260" w:val="left"/>
        </w:tabs>
        <w:numPr>
          <w:ilvl w:val="1"/>
          <w:numId w:val="236"/>
        </w:numPr>
        <w:rPr>
          <w:rFonts w:ascii="Arial" w:cs="Arial" w:eastAsia="Arial" w:hAnsi="Arial"/>
          <w:sz w:val="17"/>
          <w:szCs w:val="17"/>
          <w:b w:val="1"/>
          <w:bCs w:val="1"/>
          <w:color w:val="auto"/>
        </w:rPr>
      </w:pPr>
      <w:r>
        <w:rPr>
          <w:rFonts w:ascii="Arial" w:cs="Arial" w:eastAsia="Arial" w:hAnsi="Arial"/>
          <w:sz w:val="17"/>
          <w:szCs w:val="17"/>
          <w:color w:val="auto"/>
        </w:rPr>
        <w:t>Notwithstanding anything in Section 5(b)(3) to the contrary, in the event that the number of directors in an Expiring Class is increased and there is no public announcement of the appointment of a director to such class, or, if no appointment was made, of the vacancy in such class, made by the corporation at least ten (10) days before the last day a stockholder may deliver a notice of nomination in accordance with Section 5(b)(3), a stockholder’s notice required by this Section 5 and which complies with the requirements in Section 5(b)(1), other than the timing requirements in Section 5(b)(3), shall also be considered timely, but only with respect to nominees for any new positions in such Expiring Class created by such increase, if it shall be received by the Secretary at the principal executive offices of the corporation not later than the close of business on the tenth (10th) day following the day on which such public announcement is first made by the corporation. For purposes of this section, an “</w:t>
      </w:r>
      <w:r>
        <w:rPr>
          <w:rFonts w:ascii="Arial" w:cs="Arial" w:eastAsia="Arial" w:hAnsi="Arial"/>
          <w:sz w:val="17"/>
          <w:szCs w:val="17"/>
          <w:b w:val="1"/>
          <w:bCs w:val="1"/>
          <w:i w:val="1"/>
          <w:iCs w:val="1"/>
          <w:color w:val="auto"/>
        </w:rPr>
        <w:t>Expiring Class</w:t>
      </w:r>
      <w:r>
        <w:rPr>
          <w:rFonts w:ascii="Arial" w:cs="Arial" w:eastAsia="Arial" w:hAnsi="Arial"/>
          <w:sz w:val="17"/>
          <w:szCs w:val="17"/>
          <w:color w:val="auto"/>
        </w:rPr>
        <w:t>” shall mean a class of directors whose term shall expire at the next annual meeting of stockholders.</w:t>
      </w:r>
    </w:p>
    <w:p>
      <w:pPr>
        <w:spacing w:after="0" w:line="111"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4"/>
          </w:cols>
          <w:pgMar w:left="436" w:top="274" w:right="519" w:bottom="1440" w:gutter="0" w:footer="0" w:header="0"/>
        </w:sectPr>
      </w:pPr>
    </w:p>
    <w:bookmarkStart w:id="351" w:name="page352"/>
    <w:bookmarkEnd w:id="351"/>
    <w:p>
      <w:pPr>
        <w:ind w:left="1244" w:hanging="253"/>
        <w:spacing w:after="0"/>
        <w:tabs>
          <w:tab w:leader="none" w:pos="1244" w:val="left"/>
        </w:tabs>
        <w:numPr>
          <w:ilvl w:val="1"/>
          <w:numId w:val="237"/>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person shall not be eligible for election or re-election as a director unless the person is nominated either in accordance with clause</w:t>
      </w:r>
    </w:p>
    <w:p>
      <w:pPr>
        <w:spacing w:after="0" w:line="46" w:lineRule="exact"/>
        <w:rPr>
          <w:rFonts w:ascii="Arial" w:cs="Arial" w:eastAsia="Arial" w:hAnsi="Arial"/>
          <w:sz w:val="16"/>
          <w:szCs w:val="16"/>
          <w:b w:val="1"/>
          <w:bCs w:val="1"/>
          <w:color w:val="auto"/>
        </w:rPr>
      </w:pPr>
    </w:p>
    <w:p>
      <w:pPr>
        <w:ind w:left="4" w:right="20" w:hanging="4"/>
        <w:spacing w:after="0" w:line="252" w:lineRule="auto"/>
        <w:tabs>
          <w:tab w:leader="none" w:pos="269" w:val="left"/>
        </w:tabs>
        <w:numPr>
          <w:ilvl w:val="0"/>
          <w:numId w:val="238"/>
        </w:numPr>
        <w:rPr>
          <w:rFonts w:ascii="Arial" w:cs="Arial" w:eastAsia="Arial" w:hAnsi="Arial"/>
          <w:sz w:val="18"/>
          <w:szCs w:val="18"/>
          <w:color w:val="auto"/>
        </w:rPr>
      </w:pPr>
      <w:r>
        <w:rPr>
          <w:rFonts w:ascii="Arial" w:cs="Arial" w:eastAsia="Arial" w:hAnsi="Arial"/>
          <w:sz w:val="18"/>
          <w:szCs w:val="18"/>
          <w:color w:val="auto"/>
        </w:rPr>
        <w:t>of Section 5(a), or in accordance with clause (iii) of Section 5(a). Except as otherwise required by law, the chairman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or the Proponent does not act in accordance with the representations in Sections 5(b)(4)(D) and 5(b)(4)(E), to declare that such proposal or nomination shall not be presented for stockholder action at the meeting and shall be disregarded, notwithstanding that proxies in respect of such nominations or such business may have been solicited or received.</w:t>
      </w:r>
    </w:p>
    <w:p>
      <w:pPr>
        <w:spacing w:after="0" w:line="85" w:lineRule="exact"/>
        <w:rPr>
          <w:rFonts w:ascii="Arial" w:cs="Arial" w:eastAsia="Arial" w:hAnsi="Arial"/>
          <w:sz w:val="18"/>
          <w:szCs w:val="18"/>
          <w:color w:val="auto"/>
        </w:rPr>
      </w:pPr>
    </w:p>
    <w:p>
      <w:pPr>
        <w:ind w:left="4" w:firstLine="987"/>
        <w:spacing w:after="0" w:line="255" w:lineRule="auto"/>
        <w:tabs>
          <w:tab w:leader="none" w:pos="1220" w:val="left"/>
        </w:tabs>
        <w:numPr>
          <w:ilvl w:val="1"/>
          <w:numId w:val="238"/>
        </w:numPr>
        <w:rPr>
          <w:rFonts w:ascii="Arial" w:cs="Arial" w:eastAsia="Arial" w:hAnsi="Arial"/>
          <w:sz w:val="18"/>
          <w:szCs w:val="18"/>
          <w:b w:val="1"/>
          <w:bCs w:val="1"/>
          <w:color w:val="auto"/>
        </w:rPr>
      </w:pPr>
      <w:r>
        <w:rPr>
          <w:rFonts w:ascii="Arial" w:cs="Arial" w:eastAsia="Arial" w:hAnsi="Arial"/>
          <w:sz w:val="18"/>
          <w:szCs w:val="18"/>
          <w:color w:val="auto"/>
        </w:rPr>
        <w:t xml:space="preserve">Notwithstanding the foregoing provisions of this Section 5, in order to include information with respect to a stockholder proposal in the proxy statement and form of proxy for a stockholders’ meeting, a stockholder must also comply with all applicable requirements of the 1934 Act and the rules and regulations thereunder. Nothing in these Bylaws shall be deemed to affect any rights of stockholders to request inclusion of proposals in the corporation’s proxy statement pursuant to Rule 14a-8 under the 1934 Act;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any references in these Bylaws to the 1934 Act or the rules and regulations thereunder are not intended to and shall not limit the requirements applicable to proposals and/or nominations to be considered pursuant to Section 5(a)(iii) of these Bylaws.</w:t>
      </w:r>
    </w:p>
    <w:p>
      <w:pPr>
        <w:spacing w:after="0" w:line="84" w:lineRule="exact"/>
        <w:rPr>
          <w:rFonts w:ascii="Arial" w:cs="Arial" w:eastAsia="Arial" w:hAnsi="Arial"/>
          <w:sz w:val="18"/>
          <w:szCs w:val="18"/>
          <w:b w:val="1"/>
          <w:bCs w:val="1"/>
          <w:color w:val="auto"/>
        </w:rPr>
      </w:pPr>
    </w:p>
    <w:p>
      <w:pPr>
        <w:ind w:left="1244" w:hanging="253"/>
        <w:spacing w:after="0"/>
        <w:tabs>
          <w:tab w:leader="none" w:pos="1244" w:val="left"/>
        </w:tabs>
        <w:numPr>
          <w:ilvl w:val="1"/>
          <w:numId w:val="238"/>
        </w:numPr>
        <w:rPr>
          <w:rFonts w:ascii="Arial" w:cs="Arial" w:eastAsia="Arial" w:hAnsi="Arial"/>
          <w:sz w:val="18"/>
          <w:szCs w:val="18"/>
          <w:b w:val="1"/>
          <w:bCs w:val="1"/>
          <w:color w:val="auto"/>
        </w:rPr>
      </w:pPr>
      <w:r>
        <w:rPr>
          <w:rFonts w:ascii="Arial" w:cs="Arial" w:eastAsia="Arial" w:hAnsi="Arial"/>
          <w:sz w:val="18"/>
          <w:szCs w:val="18"/>
          <w:color w:val="auto"/>
        </w:rPr>
        <w:t>For purposes of Sections 5 and 6,</w:t>
      </w:r>
    </w:p>
    <w:p>
      <w:pPr>
        <w:spacing w:after="0" w:line="117" w:lineRule="exact"/>
        <w:rPr>
          <w:rFonts w:ascii="Arial" w:cs="Arial" w:eastAsia="Arial" w:hAnsi="Arial"/>
          <w:sz w:val="18"/>
          <w:szCs w:val="18"/>
          <w:b w:val="1"/>
          <w:bCs w:val="1"/>
          <w:color w:val="auto"/>
        </w:rPr>
      </w:pPr>
    </w:p>
    <w:p>
      <w:pPr>
        <w:ind w:left="4" w:right="180" w:firstLine="1428"/>
        <w:spacing w:after="0" w:line="263" w:lineRule="auto"/>
        <w:tabs>
          <w:tab w:leader="none" w:pos="1691" w:val="left"/>
        </w:tabs>
        <w:numPr>
          <w:ilvl w:val="2"/>
          <w:numId w:val="23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public announcement</w:t>
      </w:r>
      <w:r>
        <w:rPr>
          <w:rFonts w:ascii="Arial" w:cs="Arial" w:eastAsia="Arial" w:hAnsi="Arial"/>
          <w:sz w:val="18"/>
          <w:szCs w:val="18"/>
          <w:color w:val="auto"/>
        </w:rPr>
        <w:t>” shall mean disclosure in a press release reported by the Dow Jones News Service, Associated Press or comparable national news service or in a document publicly filed by the corporation with the Securities and Exchange Commission pursuant to Section 13, 14 or 15(d) of the 1934 Act; and</w:t>
      </w:r>
    </w:p>
    <w:p>
      <w:pPr>
        <w:spacing w:after="0" w:line="75" w:lineRule="exact"/>
        <w:rPr>
          <w:rFonts w:ascii="Arial" w:cs="Arial" w:eastAsia="Arial" w:hAnsi="Arial"/>
          <w:sz w:val="18"/>
          <w:szCs w:val="18"/>
          <w:b w:val="1"/>
          <w:bCs w:val="1"/>
          <w:color w:val="auto"/>
        </w:rPr>
      </w:pPr>
    </w:p>
    <w:p>
      <w:pPr>
        <w:ind w:left="1684" w:hanging="252"/>
        <w:spacing w:after="0"/>
        <w:tabs>
          <w:tab w:leader="none" w:pos="1684" w:val="left"/>
        </w:tabs>
        <w:numPr>
          <w:ilvl w:val="2"/>
          <w:numId w:val="23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affiliates</w:t>
      </w:r>
      <w:r>
        <w:rPr>
          <w:rFonts w:ascii="Arial" w:cs="Arial" w:eastAsia="Arial" w:hAnsi="Arial"/>
          <w:sz w:val="16"/>
          <w:szCs w:val="16"/>
          <w:color w:val="auto"/>
        </w:rPr>
        <w:t>” and “</w:t>
      </w:r>
      <w:r>
        <w:rPr>
          <w:rFonts w:ascii="Arial" w:cs="Arial" w:eastAsia="Arial" w:hAnsi="Arial"/>
          <w:sz w:val="16"/>
          <w:szCs w:val="16"/>
          <w:b w:val="1"/>
          <w:bCs w:val="1"/>
          <w:i w:val="1"/>
          <w:iCs w:val="1"/>
          <w:color w:val="auto"/>
        </w:rPr>
        <w:t>associates</w:t>
      </w:r>
      <w:r>
        <w:rPr>
          <w:rFonts w:ascii="Arial" w:cs="Arial" w:eastAsia="Arial" w:hAnsi="Arial"/>
          <w:sz w:val="16"/>
          <w:szCs w:val="16"/>
          <w:color w:val="auto"/>
        </w:rPr>
        <w:t>” shall have the meanings set forth in Rule 405 under the Securities Act of 1933, as amended (the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1933 Act</w:t>
      </w:r>
      <w:r>
        <w:rPr>
          <w:rFonts w:ascii="Arial" w:cs="Arial" w:eastAsia="Arial" w:hAnsi="Arial"/>
          <w:sz w:val="18"/>
          <w:szCs w:val="18"/>
          <w:color w:val="auto"/>
        </w:rPr>
        <w:t>”).</w:t>
      </w:r>
    </w:p>
    <w:p>
      <w:pPr>
        <w:spacing w:after="0" w:line="20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6. Special Meetings</w:t>
      </w:r>
      <w:r>
        <w:rPr>
          <w:rFonts w:ascii="Arial" w:cs="Arial" w:eastAsia="Arial" w:hAnsi="Arial"/>
          <w:sz w:val="18"/>
          <w:szCs w:val="18"/>
          <w:color w:val="auto"/>
        </w:rPr>
        <w:t>.</w:t>
      </w:r>
    </w:p>
    <w:p>
      <w:pPr>
        <w:spacing w:after="0" w:line="121" w:lineRule="exact"/>
        <w:rPr>
          <w:sz w:val="20"/>
          <w:szCs w:val="20"/>
          <w:color w:val="auto"/>
        </w:rPr>
      </w:pPr>
    </w:p>
    <w:p>
      <w:pPr>
        <w:ind w:left="4" w:right="400" w:firstLine="987"/>
        <w:spacing w:after="0" w:line="259" w:lineRule="auto"/>
        <w:tabs>
          <w:tab w:leader="none" w:pos="1250" w:val="left"/>
        </w:tabs>
        <w:numPr>
          <w:ilvl w:val="0"/>
          <w:numId w:val="239"/>
        </w:numPr>
        <w:rPr>
          <w:rFonts w:ascii="Arial" w:cs="Arial" w:eastAsia="Arial" w:hAnsi="Arial"/>
          <w:sz w:val="18"/>
          <w:szCs w:val="18"/>
          <w:b w:val="1"/>
          <w:bCs w:val="1"/>
          <w:color w:val="auto"/>
        </w:rPr>
      </w:pPr>
      <w:r>
        <w:rPr>
          <w:rFonts w:ascii="Arial" w:cs="Arial" w:eastAsia="Arial" w:hAnsi="Arial"/>
          <w:sz w:val="18"/>
          <w:szCs w:val="18"/>
          <w:color w:val="auto"/>
        </w:rPr>
        <w:t>Special meetings of the stockholders of the corporation may be called, for any purpose as is a proper matter for stockholder action under Delaware law, by (i) the Chairman of the Board of Directors, (ii) the Chief Executive Officer,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78" w:lineRule="exact"/>
        <w:rPr>
          <w:rFonts w:ascii="Arial" w:cs="Arial" w:eastAsia="Arial" w:hAnsi="Arial"/>
          <w:sz w:val="18"/>
          <w:szCs w:val="18"/>
          <w:b w:val="1"/>
          <w:bCs w:val="1"/>
          <w:color w:val="auto"/>
        </w:rPr>
      </w:pPr>
    </w:p>
    <w:p>
      <w:pPr>
        <w:ind w:left="4" w:firstLine="987"/>
        <w:spacing w:after="0" w:line="286" w:lineRule="auto"/>
        <w:tabs>
          <w:tab w:leader="none" w:pos="1260" w:val="left"/>
        </w:tabs>
        <w:numPr>
          <w:ilvl w:val="0"/>
          <w:numId w:val="239"/>
        </w:numPr>
        <w:rPr>
          <w:rFonts w:ascii="Arial" w:cs="Arial" w:eastAsia="Arial" w:hAnsi="Arial"/>
          <w:sz w:val="17"/>
          <w:szCs w:val="17"/>
          <w:b w:val="1"/>
          <w:bCs w:val="1"/>
          <w:color w:val="auto"/>
        </w:rPr>
      </w:pPr>
      <w:r>
        <w:rPr>
          <w:rFonts w:ascii="Arial" w:cs="Arial" w:eastAsia="Arial" w:hAnsi="Arial"/>
          <w:sz w:val="17"/>
          <w:szCs w:val="17"/>
          <w:color w:val="auto"/>
        </w:rPr>
        <w:t>The Board of Directors shall determine the time and place, if any, of such special meeting. Upon determination of the time and place, if any, of the meeting, the Secretary shall cause a notice of meeting to be given to the stockholders entitled to vote, in accordance with the provisions of Section 7 of these Bylaws. No business may be transacted at such special meeting otherwise than specified in the notice of meeting.</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352" w:name="page353"/>
    <w:bookmarkEnd w:id="352"/>
    <w:p>
      <w:pPr>
        <w:ind w:right="20" w:firstLine="987"/>
        <w:spacing w:after="0" w:line="269" w:lineRule="auto"/>
        <w:tabs>
          <w:tab w:leader="none" w:pos="1236" w:val="left"/>
        </w:tabs>
        <w:numPr>
          <w:ilvl w:val="0"/>
          <w:numId w:val="240"/>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Nominations of persons for election to the Board of Directors may be made at a special meeting of stockholders at which directors are to be elected (i) by or at the direction of the Board of Directors or (ii) by any stockholder of the corporation who is a stockholder of record at the time of giving notice provided for in this paragraph, who shall be entitled to vote at the meeting and who delivers written notice to the Secretary of the corporation setting forth the information required by Section 5(b)(1). In the event the corporation calls a special meeting of stockholders for the purpose of electing one or more directors to the Board of Directors, any such stockholder of record may nominate a person or persons (as the case may be), for election to such position(s) as specified in the corporation’s notice of meeting, if written notice setting forth the information required by Section 5(b)(1) of these Bylaws shall be received by the Secretary at the principal executive offices of the corporation not later than the close of business on the later of the ninetieth (90</w:t>
      </w:r>
      <w:r>
        <w:rPr>
          <w:rFonts w:ascii="Arial" w:cs="Arial" w:eastAsia="Arial" w:hAnsi="Arial"/>
          <w:sz w:val="14"/>
          <w:szCs w:val="14"/>
          <w:color w:val="auto"/>
        </w:rPr>
        <w:t>th</w:t>
      </w:r>
      <w:r>
        <w:rPr>
          <w:rFonts w:ascii="Arial" w:cs="Arial" w:eastAsia="Arial" w:hAnsi="Arial"/>
          <w:sz w:val="17"/>
          <w:szCs w:val="17"/>
          <w:color w:val="auto"/>
        </w:rPr>
        <w:t>) day prior to such meeting or the tenth (10</w:t>
      </w:r>
      <w:r>
        <w:rPr>
          <w:rFonts w:ascii="Arial" w:cs="Arial" w:eastAsia="Arial" w:hAnsi="Arial"/>
          <w:sz w:val="14"/>
          <w:szCs w:val="14"/>
          <w:color w:val="auto"/>
        </w:rPr>
        <w:t>th</w:t>
      </w:r>
      <w:r>
        <w:rPr>
          <w:rFonts w:ascii="Arial" w:cs="Arial" w:eastAsia="Arial" w:hAnsi="Arial"/>
          <w:sz w:val="17"/>
          <w:szCs w:val="17"/>
          <w:color w:val="auto"/>
        </w:rPr>
        <w:t>) day following the day on which public announcement is first made of the date of the special meeting and of the nominees proposed by the Board of Directors to be elected at such meeting. The stockholder shall also update and supplement such information as required under Section 5(c). In no event shall an adjournment or a postponement of a special meeting for which notice has been given, or the public announcement thereof has been made, commence a new time period for the giving of a stockholder’s notice as described above.</w:t>
      </w:r>
    </w:p>
    <w:p>
      <w:pPr>
        <w:spacing w:after="0" w:line="70" w:lineRule="exact"/>
        <w:rPr>
          <w:rFonts w:ascii="Arial" w:cs="Arial" w:eastAsia="Arial" w:hAnsi="Arial"/>
          <w:sz w:val="17"/>
          <w:szCs w:val="17"/>
          <w:b w:val="1"/>
          <w:bCs w:val="1"/>
          <w:color w:val="auto"/>
        </w:rPr>
      </w:pPr>
    </w:p>
    <w:p>
      <w:pPr>
        <w:ind w:right="160" w:firstLine="987"/>
        <w:spacing w:after="0" w:line="296" w:lineRule="auto"/>
        <w:tabs>
          <w:tab w:leader="none" w:pos="1256" w:val="left"/>
        </w:tabs>
        <w:numPr>
          <w:ilvl w:val="0"/>
          <w:numId w:val="240"/>
        </w:numPr>
        <w:rPr>
          <w:rFonts w:ascii="Arial" w:cs="Arial" w:eastAsia="Arial" w:hAnsi="Arial"/>
          <w:sz w:val="16"/>
          <w:szCs w:val="16"/>
          <w:b w:val="1"/>
          <w:bCs w:val="1"/>
          <w:color w:val="auto"/>
        </w:rPr>
      </w:pPr>
      <w:r>
        <w:rPr>
          <w:rFonts w:ascii="Arial" w:cs="Arial" w:eastAsia="Arial" w:hAnsi="Arial"/>
          <w:sz w:val="16"/>
          <w:szCs w:val="16"/>
          <w:color w:val="auto"/>
        </w:rPr>
        <w:t xml:space="preserve">Notwithstanding the foregoing provisions of this Section 6, a stockholder must also comply with all applicable requirements of the 1934 Act and the rules and regulations thereunder with respect to matters set forth in this Section 6. Nothing in these Bylaws shall be deemed to affect any rights of stockholders to request inclusion of proposals in the corporation’s proxy statement pursuant to Rule 14a-8 under the 1934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any references in these Bylaws to the 1934 Act or the rules and regulations thereunder are not intended to and shall not limit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applicable to nominations for the election to the Board of Directors to be considered pursuant to Section 6(c) of these Bylaws.</w:t>
      </w:r>
    </w:p>
    <w:p>
      <w:pPr>
        <w:spacing w:after="0" w:line="15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Section 7. Notice of Meetings</w:t>
      </w:r>
      <w:r>
        <w:rPr>
          <w:rFonts w:ascii="Arial" w:cs="Arial" w:eastAsia="Arial" w:hAnsi="Arial"/>
          <w:sz w:val="17"/>
          <w:szCs w:val="17"/>
          <w:color w:val="auto"/>
        </w:rPr>
        <w:t>. Except as otherwise provided by law, notice, given in writing or by electronic transmission, of each meeting of</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shall be given not less than ten (10) nor more than sixty (60) days before the date of the meeting to each stockholder entitled to vote at such meeting, such notice to specify the place, if any, date and hour, in the case of special meetings, the purpose or purposes of the meeting, and the means of remote communications, if any, by which stockholders and proxy holders may be deemed to be present in person and vote at any such meeting. If mailed, notice is deemed given when deposited in the U.S. mail, postage prepaid, directed to the stockholder at such stockholder’s address as it appears on the records of the corporation. Notice of the time, place, if any, and purpose of any meeting of stockholders may be waived in writing, signed by the person entitled to notice thereof, or by electronic transmission by such person, either before or after such meeting, and will be waived by any stockholder by his, her or its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353" w:name="page354"/>
    <w:bookmarkEnd w:id="353"/>
    <w:p>
      <w:pPr>
        <w:ind w:firstLine="440"/>
        <w:spacing w:after="0" w:line="268"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 Quorum</w:t>
      </w:r>
      <w:r>
        <w:rPr>
          <w:rFonts w:ascii="Arial" w:cs="Arial" w:eastAsia="Arial" w:hAnsi="Arial"/>
          <w:sz w:val="17"/>
          <w:szCs w:val="17"/>
          <w:color w:val="auto"/>
        </w:rPr>
        <w:t>. At all meetings of stockholders, except where otherwise provided by statute or by the Certificate of Incorporation, or by</w:t>
      </w:r>
      <w:r>
        <w:rPr>
          <w:rFonts w:ascii="Arial" w:cs="Arial" w:eastAsia="Arial" w:hAnsi="Arial"/>
          <w:sz w:val="17"/>
          <w:szCs w:val="17"/>
          <w:b w:val="1"/>
          <w:bCs w:val="1"/>
          <w:color w:val="auto"/>
        </w:rPr>
        <w:t xml:space="preserve"> </w:t>
      </w:r>
      <w:r>
        <w:rPr>
          <w:rFonts w:ascii="Arial" w:cs="Arial" w:eastAsia="Arial" w:hAnsi="Arial"/>
          <w:sz w:val="17"/>
          <w:szCs w:val="17"/>
          <w:color w:val="auto"/>
        </w:rPr>
        <w:t>these Bylaws, the presence, in person, by remote communication, if applicable, or by proxy duly authorized, of the holders of a majority of the outstanding shares of stock entitled to vote shall constitute a quorum for the transaction of business. In the absence of a quorum, any meeting of stockholders may be adjourned, from time to time, either by the chairman of the meeting or by vote of the holders of a majority of the shares represented thereat,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statute or by applicable stock exchange rules, or by the Certificate of Incorporation or these Bylaws, in all matters other than the election of directors, the affirmative vote of the majority of shares present in person, by remote communication, if applicable, or represented by proxy at the meeting and entitled to vote generally on the subject matter shall be the act of the stockholders. Except as otherwise provided by statute, the Certificate of Incorporation or these Bylaws, directors shall be elected by a plurality of the votes of the shares present in person, by remote communication, if applicable, or represented by proxy at the meeting and entitled to vote generally on the election of directors. Where a separate vote by a class or classes or series is required, except where otherwise provided by the statute or by the Certificate of Incorporation or these Bylaws, a majority of the outstanding shares of such class or classes or series, present in person, by remote communication, if applicable, or represented by proxy duly authorized, shall constitute a quorum entitled to take action with respect to that vote on that matter. Except where otherwise provided by statute or by the Certificate of Incorporation or these Bylaws, the affirmative vote of the majority (plurality, in the case of the election of directors) of shares of such class or classes or series present in person, by remote communication, if applicable, or represented by proxy at the meeting shall be the act of such class or classes or series.</w:t>
      </w:r>
    </w:p>
    <w:p>
      <w:pPr>
        <w:spacing w:after="0" w:line="177"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b w:val="1"/>
          <w:bCs w:val="1"/>
          <w:color w:val="auto"/>
        </w:rPr>
        <w:t>Section 9. Adjournment and Notice of Adjourned Meetings</w:t>
      </w:r>
      <w:r>
        <w:rPr>
          <w:rFonts w:ascii="Arial" w:cs="Arial" w:eastAsia="Arial" w:hAnsi="Arial"/>
          <w:sz w:val="18"/>
          <w:szCs w:val="18"/>
          <w:color w:val="auto"/>
        </w:rPr>
        <w:t>. Any meeting of stockholders, whether annual or special, may be adjourned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either by the chairman of the meeting or by the vote of a majority of the shares present in person, by remote communication, if applicable, or represented by proxy at the meeting. When a meeting is adjourned to another time or place, if any, notice need not be given of the adjourned meeting if the time and place, if any, thereof are announced at the meeting at which the adjournment is taken. At the adjourned meeting, the corporation may transact any business which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189" w:lineRule="exact"/>
        <w:rPr>
          <w:sz w:val="20"/>
          <w:szCs w:val="20"/>
          <w:color w:val="auto"/>
        </w:rPr>
      </w:pPr>
    </w:p>
    <w:p>
      <w:pPr>
        <w:ind w:right="40" w:firstLine="440"/>
        <w:spacing w:after="0" w:line="298" w:lineRule="auto"/>
        <w:rPr>
          <w:sz w:val="20"/>
          <w:szCs w:val="20"/>
          <w:color w:val="auto"/>
        </w:rPr>
      </w:pPr>
      <w:r>
        <w:rPr>
          <w:rFonts w:ascii="Arial" w:cs="Arial" w:eastAsia="Arial" w:hAnsi="Arial"/>
          <w:sz w:val="16"/>
          <w:szCs w:val="16"/>
          <w:b w:val="1"/>
          <w:bCs w:val="1"/>
          <w:color w:val="auto"/>
        </w:rPr>
        <w:t>Section 10. Voting Rights</w:t>
      </w:r>
      <w:r>
        <w:rPr>
          <w:rFonts w:ascii="Arial" w:cs="Arial" w:eastAsia="Arial" w:hAnsi="Arial"/>
          <w:sz w:val="16"/>
          <w:szCs w:val="16"/>
          <w:color w:val="auto"/>
        </w:rPr>
        <w:t>. For the purpose of determining those stockholders entitled to vote at any meeting of the stockholders, except as</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provided by law, only persons in whose names shares stand on the stock records of the corporation on the record date, as provided in Section 12 of these Bylaws, shall be entitled to vote at any meeting of stockholders. Every person entitled to vote shall have the right to do so either in person, by remote communication, if applicable, or by an agent or agents authorized by a proxy granted in accordance with Delaware law. An agent so appointed need not be a stockholder. No proxy shall be voted after three (3) years from its date of creation unless the proxy provides for a longer period.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354" w:name="page355"/>
    <w:bookmarkEnd w:id="354"/>
    <w:p>
      <w:pPr>
        <w:ind w:left="4" w:right="20" w:firstLine="440"/>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11. Joint Owners of Stock</w:t>
      </w:r>
      <w:r>
        <w:rPr>
          <w:rFonts w:ascii="Arial" w:cs="Arial" w:eastAsia="Arial" w:hAnsi="Arial"/>
          <w:sz w:val="16"/>
          <w:szCs w:val="16"/>
          <w:color w:val="auto"/>
        </w:rPr>
        <w:t>. If shares or other securities having voting power stand of record in the names of two (2) or more persons,</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fiduciaries, members of a partnership, joint tenants, tenants in common, tenants by the entirety, or otherwise, or if two (2)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(1) votes, his or her act binds all; (b) if more than one (1) votes, the act of the majority so voting binds all; (c) if more than one</w:t>
      </w:r>
    </w:p>
    <w:p>
      <w:pPr>
        <w:spacing w:after="0" w:line="2" w:lineRule="exact"/>
        <w:rPr>
          <w:sz w:val="20"/>
          <w:szCs w:val="20"/>
          <w:color w:val="auto"/>
        </w:rPr>
      </w:pPr>
    </w:p>
    <w:p>
      <w:pPr>
        <w:ind w:left="4" w:right="120" w:hanging="4"/>
        <w:spacing w:after="0" w:line="277" w:lineRule="auto"/>
        <w:tabs>
          <w:tab w:leader="none" w:pos="259" w:val="left"/>
        </w:tabs>
        <w:numPr>
          <w:ilvl w:val="0"/>
          <w:numId w:val="241"/>
        </w:numPr>
        <w:rPr>
          <w:rFonts w:ascii="Arial" w:cs="Arial" w:eastAsia="Arial" w:hAnsi="Arial"/>
          <w:sz w:val="17"/>
          <w:szCs w:val="17"/>
          <w:color w:val="auto"/>
        </w:rPr>
      </w:pPr>
      <w:r>
        <w:rPr>
          <w:rFonts w:ascii="Arial" w:cs="Arial" w:eastAsia="Arial" w:hAnsi="Arial"/>
          <w:sz w:val="17"/>
          <w:szCs w:val="17"/>
          <w:color w:val="auto"/>
        </w:rPr>
        <w:t>votes, but the vote is evenly split on any particular matter, each faction may vote the securities in question proportionally, or may apply to the Delaware Court of Chancery for relief as provided in the DGCL, Section 217(b). If the instrument filed with the Secretary shows that any such tenancy is held in unequal interests, a majority or even-split for the purpose of subsection (c) shall be a majority or even-split in interest.</w:t>
      </w:r>
    </w:p>
    <w:p>
      <w:pPr>
        <w:spacing w:after="0" w:line="169" w:lineRule="exact"/>
        <w:rPr>
          <w:sz w:val="20"/>
          <w:szCs w:val="20"/>
          <w:color w:val="auto"/>
        </w:rPr>
      </w:pPr>
    </w:p>
    <w:p>
      <w:pPr>
        <w:ind w:left="4" w:right="20" w:firstLine="440"/>
        <w:spacing w:after="0" w:line="292" w:lineRule="auto"/>
        <w:rPr>
          <w:sz w:val="20"/>
          <w:szCs w:val="20"/>
          <w:color w:val="auto"/>
        </w:rPr>
      </w:pPr>
      <w:r>
        <w:rPr>
          <w:rFonts w:ascii="Arial" w:cs="Arial" w:eastAsia="Arial" w:hAnsi="Arial"/>
          <w:sz w:val="16"/>
          <w:szCs w:val="16"/>
          <w:b w:val="1"/>
          <w:bCs w:val="1"/>
          <w:color w:val="auto"/>
        </w:rPr>
        <w:t>Section 12. List of Stockholders</w:t>
      </w:r>
      <w:r>
        <w:rPr>
          <w:rFonts w:ascii="Arial" w:cs="Arial" w:eastAsia="Arial" w:hAnsi="Arial"/>
          <w:sz w:val="16"/>
          <w:szCs w:val="16"/>
          <w:color w:val="auto"/>
        </w:rPr>
        <w:t>. The Secretary shall prepare and make, at least ten (10) days before every meeting of stockholders, a complete</w:t>
      </w:r>
      <w:r>
        <w:rPr>
          <w:rFonts w:ascii="Arial" w:cs="Arial" w:eastAsia="Arial" w:hAnsi="Arial"/>
          <w:sz w:val="16"/>
          <w:szCs w:val="16"/>
          <w:b w:val="1"/>
          <w:bCs w:val="1"/>
          <w:color w:val="auto"/>
        </w:rPr>
        <w:t xml:space="preserve"> </w:t>
      </w:r>
      <w:r>
        <w:rPr>
          <w:rFonts w:ascii="Arial" w:cs="Arial" w:eastAsia="Arial" w:hAnsi="Arial"/>
          <w:sz w:val="16"/>
          <w:szCs w:val="16"/>
          <w:color w:val="auto"/>
        </w:rPr>
        <w:t>list of the stockholders entitled to vote at said meeting, arranged in alphabetical order, showing the address of each stockholder and the number of shares registered in the name of each stockholder. Such list shall be open to the examination of any stockholder, for any purpose germane to the meeting, (a) on a reasonably accessible electronic network, provided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list shall be open to examination of any stockholder during the time of the meeting as provided by law.</w:t>
      </w:r>
    </w:p>
    <w:p>
      <w:pPr>
        <w:spacing w:after="0" w:line="161" w:lineRule="exact"/>
        <w:rPr>
          <w:sz w:val="20"/>
          <w:szCs w:val="20"/>
          <w:color w:val="auto"/>
        </w:rPr>
      </w:pPr>
    </w:p>
    <w:p>
      <w:pPr>
        <w:ind w:left="4" w:right="140" w:firstLine="440"/>
        <w:spacing w:after="0" w:line="312" w:lineRule="auto"/>
        <w:rPr>
          <w:sz w:val="20"/>
          <w:szCs w:val="20"/>
          <w:color w:val="auto"/>
        </w:rPr>
      </w:pPr>
      <w:r>
        <w:rPr>
          <w:rFonts w:ascii="Arial" w:cs="Arial" w:eastAsia="Arial" w:hAnsi="Arial"/>
          <w:sz w:val="17"/>
          <w:szCs w:val="17"/>
          <w:b w:val="1"/>
          <w:bCs w:val="1"/>
          <w:color w:val="auto"/>
        </w:rPr>
        <w:t>Section 13. Action Without Meeting</w:t>
      </w:r>
      <w:r>
        <w:rPr>
          <w:rFonts w:ascii="Arial" w:cs="Arial" w:eastAsia="Arial" w:hAnsi="Arial"/>
          <w:sz w:val="17"/>
          <w:szCs w:val="17"/>
          <w:color w:val="auto"/>
        </w:rPr>
        <w:t>. No action shall be taken by the stockholders except at an annual or special meeting of stockholders called</w:t>
      </w:r>
      <w:r>
        <w:rPr>
          <w:rFonts w:ascii="Arial" w:cs="Arial" w:eastAsia="Arial" w:hAnsi="Arial"/>
          <w:sz w:val="17"/>
          <w:szCs w:val="17"/>
          <w:b w:val="1"/>
          <w:bCs w:val="1"/>
          <w:color w:val="auto"/>
        </w:rPr>
        <w:t xml:space="preserve"> </w:t>
      </w:r>
      <w:r>
        <w:rPr>
          <w:rFonts w:ascii="Arial" w:cs="Arial" w:eastAsia="Arial" w:hAnsi="Arial"/>
          <w:sz w:val="17"/>
          <w:szCs w:val="17"/>
          <w:color w:val="auto"/>
        </w:rPr>
        <w:t>in accordance with these Bylaws, and no action shall be taken by the stockholders by written consent or by electronic transmission.</w:t>
      </w:r>
    </w:p>
    <w:p>
      <w:pPr>
        <w:spacing w:after="0" w:line="14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14. Organization</w:t>
      </w:r>
      <w:r>
        <w:rPr>
          <w:rFonts w:ascii="Arial" w:cs="Arial" w:eastAsia="Arial" w:hAnsi="Arial"/>
          <w:sz w:val="18"/>
          <w:szCs w:val="18"/>
          <w:color w:val="auto"/>
        </w:rPr>
        <w:t>.</w:t>
      </w:r>
    </w:p>
    <w:p>
      <w:pPr>
        <w:spacing w:after="0" w:line="121" w:lineRule="exact"/>
        <w:rPr>
          <w:sz w:val="20"/>
          <w:szCs w:val="20"/>
          <w:color w:val="auto"/>
        </w:rPr>
      </w:pPr>
    </w:p>
    <w:p>
      <w:pPr>
        <w:ind w:left="4" w:firstLine="987"/>
        <w:spacing w:after="0" w:line="259" w:lineRule="auto"/>
        <w:tabs>
          <w:tab w:leader="none" w:pos="1250" w:val="left"/>
        </w:tabs>
        <w:numPr>
          <w:ilvl w:val="0"/>
          <w:numId w:val="242"/>
        </w:numPr>
        <w:rPr>
          <w:rFonts w:ascii="Arial" w:cs="Arial" w:eastAsia="Arial" w:hAnsi="Arial"/>
          <w:sz w:val="18"/>
          <w:szCs w:val="18"/>
          <w:b w:val="1"/>
          <w:bCs w:val="1"/>
          <w:color w:val="auto"/>
        </w:rPr>
      </w:pPr>
      <w:r>
        <w:rPr>
          <w:rFonts w:ascii="Arial" w:cs="Arial" w:eastAsia="Arial" w:hAnsi="Arial"/>
          <w:sz w:val="18"/>
          <w:szCs w:val="18"/>
          <w:color w:val="auto"/>
        </w:rPr>
        <w:t>At every meeting of stockholders, the Chairman of the Board of Directors, or, if a Chairman has not been appointed or is absent, the President, or, if the President is absent, a chairman of the meeting chosen by a majority in interest of the stockholders entitled to vote, present in person or by proxy, shall act as chairman. The Secretary, or, in his or her absence, an Assistant Secretary directed to do so by the President, shall act as secretary of the meeting.</w:t>
      </w:r>
    </w:p>
    <w:p>
      <w:pPr>
        <w:spacing w:after="0" w:line="78" w:lineRule="exact"/>
        <w:rPr>
          <w:rFonts w:ascii="Arial" w:cs="Arial" w:eastAsia="Arial" w:hAnsi="Arial"/>
          <w:sz w:val="18"/>
          <w:szCs w:val="18"/>
          <w:b w:val="1"/>
          <w:bCs w:val="1"/>
          <w:color w:val="auto"/>
        </w:rPr>
      </w:pPr>
    </w:p>
    <w:p>
      <w:pPr>
        <w:ind w:left="4" w:firstLine="987"/>
        <w:spacing w:after="0" w:line="269" w:lineRule="auto"/>
        <w:tabs>
          <w:tab w:leader="none" w:pos="1260" w:val="left"/>
        </w:tabs>
        <w:numPr>
          <w:ilvl w:val="0"/>
          <w:numId w:val="242"/>
        </w:numPr>
        <w:rPr>
          <w:rFonts w:ascii="Arial" w:cs="Arial" w:eastAsia="Arial" w:hAnsi="Arial"/>
          <w:sz w:val="17"/>
          <w:szCs w:val="17"/>
          <w:b w:val="1"/>
          <w:bCs w:val="1"/>
          <w:color w:val="auto"/>
        </w:rPr>
      </w:pPr>
      <w:r>
        <w:rPr>
          <w:rFonts w:ascii="Arial" w:cs="Arial" w:eastAsia="Arial" w:hAnsi="Arial"/>
          <w:sz w:val="17"/>
          <w:szCs w:val="17"/>
          <w:color w:val="auto"/>
        </w:rPr>
        <w:t>The Board of Directors of the corporation shall be entitled to make such rules or regulations for the conduct of meetings of stockholders as it shall deem necessary, appropriate or convenient. Subject to such rules and regulations of the Board of Directors, if any, the chairman of the meeting shall have the right and authority to prescribe such rules, regulations and procedures and to do all such acts as, in the judgment of such chairman,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chairman shall permit, restrictions on entry to the meeting after the time fixed for the commencement thereof, limitations on the time allotted to questions or comments by participants and regulation of the opening and closing of the polls for balloting on matters which are to be voted on by ballot. The date and time of the opening and closing of the polls for each matter upon which the stockholders will vote at the meeting shall be announced at the meeting. Unless and to the extent determined by the Board of Directors or the chairman of the meeting, meetings of stockholders shall not be required to be held in accordance with rules of parliamentary procedure.</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0" w:right="459" w:bottom="1440" w:gutter="0" w:footer="0" w:header="0"/>
        </w:sectPr>
      </w:pPr>
    </w:p>
    <w:bookmarkStart w:id="355" w:name="page356"/>
    <w:bookmarkEnd w:id="35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jc w:val="both"/>
        <w:ind w:right="80" w:firstLine="440"/>
        <w:spacing w:after="0" w:line="261" w:lineRule="auto"/>
        <w:rPr>
          <w:sz w:val="20"/>
          <w:szCs w:val="20"/>
          <w:color w:val="auto"/>
        </w:rPr>
      </w:pPr>
      <w:r>
        <w:rPr>
          <w:rFonts w:ascii="Arial" w:cs="Arial" w:eastAsia="Arial" w:hAnsi="Arial"/>
          <w:sz w:val="18"/>
          <w:szCs w:val="18"/>
          <w:b w:val="1"/>
          <w:bCs w:val="1"/>
          <w:color w:val="auto"/>
        </w:rPr>
        <w:t>Section 15. Number and Term of Office</w:t>
      </w:r>
      <w:r>
        <w:rPr>
          <w:rFonts w:ascii="Arial" w:cs="Arial" w:eastAsia="Arial" w:hAnsi="Arial"/>
          <w:sz w:val="18"/>
          <w:szCs w:val="18"/>
          <w:color w:val="auto"/>
        </w:rPr>
        <w:t>. The authorized number of directors of the corporation shall be fixed in accordance with the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of Incorporation. Directors need not be stockholders unless so required by the Certificate of Incorporation. If for any cause, the directors shall not have been elected at an annual meeting, they may be elected as soon thereafter as convenient at a special meeting of the stockholders called for that purpose in the manner provided in these Bylaws.</w:t>
      </w:r>
    </w:p>
    <w:p>
      <w:pPr>
        <w:spacing w:after="0" w:line="180" w:lineRule="exact"/>
        <w:rPr>
          <w:sz w:val="20"/>
          <w:szCs w:val="20"/>
          <w:color w:val="auto"/>
        </w:rPr>
      </w:pPr>
    </w:p>
    <w:p>
      <w:pPr>
        <w:ind w:right="720" w:firstLine="440"/>
        <w:spacing w:after="0" w:line="282" w:lineRule="auto"/>
        <w:rPr>
          <w:sz w:val="20"/>
          <w:szCs w:val="20"/>
          <w:color w:val="auto"/>
        </w:rPr>
      </w:pPr>
      <w:r>
        <w:rPr>
          <w:rFonts w:ascii="Arial" w:cs="Arial" w:eastAsia="Arial" w:hAnsi="Arial"/>
          <w:sz w:val="18"/>
          <w:szCs w:val="18"/>
          <w:b w:val="1"/>
          <w:bCs w:val="1"/>
          <w:color w:val="auto"/>
        </w:rPr>
        <w:t>Section 16. Powers</w:t>
      </w:r>
      <w:r>
        <w:rPr>
          <w:rFonts w:ascii="Arial" w:cs="Arial" w:eastAsia="Arial" w:hAnsi="Arial"/>
          <w:sz w:val="18"/>
          <w:szCs w:val="18"/>
          <w:color w:val="auto"/>
        </w:rPr>
        <w:t>. The powers of the corporation shall be exercised, its business conducted and its property controlled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except as may be otherwise provided by statute or by the Certificate of Incorporation.</w:t>
      </w:r>
    </w:p>
    <w:p>
      <w:pPr>
        <w:spacing w:after="0" w:line="162"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b w:val="1"/>
          <w:bCs w:val="1"/>
          <w:color w:val="auto"/>
        </w:rPr>
        <w:t>Section 17. Classes of Directors</w:t>
      </w:r>
      <w:r>
        <w:rPr>
          <w:rFonts w:ascii="Arial" w:cs="Arial" w:eastAsia="Arial" w:hAnsi="Arial"/>
          <w:sz w:val="16"/>
          <w:szCs w:val="16"/>
          <w:color w:val="auto"/>
        </w:rPr>
        <w:t>. Subject to the rights of the holders of any series of Preferred Stock to elect additional directors under specified</w:t>
      </w:r>
      <w:r>
        <w:rPr>
          <w:rFonts w:ascii="Arial" w:cs="Arial" w:eastAsia="Arial" w:hAnsi="Arial"/>
          <w:sz w:val="16"/>
          <w:szCs w:val="16"/>
          <w:b w:val="1"/>
          <w:bCs w:val="1"/>
          <w:color w:val="auto"/>
        </w:rPr>
        <w:t xml:space="preserve"> </w:t>
      </w:r>
      <w:r>
        <w:rPr>
          <w:rFonts w:ascii="Arial" w:cs="Arial" w:eastAsia="Arial" w:hAnsi="Arial"/>
          <w:sz w:val="16"/>
          <w:szCs w:val="16"/>
          <w:color w:val="auto"/>
        </w:rPr>
        <w:t>circumstances, immediately following the closing of the initial public offering pursuant to an effective registration statement under the 1933 Act covering the offer and sale of Common Stock to the public (the “</w:t>
      </w:r>
      <w:r>
        <w:rPr>
          <w:rFonts w:ascii="Arial" w:cs="Arial" w:eastAsia="Arial" w:hAnsi="Arial"/>
          <w:sz w:val="16"/>
          <w:szCs w:val="16"/>
          <w:b w:val="1"/>
          <w:bCs w:val="1"/>
          <w:i w:val="1"/>
          <w:iCs w:val="1"/>
          <w:color w:val="auto"/>
        </w:rPr>
        <w:t>Initial Public Offering</w:t>
      </w:r>
      <w:r>
        <w:rPr>
          <w:rFonts w:ascii="Arial" w:cs="Arial" w:eastAsia="Arial" w:hAnsi="Arial"/>
          <w:sz w:val="16"/>
          <w:szCs w:val="16"/>
          <w:color w:val="auto"/>
        </w:rPr>
        <w:t>”), the directors shall be divided into three classes designated as Class I, Class II and Class III, respectively. The Board of Directors is authorized to assign members of the Board of Directors already in office to such classes at the time the classification becomes effective. At the first annual meeting of stockholders following the closing of the Initial Public Offering, the term of office of the Class I directors shall expire and Class I directors shall be elected for a full term of three years. At the second annual meeting of stockholders following the closing of the Initial Public Offering, the term of office of the Class II directors shall expire and Class II directors shall be elected for a full term of three years. At the third annual meeting of stockholders following the closing of the Initial Public Offering,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w:t>
      </w:r>
    </w:p>
    <w:p>
      <w:pPr>
        <w:spacing w:after="0" w:line="16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Notwithstanding the foregoing provisions of this Section 17, each director shall serve until his or her successor is duly elected and qualified or until his or her earlier death, resignation or removal. No decrease in the number of directors constituting the Board of Directors shall shorten the term of any incumbent director.</w:t>
      </w:r>
    </w:p>
    <w:p>
      <w:pPr>
        <w:spacing w:after="0" w:line="180" w:lineRule="exact"/>
        <w:rPr>
          <w:sz w:val="20"/>
          <w:szCs w:val="20"/>
          <w:color w:val="auto"/>
        </w:rPr>
      </w:pPr>
    </w:p>
    <w:p>
      <w:pPr>
        <w:ind w:right="180" w:firstLine="440"/>
        <w:spacing w:after="0" w:line="261" w:lineRule="auto"/>
        <w:rPr>
          <w:sz w:val="20"/>
          <w:szCs w:val="20"/>
          <w:color w:val="auto"/>
        </w:rPr>
      </w:pPr>
      <w:r>
        <w:rPr>
          <w:rFonts w:ascii="Arial" w:cs="Arial" w:eastAsia="Arial" w:hAnsi="Arial"/>
          <w:sz w:val="18"/>
          <w:szCs w:val="18"/>
          <w:b w:val="1"/>
          <w:bCs w:val="1"/>
          <w:color w:val="auto"/>
        </w:rPr>
        <w:t>Section 18. Vacancies</w:t>
      </w:r>
      <w:r>
        <w:rPr>
          <w:rFonts w:ascii="Arial" w:cs="Arial" w:eastAsia="Arial" w:hAnsi="Arial"/>
          <w:sz w:val="18"/>
          <w:szCs w:val="18"/>
          <w:color w:val="auto"/>
        </w:rPr>
        <w:t>. Unless otherwise provided in the Certificate of Incorporation, and subject to the rights of the holders of any series of</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356" w:name="page357"/>
    <w:bookmarkEnd w:id="356"/>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shall be filled by stockholders, be filled only by the affirmative vote of a majority of the directors then in office, even though less than a quorum of the Board of Directors, or by a sole remaining director, and not by the stockholders,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whenever the holders of any class or classes of stock or series thereof are entitled to elect one or more directors by the provisions of the Certificate of Incorporation, vacancies and newly created directorships of such class or classes or series shall, unless the Board of Directors determines by resolution that any such vacancies or newly created directorships shall be filled by stockholders, be filled by a majority of the directors elected by such class or classes or series thereof then in office, or by a sole remaining director so elected, and not by the stockholders. Any director elected in accordance with the preceding sentence shall hold office for the remainder of the full term of the director for which the vacancy was created or occurred and until such director’s successor shall have been elected and qualified. A vacancy in the Board of Directors shall be deemed to exist under this Bylaw in the case of the death, removal or resignation of any director.</w:t>
      </w:r>
    </w:p>
    <w:p>
      <w:pPr>
        <w:spacing w:after="0" w:line="161" w:lineRule="exact"/>
        <w:rPr>
          <w:sz w:val="20"/>
          <w:szCs w:val="20"/>
          <w:color w:val="auto"/>
        </w:rPr>
      </w:pPr>
    </w:p>
    <w:p>
      <w:pPr>
        <w:ind w:right="60" w:firstLine="440"/>
        <w:spacing w:after="0" w:line="274" w:lineRule="auto"/>
        <w:rPr>
          <w:sz w:val="20"/>
          <w:szCs w:val="20"/>
          <w:color w:val="auto"/>
        </w:rPr>
      </w:pPr>
      <w:r>
        <w:rPr>
          <w:rFonts w:ascii="Arial" w:cs="Arial" w:eastAsia="Arial" w:hAnsi="Arial"/>
          <w:sz w:val="17"/>
          <w:szCs w:val="17"/>
          <w:b w:val="1"/>
          <w:bCs w:val="1"/>
          <w:color w:val="auto"/>
        </w:rPr>
        <w:t>Section 19. Resignation</w:t>
      </w:r>
      <w:r>
        <w:rPr>
          <w:rFonts w:ascii="Arial" w:cs="Arial" w:eastAsia="Arial" w:hAnsi="Arial"/>
          <w:sz w:val="17"/>
          <w:szCs w:val="17"/>
          <w:color w:val="auto"/>
        </w:rPr>
        <w:t>. Any director may resign at any time by delivering his or her notice in writing or by electronic transmission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Secretary, such resignation to specify whether it will be effective at a particular time. If no such specification is made, it shall be deemed effective at the time of delivery to the Secretary.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or her successor shall have been duly elected and qualified.</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20. Removal</w:t>
      </w:r>
      <w:r>
        <w:rPr>
          <w:rFonts w:ascii="Arial" w:cs="Arial" w:eastAsia="Arial" w:hAnsi="Arial"/>
          <w:sz w:val="18"/>
          <w:szCs w:val="18"/>
          <w:color w:val="auto"/>
        </w:rPr>
        <w:t>.</w:t>
      </w:r>
    </w:p>
    <w:p>
      <w:pPr>
        <w:spacing w:after="0" w:line="121" w:lineRule="exact"/>
        <w:rPr>
          <w:sz w:val="20"/>
          <w:szCs w:val="20"/>
          <w:color w:val="auto"/>
        </w:rPr>
      </w:pPr>
    </w:p>
    <w:p>
      <w:pPr>
        <w:ind w:right="140" w:firstLine="987"/>
        <w:spacing w:after="0" w:line="277" w:lineRule="auto"/>
        <w:tabs>
          <w:tab w:leader="none" w:pos="1246" w:val="left"/>
        </w:tabs>
        <w:numPr>
          <w:ilvl w:val="0"/>
          <w:numId w:val="243"/>
        </w:numPr>
        <w:rPr>
          <w:rFonts w:ascii="Arial" w:cs="Arial" w:eastAsia="Arial" w:hAnsi="Arial"/>
          <w:sz w:val="18"/>
          <w:szCs w:val="18"/>
          <w:b w:val="1"/>
          <w:bCs w:val="1"/>
          <w:color w:val="auto"/>
        </w:rPr>
      </w:pPr>
      <w:r>
        <w:rPr>
          <w:rFonts w:ascii="Arial" w:cs="Arial" w:eastAsia="Arial" w:hAnsi="Arial"/>
          <w:sz w:val="18"/>
          <w:szCs w:val="18"/>
          <w:color w:val="auto"/>
        </w:rPr>
        <w:t>Subject to the rights of holders of any series of Preferred Stock to elect additional directors under specified circumstances, neither the Board of Directors nor any individual director may be removed without cause.</w:t>
      </w:r>
    </w:p>
    <w:p>
      <w:pPr>
        <w:spacing w:after="0" w:line="62" w:lineRule="exact"/>
        <w:rPr>
          <w:rFonts w:ascii="Arial" w:cs="Arial" w:eastAsia="Arial" w:hAnsi="Arial"/>
          <w:sz w:val="18"/>
          <w:szCs w:val="18"/>
          <w:b w:val="1"/>
          <w:bCs w:val="1"/>
          <w:color w:val="auto"/>
        </w:rPr>
      </w:pPr>
    </w:p>
    <w:p>
      <w:pPr>
        <w:ind w:firstLine="987"/>
        <w:spacing w:after="0" w:line="263" w:lineRule="auto"/>
        <w:tabs>
          <w:tab w:leader="none" w:pos="1256" w:val="left"/>
        </w:tabs>
        <w:numPr>
          <w:ilvl w:val="0"/>
          <w:numId w:val="243"/>
        </w:numPr>
        <w:rPr>
          <w:rFonts w:ascii="Arial" w:cs="Arial" w:eastAsia="Arial" w:hAnsi="Arial"/>
          <w:sz w:val="18"/>
          <w:szCs w:val="18"/>
          <w:b w:val="1"/>
          <w:bCs w:val="1"/>
          <w:color w:val="auto"/>
        </w:rPr>
      </w:pPr>
      <w:r>
        <w:rPr>
          <w:rFonts w:ascii="Arial" w:cs="Arial" w:eastAsia="Arial" w:hAnsi="Arial"/>
          <w:sz w:val="18"/>
          <w:szCs w:val="18"/>
          <w:color w:val="auto"/>
        </w:rPr>
        <w:t>Subject to any limitation imposed by law, any individual director or directors may be removed with cause by the affirmative vote of the holders of at least sixty-six and two-thirds percent (66 2/3%) of the voting power of all then outstanding shares of capital stock of the corporation entitled to vote generally at an election of directors.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21. Meetings</w:t>
      </w:r>
      <w:r>
        <w:rPr>
          <w:rFonts w:ascii="Arial" w:cs="Arial" w:eastAsia="Arial" w:hAnsi="Arial"/>
          <w:sz w:val="18"/>
          <w:szCs w:val="18"/>
          <w:color w:val="auto"/>
        </w:rPr>
        <w:t>.</w:t>
      </w:r>
    </w:p>
    <w:p>
      <w:pPr>
        <w:spacing w:after="0" w:line="117" w:lineRule="exact"/>
        <w:rPr>
          <w:sz w:val="20"/>
          <w:szCs w:val="20"/>
          <w:color w:val="auto"/>
        </w:rPr>
      </w:pPr>
    </w:p>
    <w:p>
      <w:pPr>
        <w:ind w:right="120" w:firstLine="987"/>
        <w:spacing w:after="0" w:line="258" w:lineRule="auto"/>
        <w:tabs>
          <w:tab w:leader="none" w:pos="1246"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Regular Meetings</w:t>
      </w:r>
      <w:r>
        <w:rPr>
          <w:rFonts w:ascii="Arial" w:cs="Arial" w:eastAsia="Arial" w:hAnsi="Arial"/>
          <w:sz w:val="18"/>
          <w:szCs w:val="18"/>
          <w:color w:val="auto"/>
        </w:rPr>
        <w:t>. Unless otherwise restricted by the Certificate of Incorporation, regular meetings of the Board of Directors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held at any time or date and at any place within or without the State of Delaware which has been designated by the Board of Directors and publicized among all directors, either orally or in writing, by telephone, including a voice-messaging system or other system designed to record and communicate messages, facsimile, telegraph or telex, or by electronic mail or other electronic means. No further notice shall be required for regular meetings of the Board of Directors.</w:t>
      </w:r>
    </w:p>
    <w:p>
      <w:pPr>
        <w:spacing w:after="0" w:line="75" w:lineRule="exact"/>
        <w:rPr>
          <w:rFonts w:ascii="Arial" w:cs="Arial" w:eastAsia="Arial" w:hAnsi="Arial"/>
          <w:sz w:val="18"/>
          <w:szCs w:val="18"/>
          <w:b w:val="1"/>
          <w:bCs w:val="1"/>
          <w:color w:val="auto"/>
        </w:rPr>
      </w:pPr>
    </w:p>
    <w:p>
      <w:pPr>
        <w:ind w:right="200" w:firstLine="987"/>
        <w:spacing w:after="0" w:line="266" w:lineRule="auto"/>
        <w:tabs>
          <w:tab w:leader="none" w:pos="1256"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Special Meetings</w:t>
      </w:r>
      <w:r>
        <w:rPr>
          <w:rFonts w:ascii="Arial" w:cs="Arial" w:eastAsia="Arial" w:hAnsi="Arial"/>
          <w:sz w:val="18"/>
          <w:szCs w:val="18"/>
          <w:color w:val="auto"/>
        </w:rPr>
        <w:t>. Unless otherwise restricted by the Certificate of Incorporation, special meetings of the Board of Directors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held at any time and place within or without the State of Delaware whenever called by the Chairman of the Board, the Chief Executive Officer or a majority of the authorized number of directors.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357" w:name="page358"/>
    <w:bookmarkEnd w:id="357"/>
    <w:p>
      <w:pPr>
        <w:ind w:right="360" w:firstLine="987"/>
        <w:spacing w:after="0" w:line="314" w:lineRule="auto"/>
        <w:tabs>
          <w:tab w:leader="none" w:pos="1236" w:val="left"/>
        </w:tabs>
        <w:numPr>
          <w:ilvl w:val="0"/>
          <w:numId w:val="245"/>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Meetings by Electronic Communications Equipment</w:t>
      </w:r>
      <w:r>
        <w:rPr>
          <w:rFonts w:ascii="Arial" w:cs="Arial" w:eastAsia="Arial" w:hAnsi="Arial"/>
          <w:sz w:val="16"/>
          <w:szCs w:val="16"/>
          <w:color w:val="auto"/>
        </w:rPr>
        <w:t>. Any member of the Board of Directors, or of any committee thereof, may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participate in a meeting by means of conference telephone or other communications equipment by means of which all persons participating in the meeting can hear each other, and participation in a meeting by such means shall constitute presence in person at such meeting.</w:t>
      </w:r>
    </w:p>
    <w:p>
      <w:pPr>
        <w:spacing w:after="0" w:line="33" w:lineRule="exact"/>
        <w:rPr>
          <w:rFonts w:ascii="Arial" w:cs="Arial" w:eastAsia="Arial" w:hAnsi="Arial"/>
          <w:sz w:val="16"/>
          <w:szCs w:val="16"/>
          <w:b w:val="1"/>
          <w:bCs w:val="1"/>
          <w:color w:val="auto"/>
        </w:rPr>
      </w:pPr>
    </w:p>
    <w:p>
      <w:pPr>
        <w:ind w:right="40" w:firstLine="987"/>
        <w:spacing w:after="0" w:line="273" w:lineRule="auto"/>
        <w:tabs>
          <w:tab w:leader="none" w:pos="1256" w:val="left"/>
        </w:tabs>
        <w:numPr>
          <w:ilvl w:val="0"/>
          <w:numId w:val="245"/>
        </w:numPr>
        <w:rPr>
          <w:rFonts w:ascii="Arial" w:cs="Arial" w:eastAsia="Arial" w:hAnsi="Arial"/>
          <w:sz w:val="17"/>
          <w:szCs w:val="17"/>
          <w:b w:val="1"/>
          <w:bCs w:val="1"/>
          <w:color w:val="auto"/>
        </w:rPr>
      </w:pPr>
      <w:r>
        <w:rPr>
          <w:rFonts w:ascii="Arial" w:cs="Arial" w:eastAsia="Arial" w:hAnsi="Arial"/>
          <w:sz w:val="17"/>
          <w:szCs w:val="17"/>
          <w:b w:val="1"/>
          <w:bCs w:val="1"/>
          <w:color w:val="auto"/>
        </w:rPr>
        <w:t>Notice of Special Meetings</w:t>
      </w:r>
      <w:r>
        <w:rPr>
          <w:rFonts w:ascii="Arial" w:cs="Arial" w:eastAsia="Arial" w:hAnsi="Arial"/>
          <w:sz w:val="17"/>
          <w:szCs w:val="17"/>
          <w:color w:val="auto"/>
        </w:rPr>
        <w:t>. Notice of the time and place of all special meetings of the Board of Directors shall be orally or in writing,</w:t>
      </w:r>
      <w:r>
        <w:rPr>
          <w:rFonts w:ascii="Arial" w:cs="Arial" w:eastAsia="Arial" w:hAnsi="Arial"/>
          <w:sz w:val="17"/>
          <w:szCs w:val="17"/>
          <w:b w:val="1"/>
          <w:bCs w:val="1"/>
          <w:color w:val="auto"/>
        </w:rPr>
        <w:t xml:space="preserve"> </w:t>
      </w:r>
      <w:r>
        <w:rPr>
          <w:rFonts w:ascii="Arial" w:cs="Arial" w:eastAsia="Arial" w:hAnsi="Arial"/>
          <w:sz w:val="17"/>
          <w:szCs w:val="17"/>
          <w:color w:val="auto"/>
        </w:rPr>
        <w:t>by telephone, including a voice messaging system or other system or technology designed to record and communicate messages, facsimile, telegraph or telex, or by electronic mail or other electronic means, during normal business hours, at least twenty-four (24) hours before the date and time of the meeting. If notice is sent by US mail, it shall be sent by first class mail, charges prepaid, at least three (3) days before the date of the meeting. Notice of any meeting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w:t>
      </w:r>
    </w:p>
    <w:p>
      <w:pPr>
        <w:spacing w:after="0" w:line="63" w:lineRule="exact"/>
        <w:rPr>
          <w:rFonts w:ascii="Arial" w:cs="Arial" w:eastAsia="Arial" w:hAnsi="Arial"/>
          <w:sz w:val="17"/>
          <w:szCs w:val="17"/>
          <w:b w:val="1"/>
          <w:bCs w:val="1"/>
          <w:color w:val="auto"/>
        </w:rPr>
      </w:pPr>
    </w:p>
    <w:p>
      <w:pPr>
        <w:ind w:firstLine="987"/>
        <w:spacing w:after="0" w:line="303" w:lineRule="auto"/>
        <w:tabs>
          <w:tab w:leader="none" w:pos="1236" w:val="left"/>
        </w:tabs>
        <w:numPr>
          <w:ilvl w:val="0"/>
          <w:numId w:val="245"/>
        </w:numPr>
        <w:rPr>
          <w:rFonts w:ascii="Arial" w:cs="Arial" w:eastAsia="Arial" w:hAnsi="Arial"/>
          <w:sz w:val="16"/>
          <w:szCs w:val="16"/>
          <w:b w:val="1"/>
          <w:bCs w:val="1"/>
          <w:color w:val="auto"/>
        </w:rPr>
      </w:pPr>
      <w:r>
        <w:rPr>
          <w:rFonts w:ascii="Arial" w:cs="Arial" w:eastAsia="Arial" w:hAnsi="Arial"/>
          <w:sz w:val="16"/>
          <w:szCs w:val="16"/>
          <w:b w:val="1"/>
          <w:bCs w:val="1"/>
          <w:color w:val="auto"/>
        </w:rPr>
        <w:t>Waiver of Notice</w:t>
      </w:r>
      <w:r>
        <w:rPr>
          <w:rFonts w:ascii="Arial" w:cs="Arial" w:eastAsia="Arial" w:hAnsi="Arial"/>
          <w:sz w:val="16"/>
          <w:szCs w:val="16"/>
          <w:color w:val="auto"/>
        </w:rPr>
        <w:t>. The transaction of all business at any meeting of the Board of Directors, or any committee thereof, however called</w:t>
      </w:r>
      <w:r>
        <w:rPr>
          <w:rFonts w:ascii="Arial" w:cs="Arial" w:eastAsia="Arial" w:hAnsi="Arial"/>
          <w:sz w:val="16"/>
          <w:szCs w:val="16"/>
          <w:b w:val="1"/>
          <w:bCs w:val="1"/>
          <w:color w:val="auto"/>
        </w:rPr>
        <w:t xml:space="preserve"> </w:t>
      </w:r>
      <w:r>
        <w:rPr>
          <w:rFonts w:ascii="Arial" w:cs="Arial" w:eastAsia="Arial" w:hAnsi="Arial"/>
          <w:sz w:val="16"/>
          <w:szCs w:val="16"/>
          <w:color w:val="auto"/>
        </w:rPr>
        <w:t>or noticed, or wherever held, shall be as valid as though it had been transacted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22. Quorum and Voting</w:t>
      </w:r>
      <w:r>
        <w:rPr>
          <w:rFonts w:ascii="Arial" w:cs="Arial" w:eastAsia="Arial" w:hAnsi="Arial"/>
          <w:sz w:val="18"/>
          <w:szCs w:val="18"/>
          <w:color w:val="auto"/>
        </w:rPr>
        <w:t>.</w:t>
      </w:r>
    </w:p>
    <w:p>
      <w:pPr>
        <w:spacing w:after="0" w:line="121" w:lineRule="exact"/>
        <w:rPr>
          <w:sz w:val="20"/>
          <w:szCs w:val="20"/>
          <w:color w:val="auto"/>
        </w:rPr>
      </w:pPr>
    </w:p>
    <w:p>
      <w:pPr>
        <w:ind w:firstLine="987"/>
        <w:spacing w:after="0" w:line="296" w:lineRule="auto"/>
        <w:tabs>
          <w:tab w:leader="none" w:pos="1246" w:val="left"/>
        </w:tabs>
        <w:numPr>
          <w:ilvl w:val="0"/>
          <w:numId w:val="246"/>
        </w:numPr>
        <w:rPr>
          <w:rFonts w:ascii="Arial" w:cs="Arial" w:eastAsia="Arial" w:hAnsi="Arial"/>
          <w:sz w:val="16"/>
          <w:szCs w:val="16"/>
          <w:b w:val="1"/>
          <w:bCs w:val="1"/>
          <w:color w:val="auto"/>
        </w:rPr>
      </w:pPr>
      <w:r>
        <w:rPr>
          <w:rFonts w:ascii="Arial" w:cs="Arial" w:eastAsia="Arial" w:hAnsi="Arial"/>
          <w:sz w:val="16"/>
          <w:szCs w:val="16"/>
          <w:color w:val="auto"/>
        </w:rPr>
        <w:t xml:space="preserve">Unless the Certificate of Incorporation requires a greater number, and except with respect to questions related to indemnification arising under Section 43 herein for which a quorum shall be one-third of the exact number of directors fixed from time to time, a quorum of the Board of Directors shall consist of a majority of the exact number of directors fixed from time to time by the Board of Directors in accordance with the Certificate of Incorporation;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53" w:lineRule="exact"/>
        <w:rPr>
          <w:rFonts w:ascii="Arial" w:cs="Arial" w:eastAsia="Arial" w:hAnsi="Arial"/>
          <w:sz w:val="16"/>
          <w:szCs w:val="16"/>
          <w:b w:val="1"/>
          <w:bCs w:val="1"/>
          <w:color w:val="auto"/>
        </w:rPr>
      </w:pPr>
    </w:p>
    <w:p>
      <w:pPr>
        <w:ind w:right="540" w:firstLine="987"/>
        <w:spacing w:after="0" w:line="342" w:lineRule="auto"/>
        <w:tabs>
          <w:tab w:leader="none" w:pos="1256" w:val="left"/>
        </w:tabs>
        <w:numPr>
          <w:ilvl w:val="0"/>
          <w:numId w:val="246"/>
        </w:numPr>
        <w:rPr>
          <w:rFonts w:ascii="Arial" w:cs="Arial" w:eastAsia="Arial" w:hAnsi="Arial"/>
          <w:sz w:val="16"/>
          <w:szCs w:val="16"/>
          <w:b w:val="1"/>
          <w:bCs w:val="1"/>
          <w:color w:val="auto"/>
        </w:rPr>
      </w:pPr>
      <w:r>
        <w:rPr>
          <w:rFonts w:ascii="Arial" w:cs="Arial" w:eastAsia="Arial" w:hAnsi="Arial"/>
          <w:sz w:val="16"/>
          <w:szCs w:val="16"/>
          <w:color w:val="auto"/>
        </w:rPr>
        <w:t>At each meeting of the Board of Directors at which a quorum is present, all questions and business shall be determined by the affirmative vote of a majority of the directors present, unless a different vote be required by law, the Certificate of Incorporation or these Bylaws.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358" w:name="page359"/>
    <w:bookmarkEnd w:id="358"/>
    <w:p>
      <w:pPr>
        <w:ind w:left="4" w:firstLine="440"/>
        <w:spacing w:after="0" w:line="27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23. Action Without Meeting</w:t>
      </w:r>
      <w:r>
        <w:rPr>
          <w:rFonts w:ascii="Arial" w:cs="Arial" w:eastAsia="Arial" w:hAnsi="Arial"/>
          <w:sz w:val="17"/>
          <w:szCs w:val="17"/>
          <w:color w:val="auto"/>
        </w:rPr>
        <w:t>. Unless otherwise restricted by the Certificate of Incorporation or these Bylaws, any action required or</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to be taken at any meeting of the Board of Directors or of any committee thereof may be taken without a meeting, if all members of the Board of Directors or committee, as the case may be, consent thereto in writing or by electronic transmission, and such writing or writings or transmission or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168" w:lineRule="exact"/>
        <w:rPr>
          <w:sz w:val="20"/>
          <w:szCs w:val="20"/>
          <w:color w:val="auto"/>
        </w:rPr>
      </w:pPr>
    </w:p>
    <w:p>
      <w:pPr>
        <w:ind w:left="4" w:right="340" w:firstLine="440"/>
        <w:spacing w:after="0" w:line="258" w:lineRule="auto"/>
        <w:rPr>
          <w:sz w:val="20"/>
          <w:szCs w:val="20"/>
          <w:color w:val="auto"/>
        </w:rPr>
      </w:pPr>
      <w:r>
        <w:rPr>
          <w:rFonts w:ascii="Arial" w:cs="Arial" w:eastAsia="Arial" w:hAnsi="Arial"/>
          <w:sz w:val="18"/>
          <w:szCs w:val="18"/>
          <w:b w:val="1"/>
          <w:bCs w:val="1"/>
          <w:color w:val="auto"/>
        </w:rPr>
        <w:t>Section 24. Fees and Compensation</w:t>
      </w:r>
      <w:r>
        <w:rPr>
          <w:rFonts w:ascii="Arial" w:cs="Arial" w:eastAsia="Arial" w:hAnsi="Arial"/>
          <w:sz w:val="18"/>
          <w:szCs w:val="18"/>
          <w:color w:val="auto"/>
        </w:rPr>
        <w:t>. Directors shall be entitled to such compensation for their services as may be approved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including, if so approved, by resolution of the Board of Directors, a fixed sum and expenses of attendance, if any, for attendance at each regular or special meeting of the Board of Directors and at any meeting of a committee of the Board of Directors. Nothing herein contained shall be construed to preclude any director from serving the corporation in any other capacity as an officer, agent, employee, or otherwise and receiving compensation therefor.</w:t>
      </w:r>
    </w:p>
    <w:p>
      <w:pPr>
        <w:spacing w:after="0" w:line="18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25. Committees</w:t>
      </w:r>
      <w:r>
        <w:rPr>
          <w:rFonts w:ascii="Arial" w:cs="Arial" w:eastAsia="Arial" w:hAnsi="Arial"/>
          <w:sz w:val="18"/>
          <w:szCs w:val="18"/>
          <w:color w:val="auto"/>
        </w:rPr>
        <w:t>.</w:t>
      </w:r>
    </w:p>
    <w:p>
      <w:pPr>
        <w:spacing w:after="0" w:line="117" w:lineRule="exact"/>
        <w:rPr>
          <w:sz w:val="20"/>
          <w:szCs w:val="20"/>
          <w:color w:val="auto"/>
        </w:rPr>
      </w:pPr>
    </w:p>
    <w:p>
      <w:pPr>
        <w:jc w:val="both"/>
        <w:ind w:left="4" w:right="20" w:firstLine="987"/>
        <w:spacing w:after="0" w:line="287" w:lineRule="auto"/>
        <w:tabs>
          <w:tab w:leader="none" w:pos="1250" w:val="left"/>
        </w:tabs>
        <w:numPr>
          <w:ilvl w:val="1"/>
          <w:numId w:val="247"/>
        </w:numPr>
        <w:rPr>
          <w:rFonts w:ascii="Arial" w:cs="Arial" w:eastAsia="Arial" w:hAnsi="Arial"/>
          <w:sz w:val="16"/>
          <w:szCs w:val="16"/>
          <w:b w:val="1"/>
          <w:bCs w:val="1"/>
          <w:color w:val="auto"/>
        </w:rPr>
      </w:pPr>
      <w:r>
        <w:rPr>
          <w:rFonts w:ascii="Arial" w:cs="Arial" w:eastAsia="Arial" w:hAnsi="Arial"/>
          <w:sz w:val="16"/>
          <w:szCs w:val="16"/>
          <w:b w:val="1"/>
          <w:bCs w:val="1"/>
          <w:color w:val="auto"/>
        </w:rPr>
        <w:t>Executive Committee</w:t>
      </w:r>
      <w:r>
        <w:rPr>
          <w:rFonts w:ascii="Arial" w:cs="Arial" w:eastAsia="Arial" w:hAnsi="Arial"/>
          <w:sz w:val="16"/>
          <w:szCs w:val="16"/>
          <w:color w:val="auto"/>
        </w:rPr>
        <w:t>. The Board of Directors may appoint an Executive Committee to consist of one (1) or more members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The Executive Committee, to the extent permitted by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w:t>
      </w:r>
    </w:p>
    <w:p>
      <w:pPr>
        <w:spacing w:after="0" w:line="2" w:lineRule="exact"/>
        <w:rPr>
          <w:rFonts w:ascii="Arial" w:cs="Arial" w:eastAsia="Arial" w:hAnsi="Arial"/>
          <w:sz w:val="16"/>
          <w:szCs w:val="16"/>
          <w:b w:val="1"/>
          <w:bCs w:val="1"/>
          <w:color w:val="auto"/>
        </w:rPr>
      </w:pPr>
    </w:p>
    <w:p>
      <w:pPr>
        <w:ind w:left="4" w:right="20" w:hanging="4"/>
        <w:spacing w:after="0" w:line="290" w:lineRule="auto"/>
        <w:tabs>
          <w:tab w:leader="none" w:pos="219" w:val="left"/>
        </w:tabs>
        <w:numPr>
          <w:ilvl w:val="0"/>
          <w:numId w:val="248"/>
        </w:numPr>
        <w:rPr>
          <w:rFonts w:ascii="Arial" w:cs="Arial" w:eastAsia="Arial" w:hAnsi="Arial"/>
          <w:sz w:val="17"/>
          <w:szCs w:val="17"/>
          <w:color w:val="auto"/>
        </w:rPr>
      </w:pPr>
      <w:r>
        <w:rPr>
          <w:rFonts w:ascii="Arial" w:cs="Arial" w:eastAsia="Arial" w:hAnsi="Arial"/>
          <w:sz w:val="17"/>
          <w:szCs w:val="17"/>
          <w:color w:val="auto"/>
        </w:rPr>
        <w:t>approving or adopting, or recommending to the stockholders, any action or matter (other than the election or removal of directors) expressly required by the DGCL to be submitted to stockholders for approval, or (ii) adopting, amending or repealing any Bylaw of the corporation.</w:t>
      </w:r>
    </w:p>
    <w:p>
      <w:pPr>
        <w:spacing w:after="0" w:line="49" w:lineRule="exact"/>
        <w:rPr>
          <w:rFonts w:ascii="Arial" w:cs="Arial" w:eastAsia="Arial" w:hAnsi="Arial"/>
          <w:sz w:val="17"/>
          <w:szCs w:val="17"/>
          <w:color w:val="auto"/>
        </w:rPr>
      </w:pPr>
    </w:p>
    <w:p>
      <w:pPr>
        <w:ind w:left="4" w:right="60" w:firstLine="987"/>
        <w:spacing w:after="0" w:line="261" w:lineRule="auto"/>
        <w:tabs>
          <w:tab w:leader="none" w:pos="1260" w:val="left"/>
        </w:tabs>
        <w:numPr>
          <w:ilvl w:val="1"/>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Other Committees</w:t>
      </w:r>
      <w:r>
        <w:rPr>
          <w:rFonts w:ascii="Arial" w:cs="Arial" w:eastAsia="Arial" w:hAnsi="Arial"/>
          <w:sz w:val="18"/>
          <w:szCs w:val="18"/>
          <w:color w:val="auto"/>
        </w:rPr>
        <w:t>. The Board of Directors may, from time to time, appoint such other committees as may be permitted by law. Such</w:t>
      </w:r>
      <w:r>
        <w:rPr>
          <w:rFonts w:ascii="Arial" w:cs="Arial" w:eastAsia="Arial" w:hAnsi="Arial"/>
          <w:sz w:val="18"/>
          <w:szCs w:val="18"/>
          <w:b w:val="1"/>
          <w:bCs w:val="1"/>
          <w:color w:val="auto"/>
        </w:rPr>
        <w:t xml:space="preserve"> </w:t>
      </w:r>
      <w:r>
        <w:rPr>
          <w:rFonts w:ascii="Arial" w:cs="Arial" w:eastAsia="Arial" w:hAnsi="Arial"/>
          <w:sz w:val="18"/>
          <w:szCs w:val="18"/>
          <w:color w:val="auto"/>
        </w:rPr>
        <w:t>other committees appointed by the Board of Directors shall consist of one (1)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spacing w:after="0" w:line="71" w:lineRule="exact"/>
        <w:rPr>
          <w:rFonts w:ascii="Arial" w:cs="Arial" w:eastAsia="Arial" w:hAnsi="Arial"/>
          <w:sz w:val="18"/>
          <w:szCs w:val="18"/>
          <w:b w:val="1"/>
          <w:bCs w:val="1"/>
          <w:color w:val="auto"/>
        </w:rPr>
      </w:pPr>
    </w:p>
    <w:p>
      <w:pPr>
        <w:ind w:left="4" w:right="20" w:firstLine="987"/>
        <w:spacing w:after="0" w:line="271" w:lineRule="auto"/>
        <w:tabs>
          <w:tab w:leader="none" w:pos="1240" w:val="left"/>
        </w:tabs>
        <w:numPr>
          <w:ilvl w:val="1"/>
          <w:numId w:val="248"/>
        </w:numPr>
        <w:rPr>
          <w:rFonts w:ascii="Arial" w:cs="Arial" w:eastAsia="Arial" w:hAnsi="Arial"/>
          <w:sz w:val="17"/>
          <w:szCs w:val="17"/>
          <w:b w:val="1"/>
          <w:bCs w:val="1"/>
          <w:color w:val="auto"/>
        </w:rPr>
      </w:pPr>
      <w:r>
        <w:rPr>
          <w:rFonts w:ascii="Arial" w:cs="Arial" w:eastAsia="Arial" w:hAnsi="Arial"/>
          <w:sz w:val="17"/>
          <w:szCs w:val="17"/>
          <w:b w:val="1"/>
          <w:bCs w:val="1"/>
          <w:color w:val="auto"/>
        </w:rPr>
        <w:t>Term</w:t>
      </w:r>
      <w:r>
        <w:rPr>
          <w:rFonts w:ascii="Arial" w:cs="Arial" w:eastAsia="Arial" w:hAnsi="Arial"/>
          <w:sz w:val="17"/>
          <w:szCs w:val="17"/>
          <w:color w:val="auto"/>
        </w:rPr>
        <w:t>. The Board of Directors, subject to any requirements of any outstanding series of Preferred Stock and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subsections (a) or (b) of this Section 25, may at any time increase or decrease the number of members of a committee or terminate the existence of a committee. The membership of a committee member shall terminate on the date of his or her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110"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4"/>
          </w:cols>
          <w:pgMar w:left="436" w:top="270" w:right="499" w:bottom="1440" w:gutter="0" w:footer="0" w:header="0"/>
        </w:sectPr>
      </w:pPr>
    </w:p>
    <w:bookmarkStart w:id="359" w:name="page360"/>
    <w:bookmarkEnd w:id="359"/>
    <w:p>
      <w:pPr>
        <w:ind w:firstLine="987"/>
        <w:spacing w:after="0" w:line="269" w:lineRule="auto"/>
        <w:tabs>
          <w:tab w:leader="none" w:pos="1256" w:val="left"/>
        </w:tabs>
        <w:numPr>
          <w:ilvl w:val="0"/>
          <w:numId w:val="249"/>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Meetings</w:t>
      </w:r>
      <w:r>
        <w:rPr>
          <w:rFonts w:ascii="Arial" w:cs="Arial" w:eastAsia="Arial" w:hAnsi="Arial"/>
          <w:sz w:val="17"/>
          <w:szCs w:val="17"/>
          <w:color w:val="auto"/>
        </w:rPr>
        <w:t>. Unless the Board of Directors shall otherwise provide, regular meetings of the Executive Committee or any other committee</w:t>
      </w:r>
      <w:r>
        <w:rPr>
          <w:rFonts w:ascii="Arial" w:cs="Arial" w:eastAsia="Arial" w:hAnsi="Arial"/>
          <w:sz w:val="17"/>
          <w:szCs w:val="17"/>
          <w:b w:val="1"/>
          <w:bCs w:val="1"/>
          <w:color w:val="auto"/>
        </w:rPr>
        <w:t xml:space="preserve"> </w:t>
      </w:r>
      <w:r>
        <w:rPr>
          <w:rFonts w:ascii="Arial" w:cs="Arial" w:eastAsia="Arial" w:hAnsi="Arial"/>
          <w:sz w:val="17"/>
          <w:szCs w:val="17"/>
          <w:color w:val="auto"/>
        </w:rPr>
        <w:t>appointed pursuant to this Section 25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notice to the members of such committee of the time and place of such special meeting given in the manner provided for the giving of notice to members of the Board of Directors of the time and place of special meetings of the Board of Directors. Notice of any special meeting of any committee may be waived in writing or by electronic transmission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179" w:lineRule="exact"/>
        <w:rPr>
          <w:sz w:val="20"/>
          <w:szCs w:val="20"/>
          <w:color w:val="auto"/>
        </w:rPr>
      </w:pPr>
    </w:p>
    <w:p>
      <w:pPr>
        <w:ind w:right="60" w:firstLine="440"/>
        <w:spacing w:after="0" w:line="274" w:lineRule="auto"/>
        <w:rPr>
          <w:sz w:val="20"/>
          <w:szCs w:val="20"/>
          <w:color w:val="auto"/>
        </w:rPr>
      </w:pPr>
      <w:r>
        <w:rPr>
          <w:rFonts w:ascii="Arial" w:cs="Arial" w:eastAsia="Arial" w:hAnsi="Arial"/>
          <w:sz w:val="17"/>
          <w:szCs w:val="17"/>
          <w:b w:val="1"/>
          <w:bCs w:val="1"/>
          <w:color w:val="auto"/>
        </w:rPr>
        <w:t>Section 26. Organization</w:t>
      </w:r>
      <w:r>
        <w:rPr>
          <w:rFonts w:ascii="Arial" w:cs="Arial" w:eastAsia="Arial" w:hAnsi="Arial"/>
          <w:sz w:val="17"/>
          <w:szCs w:val="17"/>
          <w:color w:val="auto"/>
        </w:rPr>
        <w:t>. At every meeting of the directors and stockholders, the Chairman of the Board of Directors, or, if a Chairman has not</w:t>
      </w:r>
      <w:r>
        <w:rPr>
          <w:rFonts w:ascii="Arial" w:cs="Arial" w:eastAsia="Arial" w:hAnsi="Arial"/>
          <w:sz w:val="17"/>
          <w:szCs w:val="17"/>
          <w:b w:val="1"/>
          <w:bCs w:val="1"/>
          <w:color w:val="auto"/>
        </w:rPr>
        <w:t xml:space="preserve"> </w:t>
      </w:r>
      <w:r>
        <w:rPr>
          <w:rFonts w:ascii="Arial" w:cs="Arial" w:eastAsia="Arial" w:hAnsi="Arial"/>
          <w:sz w:val="17"/>
          <w:szCs w:val="17"/>
          <w:color w:val="auto"/>
        </w:rPr>
        <w:t>been appointed or is absent, the Chief Executive Officer (if a director), or, if a Chief Executive Officer is absent, the President (if a director), or if the President is absent, the most senior Vice President (if a director), or, in the absence of any such person, a chairman of the meeting chosen by a majority of the directors present, shall preside over the meeting. The Secretary, or in his or her absence, any Assistant Secretary or other officer or director directed to do so by the President, shall act as secretary of the meeting. The Chairman of the Board of Directors shall also perform such other duties and have such other powers, as the Board of Directors shall designate from time to time.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2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b w:val="1"/>
          <w:bCs w:val="1"/>
          <w:color w:val="auto"/>
        </w:rPr>
        <w:t>Section 27. Officers Designated</w:t>
      </w:r>
      <w:r>
        <w:rPr>
          <w:rFonts w:ascii="Arial" w:cs="Arial" w:eastAsia="Arial" w:hAnsi="Arial"/>
          <w:sz w:val="17"/>
          <w:szCs w:val="17"/>
          <w:color w:val="auto"/>
        </w:rPr>
        <w:t>. The officers of the corporation shall include, if and when designated by the Board of Directors, the Chairman of</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of Directors (provided that notwithstanding anything to the contrary contained in these Bylaws, the Chairman of the Board of Directors shall not be deemed an officer of the corporation unless so designated by the Board of Directors), the Chief Executive Officer, the President, one or more Vice Presidents, the Secretary, the Chief Financial Officer and the Treasurer. The Board of Directors may also appoint one or more Assistant Secretaries and Assistant Treasurers and such other officers and agents with such powers and duties as it shall deem necessary. The Board of Directors may assign such additional titles to one or more of the officers as it shall deem appropriate. Any one person may hold any number of offices of the corporation at any one time unless specifically prohibited therefrom by law. The salaries and other compensation of the officers of the corporation shall be fixed by or in the manner designated by the Board of Directors.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360" w:name="page361"/>
    <w:bookmarkEnd w:id="360"/>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28. Tenure and Duties of Officers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66" w:lineRule="auto"/>
        <w:tabs>
          <w:tab w:leader="none" w:pos="1246"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 All officers shall hold office at the pleasure of the Board of Directors and until their successors shall have been duly elected</w:t>
      </w:r>
      <w:r>
        <w:rPr>
          <w:rFonts w:ascii="Arial" w:cs="Arial" w:eastAsia="Arial" w:hAnsi="Arial"/>
          <w:sz w:val="18"/>
          <w:szCs w:val="18"/>
          <w:b w:val="1"/>
          <w:bCs w:val="1"/>
          <w:color w:val="auto"/>
        </w:rPr>
        <w:t xml:space="preserve"> </w:t>
      </w:r>
      <w:r>
        <w:rPr>
          <w:rFonts w:ascii="Arial" w:cs="Arial" w:eastAsia="Arial" w:hAnsi="Arial"/>
          <w:sz w:val="18"/>
          <w:szCs w:val="18"/>
          <w:color w:val="auto"/>
        </w:rPr>
        <w:t>and qualified, unless sooner removed. Any officer elected or appointed by the Board of Directors may be removed at any time by the Board of Directors. If the office of any officer becomes vacant for any reason, the vacancy may be filled by the Board of Directors.</w:t>
      </w:r>
    </w:p>
    <w:p>
      <w:pPr>
        <w:spacing w:after="0" w:line="67" w:lineRule="exact"/>
        <w:rPr>
          <w:rFonts w:ascii="Arial" w:cs="Arial" w:eastAsia="Arial" w:hAnsi="Arial"/>
          <w:sz w:val="18"/>
          <w:szCs w:val="18"/>
          <w:b w:val="1"/>
          <w:bCs w:val="1"/>
          <w:color w:val="auto"/>
        </w:rPr>
      </w:pPr>
    </w:p>
    <w:p>
      <w:pPr>
        <w:ind w:firstLine="987"/>
        <w:spacing w:after="0" w:line="273" w:lineRule="auto"/>
        <w:tabs>
          <w:tab w:leader="none" w:pos="1256" w:val="left"/>
        </w:tabs>
        <w:numPr>
          <w:ilvl w:val="0"/>
          <w:numId w:val="250"/>
        </w:numPr>
        <w:rPr>
          <w:rFonts w:ascii="Arial" w:cs="Arial" w:eastAsia="Arial" w:hAnsi="Arial"/>
          <w:sz w:val="17"/>
          <w:szCs w:val="17"/>
          <w:b w:val="1"/>
          <w:bCs w:val="1"/>
          <w:color w:val="auto"/>
        </w:rPr>
      </w:pPr>
      <w:r>
        <w:rPr>
          <w:rFonts w:ascii="Arial" w:cs="Arial" w:eastAsia="Arial" w:hAnsi="Arial"/>
          <w:sz w:val="17"/>
          <w:szCs w:val="17"/>
          <w:b w:val="1"/>
          <w:bCs w:val="1"/>
          <w:color w:val="auto"/>
        </w:rPr>
        <w:t>Duties of Chief Executive Officer</w:t>
      </w:r>
      <w:r>
        <w:rPr>
          <w:rFonts w:ascii="Arial" w:cs="Arial" w:eastAsia="Arial" w:hAnsi="Arial"/>
          <w:sz w:val="17"/>
          <w:szCs w:val="17"/>
          <w:color w:val="auto"/>
        </w:rPr>
        <w:t>. The Chief Executive Officer shall preside at all meetings of the stockholders and at all meetings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of Directors, unless the Chairman of the Board of Directors has been appointed and is present. Unless an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To the extent that a Chief Executive Officer has been appointed and no President has been appointed, all references in these Bylaws to the President shall be deemed references to the Chief Executive Officer. The Chief Executive Officer shall perform other duties commonly incident to the office and shall also perform such other duties and have such other powers, as the Board of Directors shall designate from time to time.</w:t>
      </w:r>
    </w:p>
    <w:p>
      <w:pPr>
        <w:spacing w:after="0" w:line="63" w:lineRule="exact"/>
        <w:rPr>
          <w:rFonts w:ascii="Arial" w:cs="Arial" w:eastAsia="Arial" w:hAnsi="Arial"/>
          <w:sz w:val="17"/>
          <w:szCs w:val="17"/>
          <w:b w:val="1"/>
          <w:bCs w:val="1"/>
          <w:color w:val="auto"/>
        </w:rPr>
      </w:pPr>
    </w:p>
    <w:p>
      <w:pPr>
        <w:ind w:right="20" w:firstLine="987"/>
        <w:spacing w:after="0" w:line="256" w:lineRule="auto"/>
        <w:tabs>
          <w:tab w:leader="none" w:pos="1236"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Duties of President</w:t>
      </w:r>
      <w:r>
        <w:rPr>
          <w:rFonts w:ascii="Arial" w:cs="Arial" w:eastAsia="Arial" w:hAnsi="Arial"/>
          <w:sz w:val="18"/>
          <w:szCs w:val="18"/>
          <w:color w:val="auto"/>
        </w:rPr>
        <w:t>. The President shall preside at all meetings of the stockholders and at all meetings of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 Chairman of the Board of Directors or the Chief Executive Officer has been appointed and is present. Unless another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The President shall perform other duties commonly incident to the office and shall also perform such other duties and have such other powers, as the Board of Directors shall designate from time to time.</w:t>
      </w:r>
    </w:p>
    <w:p>
      <w:pPr>
        <w:spacing w:after="0" w:line="79" w:lineRule="exact"/>
        <w:rPr>
          <w:rFonts w:ascii="Arial" w:cs="Arial" w:eastAsia="Arial" w:hAnsi="Arial"/>
          <w:sz w:val="18"/>
          <w:szCs w:val="18"/>
          <w:b w:val="1"/>
          <w:bCs w:val="1"/>
          <w:color w:val="auto"/>
        </w:rPr>
      </w:pPr>
    </w:p>
    <w:p>
      <w:pPr>
        <w:jc w:val="both"/>
        <w:ind w:right="20" w:firstLine="987"/>
        <w:spacing w:after="0" w:line="261" w:lineRule="auto"/>
        <w:tabs>
          <w:tab w:leader="none" w:pos="1256"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Duties of Vice Presidents</w:t>
      </w:r>
      <w:r>
        <w:rPr>
          <w:rFonts w:ascii="Arial" w:cs="Arial" w:eastAsia="Arial" w:hAnsi="Arial"/>
          <w:sz w:val="18"/>
          <w:szCs w:val="18"/>
          <w:color w:val="auto"/>
        </w:rPr>
        <w:t>. The Vice Presidents may assume and perform the duties of the President in the absence or disability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or whenever the office of President is vacant. The Vice Presidents shall perform other duties commonly incident to their office and shall also perform such other duties and have such other powers as the Board of Directors or the Chief Executive Officer, or, if the Chief Executive Officer has not been appointed or is absent, the President shall designate from time to time.</w:t>
      </w:r>
    </w:p>
    <w:p>
      <w:pPr>
        <w:spacing w:after="0" w:line="71" w:lineRule="exact"/>
        <w:rPr>
          <w:rFonts w:ascii="Arial" w:cs="Arial" w:eastAsia="Arial" w:hAnsi="Arial"/>
          <w:sz w:val="18"/>
          <w:szCs w:val="18"/>
          <w:b w:val="1"/>
          <w:bCs w:val="1"/>
          <w:color w:val="auto"/>
        </w:rPr>
      </w:pPr>
    </w:p>
    <w:p>
      <w:pPr>
        <w:ind w:right="100" w:firstLine="987"/>
        <w:spacing w:after="0" w:line="258" w:lineRule="auto"/>
        <w:tabs>
          <w:tab w:leader="none" w:pos="1236"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Duties of Secretary</w:t>
      </w:r>
      <w:r>
        <w:rPr>
          <w:rFonts w:ascii="Arial" w:cs="Arial" w:eastAsia="Arial" w:hAnsi="Arial"/>
          <w:sz w:val="18"/>
          <w:szCs w:val="18"/>
          <w:color w:val="auto"/>
        </w:rPr>
        <w:t>. The Secretary shall attend all meetings of the stockholders and of the Board of Directors and shall record all acts</w:t>
      </w:r>
      <w:r>
        <w:rPr>
          <w:rFonts w:ascii="Arial" w:cs="Arial" w:eastAsia="Arial" w:hAnsi="Arial"/>
          <w:sz w:val="18"/>
          <w:szCs w:val="18"/>
          <w:b w:val="1"/>
          <w:bCs w:val="1"/>
          <w:color w:val="auto"/>
        </w:rPr>
        <w:t xml:space="preserve"> </w:t>
      </w:r>
      <w:r>
        <w:rPr>
          <w:rFonts w:ascii="Arial" w:cs="Arial" w:eastAsia="Arial" w:hAnsi="Arial"/>
          <w:sz w:val="18"/>
          <w:szCs w:val="18"/>
          <w:color w:val="auto"/>
        </w:rPr>
        <w:t>and proceedings thereof in the minute book of the corporation. The Secretary shall give notice in conformity with these Bylaws of all meetings of the stockholders and of all meetings of the Board of Directors and any committee thereof requiring notice. The Secretary shall perform all other duties provided for in these Bylaws and other duties commonly incident to the office and shall also perform such other duties and have such other powers, as the Board of Directors shall designate from time to time. The President may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0" w:right="459" w:bottom="1440" w:gutter="0" w:footer="0" w:header="0"/>
        </w:sectPr>
      </w:pPr>
    </w:p>
    <w:bookmarkStart w:id="361" w:name="page362"/>
    <w:bookmarkEnd w:id="361"/>
    <w:p>
      <w:pPr>
        <w:jc w:val="both"/>
        <w:ind w:right="2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 any Assistant Secretary or other officer to assume and perform the duties of the Secretary in the absence or disability of the Secretary, and each Assistant Secretary shall perform other duties commonly incident to the office and shall also perform such other duties and have such other powers as the Board of Directors or the President shall designate from time to time.</w:t>
      </w:r>
    </w:p>
    <w:p>
      <w:pPr>
        <w:spacing w:after="0" w:line="72" w:lineRule="exact"/>
        <w:rPr>
          <w:sz w:val="20"/>
          <w:szCs w:val="20"/>
          <w:color w:val="auto"/>
        </w:rPr>
      </w:pPr>
    </w:p>
    <w:p>
      <w:pPr>
        <w:ind w:firstLine="987"/>
        <w:spacing w:after="0" w:line="289" w:lineRule="auto"/>
        <w:tabs>
          <w:tab w:leader="none" w:pos="1216" w:val="left"/>
        </w:tabs>
        <w:numPr>
          <w:ilvl w:val="0"/>
          <w:numId w:val="251"/>
        </w:numPr>
        <w:rPr>
          <w:rFonts w:ascii="Arial" w:cs="Arial" w:eastAsia="Arial" w:hAnsi="Arial"/>
          <w:sz w:val="16"/>
          <w:szCs w:val="16"/>
          <w:b w:val="1"/>
          <w:bCs w:val="1"/>
          <w:color w:val="auto"/>
        </w:rPr>
      </w:pPr>
      <w:r>
        <w:rPr>
          <w:rFonts w:ascii="Arial" w:cs="Arial" w:eastAsia="Arial" w:hAnsi="Arial"/>
          <w:sz w:val="16"/>
          <w:szCs w:val="16"/>
          <w:b w:val="1"/>
          <w:bCs w:val="1"/>
          <w:color w:val="auto"/>
        </w:rPr>
        <w:t>Duties of Chief Financial Officer</w:t>
      </w:r>
      <w:r>
        <w:rPr>
          <w:rFonts w:ascii="Arial" w:cs="Arial" w:eastAsia="Arial" w:hAnsi="Arial"/>
          <w:sz w:val="16"/>
          <w:szCs w:val="16"/>
          <w:color w:val="auto"/>
        </w:rPr>
        <w:t>. The Chief Financial Officer shall keep or cause to be kept the books of account of the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in a thorough and proper manner and shall render statements of the financial affairs of the corporation in such form and as often as required by the Board of Directors or the President. The Chief Financial Officer, subject to the order of the Board of Directors, shall have the custody of all funds and securities of the corporation. The Chief Financial Officer shall perform other duties commonly incident to the office and shall also perform such other duties and have such other powers as the Board of Directors or the President shall designate from time to time. To the extent that a Chief Financial Officer has been appointed and no Treasurer has been appointed, all references in these Bylaws to the Treasurer shall be deemed references to the Chief Financial Officer. The President may direct the Treasurer, if any, or any Assistant Treasurer, or the Controller or any Assistant Controller to assume and perform the duties of the Chief Financial Officer in the absence or disability of the Chief Financial Officer, and each Treasurer and Assistant Treasurer and each Controller and Assistant Controller shall perform other duties commonly incident to the office and shall also perform such other duties and have such other powers as the Board of Directors or the President shall designate from time to time.</w:t>
      </w:r>
    </w:p>
    <w:p>
      <w:pPr>
        <w:spacing w:after="0" w:line="52" w:lineRule="exact"/>
        <w:rPr>
          <w:rFonts w:ascii="Arial" w:cs="Arial" w:eastAsia="Arial" w:hAnsi="Arial"/>
          <w:sz w:val="16"/>
          <w:szCs w:val="16"/>
          <w:b w:val="1"/>
          <w:bCs w:val="1"/>
          <w:color w:val="auto"/>
        </w:rPr>
      </w:pPr>
    </w:p>
    <w:p>
      <w:pPr>
        <w:ind w:right="60" w:firstLine="987"/>
        <w:spacing w:after="0" w:line="256" w:lineRule="auto"/>
        <w:tabs>
          <w:tab w:leader="none" w:pos="1246"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Duties of Treasurer</w:t>
      </w:r>
      <w:r>
        <w:rPr>
          <w:rFonts w:ascii="Arial" w:cs="Arial" w:eastAsia="Arial" w:hAnsi="Arial"/>
          <w:sz w:val="18"/>
          <w:szCs w:val="18"/>
          <w:color w:val="auto"/>
        </w:rPr>
        <w:t>. Unless another officer has been appointed Chief Financial Officer of the corporation, the Treasurer shall be the</w:t>
      </w:r>
      <w:r>
        <w:rPr>
          <w:rFonts w:ascii="Arial" w:cs="Arial" w:eastAsia="Arial" w:hAnsi="Arial"/>
          <w:sz w:val="18"/>
          <w:szCs w:val="18"/>
          <w:b w:val="1"/>
          <w:bCs w:val="1"/>
          <w:color w:val="auto"/>
        </w:rPr>
        <w:t xml:space="preserve"> </w:t>
      </w:r>
      <w:r>
        <w:rPr>
          <w:rFonts w:ascii="Arial" w:cs="Arial" w:eastAsia="Arial" w:hAnsi="Arial"/>
          <w:sz w:val="18"/>
          <w:szCs w:val="18"/>
          <w:color w:val="auto"/>
        </w:rPr>
        <w:t>chief financial officer of the corporation and shall keep or cause to be kept the books of account of the corporation in a thorough and proper manner and shall render statements of the financial affairs of the corporation in such form and as often as required by the Board of Directors or the President, and, subject to the order of the Board of Directors, shall have the custody of all funds and securities of the corporation. The Treasurer shall perform other duties commonly incident to the office and shall also perform such other duties and have such other powers as the Board of Directors or the President shall designate from time to time.</w:t>
      </w:r>
    </w:p>
    <w:p>
      <w:pPr>
        <w:spacing w:after="0" w:line="187"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b w:val="1"/>
          <w:bCs w:val="1"/>
          <w:color w:val="auto"/>
        </w:rPr>
        <w:t>Section 29. Delegation of Authority</w:t>
      </w:r>
      <w:r>
        <w:rPr>
          <w:rFonts w:ascii="Arial" w:cs="Arial" w:eastAsia="Arial" w:hAnsi="Arial"/>
          <w:sz w:val="18"/>
          <w:szCs w:val="18"/>
          <w:color w:val="auto"/>
        </w:rPr>
        <w:t>. The Board of Directors may from time to time delegate the powers or duties of any officer to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or agent, notwithstanding any provision hereof.</w:t>
      </w:r>
    </w:p>
    <w:p>
      <w:pPr>
        <w:spacing w:after="0" w:line="162"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Section 30. Resignations</w:t>
      </w:r>
      <w:r>
        <w:rPr>
          <w:rFonts w:ascii="Arial" w:cs="Arial" w:eastAsia="Arial" w:hAnsi="Arial"/>
          <w:sz w:val="18"/>
          <w:szCs w:val="18"/>
          <w:color w:val="auto"/>
        </w:rPr>
        <w:t>. Any officer may resign at any time by giving notice in writing or by electronic transmission to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or to the President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183" w:lineRule="exact"/>
        <w:rPr>
          <w:sz w:val="20"/>
          <w:szCs w:val="20"/>
          <w:color w:val="auto"/>
        </w:rPr>
      </w:pPr>
    </w:p>
    <w:p>
      <w:pPr>
        <w:ind w:right="140" w:firstLine="440"/>
        <w:spacing w:after="0" w:line="289" w:lineRule="auto"/>
        <w:rPr>
          <w:sz w:val="20"/>
          <w:szCs w:val="20"/>
          <w:color w:val="auto"/>
        </w:rPr>
      </w:pPr>
      <w:r>
        <w:rPr>
          <w:rFonts w:ascii="Arial" w:cs="Arial" w:eastAsia="Arial" w:hAnsi="Arial"/>
          <w:sz w:val="17"/>
          <w:szCs w:val="17"/>
          <w:b w:val="1"/>
          <w:bCs w:val="1"/>
          <w:color w:val="auto"/>
        </w:rPr>
        <w:t>Section 31. Removal</w:t>
      </w:r>
      <w:r>
        <w:rPr>
          <w:rFonts w:ascii="Arial" w:cs="Arial" w:eastAsia="Arial" w:hAnsi="Arial"/>
          <w:sz w:val="17"/>
          <w:szCs w:val="17"/>
          <w:color w:val="auto"/>
        </w:rPr>
        <w:t>. Any officer may be removed from office at any time, either with or without cause, by the affirmative vote of a majority of</w:t>
      </w:r>
      <w:r>
        <w:rPr>
          <w:rFonts w:ascii="Arial" w:cs="Arial" w:eastAsia="Arial" w:hAnsi="Arial"/>
          <w:sz w:val="17"/>
          <w:szCs w:val="17"/>
          <w:b w:val="1"/>
          <w:bCs w:val="1"/>
          <w:color w:val="auto"/>
        </w:rPr>
        <w:t xml:space="preserve"> </w:t>
      </w:r>
      <w:r>
        <w:rPr>
          <w:rFonts w:ascii="Arial" w:cs="Arial" w:eastAsia="Arial" w:hAnsi="Arial"/>
          <w:sz w:val="17"/>
          <w:szCs w:val="17"/>
          <w:color w:val="auto"/>
        </w:rPr>
        <w:t>the directors in office at the time, or by the unanimous written consent of the directors in office at the time, or by any committee or by the Chief Executive Officer or other superior officers upon whom such power of removal may have been conferred by the Board of Directors.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362" w:name="page363"/>
    <w:bookmarkEnd w:id="36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EXECUTION OF CORPORATE INSTRUMENTS AND VOTING OF SECURITIES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OWNED BY THE CORPORATION</w:t>
      </w:r>
    </w:p>
    <w:p>
      <w:pPr>
        <w:spacing w:after="0" w:line="207" w:lineRule="exact"/>
        <w:rPr>
          <w:sz w:val="20"/>
          <w:szCs w:val="20"/>
          <w:color w:val="auto"/>
        </w:rPr>
      </w:pPr>
    </w:p>
    <w:p>
      <w:pPr>
        <w:ind w:right="60" w:firstLine="440"/>
        <w:spacing w:after="0" w:line="281" w:lineRule="auto"/>
        <w:rPr>
          <w:sz w:val="20"/>
          <w:szCs w:val="20"/>
          <w:color w:val="auto"/>
        </w:rPr>
      </w:pPr>
      <w:r>
        <w:rPr>
          <w:rFonts w:ascii="Arial" w:cs="Arial" w:eastAsia="Arial" w:hAnsi="Arial"/>
          <w:sz w:val="17"/>
          <w:szCs w:val="17"/>
          <w:b w:val="1"/>
          <w:bCs w:val="1"/>
          <w:color w:val="auto"/>
        </w:rPr>
        <w:t>Section 32. Execution of Corporate Instruments</w:t>
      </w:r>
      <w:r>
        <w:rPr>
          <w:rFonts w:ascii="Arial" w:cs="Arial" w:eastAsia="Arial" w:hAnsi="Arial"/>
          <w:sz w:val="17"/>
          <w:szCs w:val="17"/>
          <w:color w:val="auto"/>
        </w:rPr>
        <w:t>. The Board of Directors may, in its discretion, determine the method and designate the</w:t>
      </w:r>
      <w:r>
        <w:rPr>
          <w:rFonts w:ascii="Arial" w:cs="Arial" w:eastAsia="Arial" w:hAnsi="Arial"/>
          <w:sz w:val="17"/>
          <w:szCs w:val="17"/>
          <w:b w:val="1"/>
          <w:bCs w:val="1"/>
          <w:color w:val="auto"/>
        </w:rPr>
        <w:t xml:space="preserve"> </w:t>
      </w:r>
      <w:r>
        <w:rPr>
          <w:rFonts w:ascii="Arial" w:cs="Arial" w:eastAsia="Arial" w:hAnsi="Arial"/>
          <w:sz w:val="17"/>
          <w:szCs w:val="17"/>
          <w:color w:val="auto"/>
        </w:rPr>
        <w:t>signatory officer 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law or these Bylaws, and such execution or signature shall be binding upon the corporation.</w:t>
      </w:r>
    </w:p>
    <w:p>
      <w:pPr>
        <w:spacing w:after="0" w:line="169"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All checks and drafts drawn on banks or other depositaries on funds to the credit of the corporation or in special accounts of the corporation shall be signed by such person or persons as the Board of Directors shall authorize so to do.</w:t>
      </w:r>
    </w:p>
    <w:p>
      <w:pPr>
        <w:spacing w:after="0" w:line="170" w:lineRule="exact"/>
        <w:rPr>
          <w:sz w:val="20"/>
          <w:szCs w:val="20"/>
          <w:color w:val="auto"/>
        </w:rPr>
      </w:pPr>
    </w:p>
    <w:p>
      <w:pPr>
        <w:ind w:right="80" w:firstLine="440"/>
        <w:spacing w:after="0" w:line="342" w:lineRule="auto"/>
        <w:rPr>
          <w:sz w:val="20"/>
          <w:szCs w:val="20"/>
          <w:color w:val="auto"/>
        </w:rPr>
      </w:pPr>
      <w:r>
        <w:rPr>
          <w:rFonts w:ascii="Arial" w:cs="Arial" w:eastAsia="Arial" w:hAnsi="Arial"/>
          <w:sz w:val="16"/>
          <w:szCs w:val="16"/>
          <w:color w:val="auto"/>
        </w:rPr>
        <w:t>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20"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Section 33. Voting of Securities Owned by the Corporation</w:t>
      </w:r>
      <w:r>
        <w:rPr>
          <w:rFonts w:ascii="Arial" w:cs="Arial" w:eastAsia="Arial" w:hAnsi="Arial"/>
          <w:sz w:val="18"/>
          <w:szCs w:val="18"/>
          <w:color w:val="auto"/>
        </w:rPr>
        <w:t>. All stock and other securities of other corporations owned or held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for itself, or for other parties in any capacity, shall be voted, and all proxies with respect thereto shall be executed, by the person authorized so to do by resolution of the Board of Directors, or, in the absence of such authorization, by the Chairman of the Board of Directors, the Chief Executive Officer, the President, or any Vice President.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OF STOCK</w:t>
      </w:r>
    </w:p>
    <w:p>
      <w:pPr>
        <w:spacing w:after="0" w:line="22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b w:val="1"/>
          <w:bCs w:val="1"/>
          <w:color w:val="auto"/>
        </w:rPr>
        <w:t>Section 34. Form and Execution of Certificates</w:t>
      </w:r>
      <w:r>
        <w:rPr>
          <w:rFonts w:ascii="Arial" w:cs="Arial" w:eastAsia="Arial" w:hAnsi="Arial"/>
          <w:sz w:val="17"/>
          <w:szCs w:val="17"/>
          <w:color w:val="auto"/>
        </w:rPr>
        <w:t>. The shares of the corporation shall be represented by certificates, or shall be uncertificated if so</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by resolution or resolutions of the Board of Directors. Certificates for the shares of stock, if any, shall be in such form as is consistent with the Certificate of Incorporation and applicable law. Every holder of stock represented by certificate in the corporation shall be entitled to have a certificate signed by or in the name of the corporation by the Chairman of the Board of Directors, or the President or any Vice President and by the Treasurer or Assistant Treasurer or the Secretary or Assistant Secretary, certifying the number of shares owned by him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0" w:right="479" w:bottom="1440" w:gutter="0" w:footer="0" w:header="0"/>
        </w:sectPr>
      </w:pPr>
    </w:p>
    <w:bookmarkStart w:id="363" w:name="page364"/>
    <w:bookmarkEnd w:id="363"/>
    <w:p>
      <w:pPr>
        <w:ind w:left="4" w:right="80" w:firstLine="440"/>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35. Lost Certificates</w:t>
      </w:r>
      <w:r>
        <w:rPr>
          <w:rFonts w:ascii="Arial" w:cs="Arial" w:eastAsia="Arial" w:hAnsi="Arial"/>
          <w:sz w:val="17"/>
          <w:szCs w:val="17"/>
          <w:color w:val="auto"/>
        </w:rPr>
        <w:t>. A new certificate or certificates shall be issued in place of any certificate or certificates theretofore issued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pacing w:after="0" w:line="17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36. Transfers</w:t>
      </w:r>
      <w:r>
        <w:rPr>
          <w:rFonts w:ascii="Arial" w:cs="Arial" w:eastAsia="Arial" w:hAnsi="Arial"/>
          <w:sz w:val="18"/>
          <w:szCs w:val="18"/>
          <w:color w:val="auto"/>
        </w:rPr>
        <w:t>.</w:t>
      </w:r>
    </w:p>
    <w:p>
      <w:pPr>
        <w:spacing w:after="0" w:line="121" w:lineRule="exact"/>
        <w:rPr>
          <w:sz w:val="20"/>
          <w:szCs w:val="20"/>
          <w:color w:val="auto"/>
        </w:rPr>
      </w:pPr>
    </w:p>
    <w:p>
      <w:pPr>
        <w:ind w:left="4" w:right="260" w:firstLine="987"/>
        <w:spacing w:after="0" w:line="263" w:lineRule="auto"/>
        <w:tabs>
          <w:tab w:leader="none" w:pos="1250" w:val="left"/>
        </w:tabs>
        <w:numPr>
          <w:ilvl w:val="0"/>
          <w:numId w:val="252"/>
        </w:numPr>
        <w:rPr>
          <w:rFonts w:ascii="Arial" w:cs="Arial" w:eastAsia="Arial" w:hAnsi="Arial"/>
          <w:sz w:val="18"/>
          <w:szCs w:val="18"/>
          <w:b w:val="1"/>
          <w:bCs w:val="1"/>
          <w:color w:val="auto"/>
        </w:rPr>
      </w:pPr>
      <w:r>
        <w:rPr>
          <w:rFonts w:ascii="Arial" w:cs="Arial" w:eastAsia="Arial" w:hAnsi="Arial"/>
          <w:sz w:val="18"/>
          <w:szCs w:val="18"/>
          <w:color w:val="auto"/>
        </w:rPr>
        <w:t>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w:t>
      </w:r>
    </w:p>
    <w:p>
      <w:pPr>
        <w:spacing w:after="0" w:line="75" w:lineRule="exact"/>
        <w:rPr>
          <w:rFonts w:ascii="Arial" w:cs="Arial" w:eastAsia="Arial" w:hAnsi="Arial"/>
          <w:sz w:val="18"/>
          <w:szCs w:val="18"/>
          <w:b w:val="1"/>
          <w:bCs w:val="1"/>
          <w:color w:val="auto"/>
        </w:rPr>
      </w:pPr>
    </w:p>
    <w:p>
      <w:pPr>
        <w:ind w:left="4" w:firstLine="987"/>
        <w:spacing w:after="0" w:line="263" w:lineRule="auto"/>
        <w:tabs>
          <w:tab w:leader="none" w:pos="1260" w:val="left"/>
        </w:tabs>
        <w:numPr>
          <w:ilvl w:val="0"/>
          <w:numId w:val="252"/>
        </w:numPr>
        <w:rPr>
          <w:rFonts w:ascii="Arial" w:cs="Arial" w:eastAsia="Arial" w:hAnsi="Arial"/>
          <w:sz w:val="18"/>
          <w:szCs w:val="18"/>
          <w:b w:val="1"/>
          <w:bCs w:val="1"/>
          <w:color w:val="auto"/>
        </w:rPr>
      </w:pPr>
      <w:r>
        <w:rPr>
          <w:rFonts w:ascii="Arial" w:cs="Arial" w:eastAsia="Arial" w:hAnsi="Arial"/>
          <w:sz w:val="18"/>
          <w:szCs w:val="18"/>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37. Fixing Record Dates</w:t>
      </w:r>
      <w:r>
        <w:rPr>
          <w:rFonts w:ascii="Arial" w:cs="Arial" w:eastAsia="Arial" w:hAnsi="Arial"/>
          <w:sz w:val="18"/>
          <w:szCs w:val="18"/>
          <w:color w:val="auto"/>
        </w:rPr>
        <w:t>.</w:t>
      </w:r>
    </w:p>
    <w:p>
      <w:pPr>
        <w:spacing w:after="0" w:line="121" w:lineRule="exact"/>
        <w:rPr>
          <w:sz w:val="20"/>
          <w:szCs w:val="20"/>
          <w:color w:val="auto"/>
        </w:rPr>
      </w:pPr>
    </w:p>
    <w:p>
      <w:pPr>
        <w:ind w:left="4" w:right="320" w:firstLine="987"/>
        <w:spacing w:after="0" w:line="287" w:lineRule="auto"/>
        <w:tabs>
          <w:tab w:leader="none" w:pos="1250" w:val="left"/>
        </w:tabs>
        <w:numPr>
          <w:ilvl w:val="1"/>
          <w:numId w:val="253"/>
        </w:numPr>
        <w:rPr>
          <w:rFonts w:ascii="Arial" w:cs="Arial" w:eastAsia="Arial" w:hAnsi="Arial"/>
          <w:sz w:val="16"/>
          <w:szCs w:val="16"/>
          <w:b w:val="1"/>
          <w:bCs w:val="1"/>
          <w:color w:val="auto"/>
        </w:rPr>
      </w:pPr>
      <w:r>
        <w:rPr>
          <w:rFonts w:ascii="Arial" w:cs="Arial" w:eastAsia="Arial" w:hAnsi="Arial"/>
          <w:sz w:val="16"/>
          <w:szCs w:val="16"/>
          <w:color w:val="auto"/>
        </w:rPr>
        <w:t>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subject to applicable law, not be more than sixty (60) nor less than ten</w:t>
      </w:r>
    </w:p>
    <w:p>
      <w:pPr>
        <w:spacing w:after="0" w:line="2" w:lineRule="exact"/>
        <w:rPr>
          <w:rFonts w:ascii="Arial" w:cs="Arial" w:eastAsia="Arial" w:hAnsi="Arial"/>
          <w:sz w:val="16"/>
          <w:szCs w:val="16"/>
          <w:b w:val="1"/>
          <w:bCs w:val="1"/>
          <w:color w:val="auto"/>
        </w:rPr>
      </w:pPr>
    </w:p>
    <w:p>
      <w:pPr>
        <w:ind w:left="4" w:right="40" w:hanging="4"/>
        <w:spacing w:after="0" w:line="253" w:lineRule="auto"/>
        <w:tabs>
          <w:tab w:leader="none" w:pos="349" w:val="left"/>
        </w:tabs>
        <w:numPr>
          <w:ilvl w:val="0"/>
          <w:numId w:val="254"/>
        </w:numPr>
        <w:rPr>
          <w:rFonts w:ascii="Arial" w:cs="Arial" w:eastAsia="Arial" w:hAnsi="Arial"/>
          <w:sz w:val="18"/>
          <w:szCs w:val="18"/>
          <w:color w:val="auto"/>
        </w:rPr>
      </w:pPr>
      <w:r>
        <w:rPr>
          <w:rFonts w:ascii="Arial" w:cs="Arial" w:eastAsia="Arial" w:hAnsi="Arial"/>
          <w:sz w:val="18"/>
          <w:szCs w:val="18"/>
          <w:color w:val="auto"/>
        </w:rPr>
        <w:t xml:space="preserve">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Board of Directors may fix a new record date for the adjourned meeting.</w:t>
      </w:r>
    </w:p>
    <w:p>
      <w:pPr>
        <w:spacing w:after="0" w:line="82" w:lineRule="exact"/>
        <w:rPr>
          <w:rFonts w:ascii="Arial" w:cs="Arial" w:eastAsia="Arial" w:hAnsi="Arial"/>
          <w:sz w:val="18"/>
          <w:szCs w:val="18"/>
          <w:color w:val="auto"/>
        </w:rPr>
      </w:pPr>
    </w:p>
    <w:p>
      <w:pPr>
        <w:ind w:left="4" w:firstLine="987"/>
        <w:spacing w:after="0" w:line="255" w:lineRule="auto"/>
        <w:tabs>
          <w:tab w:leader="none" w:pos="1260" w:val="left"/>
        </w:tabs>
        <w:numPr>
          <w:ilvl w:val="1"/>
          <w:numId w:val="254"/>
        </w:numPr>
        <w:rPr>
          <w:rFonts w:ascii="Arial" w:cs="Arial" w:eastAsia="Arial" w:hAnsi="Arial"/>
          <w:sz w:val="18"/>
          <w:szCs w:val="18"/>
          <w:b w:val="1"/>
          <w:bCs w:val="1"/>
          <w:color w:val="auto"/>
        </w:rPr>
      </w:pPr>
      <w:r>
        <w:rPr>
          <w:rFonts w:ascii="Arial" w:cs="Arial" w:eastAsia="Arial" w:hAnsi="Arial"/>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4"/>
          </w:cols>
          <w:pgMar w:left="436" w:top="270" w:right="479" w:bottom="1440" w:gutter="0" w:footer="0" w:header="0"/>
        </w:sectPr>
      </w:pPr>
    </w:p>
    <w:bookmarkStart w:id="364" w:name="page365"/>
    <w:bookmarkEnd w:id="364"/>
    <w:p>
      <w:pPr>
        <w:jc w:val="both"/>
        <w:ind w:right="120" w:firstLine="4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38. Registered Stockholders</w:t>
      </w:r>
      <w:r>
        <w:rPr>
          <w:rFonts w:ascii="Arial" w:cs="Arial" w:eastAsia="Arial" w:hAnsi="Arial"/>
          <w:sz w:val="18"/>
          <w:szCs w:val="18"/>
          <w:color w:val="auto"/>
        </w:rPr>
        <w:t>. The corporation shall be entitled to recognize the exclusive right of a person registered on its books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8"/>
          <w:szCs w:val="18"/>
          <w:b w:val="1"/>
          <w:bCs w:val="1"/>
          <w:color w:val="auto"/>
        </w:rPr>
        <w:t>THER SECURITIES OF THE CORPORATION</w:t>
      </w:r>
    </w:p>
    <w:p>
      <w:pPr>
        <w:spacing w:after="0" w:line="225"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b w:val="1"/>
          <w:bCs w:val="1"/>
          <w:color w:val="auto"/>
        </w:rPr>
        <w:t>Section 39. Execution of Other Securities</w:t>
      </w:r>
      <w:r>
        <w:rPr>
          <w:rFonts w:ascii="Arial" w:cs="Arial" w:eastAsia="Arial" w:hAnsi="Arial"/>
          <w:sz w:val="17"/>
          <w:szCs w:val="17"/>
          <w:color w:val="auto"/>
        </w:rPr>
        <w:t>. All bonds, debentures and other corporate securities of the corporation, other than stock certificates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(covered in Section 34), may be signed by the Chairman of the Board of Directors, the President or any Vice President, or such other person as may be authorized by the Board of Directors, and the corporate seal impressed thereon or a facsimile of such seal imprinted thereon and attested by the signature of the Secretary or an Assistant Secretary, or the Chief Financial Officer or Treasurer or an Assistant Treasurer;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DIVIDENDS</w:t>
      </w:r>
    </w:p>
    <w:p>
      <w:pPr>
        <w:spacing w:after="0" w:line="225" w:lineRule="exact"/>
        <w:rPr>
          <w:sz w:val="20"/>
          <w:szCs w:val="20"/>
          <w:color w:val="auto"/>
        </w:rPr>
      </w:pPr>
    </w:p>
    <w:p>
      <w:pPr>
        <w:ind w:right="40" w:firstLine="440"/>
        <w:spacing w:after="0" w:line="289" w:lineRule="auto"/>
        <w:rPr>
          <w:sz w:val="20"/>
          <w:szCs w:val="20"/>
          <w:color w:val="auto"/>
        </w:rPr>
      </w:pPr>
      <w:r>
        <w:rPr>
          <w:rFonts w:ascii="Arial" w:cs="Arial" w:eastAsia="Arial" w:hAnsi="Arial"/>
          <w:sz w:val="17"/>
          <w:szCs w:val="17"/>
          <w:b w:val="1"/>
          <w:bCs w:val="1"/>
          <w:color w:val="auto"/>
        </w:rPr>
        <w:t>Section 40. Declaration of Dividends</w:t>
      </w:r>
      <w:r>
        <w:rPr>
          <w:rFonts w:ascii="Arial" w:cs="Arial" w:eastAsia="Arial" w:hAnsi="Arial"/>
          <w:sz w:val="17"/>
          <w:szCs w:val="17"/>
          <w:color w:val="auto"/>
        </w:rPr>
        <w:t>. Dividends upon the capital stock of the corporation, subject to the provisions of the Certificate of</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Incorporation and applicable law, if any, may be declared by the Board of Directors pursuant to law at any regular or special meeting. Dividends may be paid in cash, in property, or in shares of the capital stock, subject to the provisions of the Certificate of Incorporation and applicable law.</w:t>
      </w:r>
    </w:p>
    <w:p>
      <w:pPr>
        <w:spacing w:after="0" w:line="158" w:lineRule="exact"/>
        <w:rPr>
          <w:sz w:val="20"/>
          <w:szCs w:val="20"/>
          <w:color w:val="auto"/>
        </w:rPr>
      </w:pPr>
    </w:p>
    <w:p>
      <w:pPr>
        <w:ind w:firstLine="440"/>
        <w:spacing w:after="0" w:line="303" w:lineRule="auto"/>
        <w:rPr>
          <w:sz w:val="20"/>
          <w:szCs w:val="20"/>
          <w:color w:val="auto"/>
        </w:rPr>
      </w:pPr>
      <w:r>
        <w:rPr>
          <w:rFonts w:ascii="Arial" w:cs="Arial" w:eastAsia="Arial" w:hAnsi="Arial"/>
          <w:sz w:val="16"/>
          <w:szCs w:val="16"/>
          <w:b w:val="1"/>
          <w:bCs w:val="1"/>
          <w:color w:val="auto"/>
        </w:rPr>
        <w:t>Section 41. Dividend Reserve</w:t>
      </w:r>
      <w:r>
        <w:rPr>
          <w:rFonts w:ascii="Arial" w:cs="Arial" w:eastAsia="Arial" w:hAnsi="Arial"/>
          <w:sz w:val="16"/>
          <w:szCs w:val="16"/>
          <w:color w:val="auto"/>
        </w:rPr>
        <w:t>. Before payment of any dividend, there may be set aside out of any funds of the corporation available for dividends</w:t>
      </w:r>
      <w:r>
        <w:rPr>
          <w:rFonts w:ascii="Arial" w:cs="Arial" w:eastAsia="Arial" w:hAnsi="Arial"/>
          <w:sz w:val="16"/>
          <w:szCs w:val="16"/>
          <w:b w:val="1"/>
          <w:bCs w:val="1"/>
          <w:color w:val="auto"/>
        </w:rPr>
        <w:t xml:space="preserve"> </w:t>
      </w:r>
      <w:r>
        <w:rPr>
          <w:rFonts w:ascii="Arial" w:cs="Arial" w:eastAsia="Arial" w:hAnsi="Arial"/>
          <w:sz w:val="16"/>
          <w:szCs w:val="16"/>
          <w:color w:val="auto"/>
        </w:rPr>
        <w:t>such sum or sums as the Board of Directors from time to time, in their absolute discretion, think proper as a reserve or reserves to meet contingencies, or for equalizing dividends, or for repairing or maintaining any property of the corporation, or for such other purpose as the Board of Directors shall think conducive to the interests of the corporation, and the Board of Directors may modify or abolish any such reserve in the manner in which it was created.</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0" w:right="459" w:bottom="1440" w:gutter="0" w:footer="0" w:header="0"/>
        </w:sectPr>
      </w:pPr>
    </w:p>
    <w:bookmarkStart w:id="365" w:name="page366"/>
    <w:bookmarkEnd w:id="365"/>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w:t>
      </w:r>
      <w:r>
        <w:rPr>
          <w:rFonts w:ascii="Arial" w:cs="Arial" w:eastAsia="Arial" w:hAnsi="Arial"/>
          <w:sz w:val="18"/>
          <w:szCs w:val="18"/>
          <w:b w:val="1"/>
          <w:bCs w:val="1"/>
          <w:color w:val="auto"/>
        </w:rPr>
        <w:t>ISCAL YEAR</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42. Fiscal Year</w:t>
      </w:r>
      <w:r>
        <w:rPr>
          <w:rFonts w:ascii="Arial" w:cs="Arial" w:eastAsia="Arial" w:hAnsi="Arial"/>
          <w:sz w:val="18"/>
          <w:szCs w:val="18"/>
          <w:color w:val="auto"/>
        </w:rPr>
        <w:t>. The fiscal year of the corporation shall be fixed by resolution of the Board of Directors.</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43. Indemnification of Directors, Officers, Employees and Other Agents</w:t>
      </w:r>
      <w:r>
        <w:rPr>
          <w:rFonts w:ascii="Arial" w:cs="Arial" w:eastAsia="Arial" w:hAnsi="Arial"/>
          <w:sz w:val="18"/>
          <w:szCs w:val="18"/>
          <w:color w:val="auto"/>
        </w:rPr>
        <w:t>.</w:t>
      </w:r>
    </w:p>
    <w:p>
      <w:pPr>
        <w:spacing w:after="0" w:line="117" w:lineRule="exact"/>
        <w:rPr>
          <w:sz w:val="20"/>
          <w:szCs w:val="20"/>
          <w:color w:val="auto"/>
        </w:rPr>
      </w:pPr>
    </w:p>
    <w:p>
      <w:pPr>
        <w:jc w:val="both"/>
        <w:ind w:left="4" w:right="120" w:firstLine="987"/>
        <w:spacing w:after="0" w:line="289" w:lineRule="auto"/>
        <w:tabs>
          <w:tab w:leader="none" w:pos="1250" w:val="left"/>
        </w:tabs>
        <w:numPr>
          <w:ilvl w:val="1"/>
          <w:numId w:val="255"/>
        </w:numPr>
        <w:rPr>
          <w:rFonts w:ascii="Arial" w:cs="Arial" w:eastAsia="Arial" w:hAnsi="Arial"/>
          <w:sz w:val="16"/>
          <w:szCs w:val="16"/>
          <w:b w:val="1"/>
          <w:bCs w:val="1"/>
          <w:color w:val="auto"/>
        </w:rPr>
      </w:pPr>
      <w:r>
        <w:rPr>
          <w:rFonts w:ascii="Arial" w:cs="Arial" w:eastAsia="Arial" w:hAnsi="Arial"/>
          <w:sz w:val="16"/>
          <w:szCs w:val="16"/>
          <w:b w:val="1"/>
          <w:bCs w:val="1"/>
          <w:color w:val="auto"/>
        </w:rPr>
        <w:t>Directors</w:t>
      </w:r>
      <w:r>
        <w:rPr>
          <w:rFonts w:ascii="Arial" w:cs="Arial" w:eastAsia="Arial" w:hAnsi="Arial"/>
          <w:sz w:val="16"/>
          <w:szCs w:val="16"/>
          <w:color w:val="auto"/>
        </w:rPr>
        <w:t>. The corporation shall indemnify its directors to the fullest extent not prohibited by the DGCL or any other applicable law;</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the corporation may modify the extent of such indemnification by individual contracts with its directors; and,</w:t>
      </w:r>
      <w:r>
        <w:rPr>
          <w:rFonts w:ascii="Arial" w:cs="Arial" w:eastAsia="Arial" w:hAnsi="Arial"/>
          <w:sz w:val="16"/>
          <w:szCs w:val="16"/>
          <w:i w:val="1"/>
          <w:iCs w:val="1"/>
          <w:color w:val="auto"/>
        </w:rPr>
        <w:t xml:space="preserve"> provided, further, </w:t>
      </w:r>
      <w:r>
        <w:rPr>
          <w:rFonts w:ascii="Arial" w:cs="Arial" w:eastAsia="Arial" w:hAnsi="Arial"/>
          <w:sz w:val="16"/>
          <w:szCs w:val="16"/>
          <w:color w:val="auto"/>
        </w:rPr>
        <w:t>that the corporation shall not be required to indemnify any director in connection with any proceeding (or part thereof) initiated by such person unless</w:t>
      </w:r>
    </w:p>
    <w:p>
      <w:pPr>
        <w:spacing w:after="0" w:line="1" w:lineRule="exact"/>
        <w:rPr>
          <w:rFonts w:ascii="Arial" w:cs="Arial" w:eastAsia="Arial" w:hAnsi="Arial"/>
          <w:sz w:val="16"/>
          <w:szCs w:val="16"/>
          <w:b w:val="1"/>
          <w:bCs w:val="1"/>
          <w:color w:val="auto"/>
        </w:rPr>
      </w:pPr>
    </w:p>
    <w:p>
      <w:pPr>
        <w:ind w:left="224" w:hanging="224"/>
        <w:spacing w:after="0"/>
        <w:tabs>
          <w:tab w:leader="none" w:pos="224" w:val="left"/>
        </w:tabs>
        <w:numPr>
          <w:ilvl w:val="0"/>
          <w:numId w:val="256"/>
        </w:numPr>
        <w:rPr>
          <w:rFonts w:ascii="Arial" w:cs="Arial" w:eastAsia="Arial" w:hAnsi="Arial"/>
          <w:sz w:val="17"/>
          <w:szCs w:val="17"/>
          <w:color w:val="auto"/>
        </w:rPr>
      </w:pPr>
      <w:r>
        <w:rPr>
          <w:rFonts w:ascii="Arial" w:cs="Arial" w:eastAsia="Arial" w:hAnsi="Arial"/>
          <w:sz w:val="17"/>
          <w:szCs w:val="17"/>
          <w:color w:val="auto"/>
        </w:rPr>
        <w:t>such indemnification is expressly required to be made by law, (ii) the proceeding was authorized by the Board of Directors of the corporation,</w:t>
      </w:r>
    </w:p>
    <w:p>
      <w:pPr>
        <w:spacing w:after="0" w:line="21" w:lineRule="exact"/>
        <w:rPr>
          <w:sz w:val="20"/>
          <w:szCs w:val="20"/>
          <w:color w:val="auto"/>
        </w:rPr>
      </w:pPr>
    </w:p>
    <w:p>
      <w:pPr>
        <w:ind w:left="4" w:right="120" w:hanging="4"/>
        <w:spacing w:after="0" w:line="260" w:lineRule="auto"/>
        <w:tabs>
          <w:tab w:leader="none" w:pos="319" w:val="left"/>
        </w:tabs>
        <w:numPr>
          <w:ilvl w:val="0"/>
          <w:numId w:val="257"/>
        </w:numPr>
        <w:rPr>
          <w:rFonts w:ascii="Arial" w:cs="Arial" w:eastAsia="Arial" w:hAnsi="Arial"/>
          <w:sz w:val="18"/>
          <w:szCs w:val="18"/>
          <w:color w:val="auto"/>
        </w:rPr>
      </w:pPr>
      <w:r>
        <w:rPr>
          <w:rFonts w:ascii="Arial" w:cs="Arial" w:eastAsia="Arial" w:hAnsi="Arial"/>
          <w:sz w:val="18"/>
          <w:szCs w:val="18"/>
          <w:color w:val="auto"/>
        </w:rPr>
        <w:t>such indemnification is provided by the corporation, in its sole discretion, pursuant to the powers vested in the corporation under the DGCL or any other applicable law or (iv) such indemnification is required to be made under subsection (d).</w:t>
      </w:r>
    </w:p>
    <w:p>
      <w:pPr>
        <w:spacing w:after="0" w:line="73" w:lineRule="exact"/>
        <w:rPr>
          <w:rFonts w:ascii="Arial" w:cs="Arial" w:eastAsia="Arial" w:hAnsi="Arial"/>
          <w:sz w:val="18"/>
          <w:szCs w:val="18"/>
          <w:color w:val="auto"/>
        </w:rPr>
      </w:pPr>
    </w:p>
    <w:p>
      <w:pPr>
        <w:ind w:left="4" w:firstLine="987"/>
        <w:spacing w:after="0" w:line="266" w:lineRule="auto"/>
        <w:tabs>
          <w:tab w:leader="none" w:pos="1260" w:val="left"/>
        </w:tabs>
        <w:numPr>
          <w:ilvl w:val="1"/>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Officers, Employees and Other Agents</w:t>
      </w:r>
      <w:r>
        <w:rPr>
          <w:rFonts w:ascii="Arial" w:cs="Arial" w:eastAsia="Arial" w:hAnsi="Arial"/>
          <w:sz w:val="18"/>
          <w:szCs w:val="18"/>
          <w:color w:val="auto"/>
        </w:rPr>
        <w:t>. The corporation shall have power to indemnify its officers, employees and other agents as</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DGCL or any other applicable law. The Board of Directors shall have the power to delegate the determination of whether indemnification shall be given to any such person to such officers or other persons as the Board of Directors shall determine.</w:t>
      </w:r>
    </w:p>
    <w:p>
      <w:pPr>
        <w:spacing w:after="0" w:line="67" w:lineRule="exact"/>
        <w:rPr>
          <w:rFonts w:ascii="Arial" w:cs="Arial" w:eastAsia="Arial" w:hAnsi="Arial"/>
          <w:sz w:val="18"/>
          <w:szCs w:val="18"/>
          <w:b w:val="1"/>
          <w:bCs w:val="1"/>
          <w:color w:val="auto"/>
        </w:rPr>
      </w:pPr>
    </w:p>
    <w:p>
      <w:pPr>
        <w:ind w:left="4" w:right="40" w:firstLine="987"/>
        <w:spacing w:after="0" w:line="271" w:lineRule="auto"/>
        <w:tabs>
          <w:tab w:leader="none" w:pos="1240" w:val="left"/>
        </w:tabs>
        <w:numPr>
          <w:ilvl w:val="1"/>
          <w:numId w:val="257"/>
        </w:numPr>
        <w:rPr>
          <w:rFonts w:ascii="Arial" w:cs="Arial" w:eastAsia="Arial" w:hAnsi="Arial"/>
          <w:sz w:val="17"/>
          <w:szCs w:val="17"/>
          <w:b w:val="1"/>
          <w:bCs w:val="1"/>
          <w:color w:val="auto"/>
        </w:rPr>
      </w:pPr>
      <w:r>
        <w:rPr>
          <w:rFonts w:ascii="Arial" w:cs="Arial" w:eastAsia="Arial" w:hAnsi="Arial"/>
          <w:sz w:val="17"/>
          <w:szCs w:val="17"/>
          <w:b w:val="1"/>
          <w:bCs w:val="1"/>
          <w:color w:val="auto"/>
        </w:rPr>
        <w:t>Expenses</w:t>
      </w:r>
      <w:r>
        <w:rPr>
          <w:rFonts w:ascii="Arial" w:cs="Arial" w:eastAsia="Arial" w:hAnsi="Arial"/>
          <w:sz w:val="17"/>
          <w:szCs w:val="17"/>
          <w:color w:val="auto"/>
        </w:rPr>
        <w:t>. The corporation shall advance to any person who was or is a party or is threatened to be made a party to any threatened,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pending or completed action, suit or proceeding, whether civil, criminal, administrative or investigative, by reason of the fact that he is or was a director of the corporation, or is or was serving at the request of the corporation as a director or officer of another corporation, partnership, joint venture, trust or other enterprise, prior to the final disposition of the proceeding, promptly following request therefor, all expenses incurred by any director in connection with such proceeding;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the DGCL requires, an advancement of expenses incurred by a director in his or her capacity as a director (and not in any other capacity in which service was or is rendered by such indemnitee, including, without limitation, service to an employee benefit plan) shall be made only upon delivery to the corporation of an undertaking, by or on behalf of such indemnitee, to repay all amounts so advanced if it shall ultimately be determined by final judicial decision from which there is no further right to appeal that such indemnitee is not entitled to be indemnified for such expenses under this section or otherwise.</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0" w:right="459" w:bottom="1440" w:gutter="0" w:footer="0" w:header="0"/>
        </w:sectPr>
      </w:pPr>
    </w:p>
    <w:bookmarkStart w:id="366" w:name="page367"/>
    <w:bookmarkEnd w:id="366"/>
    <w:p>
      <w:pPr>
        <w:ind w:firstLine="987"/>
        <w:spacing w:after="0" w:line="268" w:lineRule="auto"/>
        <w:tabs>
          <w:tab w:leader="none" w:pos="1256" w:val="left"/>
        </w:tabs>
        <w:numPr>
          <w:ilvl w:val="0"/>
          <w:numId w:val="258"/>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Enforcement</w:t>
      </w:r>
      <w:r>
        <w:rPr>
          <w:rFonts w:ascii="Arial" w:cs="Arial" w:eastAsia="Arial" w:hAnsi="Arial"/>
          <w:sz w:val="17"/>
          <w:szCs w:val="17"/>
          <w:color w:val="auto"/>
        </w:rPr>
        <w:t>. Without the necessity of entering into an express contract, all rights to indemnification and advances to directors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this Bylaw shall be deemed to be contractual rights and be effective to the same extent and as if provided for in a contract between the corporation and the director. Any right to indemnification or advances granted by this Bylaw to a director shall be enforceable by or on behalf of the person holding such right in any court of competent jurisdiction if (i) the claim for indemnification or advances is denied, in whole or in part, or (ii) no disposition of such claim is made within ninety (90) days of request therefor. To the extent permitted by law,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Neither the failure of the corporation (including its Board of Directors, independent legal counsel or its stockholders) to have made a determination prior to the commencement of such action that indemnification of the claimant is proper in the circumstances because the director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to enforce a right to indemnification or to an advancement of expenses hereunder, the burden of proving that the director is not entitled to be indemnified, or to such advancement of expenses, under this section or otherwise shall be on the corporation.</w:t>
      </w:r>
    </w:p>
    <w:p>
      <w:pPr>
        <w:spacing w:after="0" w:line="73" w:lineRule="exact"/>
        <w:rPr>
          <w:rFonts w:ascii="Arial" w:cs="Arial" w:eastAsia="Arial" w:hAnsi="Arial"/>
          <w:sz w:val="17"/>
          <w:szCs w:val="17"/>
          <w:b w:val="1"/>
          <w:bCs w:val="1"/>
          <w:color w:val="auto"/>
        </w:rPr>
      </w:pPr>
    </w:p>
    <w:p>
      <w:pPr>
        <w:ind w:firstLine="987"/>
        <w:spacing w:after="0" w:line="277" w:lineRule="auto"/>
        <w:tabs>
          <w:tab w:leader="none" w:pos="1236" w:val="left"/>
        </w:tabs>
        <w:numPr>
          <w:ilvl w:val="0"/>
          <w:numId w:val="258"/>
        </w:numPr>
        <w:rPr>
          <w:rFonts w:ascii="Arial" w:cs="Arial" w:eastAsia="Arial" w:hAnsi="Arial"/>
          <w:sz w:val="17"/>
          <w:szCs w:val="17"/>
          <w:b w:val="1"/>
          <w:bCs w:val="1"/>
          <w:color w:val="auto"/>
        </w:rPr>
      </w:pPr>
      <w:r>
        <w:rPr>
          <w:rFonts w:ascii="Arial" w:cs="Arial" w:eastAsia="Arial" w:hAnsi="Arial"/>
          <w:sz w:val="17"/>
          <w:szCs w:val="17"/>
          <w:b w:val="1"/>
          <w:bCs w:val="1"/>
          <w:color w:val="auto"/>
        </w:rPr>
        <w:t>Non-Exclusivity of Rights</w:t>
      </w:r>
      <w:r>
        <w:rPr>
          <w:rFonts w:ascii="Arial" w:cs="Arial" w:eastAsia="Arial" w:hAnsi="Arial"/>
          <w:sz w:val="17"/>
          <w:szCs w:val="17"/>
          <w:color w:val="auto"/>
        </w:rPr>
        <w:t>. The rights conferred on any person by this Bylaw shall not be exclusive of any other right which such</w:t>
      </w:r>
      <w:r>
        <w:rPr>
          <w:rFonts w:ascii="Arial" w:cs="Arial" w:eastAsia="Arial" w:hAnsi="Arial"/>
          <w:sz w:val="17"/>
          <w:szCs w:val="17"/>
          <w:b w:val="1"/>
          <w:bCs w:val="1"/>
          <w:color w:val="auto"/>
        </w:rPr>
        <w:t xml:space="preserve"> </w:t>
      </w:r>
      <w:r>
        <w:rPr>
          <w:rFonts w:ascii="Arial" w:cs="Arial" w:eastAsia="Arial" w:hAnsi="Arial"/>
          <w:sz w:val="17"/>
          <w:szCs w:val="17"/>
          <w:color w:val="auto"/>
        </w:rPr>
        <w:t>person may have or hereafter acquire under any applicable statute, provision of the Certificate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by any other applicable law.</w:t>
      </w:r>
    </w:p>
    <w:p>
      <w:pPr>
        <w:spacing w:after="0" w:line="59" w:lineRule="exact"/>
        <w:rPr>
          <w:rFonts w:ascii="Arial" w:cs="Arial" w:eastAsia="Arial" w:hAnsi="Arial"/>
          <w:sz w:val="17"/>
          <w:szCs w:val="17"/>
          <w:b w:val="1"/>
          <w:bCs w:val="1"/>
          <w:color w:val="auto"/>
        </w:rPr>
      </w:pPr>
    </w:p>
    <w:p>
      <w:pPr>
        <w:ind w:right="60" w:firstLine="987"/>
        <w:spacing w:after="0" w:line="282" w:lineRule="auto"/>
        <w:tabs>
          <w:tab w:leader="none" w:pos="1216"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Survival of Rights</w:t>
      </w:r>
      <w:r>
        <w:rPr>
          <w:rFonts w:ascii="Arial" w:cs="Arial" w:eastAsia="Arial" w:hAnsi="Arial"/>
          <w:sz w:val="18"/>
          <w:szCs w:val="18"/>
          <w:color w:val="auto"/>
        </w:rPr>
        <w:t>. The rights conferred on any person by this Bylaw shall continue as to a person who has ceased to be a director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inure to the benefit of the heirs, executors and administrators of such a person.</w:t>
      </w:r>
    </w:p>
    <w:p>
      <w:pPr>
        <w:spacing w:after="0" w:line="53" w:lineRule="exact"/>
        <w:rPr>
          <w:rFonts w:ascii="Arial" w:cs="Arial" w:eastAsia="Arial" w:hAnsi="Arial"/>
          <w:sz w:val="18"/>
          <w:szCs w:val="18"/>
          <w:b w:val="1"/>
          <w:bCs w:val="1"/>
          <w:color w:val="auto"/>
        </w:rPr>
      </w:pPr>
    </w:p>
    <w:p>
      <w:pPr>
        <w:ind w:right="240" w:firstLine="987"/>
        <w:spacing w:after="0" w:line="312" w:lineRule="auto"/>
        <w:tabs>
          <w:tab w:leader="none" w:pos="1246" w:val="left"/>
        </w:tabs>
        <w:numPr>
          <w:ilvl w:val="0"/>
          <w:numId w:val="258"/>
        </w:numPr>
        <w:rPr>
          <w:rFonts w:ascii="Arial" w:cs="Arial" w:eastAsia="Arial" w:hAnsi="Arial"/>
          <w:sz w:val="17"/>
          <w:szCs w:val="17"/>
          <w:b w:val="1"/>
          <w:bCs w:val="1"/>
          <w:color w:val="auto"/>
        </w:rPr>
      </w:pPr>
      <w:r>
        <w:rPr>
          <w:rFonts w:ascii="Arial" w:cs="Arial" w:eastAsia="Arial" w:hAnsi="Arial"/>
          <w:sz w:val="17"/>
          <w:szCs w:val="17"/>
          <w:b w:val="1"/>
          <w:bCs w:val="1"/>
          <w:color w:val="auto"/>
        </w:rPr>
        <w:t>Insurance</w:t>
      </w:r>
      <w:r>
        <w:rPr>
          <w:rFonts w:ascii="Arial" w:cs="Arial" w:eastAsia="Arial" w:hAnsi="Arial"/>
          <w:sz w:val="17"/>
          <w:szCs w:val="17"/>
          <w:color w:val="auto"/>
        </w:rPr>
        <w:t>. To the fullest extent permitted by the DGCL or any other applicable law, the corporation, upon approval by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may purchase insurance on behalf of any person required or permitted to be indemnified pursuant to this section.</w:t>
      </w:r>
    </w:p>
    <w:p>
      <w:pPr>
        <w:spacing w:after="0" w:line="31" w:lineRule="exact"/>
        <w:rPr>
          <w:rFonts w:ascii="Arial" w:cs="Arial" w:eastAsia="Arial" w:hAnsi="Arial"/>
          <w:sz w:val="17"/>
          <w:szCs w:val="17"/>
          <w:b w:val="1"/>
          <w:bCs w:val="1"/>
          <w:color w:val="auto"/>
        </w:rPr>
      </w:pPr>
    </w:p>
    <w:p>
      <w:pPr>
        <w:ind w:right="200" w:firstLine="987"/>
        <w:spacing w:after="0" w:line="347" w:lineRule="auto"/>
        <w:tabs>
          <w:tab w:leader="none" w:pos="1256" w:val="left"/>
        </w:tabs>
        <w:numPr>
          <w:ilvl w:val="0"/>
          <w:numId w:val="258"/>
        </w:numPr>
        <w:rPr>
          <w:rFonts w:ascii="Arial" w:cs="Arial" w:eastAsia="Arial" w:hAnsi="Arial"/>
          <w:sz w:val="16"/>
          <w:szCs w:val="16"/>
          <w:b w:val="1"/>
          <w:bCs w:val="1"/>
          <w:color w:val="auto"/>
        </w:rPr>
      </w:pPr>
      <w:r>
        <w:rPr>
          <w:rFonts w:ascii="Arial" w:cs="Arial" w:eastAsia="Arial" w:hAnsi="Arial"/>
          <w:sz w:val="16"/>
          <w:szCs w:val="16"/>
          <w:b w:val="1"/>
          <w:bCs w:val="1"/>
          <w:color w:val="auto"/>
        </w:rPr>
        <w:t>Amendments</w:t>
      </w:r>
      <w:r>
        <w:rPr>
          <w:rFonts w:ascii="Arial" w:cs="Arial" w:eastAsia="Arial" w:hAnsi="Arial"/>
          <w:sz w:val="16"/>
          <w:szCs w:val="16"/>
          <w:color w:val="auto"/>
        </w:rPr>
        <w:t>. Any repeal or modification of this section shall only be prospective and shall not affect the rights under this Bylaw in</w:t>
      </w:r>
      <w:r>
        <w:rPr>
          <w:rFonts w:ascii="Arial" w:cs="Arial" w:eastAsia="Arial" w:hAnsi="Arial"/>
          <w:sz w:val="16"/>
          <w:szCs w:val="16"/>
          <w:b w:val="1"/>
          <w:bCs w:val="1"/>
          <w:color w:val="auto"/>
        </w:rPr>
        <w:t xml:space="preserve"> </w:t>
      </w:r>
      <w:r>
        <w:rPr>
          <w:rFonts w:ascii="Arial" w:cs="Arial" w:eastAsia="Arial" w:hAnsi="Arial"/>
          <w:sz w:val="16"/>
          <w:szCs w:val="16"/>
          <w:color w:val="auto"/>
        </w:rPr>
        <w:t>effect at the time of the alleged occurrence of any action or omission to act that is the cause of any proceeding against any agent of the corporation.</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0" w:right="459" w:bottom="1440" w:gutter="0" w:footer="0" w:header="0"/>
        </w:sectPr>
      </w:pPr>
    </w:p>
    <w:bookmarkStart w:id="367" w:name="page368"/>
    <w:bookmarkEnd w:id="367"/>
    <w:p>
      <w:pPr>
        <w:jc w:val="both"/>
        <w:ind w:left="-20" w:firstLine="987"/>
        <w:spacing w:after="0" w:line="281" w:lineRule="auto"/>
        <w:tabs>
          <w:tab w:leader="none" w:pos="1186" w:val="left"/>
        </w:tabs>
        <w:numPr>
          <w:ilvl w:val="0"/>
          <w:numId w:val="259"/>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Saving Clause</w:t>
      </w:r>
      <w:r>
        <w:rPr>
          <w:rFonts w:ascii="Arial" w:cs="Arial" w:eastAsia="Arial" w:hAnsi="Arial"/>
          <w:sz w:val="17"/>
          <w:szCs w:val="17"/>
          <w:color w:val="auto"/>
        </w:rPr>
        <w:t>. If this Bylaw or any portion hereof shall be invalidated on any ground by any court of competent jurisdiction, then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shall nevertheless indemnify each director to the full extent not prohibited by any applicable portion of this section that shall not have been invalidated, or by any other applicable law. If this section shall be invalid due to the application of the indemnification provisions of another jurisdiction, then the corporation shall indemnify each director to the full extent under any other applicable law.</w:t>
      </w:r>
    </w:p>
    <w:p>
      <w:pPr>
        <w:spacing w:after="0" w:line="56" w:lineRule="exact"/>
        <w:rPr>
          <w:rFonts w:ascii="Arial" w:cs="Arial" w:eastAsia="Arial" w:hAnsi="Arial"/>
          <w:sz w:val="17"/>
          <w:szCs w:val="17"/>
          <w:b w:val="1"/>
          <w:bCs w:val="1"/>
          <w:color w:val="auto"/>
        </w:rPr>
      </w:pPr>
    </w:p>
    <w:p>
      <w:pPr>
        <w:ind w:left="1200" w:hanging="233"/>
        <w:spacing w:after="0"/>
        <w:tabs>
          <w:tab w:leader="none" w:pos="1200"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Certain Definitions</w:t>
      </w:r>
      <w:r>
        <w:rPr>
          <w:rFonts w:ascii="Arial" w:cs="Arial" w:eastAsia="Arial" w:hAnsi="Arial"/>
          <w:sz w:val="18"/>
          <w:szCs w:val="18"/>
          <w:color w:val="auto"/>
        </w:rPr>
        <w:t>. For the purposes of this Bylaw, the following definitions shall apply:</w:t>
      </w:r>
    </w:p>
    <w:p>
      <w:pPr>
        <w:spacing w:after="0" w:line="121" w:lineRule="exact"/>
        <w:rPr>
          <w:rFonts w:ascii="Arial" w:cs="Arial" w:eastAsia="Arial" w:hAnsi="Arial"/>
          <w:sz w:val="18"/>
          <w:szCs w:val="18"/>
          <w:b w:val="1"/>
          <w:bCs w:val="1"/>
          <w:color w:val="auto"/>
        </w:rPr>
      </w:pPr>
    </w:p>
    <w:p>
      <w:pPr>
        <w:ind w:left="-20" w:right="760" w:firstLine="1428"/>
        <w:spacing w:after="0" w:line="263" w:lineRule="auto"/>
        <w:tabs>
          <w:tab w:leader="none" w:pos="1667" w:val="left"/>
        </w:tabs>
        <w:numPr>
          <w:ilvl w:val="1"/>
          <w:numId w:val="259"/>
        </w:numPr>
        <w:rPr>
          <w:rFonts w:ascii="Arial" w:cs="Arial" w:eastAsia="Arial" w:hAnsi="Arial"/>
          <w:sz w:val="18"/>
          <w:szCs w:val="18"/>
          <w:b w:val="1"/>
          <w:bCs w:val="1"/>
          <w:color w:val="auto"/>
        </w:rPr>
      </w:pPr>
      <w:r>
        <w:rPr>
          <w:rFonts w:ascii="Arial" w:cs="Arial" w:eastAsia="Arial" w:hAnsi="Arial"/>
          <w:sz w:val="18"/>
          <w:szCs w:val="18"/>
          <w:color w:val="auto"/>
        </w:rPr>
        <w:t>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75" w:lineRule="exact"/>
        <w:rPr>
          <w:rFonts w:ascii="Arial" w:cs="Arial" w:eastAsia="Arial" w:hAnsi="Arial"/>
          <w:sz w:val="18"/>
          <w:szCs w:val="18"/>
          <w:b w:val="1"/>
          <w:bCs w:val="1"/>
          <w:color w:val="auto"/>
        </w:rPr>
      </w:pPr>
    </w:p>
    <w:p>
      <w:pPr>
        <w:ind w:left="-20" w:right="200" w:firstLine="1428"/>
        <w:spacing w:after="0" w:line="342" w:lineRule="auto"/>
        <w:tabs>
          <w:tab w:leader="none" w:pos="1667" w:val="left"/>
        </w:tabs>
        <w:numPr>
          <w:ilvl w:val="1"/>
          <w:numId w:val="259"/>
        </w:numPr>
        <w:rPr>
          <w:rFonts w:ascii="Arial" w:cs="Arial" w:eastAsia="Arial" w:hAnsi="Arial"/>
          <w:sz w:val="16"/>
          <w:szCs w:val="16"/>
          <w:b w:val="1"/>
          <w:bCs w:val="1"/>
          <w:color w:val="auto"/>
        </w:rPr>
      </w:pPr>
      <w:r>
        <w:rPr>
          <w:rFonts w:ascii="Arial" w:cs="Arial" w:eastAsia="Arial" w:hAnsi="Arial"/>
          <w:sz w:val="16"/>
          <w:szCs w:val="16"/>
          <w:color w:val="auto"/>
        </w:rPr>
        <w:t>The term “expenses”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15" w:lineRule="exact"/>
        <w:rPr>
          <w:rFonts w:ascii="Arial" w:cs="Arial" w:eastAsia="Arial" w:hAnsi="Arial"/>
          <w:sz w:val="16"/>
          <w:szCs w:val="16"/>
          <w:b w:val="1"/>
          <w:bCs w:val="1"/>
          <w:color w:val="auto"/>
        </w:rPr>
      </w:pPr>
    </w:p>
    <w:p>
      <w:pPr>
        <w:ind w:left="-20" w:right="20" w:firstLine="1428"/>
        <w:spacing w:after="0" w:line="293" w:lineRule="auto"/>
        <w:tabs>
          <w:tab w:leader="none" w:pos="1667" w:val="left"/>
        </w:tabs>
        <w:numPr>
          <w:ilvl w:val="1"/>
          <w:numId w:val="259"/>
        </w:numPr>
        <w:rPr>
          <w:rFonts w:ascii="Arial" w:cs="Arial" w:eastAsia="Arial" w:hAnsi="Arial"/>
          <w:sz w:val="16"/>
          <w:szCs w:val="16"/>
          <w:b w:val="1"/>
          <w:bCs w:val="1"/>
          <w:color w:val="auto"/>
        </w:rPr>
      </w:pPr>
      <w:r>
        <w:rPr>
          <w:rFonts w:ascii="Arial" w:cs="Arial" w:eastAsia="Arial" w:hAnsi="Arial"/>
          <w:sz w:val="16"/>
          <w:szCs w:val="16"/>
          <w:color w:val="auto"/>
        </w:rPr>
        <w:t>The term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56" w:lineRule="exact"/>
        <w:rPr>
          <w:rFonts w:ascii="Arial" w:cs="Arial" w:eastAsia="Arial" w:hAnsi="Arial"/>
          <w:sz w:val="16"/>
          <w:szCs w:val="16"/>
          <w:b w:val="1"/>
          <w:bCs w:val="1"/>
          <w:color w:val="auto"/>
        </w:rPr>
      </w:pPr>
    </w:p>
    <w:p>
      <w:pPr>
        <w:ind w:left="-20" w:right="460" w:firstLine="1428"/>
        <w:spacing w:after="0" w:line="263" w:lineRule="auto"/>
        <w:tabs>
          <w:tab w:leader="none" w:pos="1667" w:val="left"/>
        </w:tabs>
        <w:numPr>
          <w:ilvl w:val="1"/>
          <w:numId w:val="259"/>
        </w:numPr>
        <w:rPr>
          <w:rFonts w:ascii="Arial" w:cs="Arial" w:eastAsia="Arial" w:hAnsi="Arial"/>
          <w:sz w:val="18"/>
          <w:szCs w:val="18"/>
          <w:b w:val="1"/>
          <w:bCs w:val="1"/>
          <w:color w:val="auto"/>
        </w:rPr>
      </w:pPr>
      <w:r>
        <w:rPr>
          <w:rFonts w:ascii="Arial" w:cs="Arial" w:eastAsia="Arial" w:hAnsi="Arial"/>
          <w:sz w:val="18"/>
          <w:szCs w:val="18"/>
          <w:color w:val="auto"/>
        </w:rPr>
        <w:t>References to a “director,” “executive officer,” “officer,” “employee,” or “agent”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75" w:lineRule="exact"/>
        <w:rPr>
          <w:rFonts w:ascii="Arial" w:cs="Arial" w:eastAsia="Arial" w:hAnsi="Arial"/>
          <w:sz w:val="18"/>
          <w:szCs w:val="18"/>
          <w:b w:val="1"/>
          <w:bCs w:val="1"/>
          <w:color w:val="auto"/>
        </w:rPr>
      </w:pPr>
    </w:p>
    <w:p>
      <w:pPr>
        <w:ind w:left="-20" w:right="20" w:firstLine="1428"/>
        <w:spacing w:after="0" w:line="255" w:lineRule="auto"/>
        <w:tabs>
          <w:tab w:leader="none" w:pos="1667" w:val="left"/>
        </w:tabs>
        <w:numPr>
          <w:ilvl w:val="1"/>
          <w:numId w:val="259"/>
        </w:numPr>
        <w:rPr>
          <w:rFonts w:ascii="Arial" w:cs="Arial" w:eastAsia="Arial" w:hAnsi="Arial"/>
          <w:sz w:val="18"/>
          <w:szCs w:val="18"/>
          <w:b w:val="1"/>
          <w:bCs w:val="1"/>
          <w:color w:val="auto"/>
        </w:rPr>
      </w:pPr>
      <w:r>
        <w:rPr>
          <w:rFonts w:ascii="Arial" w:cs="Arial" w:eastAsia="Arial" w:hAnsi="Arial"/>
          <w:sz w:val="18"/>
          <w:szCs w:val="18"/>
          <w:color w:val="auto"/>
        </w:rPr>
        <w:t>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60" w:top="270" w:right="459" w:bottom="1440" w:gutter="0" w:footer="0" w:header="0"/>
        </w:sectPr>
      </w:pPr>
    </w:p>
    <w:bookmarkStart w:id="368" w:name="page369"/>
    <w:bookmarkEnd w:id="36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44. Notices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81" w:lineRule="auto"/>
        <w:tabs>
          <w:tab w:leader="none" w:pos="1246" w:val="left"/>
        </w:tabs>
        <w:numPr>
          <w:ilvl w:val="0"/>
          <w:numId w:val="260"/>
        </w:numPr>
        <w:rPr>
          <w:rFonts w:ascii="Arial" w:cs="Arial" w:eastAsia="Arial" w:hAnsi="Arial"/>
          <w:sz w:val="17"/>
          <w:szCs w:val="17"/>
          <w:b w:val="1"/>
          <w:bCs w:val="1"/>
          <w:color w:val="auto"/>
        </w:rPr>
      </w:pPr>
      <w:r>
        <w:rPr>
          <w:rFonts w:ascii="Arial" w:cs="Arial" w:eastAsia="Arial" w:hAnsi="Arial"/>
          <w:sz w:val="17"/>
          <w:szCs w:val="17"/>
          <w:b w:val="1"/>
          <w:bCs w:val="1"/>
          <w:color w:val="auto"/>
        </w:rPr>
        <w:t>Notice to Stockholders</w:t>
      </w:r>
      <w:r>
        <w:rPr>
          <w:rFonts w:ascii="Arial" w:cs="Arial" w:eastAsia="Arial" w:hAnsi="Arial"/>
          <w:sz w:val="17"/>
          <w:szCs w:val="17"/>
          <w:color w:val="auto"/>
        </w:rPr>
        <w:t>. Written notice to stockholders of stockholder meetings shall be given as provided in Section 7 herein.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limiting the manner by which notice may otherwise be given effectively to stockholders under any agreement or contract with such stockholder, and except as otherwise required by law, written notice to stockholders for purposes other than stockholder meetings may be sent by U.S. mail or nationally recognized overnight courier, or by facsimile, telegraph or telex or by electronic mail or other electronic means.</w:t>
      </w:r>
    </w:p>
    <w:p>
      <w:pPr>
        <w:spacing w:after="0" w:line="56" w:lineRule="exact"/>
        <w:rPr>
          <w:rFonts w:ascii="Arial" w:cs="Arial" w:eastAsia="Arial" w:hAnsi="Arial"/>
          <w:sz w:val="17"/>
          <w:szCs w:val="17"/>
          <w:b w:val="1"/>
          <w:bCs w:val="1"/>
          <w:color w:val="auto"/>
        </w:rPr>
      </w:pPr>
    </w:p>
    <w:p>
      <w:pPr>
        <w:ind w:right="60" w:firstLine="987"/>
        <w:spacing w:after="0" w:line="261" w:lineRule="auto"/>
        <w:tabs>
          <w:tab w:leader="none" w:pos="1256"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Notice to Directors</w:t>
      </w:r>
      <w:r>
        <w:rPr>
          <w:rFonts w:ascii="Arial" w:cs="Arial" w:eastAsia="Arial" w:hAnsi="Arial"/>
          <w:sz w:val="18"/>
          <w:szCs w:val="18"/>
          <w:color w:val="auto"/>
        </w:rPr>
        <w:t>. Any notice required to be given to any director may be given by the method stated in subsection (a), as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these Bylaws, or by overnight delivery service, facsimile, telex or telegram, except that such notice other than one which is delivered personally shall be sent to such address as such director shall have filed in writing with the Secretary, or, in the absence of such filing, to the last known post office address of such director.</w:t>
      </w:r>
    </w:p>
    <w:p>
      <w:pPr>
        <w:spacing w:after="0" w:line="71" w:lineRule="exact"/>
        <w:rPr>
          <w:rFonts w:ascii="Arial" w:cs="Arial" w:eastAsia="Arial" w:hAnsi="Arial"/>
          <w:sz w:val="18"/>
          <w:szCs w:val="18"/>
          <w:b w:val="1"/>
          <w:bCs w:val="1"/>
          <w:color w:val="auto"/>
        </w:rPr>
      </w:pPr>
    </w:p>
    <w:p>
      <w:pPr>
        <w:ind w:firstLine="987"/>
        <w:spacing w:after="0" w:line="261" w:lineRule="auto"/>
        <w:tabs>
          <w:tab w:leader="none" w:pos="1236"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Affidavit of Mailing</w:t>
      </w:r>
      <w:r>
        <w:rPr>
          <w:rFonts w:ascii="Arial" w:cs="Arial" w:eastAsia="Arial" w:hAnsi="Arial"/>
          <w:sz w:val="18"/>
          <w:szCs w:val="18"/>
          <w:color w:val="auto"/>
        </w:rPr>
        <w:t>. An affidavit of mailing, executed by a duly authorized and competent employee of the corporation or its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71" w:lineRule="exact"/>
        <w:rPr>
          <w:rFonts w:ascii="Arial" w:cs="Arial" w:eastAsia="Arial" w:hAnsi="Arial"/>
          <w:sz w:val="18"/>
          <w:szCs w:val="18"/>
          <w:b w:val="1"/>
          <w:bCs w:val="1"/>
          <w:color w:val="auto"/>
        </w:rPr>
      </w:pPr>
    </w:p>
    <w:p>
      <w:pPr>
        <w:ind w:right="100" w:firstLine="987"/>
        <w:spacing w:after="0" w:line="266" w:lineRule="auto"/>
        <w:tabs>
          <w:tab w:leader="none" w:pos="1256"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Methods of Notice</w:t>
      </w:r>
      <w:r>
        <w:rPr>
          <w:rFonts w:ascii="Arial" w:cs="Arial" w:eastAsia="Arial" w:hAnsi="Arial"/>
          <w:sz w:val="18"/>
          <w:szCs w:val="18"/>
          <w:color w:val="auto"/>
        </w:rPr>
        <w:t>. It shall not be necessary that the same method of giving notice be employed in respect of all recipients of notice,</w:t>
      </w:r>
      <w:r>
        <w:rPr>
          <w:rFonts w:ascii="Arial" w:cs="Arial" w:eastAsia="Arial" w:hAnsi="Arial"/>
          <w:sz w:val="18"/>
          <w:szCs w:val="18"/>
          <w:b w:val="1"/>
          <w:bCs w:val="1"/>
          <w:color w:val="auto"/>
        </w:rPr>
        <w:t xml:space="preserve"> </w:t>
      </w:r>
      <w:r>
        <w:rPr>
          <w:rFonts w:ascii="Arial" w:cs="Arial" w:eastAsia="Arial" w:hAnsi="Arial"/>
          <w:sz w:val="18"/>
          <w:szCs w:val="18"/>
          <w:color w:val="auto"/>
        </w:rPr>
        <w:t>but one permissible method may be employed in respect of any one or more, and any other permissible method or methods may be employed in respect of any other or others.</w:t>
      </w:r>
    </w:p>
    <w:p>
      <w:pPr>
        <w:spacing w:after="0" w:line="67" w:lineRule="exact"/>
        <w:rPr>
          <w:rFonts w:ascii="Arial" w:cs="Arial" w:eastAsia="Arial" w:hAnsi="Arial"/>
          <w:sz w:val="18"/>
          <w:szCs w:val="18"/>
          <w:b w:val="1"/>
          <w:bCs w:val="1"/>
          <w:color w:val="auto"/>
        </w:rPr>
      </w:pPr>
    </w:p>
    <w:p>
      <w:pPr>
        <w:ind w:firstLine="987"/>
        <w:spacing w:after="0" w:line="273" w:lineRule="auto"/>
        <w:tabs>
          <w:tab w:leader="none" w:pos="1236" w:val="left"/>
        </w:tabs>
        <w:numPr>
          <w:ilvl w:val="0"/>
          <w:numId w:val="260"/>
        </w:numPr>
        <w:rPr>
          <w:rFonts w:ascii="Arial" w:cs="Arial" w:eastAsia="Arial" w:hAnsi="Arial"/>
          <w:sz w:val="17"/>
          <w:szCs w:val="17"/>
          <w:b w:val="1"/>
          <w:bCs w:val="1"/>
          <w:color w:val="auto"/>
        </w:rPr>
      </w:pPr>
      <w:r>
        <w:rPr>
          <w:rFonts w:ascii="Arial" w:cs="Arial" w:eastAsia="Arial" w:hAnsi="Arial"/>
          <w:sz w:val="17"/>
          <w:szCs w:val="17"/>
          <w:b w:val="1"/>
          <w:bCs w:val="1"/>
          <w:color w:val="auto"/>
        </w:rPr>
        <w:t>Notice to Person With Whom Communication Is Unlawful</w:t>
      </w:r>
      <w:r>
        <w:rPr>
          <w:rFonts w:ascii="Arial" w:cs="Arial" w:eastAsia="Arial" w:hAnsi="Arial"/>
          <w:sz w:val="17"/>
          <w:szCs w:val="17"/>
          <w:color w:val="auto"/>
        </w:rPr>
        <w:t>. Whenever notice is required to be given, under any provision of law or</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0" w:right="459" w:bottom="1440" w:gutter="0" w:footer="0" w:header="0"/>
        </w:sectPr>
      </w:pPr>
    </w:p>
    <w:bookmarkStart w:id="369" w:name="page370"/>
    <w:bookmarkEnd w:id="369"/>
    <w:p>
      <w:pPr>
        <w:ind w:right="120" w:firstLine="987"/>
        <w:spacing w:after="0" w:line="277" w:lineRule="auto"/>
        <w:tabs>
          <w:tab w:leader="none" w:pos="1216" w:val="left"/>
        </w:tabs>
        <w:numPr>
          <w:ilvl w:val="0"/>
          <w:numId w:val="261"/>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to Stockholders Sharing an Address</w:t>
      </w:r>
      <w:r>
        <w:rPr>
          <w:rFonts w:ascii="Arial" w:cs="Arial" w:eastAsia="Arial" w:hAnsi="Arial"/>
          <w:sz w:val="17"/>
          <w:szCs w:val="17"/>
          <w:color w:val="auto"/>
        </w:rPr>
        <w:t>. Except as otherwise prohibited under DGCL, any notice given under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DGCL, the Certificate of Incorporation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sixty (60) days of having been given notice by the corporation of its intention to send the single notice. Any consent shall be revocable by the stockholder by written notice to the corporation.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w:t>
      </w:r>
    </w:p>
    <w:p>
      <w:pPr>
        <w:spacing w:after="0" w:line="225" w:lineRule="exact"/>
        <w:rPr>
          <w:sz w:val="20"/>
          <w:szCs w:val="20"/>
          <w:color w:val="auto"/>
        </w:rPr>
      </w:pPr>
    </w:p>
    <w:p>
      <w:pPr>
        <w:ind w:right="80" w:firstLine="440"/>
        <w:spacing w:after="0" w:line="292" w:lineRule="auto"/>
        <w:rPr>
          <w:sz w:val="20"/>
          <w:szCs w:val="20"/>
          <w:color w:val="auto"/>
        </w:rPr>
      </w:pPr>
      <w:r>
        <w:rPr>
          <w:rFonts w:ascii="Arial" w:cs="Arial" w:eastAsia="Arial" w:hAnsi="Arial"/>
          <w:sz w:val="16"/>
          <w:szCs w:val="16"/>
          <w:b w:val="1"/>
          <w:bCs w:val="1"/>
          <w:color w:val="auto"/>
        </w:rPr>
        <w:t>Section 45. Bylaw Amendments</w:t>
      </w:r>
      <w:r>
        <w:rPr>
          <w:rFonts w:ascii="Arial" w:cs="Arial" w:eastAsia="Arial" w:hAnsi="Arial"/>
          <w:sz w:val="16"/>
          <w:szCs w:val="16"/>
          <w:color w:val="auto"/>
        </w:rPr>
        <w:t>. Subject to the limitations set forth in Section 43(h) of these Bylaws or the provisions of the Certificate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Incorporation, the Board of Directors is expressly empowered to adopt, amend or repeal the Bylaws of the corporation. Any adoption, amendment or repeal of the Bylaws of the corporation by the Board of Directors shall require the approval of a majority of the authorized number of directors. The stockholders also shall have power to adopt, amend or repeal the Bylaws of the corporation;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addition to any vote of the holders of any class or series of stock of the corporation required by law or by the Certificate of Incorporation, such action by stockholders shall require the affirmative vote of the holders of at least sixty-six and two-thirds percent (66-2/3%) of the voting power of all of the then-outstanding shares of the capital stock of the corporation entitled to vote generally in the election of directors, voting together as a single class.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LOANS TO OFFICERS OR EMPLOYEES</w:t>
      </w:r>
    </w:p>
    <w:p>
      <w:pPr>
        <w:spacing w:after="0" w:line="22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b w:val="1"/>
          <w:bCs w:val="1"/>
          <w:color w:val="auto"/>
        </w:rPr>
        <w:t>Section 46. Loans to Officers or Employees</w:t>
      </w:r>
      <w:r>
        <w:rPr>
          <w:rFonts w:ascii="Arial" w:cs="Arial" w:eastAsia="Arial" w:hAnsi="Arial"/>
          <w:sz w:val="18"/>
          <w:szCs w:val="18"/>
          <w:color w:val="auto"/>
        </w:rPr>
        <w:t>. Except as otherwise prohibited by applicable law, including the Sarbanes-Oxley Act of 2002,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may lend money to, or guarantee any 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0" w:right="459" w:bottom="1440" w:gutter="0" w:footer="0" w:header="0"/>
        </w:sectPr>
      </w:pPr>
    </w:p>
    <w:bookmarkStart w:id="370" w:name="page371"/>
    <w:bookmarkEnd w:id="370"/>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165860" cy="3771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1">
                      <a:extLst>
                        <a:ext uri="{28A0092B-C50C-407E-A947-70E740481C1C}"/>
                      </a:extLst>
                    </a:blip>
                    <a:srcRect/>
                    <a:stretch>
                      <a:fillRect/>
                    </a:stretch>
                  </pic:blipFill>
                  <pic:spPr bwMode="auto">
                    <a:xfrm>
                      <a:off x="0" y="0"/>
                      <a:ext cx="116586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Divakar Gupta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+1 212 479 6474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dgupta@cooley.com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2,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Adagio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303 Wyman Street,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Waltham, MA 02451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have acted as counsel to Adagio Therapeutics,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filing by the Company of a Registration Statement (No. 333-257975) on Form S-1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with the Securities and Exchange Commission, including a related prospectus filed with the Registration Statement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covering an underwritten public offering of up to 20,355,000 shares of the Company’s common stock, par value $0.0001 per share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(including up to 2,655,000 Shares that may be sold by the Company upon exercise of an option to purchase additional shares to be granted to the underwriters).</w:t>
      </w:r>
    </w:p>
    <w:p>
      <w:pPr>
        <w:spacing w:after="0" w:line="188"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In connection with this opinion, we have (i) examined and relied upon (a) the Registration Statement and the Prospectus, (b) the Company’s Amended and Restated Certificate of Incorporation, as amended, and Amended and Restated Bylaws, each as currently in effect, (c) the forms of the Company’s Amended and Restated Certificate of Incorporation and Amended and Restated Bylaws, filed as Exhibits 3.3 and 3.4, to the Registration Statement, respectively, each of which is to be in effect in connection with the closing of the offering contemplated by the Registration Statement and (d) originals or copies certified to our satisfaction of such records, documents, certificates, memoranda and other instruments as in our judgment are necessary or appropriate to enable us to render the opinion expressed below and (ii) assumed that the Shares will be sold at a price established by the Board of Directors of the Company or a duly authorized committee thereof.</w:t>
      </w:r>
    </w:p>
    <w:p>
      <w:pPr>
        <w:spacing w:after="0" w:line="17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have assumed the genuineness of all signatures, the authenticity of all documents submitted to us as originals, the conformity to originals of all documents submitted to us as copies, the accuracy, completeness and authenticity of the certificates of public officials and the due authorization, execution and delivery of all documents by all persons other than by the Company where due authorization, execution and delivery are prerequisites to the effectiveness thereof. As to certain factual matters, we have relied upon a certificate of an officer of the Company and have not independently verified such matters.</w:t>
      </w:r>
    </w:p>
    <w:p>
      <w:pPr>
        <w:spacing w:after="0" w:line="18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the basis of the foregoing, and in reliance thereon, we are of the opinion that the Shares, when sold and issued against payment therefor as described in the Registration Statement and the Prospectus, will be validly issued, fully paid and non-assessable.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Cooley LLP 55 Hudson Yards New York, NY 10001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 (212) 479-6000 f: (212) 479-6275 cooley.com</w:t>
      </w:r>
    </w:p>
    <w:p>
      <w:pPr>
        <w:sectPr>
          <w:pgSz w:w="11900" w:h="16838" w:orient="portrait"/>
          <w:cols w:equalWidth="0" w:num="1">
            <w:col w:w="11020"/>
          </w:cols>
          <w:pgMar w:left="440" w:top="121" w:right="439" w:bottom="1440" w:gutter="0" w:footer="0" w:header="0"/>
        </w:sectPr>
      </w:pPr>
    </w:p>
    <w:bookmarkStart w:id="371" w:name="page372"/>
    <w:bookmarkEnd w:id="3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August 2,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consent to the reference to our firm under the caption “Legal Matters” in the Prospectus included in the Registration Statement and to the filing of this opinion as an exhibit to the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Divakar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Divakar Gupta</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Cooley LLP 55 Hudson Yards New York, NY 10001</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 (212) 479-6000 f: (212) 479-6275 cooley.com</w:t>
      </w:r>
    </w:p>
    <w:p>
      <w:pPr>
        <w:sectPr>
          <w:pgSz w:w="11900" w:h="16838" w:orient="portrait"/>
          <w:cols w:equalWidth="0" w:num="1">
            <w:col w:w="10780"/>
          </w:cols>
          <w:pgMar w:left="440" w:top="274" w:right="679" w:bottom="1440" w:gutter="0" w:footer="0" w:header="0"/>
        </w:sectPr>
      </w:pPr>
    </w:p>
    <w:bookmarkStart w:id="372" w:name="page373"/>
    <w:bookmarkEnd w:id="372"/>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ind w:left="4364"/>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DAGIO</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ind w:left="4304"/>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31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DOPTED BY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J</w:t>
      </w:r>
      <w:r>
        <w:rPr>
          <w:rFonts w:ascii="Arial" w:cs="Arial" w:eastAsia="Arial" w:hAnsi="Arial"/>
          <w:sz w:val="14"/>
          <w:szCs w:val="14"/>
          <w:b w:val="1"/>
          <w:bCs w:val="1"/>
          <w:color w:val="auto"/>
        </w:rPr>
        <w:t>ULY</w:t>
      </w:r>
      <w:r>
        <w:rPr>
          <w:rFonts w:ascii="Arial" w:cs="Arial" w:eastAsia="Arial" w:hAnsi="Arial"/>
          <w:sz w:val="18"/>
          <w:szCs w:val="18"/>
          <w:b w:val="1"/>
          <w:bCs w:val="1"/>
          <w:color w:val="auto"/>
        </w:rPr>
        <w:t xml:space="preserve"> 27, 2021</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PPROVED BY THE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18"/>
          <w:szCs w:val="18"/>
          <w:b w:val="1"/>
          <w:bCs w:val="1"/>
          <w:color w:val="auto"/>
        </w:rPr>
        <w:t>: J</w:t>
      </w:r>
      <w:r>
        <w:rPr>
          <w:rFonts w:ascii="Arial" w:cs="Arial" w:eastAsia="Arial" w:hAnsi="Arial"/>
          <w:sz w:val="14"/>
          <w:szCs w:val="14"/>
          <w:b w:val="1"/>
          <w:bCs w:val="1"/>
          <w:color w:val="auto"/>
        </w:rPr>
        <w:t>ULY</w:t>
      </w:r>
      <w:r>
        <w:rPr>
          <w:rFonts w:ascii="Arial" w:cs="Arial" w:eastAsia="Arial" w:hAnsi="Arial"/>
          <w:sz w:val="18"/>
          <w:szCs w:val="18"/>
          <w:b w:val="1"/>
          <w:bCs w:val="1"/>
          <w:color w:val="auto"/>
        </w:rPr>
        <w:t xml:space="preserve"> 29, 2021</w:t>
      </w:r>
    </w:p>
    <w:p>
      <w:pPr>
        <w:spacing w:after="0" w:line="234" w:lineRule="exact"/>
        <w:rPr>
          <w:sz w:val="20"/>
          <w:szCs w:val="20"/>
          <w:color w:val="auto"/>
        </w:rPr>
      </w:pPr>
    </w:p>
    <w:p>
      <w:pPr>
        <w:ind w:left="424" w:hanging="424"/>
        <w:spacing w:after="0"/>
        <w:tabs>
          <w:tab w:leader="none" w:pos="424"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60" w:firstLine="436"/>
        <w:spacing w:after="0" w:line="277" w:lineRule="auto"/>
        <w:tabs>
          <w:tab w:leader="none" w:pos="699" w:val="left"/>
        </w:tabs>
        <w:numPr>
          <w:ilvl w:val="1"/>
          <w:numId w:val="262"/>
        </w:numPr>
        <w:rPr>
          <w:rFonts w:ascii="Arial" w:cs="Arial" w:eastAsia="Arial" w:hAnsi="Arial"/>
          <w:sz w:val="17"/>
          <w:szCs w:val="17"/>
          <w:b w:val="1"/>
          <w:bCs w:val="1"/>
          <w:color w:val="auto"/>
        </w:rPr>
      </w:pPr>
      <w:r>
        <w:rPr>
          <w:rFonts w:ascii="Arial" w:cs="Arial" w:eastAsia="Arial" w:hAnsi="Arial"/>
          <w:sz w:val="17"/>
          <w:szCs w:val="17"/>
          <w:b w:val="1"/>
          <w:bCs w:val="1"/>
          <w:color w:val="auto"/>
        </w:rPr>
        <w:t>Successor to and Continuation of Prior Plan</w:t>
      </w:r>
      <w:r>
        <w:rPr>
          <w:rFonts w:ascii="Arial" w:cs="Arial" w:eastAsia="Arial" w:hAnsi="Arial"/>
          <w:sz w:val="17"/>
          <w:szCs w:val="17"/>
          <w:color w:val="auto"/>
        </w:rPr>
        <w:t>. The Plan is the successor to and continuation of the Prior Plan. As of the Effective Date, (i) no</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additional awards may be granted under the Prior Plan; (ii) the Prior Plan’s Available Reserve plus any Returning Shares will become available for issuance pursuant to Awards granted under this Plan; and (iii) all outstanding awards granted under the Prior Plan will remain subject to the terms of the Prior Plan (except to the extent such outstanding awards result in Returning Shares that become available for issuance pursuant to Awards granted under this Plan). All Awards granted under this Plan will be subject to the terms of this Plan.</w:t>
      </w:r>
    </w:p>
    <w:p>
      <w:pPr>
        <w:spacing w:after="0" w:line="59" w:lineRule="exact"/>
        <w:rPr>
          <w:rFonts w:ascii="Arial" w:cs="Arial" w:eastAsia="Arial" w:hAnsi="Arial"/>
          <w:sz w:val="17"/>
          <w:szCs w:val="17"/>
          <w:b w:val="1"/>
          <w:bCs w:val="1"/>
          <w:color w:val="auto"/>
        </w:rPr>
      </w:pPr>
    </w:p>
    <w:p>
      <w:pPr>
        <w:ind w:left="4" w:right="240" w:firstLine="436"/>
        <w:spacing w:after="0" w:line="314" w:lineRule="auto"/>
        <w:tabs>
          <w:tab w:leader="none" w:pos="709" w:val="left"/>
        </w:tabs>
        <w:numPr>
          <w:ilvl w:val="1"/>
          <w:numId w:val="26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Purpose. </w:t>
      </w:r>
      <w:r>
        <w:rPr>
          <w:rFonts w:ascii="Arial" w:cs="Arial" w:eastAsia="Arial" w:hAnsi="Arial"/>
          <w:sz w:val="16"/>
          <w:szCs w:val="16"/>
          <w:color w:val="auto"/>
        </w:rPr>
        <w:t>The Company, by means of the Plan, seeks to secure and retain the services of Employees, Directors and Consultants, to</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33" w:lineRule="exact"/>
        <w:rPr>
          <w:rFonts w:ascii="Arial" w:cs="Arial" w:eastAsia="Arial" w:hAnsi="Arial"/>
          <w:sz w:val="16"/>
          <w:szCs w:val="16"/>
          <w:b w:val="1"/>
          <w:bCs w:val="1"/>
          <w:color w:val="auto"/>
        </w:rPr>
      </w:pPr>
    </w:p>
    <w:p>
      <w:pPr>
        <w:ind w:left="684" w:hanging="244"/>
        <w:spacing w:after="0"/>
        <w:tabs>
          <w:tab w:leader="none" w:pos="684" w:val="left"/>
        </w:tabs>
        <w:numPr>
          <w:ilvl w:val="1"/>
          <w:numId w:val="26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Available Awards. </w:t>
      </w:r>
      <w:r>
        <w:rPr>
          <w:rFonts w:ascii="Arial" w:cs="Arial" w:eastAsia="Arial" w:hAnsi="Arial"/>
          <w:sz w:val="17"/>
          <w:szCs w:val="17"/>
          <w:color w:val="auto"/>
        </w:rPr>
        <w:t>The Plan provides for the grant of the following Awards: (i) Incentive Stock Options; (ii) Nonstatutory Stock Options;</w:t>
      </w:r>
    </w:p>
    <w:p>
      <w:pPr>
        <w:spacing w:after="0" w:line="39" w:lineRule="exact"/>
        <w:rPr>
          <w:sz w:val="20"/>
          <w:szCs w:val="20"/>
          <w:color w:val="auto"/>
        </w:rPr>
      </w:pPr>
    </w:p>
    <w:p>
      <w:pPr>
        <w:ind w:left="324" w:hanging="324"/>
        <w:spacing w:after="0"/>
        <w:tabs>
          <w:tab w:leader="none" w:pos="324" w:val="left"/>
        </w:tabs>
        <w:numPr>
          <w:ilvl w:val="0"/>
          <w:numId w:val="263"/>
        </w:numPr>
        <w:rPr>
          <w:rFonts w:ascii="Arial" w:cs="Arial" w:eastAsia="Arial" w:hAnsi="Arial"/>
          <w:sz w:val="18"/>
          <w:szCs w:val="18"/>
          <w:color w:val="auto"/>
        </w:rPr>
      </w:pPr>
      <w:r>
        <w:rPr>
          <w:rFonts w:ascii="Arial" w:cs="Arial" w:eastAsia="Arial" w:hAnsi="Arial"/>
          <w:sz w:val="18"/>
          <w:szCs w:val="18"/>
          <w:color w:val="auto"/>
        </w:rPr>
        <w:t>SARs; (iv) Restricted Stock Awards; (v) RSU Awards; (vi) Performance Awards; and (vii) Other Awards.</w:t>
      </w:r>
    </w:p>
    <w:p>
      <w:pPr>
        <w:spacing w:after="0" w:line="98" w:lineRule="exact"/>
        <w:rPr>
          <w:rFonts w:ascii="Arial" w:cs="Arial" w:eastAsia="Arial" w:hAnsi="Arial"/>
          <w:sz w:val="18"/>
          <w:szCs w:val="18"/>
          <w:color w:val="auto"/>
        </w:rPr>
      </w:pPr>
    </w:p>
    <w:p>
      <w:pPr>
        <w:ind w:left="704" w:hanging="264"/>
        <w:spacing w:after="0"/>
        <w:tabs>
          <w:tab w:leader="none" w:pos="704" w:val="left"/>
        </w:tabs>
        <w:numPr>
          <w:ilvl w:val="1"/>
          <w:numId w:val="26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Adoption Date; Effective Date. </w:t>
      </w:r>
      <w:r>
        <w:rPr>
          <w:rFonts w:ascii="Arial" w:cs="Arial" w:eastAsia="Arial" w:hAnsi="Arial"/>
          <w:sz w:val="16"/>
          <w:szCs w:val="16"/>
          <w:color w:val="auto"/>
        </w:rPr>
        <w:t>The Plan will come into existence on the Adoption Date, but no Award may be granted prior to the Effective</w:t>
      </w:r>
    </w:p>
    <w:p>
      <w:pPr>
        <w:spacing w:after="0" w:line="50"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8"/>
          <w:szCs w:val="18"/>
          <w:color w:val="auto"/>
        </w:rPr>
        <w:t>Date.</w:t>
      </w:r>
    </w:p>
    <w:p>
      <w:pPr>
        <w:spacing w:after="0" w:line="234" w:lineRule="exact"/>
        <w:rPr>
          <w:sz w:val="20"/>
          <w:szCs w:val="20"/>
          <w:color w:val="auto"/>
        </w:rPr>
      </w:pPr>
    </w:p>
    <w:p>
      <w:pPr>
        <w:ind w:left="424" w:hanging="424"/>
        <w:spacing w:after="0"/>
        <w:tabs>
          <w:tab w:leader="none" w:pos="424"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HARES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140" w:firstLine="436"/>
        <w:spacing w:after="0" w:line="285" w:lineRule="auto"/>
        <w:tabs>
          <w:tab w:leader="none" w:pos="699" w:val="left"/>
        </w:tabs>
        <w:numPr>
          <w:ilvl w:val="1"/>
          <w:numId w:val="2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 Reserve. </w:t>
      </w:r>
      <w:r>
        <w:rPr>
          <w:rFonts w:ascii="Arial" w:cs="Arial" w:eastAsia="Arial" w:hAnsi="Arial"/>
          <w:sz w:val="16"/>
          <w:szCs w:val="16"/>
          <w:color w:val="auto"/>
        </w:rPr>
        <w:t>Subject to adjustment in accordance with Section 2(c) and any adjustments as necessary to implement any Capitalization</w:t>
      </w:r>
      <w:r>
        <w:rPr>
          <w:rFonts w:ascii="Arial" w:cs="Arial" w:eastAsia="Arial" w:hAnsi="Arial"/>
          <w:sz w:val="16"/>
          <w:szCs w:val="16"/>
          <w:b w:val="1"/>
          <w:bCs w:val="1"/>
          <w:color w:val="auto"/>
        </w:rPr>
        <w:t xml:space="preserve"> </w:t>
      </w:r>
      <w:r>
        <w:rPr>
          <w:rFonts w:ascii="Arial" w:cs="Arial" w:eastAsia="Arial" w:hAnsi="Arial"/>
          <w:sz w:val="16"/>
          <w:szCs w:val="16"/>
          <w:color w:val="auto"/>
        </w:rPr>
        <w:t>Adjustments, the aggregate number of shares of Common Stock that may be issued pursuant to Awards will not exceed 35,075,122 shares (the “</w:t>
      </w:r>
      <w:r>
        <w:rPr>
          <w:rFonts w:ascii="Arial" w:cs="Arial" w:eastAsia="Arial" w:hAnsi="Arial"/>
          <w:sz w:val="16"/>
          <w:szCs w:val="16"/>
          <w:b w:val="1"/>
          <w:bCs w:val="1"/>
          <w:i w:val="1"/>
          <w:iCs w:val="1"/>
          <w:color w:val="auto"/>
        </w:rPr>
        <w:t>Initial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Reserve</w:t>
      </w:r>
      <w:r>
        <w:rPr>
          <w:rFonts w:ascii="Arial" w:cs="Arial" w:eastAsia="Arial" w:hAnsi="Arial"/>
          <w:sz w:val="16"/>
          <w:szCs w:val="16"/>
          <w:color w:val="auto"/>
        </w:rPr>
        <w:t>”), which is the sum of: (i) 11,413,572 new shares, plus (ii) the number of shares of Common Stock (not to exceed 23,661,550 shares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which represents (A) the Prior Plan’s Available Reserve plus (B) the number of Returning Shares, if any, as such shares become available from time to time. In addition, subject to any adjustments as necessary to implement any Capitalization Adjustments, such aggregate number of shares of Common Stock will automatically increase on January 1 of each year for a period of ten years commencing on January 1, 2022 and ending on (and including) January 1, 2031, in an amount equal to five percent (5%) of the total number of shares of Common Stock outstanding on December</w:t>
      </w:r>
    </w:p>
    <w:p>
      <w:pPr>
        <w:ind w:left="4" w:right="60" w:hanging="4"/>
        <w:spacing w:after="0" w:line="260" w:lineRule="auto"/>
        <w:tabs>
          <w:tab w:leader="none" w:pos="229" w:val="left"/>
        </w:tabs>
        <w:numPr>
          <w:ilvl w:val="0"/>
          <w:numId w:val="265"/>
        </w:numPr>
        <w:rPr>
          <w:rFonts w:ascii="Arial" w:cs="Arial" w:eastAsia="Arial" w:hAnsi="Arial"/>
          <w:sz w:val="18"/>
          <w:szCs w:val="18"/>
          <w:color w:val="auto"/>
        </w:rPr>
      </w:pPr>
      <w:r>
        <w:rPr>
          <w:rFonts w:ascii="Arial" w:cs="Arial" w:eastAsia="Arial" w:hAnsi="Arial"/>
          <w:sz w:val="18"/>
          <w:szCs w:val="18"/>
          <w:color w:val="auto"/>
        </w:rPr>
        <w:t>of the preceding year; provided, however, that the Board may act prior to January 1</w:t>
      </w:r>
      <w:r>
        <w:rPr>
          <w:rFonts w:ascii="Arial" w:cs="Arial" w:eastAsia="Arial" w:hAnsi="Arial"/>
          <w:sz w:val="15"/>
          <w:szCs w:val="15"/>
          <w:color w:val="auto"/>
        </w:rPr>
        <w:t>st</w:t>
      </w:r>
      <w:r>
        <w:rPr>
          <w:rFonts w:ascii="Arial" w:cs="Arial" w:eastAsia="Arial" w:hAnsi="Arial"/>
          <w:sz w:val="18"/>
          <w:szCs w:val="18"/>
          <w:color w:val="auto"/>
        </w:rPr>
        <w:t xml:space="preserve"> of a given year to provide that the increase for such year will be a lesser number of shares of Common Stock (such increase, the “</w:t>
      </w:r>
      <w:r>
        <w:rPr>
          <w:rFonts w:ascii="Arial" w:cs="Arial" w:eastAsia="Arial" w:hAnsi="Arial"/>
          <w:sz w:val="18"/>
          <w:szCs w:val="18"/>
          <w:b w:val="1"/>
          <w:bCs w:val="1"/>
          <w:i w:val="1"/>
          <w:iCs w:val="1"/>
          <w:color w:val="auto"/>
        </w:rPr>
        <w:t>Annual Increase</w:t>
      </w:r>
      <w:r>
        <w:rPr>
          <w:rFonts w:ascii="Arial" w:cs="Arial" w:eastAsia="Arial" w:hAnsi="Arial"/>
          <w:sz w:val="18"/>
          <w:szCs w:val="18"/>
          <w:color w:val="auto"/>
        </w:rPr>
        <w:t>”).</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373" w:name="page374"/>
    <w:bookmarkEnd w:id="373"/>
    <w:p>
      <w:pPr>
        <w:ind w:left="4" w:firstLine="436"/>
        <w:spacing w:after="0" w:line="261" w:lineRule="auto"/>
        <w:tabs>
          <w:tab w:leader="none" w:pos="709" w:val="left"/>
        </w:tabs>
        <w:numPr>
          <w:ilvl w:val="1"/>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Aggregate Incentive Stock Option Limit. </w:t>
      </w:r>
      <w:r>
        <w:rPr>
          <w:rFonts w:ascii="Arial" w:cs="Arial" w:eastAsia="Arial" w:hAnsi="Arial"/>
          <w:sz w:val="18"/>
          <w:szCs w:val="18"/>
          <w:color w:val="auto"/>
        </w:rPr>
        <w:t>Notwithstanding anything to the contrary in Section 2(a) and subject to any adjustments as</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to implement any Capitalization Adjustments, the aggregate maximum number of shares of Common Stock that may be issued pursuant to the exercise of Incentive Stock Options shall not exceed the Initial Reserve cumulatively increased on January 1, 2022 and each January 1</w:t>
      </w:r>
      <w:r>
        <w:rPr>
          <w:rFonts w:ascii="Arial" w:cs="Arial" w:eastAsia="Arial" w:hAnsi="Arial"/>
          <w:sz w:val="15"/>
          <w:szCs w:val="15"/>
          <w:color w:val="auto"/>
        </w:rPr>
        <w:t>st</w:t>
      </w:r>
      <w:r>
        <w:rPr>
          <w:rFonts w:ascii="Arial" w:cs="Arial" w:eastAsia="Arial" w:hAnsi="Arial"/>
          <w:sz w:val="18"/>
          <w:szCs w:val="18"/>
          <w:color w:val="auto"/>
        </w:rPr>
        <w:t xml:space="preserve"> thereafter by the lesser of (i) the Annual Increase for such year or (ii) 23,827,144 shares of Common Stock.</w:t>
      </w:r>
    </w:p>
    <w:p>
      <w:pPr>
        <w:spacing w:after="0" w:line="71" w:lineRule="exact"/>
        <w:rPr>
          <w:rFonts w:ascii="Arial" w:cs="Arial" w:eastAsia="Arial" w:hAnsi="Arial"/>
          <w:sz w:val="18"/>
          <w:szCs w:val="18"/>
          <w:b w:val="1"/>
          <w:bCs w:val="1"/>
          <w:color w:val="auto"/>
        </w:rPr>
      </w:pPr>
    </w:p>
    <w:p>
      <w:pPr>
        <w:ind w:left="684" w:hanging="244"/>
        <w:spacing w:after="0"/>
        <w:tabs>
          <w:tab w:leader="none" w:pos="684" w:val="left"/>
        </w:tabs>
        <w:numPr>
          <w:ilvl w:val="1"/>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Share Reserve Operation.</w:t>
      </w:r>
    </w:p>
    <w:p>
      <w:pPr>
        <w:spacing w:after="0" w:line="117" w:lineRule="exact"/>
        <w:rPr>
          <w:rFonts w:ascii="Arial" w:cs="Arial" w:eastAsia="Arial" w:hAnsi="Arial"/>
          <w:sz w:val="18"/>
          <w:szCs w:val="18"/>
          <w:b w:val="1"/>
          <w:bCs w:val="1"/>
          <w:color w:val="auto"/>
        </w:rPr>
      </w:pPr>
    </w:p>
    <w:p>
      <w:pPr>
        <w:ind w:left="4" w:right="340" w:firstLine="987"/>
        <w:spacing w:after="0" w:line="256" w:lineRule="auto"/>
        <w:tabs>
          <w:tab w:leader="none" w:pos="1210" w:val="left"/>
        </w:tabs>
        <w:numPr>
          <w:ilvl w:val="2"/>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 Applies to Common Stock Issued Pursuant to Awards. </w:t>
      </w:r>
      <w:r>
        <w:rPr>
          <w:rFonts w:ascii="Arial" w:cs="Arial" w:eastAsia="Arial" w:hAnsi="Arial"/>
          <w:sz w:val="18"/>
          <w:szCs w:val="18"/>
          <w:color w:val="auto"/>
        </w:rPr>
        <w:t>For clarity, the Share Reserve is a limit on the number of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spacing w:after="0" w:line="79" w:lineRule="exact"/>
        <w:rPr>
          <w:rFonts w:ascii="Arial" w:cs="Arial" w:eastAsia="Arial" w:hAnsi="Arial"/>
          <w:sz w:val="18"/>
          <w:szCs w:val="18"/>
          <w:b w:val="1"/>
          <w:bCs w:val="1"/>
          <w:color w:val="auto"/>
        </w:rPr>
      </w:pPr>
    </w:p>
    <w:p>
      <w:pPr>
        <w:ind w:left="4" w:right="20" w:firstLine="987"/>
        <w:spacing w:after="0" w:line="294" w:lineRule="auto"/>
        <w:tabs>
          <w:tab w:leader="none" w:pos="1260" w:val="left"/>
        </w:tabs>
        <w:numPr>
          <w:ilvl w:val="2"/>
          <w:numId w:val="2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Actions that Do Not Constitute Issuance of Common Stock and Do Not Reduce Share Reserve. </w:t>
      </w:r>
      <w:r>
        <w:rPr>
          <w:rFonts w:ascii="Arial" w:cs="Arial" w:eastAsia="Arial" w:hAnsi="Arial"/>
          <w:sz w:val="16"/>
          <w:szCs w:val="16"/>
          <w:color w:val="auto"/>
        </w:rPr>
        <w:t>The following actions do not</w:t>
      </w:r>
      <w:r>
        <w:rPr>
          <w:rFonts w:ascii="Arial" w:cs="Arial" w:eastAsia="Arial" w:hAnsi="Arial"/>
          <w:sz w:val="16"/>
          <w:szCs w:val="16"/>
          <w:b w:val="1"/>
          <w:bCs w:val="1"/>
          <w:color w:val="auto"/>
        </w:rPr>
        <w:t xml:space="preserve"> </w:t>
      </w:r>
      <w:r>
        <w:rPr>
          <w:rFonts w:ascii="Arial" w:cs="Arial" w:eastAsia="Arial" w:hAnsi="Arial"/>
          <w:sz w:val="16"/>
          <w:szCs w:val="16"/>
          <w:color w:val="auto"/>
        </w:rPr>
        <w:t>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Arial" w:cs="Arial" w:eastAsia="Arial" w:hAnsi="Arial"/>
          <w:sz w:val="16"/>
          <w:szCs w:val="16"/>
          <w:i w:val="1"/>
          <w:iCs w:val="1"/>
          <w:color w:val="auto"/>
        </w:rPr>
        <w:t>i.e.</w:t>
      </w:r>
      <w:r>
        <w:rPr>
          <w:rFonts w:ascii="Arial" w:cs="Arial" w:eastAsia="Arial" w:hAnsi="Arial"/>
          <w:sz w:val="16"/>
          <w:szCs w:val="16"/>
          <w:color w:val="auto"/>
        </w:rPr>
        <w:t>,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spacing w:after="0" w:line="51" w:lineRule="exact"/>
        <w:rPr>
          <w:rFonts w:ascii="Arial" w:cs="Arial" w:eastAsia="Arial" w:hAnsi="Arial"/>
          <w:sz w:val="16"/>
          <w:szCs w:val="16"/>
          <w:b w:val="1"/>
          <w:bCs w:val="1"/>
          <w:color w:val="auto"/>
        </w:rPr>
      </w:pPr>
    </w:p>
    <w:p>
      <w:pPr>
        <w:ind w:left="4" w:right="20" w:firstLine="987"/>
        <w:spacing w:after="0" w:line="298" w:lineRule="auto"/>
        <w:tabs>
          <w:tab w:leader="none" w:pos="1310" w:val="left"/>
        </w:tabs>
        <w:numPr>
          <w:ilvl w:val="2"/>
          <w:numId w:val="2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Reversion of Previously Issued Shares of Common Stock to Share Reserve. </w:t>
      </w:r>
      <w:r>
        <w:rPr>
          <w:rFonts w:ascii="Arial" w:cs="Arial" w:eastAsia="Arial" w:hAnsi="Arial"/>
          <w:sz w:val="16"/>
          <w:szCs w:val="16"/>
          <w:color w:val="auto"/>
        </w:rPr>
        <w:t>The following shares of Common Stock previously</w:t>
      </w:r>
      <w:r>
        <w:rPr>
          <w:rFonts w:ascii="Arial" w:cs="Arial" w:eastAsia="Arial" w:hAnsi="Arial"/>
          <w:sz w:val="16"/>
          <w:szCs w:val="16"/>
          <w:b w:val="1"/>
          <w:bCs w:val="1"/>
          <w:color w:val="auto"/>
        </w:rPr>
        <w:t xml:space="preserve"> </w:t>
      </w:r>
      <w:r>
        <w:rPr>
          <w:rFonts w:ascii="Arial" w:cs="Arial" w:eastAsia="Arial" w:hAnsi="Arial"/>
          <w:sz w:val="16"/>
          <w:szCs w:val="16"/>
          <w:color w:val="auto"/>
        </w:rPr>
        <w:t>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w:t>
      </w:r>
    </w:p>
    <w:p>
      <w:pPr>
        <w:spacing w:after="0" w:line="180" w:lineRule="exact"/>
        <w:rPr>
          <w:rFonts w:ascii="Arial" w:cs="Arial" w:eastAsia="Arial" w:hAnsi="Arial"/>
          <w:sz w:val="16"/>
          <w:szCs w:val="16"/>
          <w:b w:val="1"/>
          <w:bCs w:val="1"/>
          <w:color w:val="auto"/>
        </w:rPr>
      </w:pPr>
    </w:p>
    <w:p>
      <w:pPr>
        <w:ind w:left="424" w:hanging="424"/>
        <w:spacing w:after="0"/>
        <w:tabs>
          <w:tab w:leader="none" w:pos="424"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LIGIBILITY AND</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IMITATIONS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704" w:hanging="264"/>
        <w:spacing w:after="0"/>
        <w:tabs>
          <w:tab w:leader="none" w:pos="704" w:val="left"/>
        </w:tabs>
        <w:numPr>
          <w:ilvl w:val="1"/>
          <w:numId w:val="26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Eligible Award Recipients. </w:t>
      </w:r>
      <w:r>
        <w:rPr>
          <w:rFonts w:ascii="Arial" w:cs="Arial" w:eastAsia="Arial" w:hAnsi="Arial"/>
          <w:sz w:val="17"/>
          <w:szCs w:val="17"/>
          <w:color w:val="auto"/>
        </w:rPr>
        <w:t>Subject to the terms of the Plan, Employees, Directors and Consultants are eligible to receive Awards.</w:t>
      </w:r>
    </w:p>
    <w:p>
      <w:pPr>
        <w:spacing w:after="0" w:line="128" w:lineRule="exact"/>
        <w:rPr>
          <w:rFonts w:ascii="Arial" w:cs="Arial" w:eastAsia="Arial" w:hAnsi="Arial"/>
          <w:sz w:val="17"/>
          <w:szCs w:val="17"/>
          <w:b w:val="1"/>
          <w:bCs w:val="1"/>
          <w:color w:val="auto"/>
        </w:rPr>
      </w:pPr>
    </w:p>
    <w:p>
      <w:pPr>
        <w:ind w:left="704" w:hanging="264"/>
        <w:spacing w:after="0"/>
        <w:tabs>
          <w:tab w:leader="none" w:pos="704" w:val="left"/>
        </w:tabs>
        <w:numPr>
          <w:ilvl w:val="1"/>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Specific Award Limitations.</w:t>
      </w:r>
    </w:p>
    <w:p>
      <w:pPr>
        <w:spacing w:after="0" w:line="117" w:lineRule="exact"/>
        <w:rPr>
          <w:rFonts w:ascii="Arial" w:cs="Arial" w:eastAsia="Arial" w:hAnsi="Arial"/>
          <w:sz w:val="18"/>
          <w:szCs w:val="18"/>
          <w:b w:val="1"/>
          <w:bCs w:val="1"/>
          <w:color w:val="auto"/>
        </w:rPr>
      </w:pPr>
    </w:p>
    <w:p>
      <w:pPr>
        <w:ind w:left="4" w:right="120" w:firstLine="987"/>
        <w:spacing w:after="0" w:line="282" w:lineRule="auto"/>
        <w:tabs>
          <w:tab w:leader="none" w:pos="1210" w:val="left"/>
        </w:tabs>
        <w:numPr>
          <w:ilvl w:val="2"/>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Limitations on Incentive Stock Option Recipients. </w:t>
      </w:r>
      <w:r>
        <w:rPr>
          <w:rFonts w:ascii="Arial" w:cs="Arial" w:eastAsia="Arial" w:hAnsi="Arial"/>
          <w:sz w:val="18"/>
          <w:szCs w:val="18"/>
          <w:color w:val="auto"/>
        </w:rPr>
        <w:t>Incentive Stock Options may be granted only to Employees of the Company or a</w:t>
      </w:r>
      <w:r>
        <w:rPr>
          <w:rFonts w:ascii="Arial" w:cs="Arial" w:eastAsia="Arial" w:hAnsi="Arial"/>
          <w:sz w:val="18"/>
          <w:szCs w:val="18"/>
          <w:b w:val="1"/>
          <w:bCs w:val="1"/>
          <w:color w:val="auto"/>
        </w:rPr>
        <w:t xml:space="preserve"> </w:t>
      </w:r>
      <w:r>
        <w:rPr>
          <w:rFonts w:ascii="Arial" w:cs="Arial" w:eastAsia="Arial" w:hAnsi="Arial"/>
          <w:sz w:val="18"/>
          <w:szCs w:val="18"/>
          <w:color w:val="auto"/>
        </w:rPr>
        <w:t>“parent corporation” or “subsidiary corporation” thereof (as such terms are defined in Sections 424(e) and (f) of the Code).</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0" w:right="459" w:bottom="1440" w:gutter="0" w:footer="0" w:header="0"/>
        </w:sectPr>
      </w:pPr>
    </w:p>
    <w:bookmarkStart w:id="374" w:name="page375"/>
    <w:bookmarkEnd w:id="374"/>
    <w:p>
      <w:pPr>
        <w:ind w:left="4" w:firstLine="987"/>
        <w:spacing w:after="0" w:line="256" w:lineRule="auto"/>
        <w:tabs>
          <w:tab w:leader="none" w:pos="1260" w:val="left"/>
        </w:tabs>
        <w:numPr>
          <w:ilvl w:val="2"/>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Incentive Stock Option $100,000 Limitation. </w:t>
      </w:r>
      <w:r>
        <w:rPr>
          <w:rFonts w:ascii="Arial" w:cs="Arial" w:eastAsia="Arial" w:hAnsi="Arial"/>
          <w:sz w:val="18"/>
          <w:szCs w:val="18"/>
          <w:color w:val="auto"/>
        </w:rPr>
        <w:t>To the extent that the aggregate Fair Market Value (determined at the time of grant)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79" w:lineRule="exact"/>
        <w:rPr>
          <w:rFonts w:ascii="Arial" w:cs="Arial" w:eastAsia="Arial" w:hAnsi="Arial"/>
          <w:sz w:val="18"/>
          <w:szCs w:val="18"/>
          <w:b w:val="1"/>
          <w:bCs w:val="1"/>
          <w:color w:val="auto"/>
        </w:rPr>
      </w:pPr>
    </w:p>
    <w:p>
      <w:pPr>
        <w:ind w:left="4" w:right="60" w:firstLine="987"/>
        <w:spacing w:after="0" w:line="293" w:lineRule="auto"/>
        <w:tabs>
          <w:tab w:leader="none" w:pos="1310" w:val="left"/>
        </w:tabs>
        <w:numPr>
          <w:ilvl w:val="2"/>
          <w:numId w:val="26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Limitations on Incentive Stock Options Granted to Ten Percent Stockholders. </w:t>
      </w:r>
      <w:r>
        <w:rPr>
          <w:rFonts w:ascii="Arial" w:cs="Arial" w:eastAsia="Arial" w:hAnsi="Arial"/>
          <w:sz w:val="16"/>
          <w:szCs w:val="16"/>
          <w:color w:val="auto"/>
        </w:rPr>
        <w:t>A Ten Percent Stockholder may not be granted an</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Stock Option unless (1) the exercise price of such Option is at least 110% of the Fair Market Value on the date of grant of such Option and</w:t>
      </w:r>
    </w:p>
    <w:p>
      <w:pPr>
        <w:spacing w:after="0" w:line="1" w:lineRule="exact"/>
        <w:rPr>
          <w:rFonts w:ascii="Arial" w:cs="Arial" w:eastAsia="Arial" w:hAnsi="Arial"/>
          <w:sz w:val="16"/>
          <w:szCs w:val="16"/>
          <w:b w:val="1"/>
          <w:bCs w:val="1"/>
          <w:color w:val="auto"/>
        </w:rPr>
      </w:pPr>
    </w:p>
    <w:p>
      <w:pPr>
        <w:ind w:left="264" w:hanging="264"/>
        <w:spacing w:after="0"/>
        <w:tabs>
          <w:tab w:leader="none" w:pos="264"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Option is not exercisable after the expiration of five years from the date of grant of such Option.</w:t>
      </w:r>
    </w:p>
    <w:p>
      <w:pPr>
        <w:spacing w:after="0" w:line="98" w:lineRule="exact"/>
        <w:rPr>
          <w:rFonts w:ascii="Arial" w:cs="Arial" w:eastAsia="Arial" w:hAnsi="Arial"/>
          <w:sz w:val="18"/>
          <w:szCs w:val="18"/>
          <w:color w:val="auto"/>
        </w:rPr>
      </w:pPr>
    </w:p>
    <w:p>
      <w:pPr>
        <w:ind w:left="4" w:right="140" w:firstLine="987"/>
        <w:spacing w:after="0" w:line="266" w:lineRule="auto"/>
        <w:tabs>
          <w:tab w:leader="none" w:pos="1300" w:val="left"/>
        </w:tabs>
        <w:numPr>
          <w:ilvl w:val="2"/>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Limitations on Nonstatutory Stock Options and SARs. </w:t>
      </w:r>
      <w:r>
        <w:rPr>
          <w:rFonts w:ascii="Arial" w:cs="Arial" w:eastAsia="Arial" w:hAnsi="Arial"/>
          <w:sz w:val="18"/>
          <w:szCs w:val="18"/>
          <w:color w:val="auto"/>
        </w:rPr>
        <w:t>Nonstatutory Stock Options and SARs may not be granted to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and Consultants unless the stock underlying such Awards is treated as “service recipient stock” under Section 409A or unless such Awards otherwise comply with the requirements of Section 409A.</w:t>
      </w:r>
    </w:p>
    <w:p>
      <w:pPr>
        <w:spacing w:after="0" w:line="67" w:lineRule="exact"/>
        <w:rPr>
          <w:rFonts w:ascii="Arial" w:cs="Arial" w:eastAsia="Arial" w:hAnsi="Arial"/>
          <w:sz w:val="18"/>
          <w:szCs w:val="18"/>
          <w:b w:val="1"/>
          <w:bCs w:val="1"/>
          <w:color w:val="auto"/>
        </w:rPr>
      </w:pPr>
    </w:p>
    <w:p>
      <w:pPr>
        <w:ind w:left="4" w:right="160" w:firstLine="436"/>
        <w:spacing w:after="0" w:line="282" w:lineRule="auto"/>
        <w:tabs>
          <w:tab w:leader="none" w:pos="689" w:val="left"/>
        </w:tabs>
        <w:numPr>
          <w:ilvl w:val="1"/>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Incentive Stock Option Limit. </w:t>
      </w:r>
      <w:r>
        <w:rPr>
          <w:rFonts w:ascii="Arial" w:cs="Arial" w:eastAsia="Arial" w:hAnsi="Arial"/>
          <w:sz w:val="18"/>
          <w:szCs w:val="18"/>
          <w:color w:val="auto"/>
        </w:rPr>
        <w:t>The aggregate maximum number of shares of Common Stock that may be issued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of Incentive Stock Options is the number of shares specified in Section 2(b).</w:t>
      </w:r>
    </w:p>
    <w:p>
      <w:pPr>
        <w:spacing w:after="0" w:line="53" w:lineRule="exact"/>
        <w:rPr>
          <w:rFonts w:ascii="Arial" w:cs="Arial" w:eastAsia="Arial" w:hAnsi="Arial"/>
          <w:sz w:val="18"/>
          <w:szCs w:val="18"/>
          <w:b w:val="1"/>
          <w:bCs w:val="1"/>
          <w:color w:val="auto"/>
        </w:rPr>
      </w:pPr>
    </w:p>
    <w:p>
      <w:pPr>
        <w:ind w:left="4" w:right="40" w:firstLine="436"/>
        <w:spacing w:after="0" w:line="258" w:lineRule="auto"/>
        <w:tabs>
          <w:tab w:leader="none" w:pos="709" w:val="left"/>
        </w:tabs>
        <w:numPr>
          <w:ilvl w:val="1"/>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Non-Employee Director Compensation Limit. </w:t>
      </w:r>
      <w:r>
        <w:rPr>
          <w:rFonts w:ascii="Arial" w:cs="Arial" w:eastAsia="Arial" w:hAnsi="Arial"/>
          <w:sz w:val="18"/>
          <w:szCs w:val="18"/>
          <w:color w:val="auto"/>
        </w:rPr>
        <w:t>The aggregate value of all compensation granted or paid, as applicable, to any individual for</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as a Non-Employee Director with respect to any calendar year, including Awards granted and cash fees paid by the Company to such Non-Employee Director, will not exceed $1,500,000 in total value, calculating the value of any equity awards based on the grant date fair value of such equity awards for financial reporting purposes. The limitations in this Section 3(d) shall apply commencing with the first calendar year that begins following the Effective Date.</w:t>
      </w:r>
    </w:p>
    <w:p>
      <w:pPr>
        <w:spacing w:after="0" w:line="210" w:lineRule="exact"/>
        <w:rPr>
          <w:sz w:val="20"/>
          <w:szCs w:val="20"/>
          <w:color w:val="auto"/>
        </w:rPr>
      </w:pPr>
    </w:p>
    <w:p>
      <w:pPr>
        <w:ind w:left="424" w:hanging="424"/>
        <w:spacing w:after="0"/>
        <w:tabs>
          <w:tab w:leader="none" w:pos="424"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PTIONS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121"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Each Option and SAR will have such terms and conditions as determined by the Board. Each Option will be designated in writing as an Incentive Stock Option or Nonstatutory Stock Option at the time of grant; provided, however, that if an Option is not so designated or if an Option designated as an Incentive Stock Option fails to qualify as an Incentive Stock Option,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127"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4"/>
          </w:cols>
          <w:pgMar w:left="436" w:top="270" w:right="519" w:bottom="1440" w:gutter="0" w:footer="0" w:header="0"/>
        </w:sectPr>
      </w:pPr>
    </w:p>
    <w:bookmarkStart w:id="375" w:name="page376"/>
    <w:bookmarkEnd w:id="375"/>
    <w:p>
      <w:pPr>
        <w:ind w:left="-20" w:right="40" w:firstLine="436"/>
        <w:spacing w:after="0" w:line="282" w:lineRule="auto"/>
        <w:tabs>
          <w:tab w:leader="none" w:pos="675"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Term. </w:t>
      </w:r>
      <w:r>
        <w:rPr>
          <w:rFonts w:ascii="Arial" w:cs="Arial" w:eastAsia="Arial" w:hAnsi="Arial"/>
          <w:sz w:val="18"/>
          <w:szCs w:val="18"/>
          <w:color w:val="auto"/>
        </w:rPr>
        <w:t>Subject to Section 3(b) regarding Ten Percent Stockholders, no Option or SAR will be exercisable after the expiration of ten years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of grant of such Award or such shorter period specified in the Award Agreement.</w:t>
      </w:r>
    </w:p>
    <w:p>
      <w:pPr>
        <w:spacing w:after="0" w:line="53" w:lineRule="exact"/>
        <w:rPr>
          <w:rFonts w:ascii="Arial" w:cs="Arial" w:eastAsia="Arial" w:hAnsi="Arial"/>
          <w:sz w:val="18"/>
          <w:szCs w:val="18"/>
          <w:b w:val="1"/>
          <w:bCs w:val="1"/>
          <w:color w:val="auto"/>
        </w:rPr>
      </w:pPr>
    </w:p>
    <w:p>
      <w:pPr>
        <w:ind w:left="-20" w:right="100" w:firstLine="436"/>
        <w:spacing w:after="0" w:line="258" w:lineRule="auto"/>
        <w:tabs>
          <w:tab w:leader="none" w:pos="685"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or Strike Price. </w:t>
      </w:r>
      <w:r>
        <w:rPr>
          <w:rFonts w:ascii="Arial" w:cs="Arial" w:eastAsia="Arial" w:hAnsi="Arial"/>
          <w:sz w:val="18"/>
          <w:szCs w:val="18"/>
          <w:color w:val="auto"/>
        </w:rPr>
        <w:t>Subject to Section 3(b) regarding Ten Percent Stockholders, the exercise or strike price of each Option or SAR will</w:t>
      </w:r>
      <w:r>
        <w:rPr>
          <w:rFonts w:ascii="Arial" w:cs="Arial" w:eastAsia="Arial" w:hAnsi="Arial"/>
          <w:sz w:val="18"/>
          <w:szCs w:val="18"/>
          <w:b w:val="1"/>
          <w:bCs w:val="1"/>
          <w:color w:val="auto"/>
        </w:rPr>
        <w:t xml:space="preserve"> </w:t>
      </w:r>
      <w:r>
        <w:rPr>
          <w:rFonts w:ascii="Arial" w:cs="Arial" w:eastAsia="Arial" w:hAnsi="Arial"/>
          <w:sz w:val="18"/>
          <w:szCs w:val="18"/>
          <w:color w:val="auto"/>
        </w:rPr>
        <w:t>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75" w:lineRule="exact"/>
        <w:rPr>
          <w:rFonts w:ascii="Arial" w:cs="Arial" w:eastAsia="Arial" w:hAnsi="Arial"/>
          <w:sz w:val="18"/>
          <w:szCs w:val="18"/>
          <w:b w:val="1"/>
          <w:bCs w:val="1"/>
          <w:color w:val="auto"/>
        </w:rPr>
      </w:pPr>
    </w:p>
    <w:p>
      <w:pPr>
        <w:ind w:left="-20" w:right="180" w:firstLine="436"/>
        <w:spacing w:after="0" w:line="256" w:lineRule="auto"/>
        <w:tabs>
          <w:tab w:leader="none" w:pos="665"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Procedure and Payment of Exercise Price for Options. </w:t>
      </w:r>
      <w:r>
        <w:rPr>
          <w:rFonts w:ascii="Arial" w:cs="Arial" w:eastAsia="Arial" w:hAnsi="Arial"/>
          <w:sz w:val="18"/>
          <w:szCs w:val="18"/>
          <w:color w:val="auto"/>
        </w:rPr>
        <w:t>In order to exercise an Option, the Participant must provide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83" w:lineRule="exact"/>
        <w:rPr>
          <w:rFonts w:ascii="Arial" w:cs="Arial" w:eastAsia="Arial" w:hAnsi="Arial"/>
          <w:sz w:val="18"/>
          <w:szCs w:val="18"/>
          <w:b w:val="1"/>
          <w:bCs w:val="1"/>
          <w:color w:val="auto"/>
        </w:rPr>
      </w:pPr>
    </w:p>
    <w:p>
      <w:pPr>
        <w:ind w:left="1180" w:hanging="213"/>
        <w:spacing w:after="0"/>
        <w:tabs>
          <w:tab w:leader="none" w:pos="1180" w:val="left"/>
        </w:tabs>
        <w:numPr>
          <w:ilvl w:val="1"/>
          <w:numId w:val="271"/>
        </w:numPr>
        <w:rPr>
          <w:rFonts w:ascii="Arial" w:cs="Arial" w:eastAsia="Arial" w:hAnsi="Arial"/>
          <w:sz w:val="18"/>
          <w:szCs w:val="18"/>
          <w:b w:val="1"/>
          <w:bCs w:val="1"/>
          <w:color w:val="auto"/>
        </w:rPr>
      </w:pPr>
      <w:r>
        <w:rPr>
          <w:rFonts w:ascii="Arial" w:cs="Arial" w:eastAsia="Arial" w:hAnsi="Arial"/>
          <w:sz w:val="18"/>
          <w:szCs w:val="18"/>
          <w:color w:val="auto"/>
        </w:rPr>
        <w:t>by cash or check, bank draft or money order payable to the Company;</w:t>
      </w:r>
    </w:p>
    <w:p>
      <w:pPr>
        <w:spacing w:after="0" w:line="117" w:lineRule="exact"/>
        <w:rPr>
          <w:rFonts w:ascii="Arial" w:cs="Arial" w:eastAsia="Arial" w:hAnsi="Arial"/>
          <w:sz w:val="18"/>
          <w:szCs w:val="18"/>
          <w:b w:val="1"/>
          <w:bCs w:val="1"/>
          <w:color w:val="auto"/>
        </w:rPr>
      </w:pPr>
    </w:p>
    <w:p>
      <w:pPr>
        <w:ind w:left="-20" w:right="240" w:firstLine="987"/>
        <w:spacing w:after="0" w:line="263" w:lineRule="auto"/>
        <w:tabs>
          <w:tab w:leader="none" w:pos="1236" w:val="left"/>
        </w:tabs>
        <w:numPr>
          <w:ilvl w:val="1"/>
          <w:numId w:val="271"/>
        </w:numPr>
        <w:rPr>
          <w:rFonts w:ascii="Arial" w:cs="Arial" w:eastAsia="Arial" w:hAnsi="Arial"/>
          <w:sz w:val="18"/>
          <w:szCs w:val="18"/>
          <w:b w:val="1"/>
          <w:bCs w:val="1"/>
          <w:color w:val="auto"/>
        </w:rPr>
      </w:pPr>
      <w:r>
        <w:rPr>
          <w:rFonts w:ascii="Arial" w:cs="Arial" w:eastAsia="Arial" w:hAnsi="Arial"/>
          <w:sz w:val="18"/>
          <w:szCs w:val="18"/>
          <w:color w:val="auto"/>
        </w:rPr>
        <w:t>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75" w:lineRule="exact"/>
        <w:rPr>
          <w:rFonts w:ascii="Arial" w:cs="Arial" w:eastAsia="Arial" w:hAnsi="Arial"/>
          <w:sz w:val="18"/>
          <w:szCs w:val="18"/>
          <w:b w:val="1"/>
          <w:bCs w:val="1"/>
          <w:color w:val="auto"/>
        </w:rPr>
      </w:pPr>
    </w:p>
    <w:p>
      <w:pPr>
        <w:ind w:left="-20" w:firstLine="987"/>
        <w:spacing w:after="0" w:line="254" w:lineRule="auto"/>
        <w:tabs>
          <w:tab w:leader="none" w:pos="1286" w:val="left"/>
        </w:tabs>
        <w:numPr>
          <w:ilvl w:val="1"/>
          <w:numId w:val="271"/>
        </w:numPr>
        <w:rPr>
          <w:rFonts w:ascii="Arial" w:cs="Arial" w:eastAsia="Arial" w:hAnsi="Arial"/>
          <w:sz w:val="18"/>
          <w:szCs w:val="18"/>
          <w:b w:val="1"/>
          <w:bCs w:val="1"/>
          <w:color w:val="auto"/>
        </w:rPr>
      </w:pPr>
      <w:r>
        <w:rPr>
          <w:rFonts w:ascii="Arial" w:cs="Arial" w:eastAsia="Arial" w:hAnsi="Arial"/>
          <w:sz w:val="18"/>
          <w:szCs w:val="18"/>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86" w:lineRule="exact"/>
        <w:rPr>
          <w:rFonts w:ascii="Arial" w:cs="Arial" w:eastAsia="Arial" w:hAnsi="Arial"/>
          <w:sz w:val="18"/>
          <w:szCs w:val="18"/>
          <w:b w:val="1"/>
          <w:bCs w:val="1"/>
          <w:color w:val="auto"/>
        </w:rPr>
      </w:pPr>
    </w:p>
    <w:p>
      <w:pPr>
        <w:jc w:val="both"/>
        <w:ind w:left="-20" w:right="40" w:firstLine="987"/>
        <w:spacing w:after="0" w:line="301" w:lineRule="auto"/>
        <w:tabs>
          <w:tab w:leader="none" w:pos="1276" w:val="left"/>
        </w:tabs>
        <w:numPr>
          <w:ilvl w:val="1"/>
          <w:numId w:val="271"/>
        </w:numPr>
        <w:rPr>
          <w:rFonts w:ascii="Arial" w:cs="Arial" w:eastAsia="Arial" w:hAnsi="Arial"/>
          <w:sz w:val="16"/>
          <w:szCs w:val="16"/>
          <w:b w:val="1"/>
          <w:bCs w:val="1"/>
          <w:color w:val="auto"/>
        </w:rPr>
      </w:pPr>
      <w:r>
        <w:rPr>
          <w:rFonts w:ascii="Arial" w:cs="Arial" w:eastAsia="Arial" w:hAnsi="Arial"/>
          <w:sz w:val="16"/>
          <w:szCs w:val="16"/>
          <w:color w:val="auto"/>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60" w:top="270" w:right="459" w:bottom="1440" w:gutter="0" w:footer="0" w:header="0"/>
        </w:sectPr>
      </w:pPr>
    </w:p>
    <w:bookmarkStart w:id="376" w:name="page377"/>
    <w:bookmarkEnd w:id="376"/>
    <w:p>
      <w:pPr>
        <w:ind w:left="1240" w:hanging="253"/>
        <w:spacing w:after="0"/>
        <w:tabs>
          <w:tab w:leader="none" w:pos="1240" w:val="left"/>
        </w:tabs>
        <w:numPr>
          <w:ilvl w:val="1"/>
          <w:numId w:val="27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any other form of consideration that may be acceptable to the Board and permissible under Applicable Law.</w:t>
      </w:r>
    </w:p>
    <w:p>
      <w:pPr>
        <w:spacing w:after="0" w:line="113" w:lineRule="exact"/>
        <w:rPr>
          <w:rFonts w:ascii="Arial" w:cs="Arial" w:eastAsia="Arial" w:hAnsi="Arial"/>
          <w:sz w:val="18"/>
          <w:szCs w:val="18"/>
          <w:b w:val="1"/>
          <w:bCs w:val="1"/>
          <w:color w:val="auto"/>
        </w:rPr>
      </w:pPr>
    </w:p>
    <w:p>
      <w:pPr>
        <w:ind w:right="40" w:firstLine="436"/>
        <w:spacing w:after="0" w:line="274" w:lineRule="auto"/>
        <w:tabs>
          <w:tab w:leader="none" w:pos="705" w:val="left"/>
        </w:tabs>
        <w:numPr>
          <w:ilvl w:val="0"/>
          <w:numId w:val="27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Exercise Procedure and Payment of Appreciation Distribution for SARs. </w:t>
      </w:r>
      <w:r>
        <w:rPr>
          <w:rFonts w:ascii="Arial" w:cs="Arial" w:eastAsia="Arial" w:hAnsi="Arial"/>
          <w:sz w:val="17"/>
          <w:szCs w:val="17"/>
          <w:color w:val="auto"/>
        </w:rPr>
        <w:t>In order to exercise any SAR, the Participant must provide</w:t>
      </w:r>
      <w:r>
        <w:rPr>
          <w:rFonts w:ascii="Arial" w:cs="Arial" w:eastAsia="Arial" w:hAnsi="Arial"/>
          <w:sz w:val="17"/>
          <w:szCs w:val="17"/>
          <w:b w:val="1"/>
          <w:bCs w:val="1"/>
          <w:color w:val="auto"/>
        </w:rPr>
        <w:t xml:space="preserve"> </w:t>
      </w:r>
      <w:r>
        <w:rPr>
          <w:rFonts w:ascii="Arial" w:cs="Arial" w:eastAsia="Arial" w:hAnsi="Arial"/>
          <w:sz w:val="17"/>
          <w:szCs w:val="17"/>
          <w:color w:val="auto"/>
        </w:rPr>
        <w:t>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65" w:lineRule="exact"/>
        <w:rPr>
          <w:rFonts w:ascii="Arial" w:cs="Arial" w:eastAsia="Arial" w:hAnsi="Arial"/>
          <w:sz w:val="17"/>
          <w:szCs w:val="17"/>
          <w:b w:val="1"/>
          <w:bCs w:val="1"/>
          <w:color w:val="auto"/>
        </w:rPr>
      </w:pPr>
    </w:p>
    <w:p>
      <w:pPr>
        <w:ind w:right="140" w:firstLine="436"/>
        <w:spacing w:after="0" w:line="258" w:lineRule="auto"/>
        <w:tabs>
          <w:tab w:leader="none" w:pos="685"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Transferability. </w:t>
      </w:r>
      <w:r>
        <w:rPr>
          <w:rFonts w:ascii="Arial" w:cs="Arial" w:eastAsia="Arial" w:hAnsi="Arial"/>
          <w:sz w:val="18"/>
          <w:szCs w:val="18"/>
          <w:color w:val="auto"/>
        </w:rPr>
        <w:t>Options and SARs may not be transferred to third party financial institutions for value. The Board may impose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if an Option is an Incentive Stock Option, such Option may be deemed to be a Nonstatutory Stock Option as a result of such transfer:</w:t>
      </w:r>
    </w:p>
    <w:p>
      <w:pPr>
        <w:spacing w:after="0" w:line="75" w:lineRule="exact"/>
        <w:rPr>
          <w:rFonts w:ascii="Arial" w:cs="Arial" w:eastAsia="Arial" w:hAnsi="Arial"/>
          <w:sz w:val="18"/>
          <w:szCs w:val="18"/>
          <w:b w:val="1"/>
          <w:bCs w:val="1"/>
          <w:color w:val="auto"/>
        </w:rPr>
      </w:pPr>
    </w:p>
    <w:p>
      <w:pPr>
        <w:ind w:firstLine="987"/>
        <w:spacing w:after="0" w:line="298" w:lineRule="auto"/>
        <w:tabs>
          <w:tab w:leader="none" w:pos="1206" w:val="left"/>
        </w:tabs>
        <w:numPr>
          <w:ilvl w:val="1"/>
          <w:numId w:val="2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Restrictions on Transfer. </w:t>
      </w:r>
      <w:r>
        <w:rPr>
          <w:rFonts w:ascii="Arial" w:cs="Arial" w:eastAsia="Arial" w:hAnsi="Arial"/>
          <w:sz w:val="16"/>
          <w:szCs w:val="16"/>
          <w:color w:val="auto"/>
        </w:rPr>
        <w:t>An Option or SAR will not be transferable, except by will or by the laws of descent and distribution, and will</w:t>
      </w:r>
      <w:r>
        <w:rPr>
          <w:rFonts w:ascii="Arial" w:cs="Arial" w:eastAsia="Arial" w:hAnsi="Arial"/>
          <w:sz w:val="16"/>
          <w:szCs w:val="16"/>
          <w:b w:val="1"/>
          <w:bCs w:val="1"/>
          <w:color w:val="auto"/>
        </w:rPr>
        <w:t xml:space="preserve"> </w:t>
      </w:r>
      <w:r>
        <w:rPr>
          <w:rFonts w:ascii="Arial" w:cs="Arial" w:eastAsia="Arial" w:hAnsi="Arial"/>
          <w:sz w:val="16"/>
          <w:szCs w:val="16"/>
          <w:color w:val="auto"/>
        </w:rPr>
        <w:t>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46" w:lineRule="exact"/>
        <w:rPr>
          <w:sz w:val="20"/>
          <w:szCs w:val="20"/>
          <w:color w:val="auto"/>
        </w:rPr>
      </w:pPr>
    </w:p>
    <w:p>
      <w:pPr>
        <w:ind w:right="40" w:firstLine="987"/>
        <w:spacing w:after="0" w:line="266" w:lineRule="auto"/>
        <w:tabs>
          <w:tab w:leader="none" w:pos="1256" w:val="left"/>
        </w:tabs>
        <w:numPr>
          <w:ilvl w:val="1"/>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Domestic Relations Orders. </w:t>
      </w:r>
      <w:r>
        <w:rPr>
          <w:rFonts w:ascii="Arial" w:cs="Arial" w:eastAsia="Arial" w:hAnsi="Arial"/>
          <w:sz w:val="18"/>
          <w:szCs w:val="18"/>
          <w:color w:val="auto"/>
        </w:rPr>
        <w:t>Notwithstanding the foregoing, subject to the execution of transfer documentation in a format acceptable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Company and subject to the approval of the Board or a duly authorized Officer, an Option or SAR may be transferred pursuant to a domestic relations order.</w:t>
      </w:r>
    </w:p>
    <w:p>
      <w:pPr>
        <w:spacing w:after="0" w:line="67" w:lineRule="exact"/>
        <w:rPr>
          <w:rFonts w:ascii="Arial" w:cs="Arial" w:eastAsia="Arial" w:hAnsi="Arial"/>
          <w:sz w:val="18"/>
          <w:szCs w:val="18"/>
          <w:b w:val="1"/>
          <w:bCs w:val="1"/>
          <w:color w:val="auto"/>
        </w:rPr>
      </w:pPr>
    </w:p>
    <w:p>
      <w:pPr>
        <w:ind w:right="220" w:firstLine="436"/>
        <w:spacing w:after="0" w:line="266" w:lineRule="auto"/>
        <w:tabs>
          <w:tab w:leader="none" w:pos="665"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The Board may impose such restrictions on or conditions to the vesting and/or exercisability of an Option or SAR as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Except as otherwise provided in the Award Agreement or other written agreement between a Participant and the Company or an Affiliate, vesting of Options and SARs will cease upon termination of the Participant’s Continuous Service.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377" w:name="page378"/>
    <w:bookmarkEnd w:id="377"/>
    <w:p>
      <w:pPr>
        <w:ind w:firstLine="436"/>
        <w:spacing w:after="0" w:line="256" w:lineRule="auto"/>
        <w:tabs>
          <w:tab w:leader="none" w:pos="695"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Termination of Continuous Service for Cause. </w:t>
      </w:r>
      <w:r>
        <w:rPr>
          <w:rFonts w:ascii="Arial" w:cs="Arial" w:eastAsia="Arial" w:hAnsi="Arial"/>
          <w:sz w:val="18"/>
          <w:szCs w:val="18"/>
          <w:color w:val="auto"/>
        </w:rPr>
        <w:t>Except as explicitly otherwise provided in the Award Agreement or other written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79" w:lineRule="exact"/>
        <w:rPr>
          <w:rFonts w:ascii="Arial" w:cs="Arial" w:eastAsia="Arial" w:hAnsi="Arial"/>
          <w:sz w:val="18"/>
          <w:szCs w:val="18"/>
          <w:b w:val="1"/>
          <w:bCs w:val="1"/>
          <w:color w:val="auto"/>
        </w:rPr>
      </w:pPr>
    </w:p>
    <w:p>
      <w:pPr>
        <w:ind w:right="60" w:firstLine="436"/>
        <w:spacing w:after="0" w:line="258" w:lineRule="auto"/>
        <w:tabs>
          <w:tab w:leader="none" w:pos="705"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Post-Termination Exercise Period Following Termination of Continuous Service for Reasons Other than Cause. </w:t>
      </w:r>
      <w:r>
        <w:rPr>
          <w:rFonts w:ascii="Arial" w:cs="Arial" w:eastAsia="Arial" w:hAnsi="Arial"/>
          <w:sz w:val="18"/>
          <w:szCs w:val="18"/>
          <w:color w:val="auto"/>
        </w:rPr>
        <w:t>Subject to Section 4(i),</w:t>
      </w:r>
      <w:r>
        <w:rPr>
          <w:rFonts w:ascii="Arial" w:cs="Arial" w:eastAsia="Arial" w:hAnsi="Arial"/>
          <w:sz w:val="18"/>
          <w:szCs w:val="18"/>
          <w:b w:val="1"/>
          <w:bCs w:val="1"/>
          <w:color w:val="auto"/>
        </w:rPr>
        <w:t xml:space="preserve"> </w:t>
      </w:r>
      <w:r>
        <w:rPr>
          <w:rFonts w:ascii="Arial" w:cs="Arial" w:eastAsia="Arial" w:hAnsi="Arial"/>
          <w:sz w:val="18"/>
          <w:szCs w:val="18"/>
          <w:color w:val="auto"/>
        </w:rPr>
        <w:t>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spacing w:after="0" w:line="79" w:lineRule="exact"/>
        <w:rPr>
          <w:rFonts w:ascii="Arial" w:cs="Arial" w:eastAsia="Arial" w:hAnsi="Arial"/>
          <w:sz w:val="18"/>
          <w:szCs w:val="18"/>
          <w:b w:val="1"/>
          <w:bCs w:val="1"/>
          <w:color w:val="auto"/>
        </w:rPr>
      </w:pPr>
    </w:p>
    <w:p>
      <w:pPr>
        <w:ind w:right="100" w:firstLine="987"/>
        <w:spacing w:after="0" w:line="277" w:lineRule="auto"/>
        <w:tabs>
          <w:tab w:leader="none" w:pos="1206" w:val="left"/>
        </w:tabs>
        <w:numPr>
          <w:ilvl w:val="1"/>
          <w:numId w:val="276"/>
        </w:numPr>
        <w:rPr>
          <w:rFonts w:ascii="Arial" w:cs="Arial" w:eastAsia="Arial" w:hAnsi="Arial"/>
          <w:sz w:val="18"/>
          <w:szCs w:val="18"/>
          <w:b w:val="1"/>
          <w:bCs w:val="1"/>
          <w:color w:val="auto"/>
        </w:rPr>
      </w:pPr>
      <w:r>
        <w:rPr>
          <w:rFonts w:ascii="Arial" w:cs="Arial" w:eastAsia="Arial" w:hAnsi="Arial"/>
          <w:sz w:val="18"/>
          <w:szCs w:val="18"/>
          <w:color w:val="auto"/>
        </w:rPr>
        <w:t>three months following the date of such termination if such termination is a termination without Cause (other than any termination due to the Participant’s Disability or death);</w:t>
      </w:r>
    </w:p>
    <w:p>
      <w:pPr>
        <w:spacing w:after="0" w:line="62" w:lineRule="exact"/>
        <w:rPr>
          <w:rFonts w:ascii="Arial" w:cs="Arial" w:eastAsia="Arial" w:hAnsi="Arial"/>
          <w:sz w:val="18"/>
          <w:szCs w:val="18"/>
          <w:b w:val="1"/>
          <w:bCs w:val="1"/>
          <w:color w:val="auto"/>
        </w:rPr>
      </w:pPr>
    </w:p>
    <w:p>
      <w:pPr>
        <w:ind w:left="1260" w:hanging="273"/>
        <w:spacing w:after="0"/>
        <w:tabs>
          <w:tab w:leader="none" w:pos="1260" w:val="left"/>
        </w:tabs>
        <w:numPr>
          <w:ilvl w:val="1"/>
          <w:numId w:val="276"/>
        </w:numPr>
        <w:rPr>
          <w:rFonts w:ascii="Arial" w:cs="Arial" w:eastAsia="Arial" w:hAnsi="Arial"/>
          <w:sz w:val="18"/>
          <w:szCs w:val="18"/>
          <w:b w:val="1"/>
          <w:bCs w:val="1"/>
          <w:color w:val="auto"/>
        </w:rPr>
      </w:pPr>
      <w:r>
        <w:rPr>
          <w:rFonts w:ascii="Arial" w:cs="Arial" w:eastAsia="Arial" w:hAnsi="Arial"/>
          <w:sz w:val="18"/>
          <w:szCs w:val="18"/>
          <w:color w:val="auto"/>
        </w:rPr>
        <w:t>12 months following the date of such termination if such termination is due to the Participant’s Disability;</w:t>
      </w:r>
    </w:p>
    <w:p>
      <w:pPr>
        <w:spacing w:after="0" w:line="117" w:lineRule="exact"/>
        <w:rPr>
          <w:rFonts w:ascii="Arial" w:cs="Arial" w:eastAsia="Arial" w:hAnsi="Arial"/>
          <w:sz w:val="18"/>
          <w:szCs w:val="18"/>
          <w:b w:val="1"/>
          <w:bCs w:val="1"/>
          <w:color w:val="auto"/>
        </w:rPr>
      </w:pPr>
    </w:p>
    <w:p>
      <w:pPr>
        <w:ind w:left="1300" w:hanging="313"/>
        <w:spacing w:after="0"/>
        <w:tabs>
          <w:tab w:leader="none" w:pos="1300" w:val="left"/>
        </w:tabs>
        <w:numPr>
          <w:ilvl w:val="1"/>
          <w:numId w:val="276"/>
        </w:numPr>
        <w:rPr>
          <w:rFonts w:ascii="Arial" w:cs="Arial" w:eastAsia="Arial" w:hAnsi="Arial"/>
          <w:sz w:val="18"/>
          <w:szCs w:val="18"/>
          <w:b w:val="1"/>
          <w:bCs w:val="1"/>
          <w:color w:val="auto"/>
        </w:rPr>
      </w:pPr>
      <w:r>
        <w:rPr>
          <w:rFonts w:ascii="Arial" w:cs="Arial" w:eastAsia="Arial" w:hAnsi="Arial"/>
          <w:sz w:val="18"/>
          <w:szCs w:val="18"/>
          <w:color w:val="auto"/>
        </w:rPr>
        <w:t>18 months following the date of such termination if such termination is due to the Participant’s death; or</w:t>
      </w:r>
    </w:p>
    <w:p>
      <w:pPr>
        <w:spacing w:after="0" w:line="117" w:lineRule="exact"/>
        <w:rPr>
          <w:rFonts w:ascii="Arial" w:cs="Arial" w:eastAsia="Arial" w:hAnsi="Arial"/>
          <w:sz w:val="18"/>
          <w:szCs w:val="18"/>
          <w:b w:val="1"/>
          <w:bCs w:val="1"/>
          <w:color w:val="auto"/>
        </w:rPr>
      </w:pPr>
    </w:p>
    <w:p>
      <w:pPr>
        <w:ind w:right="420" w:firstLine="987"/>
        <w:spacing w:after="0" w:line="277" w:lineRule="auto"/>
        <w:tabs>
          <w:tab w:leader="none" w:pos="1296" w:val="left"/>
        </w:tabs>
        <w:numPr>
          <w:ilvl w:val="1"/>
          <w:numId w:val="276"/>
        </w:numPr>
        <w:rPr>
          <w:rFonts w:ascii="Arial" w:cs="Arial" w:eastAsia="Arial" w:hAnsi="Arial"/>
          <w:sz w:val="18"/>
          <w:szCs w:val="18"/>
          <w:b w:val="1"/>
          <w:bCs w:val="1"/>
          <w:color w:val="auto"/>
        </w:rPr>
      </w:pPr>
      <w:r>
        <w:rPr>
          <w:rFonts w:ascii="Arial" w:cs="Arial" w:eastAsia="Arial" w:hAnsi="Arial"/>
          <w:sz w:val="18"/>
          <w:szCs w:val="18"/>
          <w:color w:val="auto"/>
        </w:rPr>
        <w:t>18 months following the date of the Participant’s death if such death occurs following the date of such termination but during the period such Award is otherwise exercisable (as provided in (i) or (ii) above).</w:t>
      </w:r>
    </w:p>
    <w:p>
      <w:pPr>
        <w:spacing w:after="0" w:line="17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75" w:lineRule="exact"/>
        <w:rPr>
          <w:sz w:val="20"/>
          <w:szCs w:val="20"/>
          <w:color w:val="auto"/>
        </w:rPr>
      </w:pPr>
    </w:p>
    <w:p>
      <w:pPr>
        <w:ind w:right="60" w:firstLine="436"/>
        <w:spacing w:after="0" w:line="256" w:lineRule="auto"/>
        <w:tabs>
          <w:tab w:leader="none" w:pos="655"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on Exercise; Extension of Exercisability. </w:t>
      </w:r>
      <w:r>
        <w:rPr>
          <w:rFonts w:ascii="Arial" w:cs="Arial" w:eastAsia="Arial" w:hAnsi="Arial"/>
          <w:sz w:val="18"/>
          <w:szCs w:val="18"/>
          <w:color w:val="auto"/>
        </w:rPr>
        <w:t>A Participant may not exercise an Option or SAR at any time that the issuance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378" w:name="page379"/>
    <w:bookmarkEnd w:id="378"/>
    <w:p>
      <w:pPr>
        <w:ind w:left="4"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76" w:lineRule="exact"/>
        <w:rPr>
          <w:sz w:val="20"/>
          <w:szCs w:val="20"/>
          <w:color w:val="auto"/>
        </w:rPr>
      </w:pPr>
    </w:p>
    <w:p>
      <w:pPr>
        <w:ind w:left="4" w:firstLine="436"/>
        <w:spacing w:after="0" w:line="291" w:lineRule="auto"/>
        <w:tabs>
          <w:tab w:leader="none" w:pos="669" w:val="left"/>
        </w:tabs>
        <w:numPr>
          <w:ilvl w:val="1"/>
          <w:numId w:val="27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Non-Exempt Employees. </w:t>
      </w:r>
      <w:r>
        <w:rPr>
          <w:rFonts w:ascii="Arial" w:cs="Arial" w:eastAsia="Arial" w:hAnsi="Arial"/>
          <w:sz w:val="16"/>
          <w:szCs w:val="16"/>
          <w:color w:val="auto"/>
        </w:rPr>
        <w:t>No Option or SAR, whether or not vested, granted to an Employee who is a non-exempt employee for purposes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spacing w:after="0" w:line="51" w:lineRule="exact"/>
        <w:rPr>
          <w:rFonts w:ascii="Arial" w:cs="Arial" w:eastAsia="Arial" w:hAnsi="Arial"/>
          <w:sz w:val="16"/>
          <w:szCs w:val="16"/>
          <w:b w:val="1"/>
          <w:bCs w:val="1"/>
          <w:color w:val="auto"/>
        </w:rPr>
      </w:pPr>
    </w:p>
    <w:p>
      <w:pPr>
        <w:ind w:left="704" w:hanging="264"/>
        <w:spacing w:after="0"/>
        <w:tabs>
          <w:tab w:leader="none" w:pos="704" w:val="left"/>
        </w:tabs>
        <w:numPr>
          <w:ilvl w:val="1"/>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Whole Shares. </w:t>
      </w:r>
      <w:r>
        <w:rPr>
          <w:rFonts w:ascii="Arial" w:cs="Arial" w:eastAsia="Arial" w:hAnsi="Arial"/>
          <w:sz w:val="18"/>
          <w:szCs w:val="18"/>
          <w:color w:val="auto"/>
        </w:rPr>
        <w:t>Options and SARs may be exercised only with respect to whole shares of Common Stock or their equivalents.</w:t>
      </w:r>
    </w:p>
    <w:p>
      <w:pPr>
        <w:spacing w:after="0" w:line="252" w:lineRule="exact"/>
        <w:rPr>
          <w:rFonts w:ascii="Arial" w:cs="Arial" w:eastAsia="Arial" w:hAnsi="Arial"/>
          <w:sz w:val="18"/>
          <w:szCs w:val="18"/>
          <w:b w:val="1"/>
          <w:bCs w:val="1"/>
          <w:color w:val="auto"/>
        </w:rPr>
      </w:pPr>
    </w:p>
    <w:p>
      <w:pPr>
        <w:ind w:left="424" w:hanging="424"/>
        <w:spacing w:after="0"/>
        <w:tabs>
          <w:tab w:leader="none" w:pos="424"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WARDS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HAN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jc w:val="both"/>
        <w:ind w:left="4" w:right="720" w:firstLine="436"/>
        <w:spacing w:after="0" w:line="314" w:lineRule="auto"/>
        <w:tabs>
          <w:tab w:leader="none" w:pos="699" w:val="left"/>
        </w:tabs>
        <w:numPr>
          <w:ilvl w:val="1"/>
          <w:numId w:val="27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Restricted Stock Awards and RSU Awards. </w:t>
      </w:r>
      <w:r>
        <w:rPr>
          <w:rFonts w:ascii="Arial" w:cs="Arial" w:eastAsia="Arial" w:hAnsi="Arial"/>
          <w:sz w:val="16"/>
          <w:szCs w:val="16"/>
          <w:color w:val="auto"/>
        </w:rPr>
        <w:t>Each Restricted Stock Award and RSU Award will have such terms and conditions as</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33" w:lineRule="exact"/>
        <w:rPr>
          <w:rFonts w:ascii="Arial" w:cs="Arial" w:eastAsia="Arial" w:hAnsi="Arial"/>
          <w:sz w:val="16"/>
          <w:szCs w:val="16"/>
          <w:b w:val="1"/>
          <w:bCs w:val="1"/>
          <w:color w:val="auto"/>
        </w:rPr>
      </w:pPr>
    </w:p>
    <w:p>
      <w:pPr>
        <w:ind w:left="1204" w:hanging="213"/>
        <w:spacing w:after="0"/>
        <w:tabs>
          <w:tab w:leader="none" w:pos="1204" w:val="left"/>
        </w:tabs>
        <w:numPr>
          <w:ilvl w:val="2"/>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Form of Award.</w:t>
      </w:r>
    </w:p>
    <w:p>
      <w:pPr>
        <w:spacing w:after="0" w:line="121" w:lineRule="exact"/>
        <w:rPr>
          <w:rFonts w:ascii="Arial" w:cs="Arial" w:eastAsia="Arial" w:hAnsi="Arial"/>
          <w:sz w:val="18"/>
          <w:szCs w:val="18"/>
          <w:b w:val="1"/>
          <w:bCs w:val="1"/>
          <w:color w:val="auto"/>
        </w:rPr>
      </w:pPr>
    </w:p>
    <w:p>
      <w:pPr>
        <w:ind w:left="4" w:right="40" w:firstLine="1428"/>
        <w:spacing w:after="0" w:line="257" w:lineRule="auto"/>
        <w:tabs>
          <w:tab w:leader="none" w:pos="1691" w:val="left"/>
        </w:tabs>
        <w:numPr>
          <w:ilvl w:val="3"/>
          <w:numId w:val="279"/>
        </w:numPr>
        <w:rPr>
          <w:rFonts w:ascii="Arial" w:cs="Arial" w:eastAsia="Arial" w:hAnsi="Arial"/>
          <w:sz w:val="18"/>
          <w:szCs w:val="18"/>
          <w:b w:val="1"/>
          <w:bCs w:val="1"/>
          <w:color w:val="auto"/>
        </w:rPr>
      </w:pPr>
      <w:r>
        <w:rPr>
          <w:rFonts w:ascii="Arial" w:cs="Arial" w:eastAsia="Arial" w:hAnsi="Arial"/>
          <w:sz w:val="18"/>
          <w:szCs w:val="18"/>
          <w:color w:val="auto"/>
        </w:rPr>
        <w:t>Restricted Stock Awards: To the extent consistent with the Company’s Bylaws, at the Board’s election, shares of Common Stock subject to a Restricted Stock Award may be (A) held in book entry form subject to the Company’s instructions until such shares become vested or any other restrictions lapse, or (B)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79" w:lineRule="exact"/>
        <w:rPr>
          <w:rFonts w:ascii="Arial" w:cs="Arial" w:eastAsia="Arial" w:hAnsi="Arial"/>
          <w:sz w:val="18"/>
          <w:szCs w:val="18"/>
          <w:b w:val="1"/>
          <w:bCs w:val="1"/>
          <w:color w:val="auto"/>
        </w:rPr>
      </w:pPr>
    </w:p>
    <w:p>
      <w:pPr>
        <w:ind w:left="4" w:firstLine="1428"/>
        <w:spacing w:after="0" w:line="263" w:lineRule="auto"/>
        <w:tabs>
          <w:tab w:leader="none" w:pos="1691" w:val="left"/>
        </w:tabs>
        <w:numPr>
          <w:ilvl w:val="3"/>
          <w:numId w:val="279"/>
        </w:numPr>
        <w:rPr>
          <w:rFonts w:ascii="Arial" w:cs="Arial" w:eastAsia="Arial" w:hAnsi="Arial"/>
          <w:sz w:val="18"/>
          <w:szCs w:val="18"/>
          <w:b w:val="1"/>
          <w:bCs w:val="1"/>
          <w:color w:val="auto"/>
        </w:rPr>
      </w:pPr>
      <w:r>
        <w:rPr>
          <w:rFonts w:ascii="Arial" w:cs="Arial" w:eastAsia="Arial" w:hAnsi="Arial"/>
          <w:sz w:val="18"/>
          <w:szCs w:val="18"/>
          <w:color w:val="auto"/>
        </w:rPr>
        <w:t>RSU Awards: An RSU Award represents a Participant’s right to be issued on a future date the number of shares of Common Stock that is equal to the number of restricted stock units subject to the RSU Award. As a holder of an RSU Award, a Participant is an unsecured creditor of the Company with respect to the Company’s unfunded obligation, if any,</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379" w:name="page380"/>
    <w:bookmarkEnd w:id="379"/>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75" w:lineRule="exact"/>
        <w:rPr>
          <w:sz w:val="20"/>
          <w:szCs w:val="20"/>
          <w:color w:val="auto"/>
        </w:rPr>
      </w:pPr>
    </w:p>
    <w:p>
      <w:pPr>
        <w:ind w:left="1260" w:hanging="273"/>
        <w:spacing w:after="0"/>
        <w:tabs>
          <w:tab w:leader="none" w:pos="1260" w:val="left"/>
        </w:tabs>
        <w:numPr>
          <w:ilvl w:val="1"/>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p>
    <w:p>
      <w:pPr>
        <w:spacing w:after="0" w:line="121" w:lineRule="exact"/>
        <w:rPr>
          <w:rFonts w:ascii="Arial" w:cs="Arial" w:eastAsia="Arial" w:hAnsi="Arial"/>
          <w:sz w:val="18"/>
          <w:szCs w:val="18"/>
          <w:b w:val="1"/>
          <w:bCs w:val="1"/>
          <w:color w:val="auto"/>
        </w:rPr>
      </w:pPr>
    </w:p>
    <w:p>
      <w:pPr>
        <w:ind w:right="100" w:firstLine="1428"/>
        <w:spacing w:after="0" w:line="263" w:lineRule="auto"/>
        <w:tabs>
          <w:tab w:leader="none" w:pos="1687" w:val="left"/>
        </w:tabs>
        <w:numPr>
          <w:ilvl w:val="2"/>
          <w:numId w:val="280"/>
        </w:numPr>
        <w:rPr>
          <w:rFonts w:ascii="Arial" w:cs="Arial" w:eastAsia="Arial" w:hAnsi="Arial"/>
          <w:sz w:val="18"/>
          <w:szCs w:val="18"/>
          <w:b w:val="1"/>
          <w:bCs w:val="1"/>
          <w:color w:val="auto"/>
        </w:rPr>
      </w:pPr>
      <w:r>
        <w:rPr>
          <w:rFonts w:ascii="Arial" w:cs="Arial" w:eastAsia="Arial" w:hAnsi="Arial"/>
          <w:sz w:val="18"/>
          <w:szCs w:val="18"/>
          <w:color w:val="auto"/>
        </w:rPr>
        <w:t>Restricted Stock Awards: A Restricted Stock Award may be granted in consideration for (A) cash or check, bank draft or money order payable to the Company, (B) services to the Company or an Affiliate, or (C) any other form of consideration as the Board may determine and permissible under Applicable Law.</w:t>
      </w:r>
    </w:p>
    <w:p>
      <w:pPr>
        <w:spacing w:after="0" w:line="75" w:lineRule="exact"/>
        <w:rPr>
          <w:rFonts w:ascii="Arial" w:cs="Arial" w:eastAsia="Arial" w:hAnsi="Arial"/>
          <w:sz w:val="18"/>
          <w:szCs w:val="18"/>
          <w:b w:val="1"/>
          <w:bCs w:val="1"/>
          <w:color w:val="auto"/>
        </w:rPr>
      </w:pPr>
    </w:p>
    <w:p>
      <w:pPr>
        <w:ind w:right="60" w:firstLine="1428"/>
        <w:spacing w:after="0" w:line="273" w:lineRule="auto"/>
        <w:tabs>
          <w:tab w:leader="none" w:pos="1687" w:val="left"/>
        </w:tabs>
        <w:numPr>
          <w:ilvl w:val="2"/>
          <w:numId w:val="280"/>
        </w:numPr>
        <w:rPr>
          <w:rFonts w:ascii="Arial" w:cs="Arial" w:eastAsia="Arial" w:hAnsi="Arial"/>
          <w:sz w:val="17"/>
          <w:szCs w:val="17"/>
          <w:b w:val="1"/>
          <w:bCs w:val="1"/>
          <w:color w:val="auto"/>
        </w:rPr>
      </w:pPr>
      <w:r>
        <w:rPr>
          <w:rFonts w:ascii="Arial" w:cs="Arial" w:eastAsia="Arial" w:hAnsi="Arial"/>
          <w:sz w:val="17"/>
          <w:szCs w:val="17"/>
          <w:color w:val="auto"/>
        </w:rPr>
        <w:t>RSU Awards: Unless otherwise determined by the Board at the time of grant, an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65" w:lineRule="exact"/>
        <w:rPr>
          <w:rFonts w:ascii="Arial" w:cs="Arial" w:eastAsia="Arial" w:hAnsi="Arial"/>
          <w:sz w:val="17"/>
          <w:szCs w:val="17"/>
          <w:b w:val="1"/>
          <w:bCs w:val="1"/>
          <w:color w:val="auto"/>
        </w:rPr>
      </w:pPr>
    </w:p>
    <w:p>
      <w:pPr>
        <w:ind w:right="20" w:firstLine="436"/>
        <w:spacing w:after="0" w:line="289" w:lineRule="auto"/>
        <w:tabs>
          <w:tab w:leader="none" w:pos="755" w:val="left"/>
        </w:tabs>
        <w:numPr>
          <w:ilvl w:val="0"/>
          <w:numId w:val="28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Vesting. </w:t>
      </w:r>
      <w:r>
        <w:rPr>
          <w:rFonts w:ascii="Arial" w:cs="Arial" w:eastAsia="Arial" w:hAnsi="Arial"/>
          <w:sz w:val="17"/>
          <w:szCs w:val="17"/>
          <w:color w:val="auto"/>
        </w:rPr>
        <w:t>The Board may impose such restrictions on or conditions to the vesting of a Restricted Stock Award or RSU Award as determined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49" w:lineRule="exact"/>
        <w:rPr>
          <w:rFonts w:ascii="Arial" w:cs="Arial" w:eastAsia="Arial" w:hAnsi="Arial"/>
          <w:sz w:val="17"/>
          <w:szCs w:val="17"/>
          <w:b w:val="1"/>
          <w:bCs w:val="1"/>
          <w:color w:val="auto"/>
        </w:rPr>
      </w:pPr>
    </w:p>
    <w:p>
      <w:pPr>
        <w:ind w:firstLine="436"/>
        <w:spacing w:after="0" w:line="254" w:lineRule="auto"/>
        <w:tabs>
          <w:tab w:leader="none" w:pos="745"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Continuous Service. </w:t>
      </w:r>
      <w:r>
        <w:rPr>
          <w:rFonts w:ascii="Arial" w:cs="Arial" w:eastAsia="Arial" w:hAnsi="Arial"/>
          <w:sz w:val="18"/>
          <w:szCs w:val="18"/>
          <w:color w:val="auto"/>
        </w:rPr>
        <w:t>Except as otherwise provided in the Award Agreement or other written agreement between a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Company or an Affiliate, if a Participant’s Continuous Service terminates for any reason, (1)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the Participant will have no further right, title or interest in the Restricted Stock Award, the shares of Common Stock subject to the Restricted Stock Award, or any consideration in respect of the Restricted Stock Award and (2)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83" w:lineRule="exact"/>
        <w:rPr>
          <w:rFonts w:ascii="Arial" w:cs="Arial" w:eastAsia="Arial" w:hAnsi="Arial"/>
          <w:sz w:val="18"/>
          <w:szCs w:val="18"/>
          <w:b w:val="1"/>
          <w:bCs w:val="1"/>
          <w:color w:val="auto"/>
        </w:rPr>
      </w:pPr>
    </w:p>
    <w:p>
      <w:pPr>
        <w:ind w:right="20" w:firstLine="436"/>
        <w:spacing w:after="0" w:line="312" w:lineRule="auto"/>
        <w:tabs>
          <w:tab w:leader="none" w:pos="695" w:val="left"/>
        </w:tabs>
        <w:numPr>
          <w:ilvl w:val="0"/>
          <w:numId w:val="28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Dividends and Dividend Equivalents. </w:t>
      </w:r>
      <w:r>
        <w:rPr>
          <w:rFonts w:ascii="Arial" w:cs="Arial" w:eastAsia="Arial" w:hAnsi="Arial"/>
          <w:sz w:val="17"/>
          <w:szCs w:val="17"/>
          <w:color w:val="auto"/>
        </w:rPr>
        <w:t>Dividends or dividend equivalents may be paid or credited, as applicable, with respect to any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subject to a Restricted Stock Award or RSU Award, as determined by the Board and specified in the Award Agreement.</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380" w:name="page381"/>
    <w:bookmarkEnd w:id="380"/>
    <w:p>
      <w:pPr>
        <w:jc w:val="both"/>
        <w:ind w:left="4" w:right="60" w:firstLine="987"/>
        <w:spacing w:after="0" w:line="314" w:lineRule="auto"/>
        <w:tabs>
          <w:tab w:leader="none" w:pos="1300" w:val="left"/>
        </w:tabs>
        <w:numPr>
          <w:ilvl w:val="2"/>
          <w:numId w:val="282"/>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Settlement of RSU Awards</w:t>
      </w:r>
      <w:r>
        <w:rPr>
          <w:rFonts w:ascii="Arial" w:cs="Arial" w:eastAsia="Arial" w:hAnsi="Arial"/>
          <w:sz w:val="16"/>
          <w:szCs w:val="16"/>
          <w:color w:val="auto"/>
        </w:rPr>
        <w:t>. An RSU Award may be settled by the issuance of shares of Common Stock or cash (or any combination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33" w:lineRule="exact"/>
        <w:rPr>
          <w:rFonts w:ascii="Arial" w:cs="Arial" w:eastAsia="Arial" w:hAnsi="Arial"/>
          <w:sz w:val="16"/>
          <w:szCs w:val="16"/>
          <w:b w:val="1"/>
          <w:bCs w:val="1"/>
          <w:color w:val="auto"/>
        </w:rPr>
      </w:pPr>
    </w:p>
    <w:p>
      <w:pPr>
        <w:jc w:val="both"/>
        <w:ind w:left="4" w:right="80" w:firstLine="436"/>
        <w:spacing w:after="0" w:line="266" w:lineRule="auto"/>
        <w:tabs>
          <w:tab w:leader="none" w:pos="709" w:val="left"/>
        </w:tabs>
        <w:numPr>
          <w:ilvl w:val="1"/>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Awards</w:t>
      </w:r>
      <w:r>
        <w:rPr>
          <w:rFonts w:ascii="Arial" w:cs="Arial" w:eastAsia="Arial" w:hAnsi="Arial"/>
          <w:sz w:val="18"/>
          <w:szCs w:val="18"/>
          <w:color w:val="auto"/>
        </w:rPr>
        <w:t>. With respect to any Performance Award, the length of any Performance Period, the Performance Goals to be achieved</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Performance Period, the other terms and conditions of such Award, and the measure of whether and to what degree such Performance Goals have been attained will be determined by the Board.</w:t>
      </w:r>
    </w:p>
    <w:p>
      <w:pPr>
        <w:spacing w:after="0" w:line="67" w:lineRule="exact"/>
        <w:rPr>
          <w:rFonts w:ascii="Arial" w:cs="Arial" w:eastAsia="Arial" w:hAnsi="Arial"/>
          <w:sz w:val="18"/>
          <w:szCs w:val="18"/>
          <w:b w:val="1"/>
          <w:bCs w:val="1"/>
          <w:color w:val="auto"/>
        </w:rPr>
      </w:pPr>
    </w:p>
    <w:p>
      <w:pPr>
        <w:ind w:left="4" w:right="300" w:firstLine="436"/>
        <w:spacing w:after="0" w:line="277" w:lineRule="auto"/>
        <w:tabs>
          <w:tab w:leader="none" w:pos="689" w:val="left"/>
        </w:tabs>
        <w:numPr>
          <w:ilvl w:val="1"/>
          <w:numId w:val="283"/>
        </w:numPr>
        <w:rPr>
          <w:rFonts w:ascii="Arial" w:cs="Arial" w:eastAsia="Arial" w:hAnsi="Arial"/>
          <w:sz w:val="17"/>
          <w:szCs w:val="17"/>
          <w:b w:val="1"/>
          <w:bCs w:val="1"/>
          <w:color w:val="auto"/>
        </w:rPr>
      </w:pPr>
      <w:r>
        <w:rPr>
          <w:rFonts w:ascii="Arial" w:cs="Arial" w:eastAsia="Arial" w:hAnsi="Arial"/>
          <w:sz w:val="17"/>
          <w:szCs w:val="17"/>
          <w:b w:val="1"/>
          <w:bCs w:val="1"/>
          <w:color w:val="auto"/>
        </w:rPr>
        <w:t>Other Awards</w:t>
      </w:r>
      <w:r>
        <w:rPr>
          <w:rFonts w:ascii="Arial" w:cs="Arial" w:eastAsia="Arial" w:hAnsi="Arial"/>
          <w:sz w:val="17"/>
          <w:szCs w:val="17"/>
          <w:color w:val="auto"/>
        </w:rPr>
        <w:t>. Other forms of Awards valued in whole or in part by reference to, or otherwise based on, Common Stock, including the</w:t>
      </w:r>
      <w:r>
        <w:rPr>
          <w:rFonts w:ascii="Arial" w:cs="Arial" w:eastAsia="Arial" w:hAnsi="Arial"/>
          <w:sz w:val="17"/>
          <w:szCs w:val="17"/>
          <w:b w:val="1"/>
          <w:bCs w:val="1"/>
          <w:color w:val="auto"/>
        </w:rPr>
        <w:t xml:space="preserve"> </w:t>
      </w:r>
      <w:r>
        <w:rPr>
          <w:rFonts w:ascii="Arial" w:cs="Arial" w:eastAsia="Arial" w:hAnsi="Arial"/>
          <w:sz w:val="17"/>
          <w:szCs w:val="17"/>
          <w:color w:val="auto"/>
        </w:rPr>
        <w:t>appreciation in value thereof,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194" w:lineRule="exact"/>
        <w:rPr>
          <w:rFonts w:ascii="Arial" w:cs="Arial" w:eastAsia="Arial" w:hAnsi="Arial"/>
          <w:sz w:val="17"/>
          <w:szCs w:val="17"/>
          <w:b w:val="1"/>
          <w:bCs w:val="1"/>
          <w:color w:val="auto"/>
        </w:rPr>
      </w:pPr>
    </w:p>
    <w:p>
      <w:pPr>
        <w:ind w:left="424" w:hanging="424"/>
        <w:spacing w:after="0"/>
        <w:tabs>
          <w:tab w:leader="none" w:pos="424"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DJUSTMENTS</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PON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HANGES 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VENTS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240" w:firstLine="436"/>
        <w:spacing w:after="0" w:line="272" w:lineRule="auto"/>
        <w:tabs>
          <w:tab w:leader="none" w:pos="699" w:val="left"/>
        </w:tabs>
        <w:numPr>
          <w:ilvl w:val="1"/>
          <w:numId w:val="284"/>
        </w:numPr>
        <w:rPr>
          <w:rFonts w:ascii="Arial" w:cs="Arial" w:eastAsia="Arial" w:hAnsi="Arial"/>
          <w:sz w:val="17"/>
          <w:szCs w:val="17"/>
          <w:b w:val="1"/>
          <w:bCs w:val="1"/>
          <w:color w:val="auto"/>
        </w:rPr>
      </w:pPr>
      <w:r>
        <w:rPr>
          <w:rFonts w:ascii="Arial" w:cs="Arial" w:eastAsia="Arial" w:hAnsi="Arial"/>
          <w:sz w:val="17"/>
          <w:szCs w:val="17"/>
          <w:b w:val="1"/>
          <w:bCs w:val="1"/>
          <w:color w:val="auto"/>
        </w:rPr>
        <w:t>Capitalization Adjustments</w:t>
      </w:r>
      <w:r>
        <w:rPr>
          <w:rFonts w:ascii="Arial" w:cs="Arial" w:eastAsia="Arial" w:hAnsi="Arial"/>
          <w:sz w:val="17"/>
          <w:szCs w:val="17"/>
          <w:color w:val="auto"/>
        </w:rPr>
        <w:t>. In the event of a Capitalization Adjustment, the Board shall appropriately and proportionately adjust: (i) the</w:t>
      </w:r>
      <w:r>
        <w:rPr>
          <w:rFonts w:ascii="Arial" w:cs="Arial" w:eastAsia="Arial" w:hAnsi="Arial"/>
          <w:sz w:val="17"/>
          <w:szCs w:val="17"/>
          <w:b w:val="1"/>
          <w:bCs w:val="1"/>
          <w:color w:val="auto"/>
        </w:rPr>
        <w:t xml:space="preserve"> </w:t>
      </w:r>
      <w:r>
        <w:rPr>
          <w:rFonts w:ascii="Arial" w:cs="Arial" w:eastAsia="Arial" w:hAnsi="Arial"/>
          <w:sz w:val="17"/>
          <w:szCs w:val="17"/>
          <w:color w:val="auto"/>
        </w:rPr>
        <w:t>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2(b);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63" w:lineRule="exact"/>
        <w:rPr>
          <w:rFonts w:ascii="Arial" w:cs="Arial" w:eastAsia="Arial" w:hAnsi="Arial"/>
          <w:sz w:val="17"/>
          <w:szCs w:val="17"/>
          <w:b w:val="1"/>
          <w:bCs w:val="1"/>
          <w:color w:val="auto"/>
        </w:rPr>
      </w:pPr>
    </w:p>
    <w:p>
      <w:pPr>
        <w:ind w:left="4" w:firstLine="436"/>
        <w:spacing w:after="0" w:line="273" w:lineRule="auto"/>
        <w:tabs>
          <w:tab w:leader="none" w:pos="709" w:val="left"/>
        </w:tabs>
        <w:numPr>
          <w:ilvl w:val="1"/>
          <w:numId w:val="28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Dissolution or Liquidation. </w:t>
      </w:r>
      <w:r>
        <w:rPr>
          <w:rFonts w:ascii="Arial" w:cs="Arial" w:eastAsia="Arial" w:hAnsi="Arial"/>
          <w:sz w:val="17"/>
          <w:szCs w:val="17"/>
          <w:color w:val="auto"/>
        </w:rPr>
        <w:t>Except as otherwise provided in the Award Agreement, in the event of a dissolution or liquidation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10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0" w:right="479" w:bottom="1440" w:gutter="0" w:footer="0" w:header="0"/>
        </w:sectPr>
      </w:pPr>
    </w:p>
    <w:bookmarkStart w:id="381" w:name="page382"/>
    <w:bookmarkEnd w:id="381"/>
    <w:p>
      <w:pPr>
        <w:ind w:left="680" w:hanging="244"/>
        <w:spacing w:after="0"/>
        <w:tabs>
          <w:tab w:leader="none" w:pos="680" w:val="left"/>
        </w:tabs>
        <w:numPr>
          <w:ilvl w:val="0"/>
          <w:numId w:val="285"/>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Corporate Transaction. </w:t>
      </w:r>
      <w:r>
        <w:rPr>
          <w:rFonts w:ascii="Arial" w:cs="Arial" w:eastAsia="Arial" w:hAnsi="Arial"/>
          <w:sz w:val="17"/>
          <w:szCs w:val="17"/>
          <w:color w:val="auto"/>
        </w:rPr>
        <w:t>The following provisions will apply to Awards in the event of a Corporate Transaction, except as set forth in</w:t>
      </w:r>
    </w:p>
    <w:p>
      <w:pPr>
        <w:spacing w:after="0" w:line="39"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Section 11, unless otherwise provided in the instrument evidencing the Award or any other written agreement between the Company or any Affiliate and the Participant or unless otherwise expressly provided by the Board at the time of grant of an Award.</w:t>
      </w:r>
    </w:p>
    <w:p>
      <w:pPr>
        <w:spacing w:after="0" w:line="73" w:lineRule="exact"/>
        <w:rPr>
          <w:sz w:val="20"/>
          <w:szCs w:val="20"/>
          <w:color w:val="auto"/>
        </w:rPr>
      </w:pPr>
    </w:p>
    <w:p>
      <w:pPr>
        <w:ind w:right="180" w:firstLine="987"/>
        <w:spacing w:after="0" w:line="272" w:lineRule="auto"/>
        <w:tabs>
          <w:tab w:leader="none" w:pos="1206" w:val="left"/>
        </w:tabs>
        <w:numPr>
          <w:ilvl w:val="0"/>
          <w:numId w:val="28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Awards May Be Assumed. </w:t>
      </w:r>
      <w:r>
        <w:rPr>
          <w:rFonts w:ascii="Arial" w:cs="Arial" w:eastAsia="Arial" w:hAnsi="Arial"/>
          <w:sz w:val="17"/>
          <w:szCs w:val="17"/>
          <w:color w:val="auto"/>
        </w:rPr>
        <w:t>In the event of a Corporate Transaction, any surviving corporation or acquiring corporation (or the</w:t>
      </w:r>
      <w:r>
        <w:rPr>
          <w:rFonts w:ascii="Arial" w:cs="Arial" w:eastAsia="Arial" w:hAnsi="Arial"/>
          <w:sz w:val="17"/>
          <w:szCs w:val="17"/>
          <w:b w:val="1"/>
          <w:bCs w:val="1"/>
          <w:color w:val="auto"/>
        </w:rPr>
        <w:t xml:space="preserve"> </w:t>
      </w:r>
      <w:r>
        <w:rPr>
          <w:rFonts w:ascii="Arial" w:cs="Arial" w:eastAsia="Arial" w:hAnsi="Arial"/>
          <w:sz w:val="17"/>
          <w:szCs w:val="17"/>
          <w:color w:val="auto"/>
        </w:rPr>
        <w:t>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63" w:lineRule="exact"/>
        <w:rPr>
          <w:rFonts w:ascii="Arial" w:cs="Arial" w:eastAsia="Arial" w:hAnsi="Arial"/>
          <w:sz w:val="17"/>
          <w:szCs w:val="17"/>
          <w:b w:val="1"/>
          <w:bCs w:val="1"/>
          <w:color w:val="auto"/>
        </w:rPr>
      </w:pPr>
    </w:p>
    <w:p>
      <w:pPr>
        <w:ind w:firstLine="987"/>
        <w:spacing w:after="0" w:line="286" w:lineRule="auto"/>
        <w:tabs>
          <w:tab w:leader="none" w:pos="1256" w:val="left"/>
        </w:tabs>
        <w:numPr>
          <w:ilvl w:val="0"/>
          <w:numId w:val="28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Awards Held by Current Participants. </w:t>
      </w:r>
      <w:r>
        <w:rPr>
          <w:rFonts w:ascii="Arial" w:cs="Arial" w:eastAsia="Arial" w:hAnsi="Arial"/>
          <w:sz w:val="16"/>
          <w:szCs w:val="16"/>
          <w:color w:val="auto"/>
        </w:rPr>
        <w:t>In the event of a Corporate Transaction in which the surviving corporation or acquiring</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Arial" w:cs="Arial" w:eastAsia="Arial" w:hAnsi="Arial"/>
          <w:sz w:val="16"/>
          <w:szCs w:val="16"/>
          <w:b w:val="1"/>
          <w:bCs w:val="1"/>
          <w:i w:val="1"/>
          <w:iCs w:val="1"/>
          <w:color w:val="auto"/>
        </w:rPr>
        <w:t>Current Participants</w:t>
      </w:r>
      <w:r>
        <w:rPr>
          <w:rFonts w:ascii="Arial" w:cs="Arial" w:eastAsia="Arial" w:hAnsi="Arial"/>
          <w:sz w:val="16"/>
          <w:szCs w:val="16"/>
          <w:color w:val="auto"/>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in which the Awards are not assumed, continued or substituted in accordance with Section 6(c)(i).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or such later date as required to comply with Section 409A of the Code.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382" w:name="page383"/>
    <w:bookmarkEnd w:id="382"/>
    <w:p>
      <w:pPr>
        <w:ind w:left="4" w:firstLine="987"/>
        <w:spacing w:after="0" w:line="256" w:lineRule="auto"/>
        <w:tabs>
          <w:tab w:leader="none" w:pos="1310" w:val="left"/>
        </w:tabs>
        <w:numPr>
          <w:ilvl w:val="2"/>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Awards Held by Persons other than Current Participants. </w:t>
      </w:r>
      <w:r>
        <w:rPr>
          <w:rFonts w:ascii="Arial" w:cs="Arial" w:eastAsia="Arial" w:hAnsi="Arial"/>
          <w:sz w:val="18"/>
          <w:szCs w:val="18"/>
          <w:color w:val="auto"/>
        </w:rPr>
        <w:t>In the event of a Corporate Transaction in which the surviving</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79" w:lineRule="exact"/>
        <w:rPr>
          <w:rFonts w:ascii="Arial" w:cs="Arial" w:eastAsia="Arial" w:hAnsi="Arial"/>
          <w:sz w:val="18"/>
          <w:szCs w:val="18"/>
          <w:b w:val="1"/>
          <w:bCs w:val="1"/>
          <w:color w:val="auto"/>
        </w:rPr>
      </w:pPr>
    </w:p>
    <w:p>
      <w:pPr>
        <w:ind w:left="4" w:right="20" w:firstLine="987"/>
        <w:spacing w:after="0" w:line="277" w:lineRule="auto"/>
        <w:tabs>
          <w:tab w:leader="none" w:pos="1300" w:val="left"/>
        </w:tabs>
        <w:numPr>
          <w:ilvl w:val="2"/>
          <w:numId w:val="28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Payment for Awards in Lieu of Exercise. </w:t>
      </w:r>
      <w:r>
        <w:rPr>
          <w:rFonts w:ascii="Arial" w:cs="Arial" w:eastAsia="Arial" w:hAnsi="Arial"/>
          <w:sz w:val="17"/>
          <w:szCs w:val="17"/>
          <w:color w:val="auto"/>
        </w:rPr>
        <w:t>Notwithstanding the foregoing, in the event an Award will terminate if not exercised prior</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59" w:lineRule="exact"/>
        <w:rPr>
          <w:rFonts w:ascii="Arial" w:cs="Arial" w:eastAsia="Arial" w:hAnsi="Arial"/>
          <w:sz w:val="17"/>
          <w:szCs w:val="17"/>
          <w:b w:val="1"/>
          <w:bCs w:val="1"/>
          <w:color w:val="auto"/>
        </w:rPr>
      </w:pPr>
    </w:p>
    <w:p>
      <w:pPr>
        <w:ind w:left="4" w:right="40" w:firstLine="436"/>
        <w:spacing w:after="0" w:line="261" w:lineRule="auto"/>
        <w:tabs>
          <w:tab w:leader="none" w:pos="709" w:val="left"/>
        </w:tabs>
        <w:numPr>
          <w:ilvl w:val="1"/>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Appointment of Stockholder Representative. </w:t>
      </w:r>
      <w:r>
        <w:rPr>
          <w:rFonts w:ascii="Arial" w:cs="Arial" w:eastAsia="Arial" w:hAnsi="Arial"/>
          <w:sz w:val="18"/>
          <w:szCs w:val="18"/>
          <w:color w:val="auto"/>
        </w:rPr>
        <w:t>As a condition to the receipt of an Award under this Plan, a Participant will be deemed to have</w:t>
      </w:r>
      <w:r>
        <w:rPr>
          <w:rFonts w:ascii="Arial" w:cs="Arial" w:eastAsia="Arial" w:hAnsi="Arial"/>
          <w:sz w:val="18"/>
          <w:szCs w:val="18"/>
          <w:b w:val="1"/>
          <w:bCs w:val="1"/>
          <w:color w:val="auto"/>
        </w:rPr>
        <w:t xml:space="preserve"> </w:t>
      </w:r>
      <w:r>
        <w:rPr>
          <w:rFonts w:ascii="Arial" w:cs="Arial" w:eastAsia="Arial" w:hAnsi="Arial"/>
          <w:sz w:val="18"/>
          <w:szCs w:val="18"/>
          <w:color w:val="auto"/>
        </w:rPr>
        <w:t>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71" w:lineRule="exact"/>
        <w:rPr>
          <w:rFonts w:ascii="Arial" w:cs="Arial" w:eastAsia="Arial" w:hAnsi="Arial"/>
          <w:sz w:val="18"/>
          <w:szCs w:val="18"/>
          <w:b w:val="1"/>
          <w:bCs w:val="1"/>
          <w:color w:val="auto"/>
        </w:rPr>
      </w:pPr>
    </w:p>
    <w:p>
      <w:pPr>
        <w:ind w:left="4" w:right="80" w:firstLine="436"/>
        <w:spacing w:after="0" w:line="255" w:lineRule="auto"/>
        <w:tabs>
          <w:tab w:leader="none" w:pos="689" w:val="left"/>
        </w:tabs>
        <w:numPr>
          <w:ilvl w:val="1"/>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Restriction on Right to Undertake Transactions. </w:t>
      </w:r>
      <w:r>
        <w:rPr>
          <w:rFonts w:ascii="Arial" w:cs="Arial" w:eastAsia="Arial" w:hAnsi="Arial"/>
          <w:sz w:val="18"/>
          <w:szCs w:val="18"/>
          <w:color w:val="auto"/>
        </w:rPr>
        <w:t>The grant of any Award under the Plan and the issuance of shares pursuant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215" w:lineRule="exact"/>
        <w:rPr>
          <w:rFonts w:ascii="Arial" w:cs="Arial" w:eastAsia="Arial" w:hAnsi="Arial"/>
          <w:sz w:val="18"/>
          <w:szCs w:val="18"/>
          <w:b w:val="1"/>
          <w:bCs w:val="1"/>
          <w:color w:val="auto"/>
        </w:rPr>
      </w:pPr>
    </w:p>
    <w:p>
      <w:pPr>
        <w:ind w:left="424" w:hanging="424"/>
        <w:spacing w:after="0"/>
        <w:tabs>
          <w:tab w:leader="none" w:pos="424"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DMINISTRATION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60" w:firstLine="436"/>
        <w:spacing w:after="0" w:line="282" w:lineRule="auto"/>
        <w:tabs>
          <w:tab w:leader="none" w:pos="699" w:val="left"/>
        </w:tabs>
        <w:numPr>
          <w:ilvl w:val="1"/>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Administration by Board. </w:t>
      </w:r>
      <w:r>
        <w:rPr>
          <w:rFonts w:ascii="Arial" w:cs="Arial" w:eastAsia="Arial" w:hAnsi="Arial"/>
          <w:sz w:val="18"/>
          <w:szCs w:val="18"/>
          <w:color w:val="auto"/>
        </w:rPr>
        <w:t>The Board will administer the Plan unless and until the Board delegates administration of the Plan to a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or Committees, as provided in subsection (c) below.</w:t>
      </w:r>
    </w:p>
    <w:p>
      <w:pPr>
        <w:spacing w:after="0" w:line="53" w:lineRule="exact"/>
        <w:rPr>
          <w:rFonts w:ascii="Arial" w:cs="Arial" w:eastAsia="Arial" w:hAnsi="Arial"/>
          <w:sz w:val="18"/>
          <w:szCs w:val="18"/>
          <w:b w:val="1"/>
          <w:bCs w:val="1"/>
          <w:color w:val="auto"/>
        </w:rPr>
      </w:pPr>
    </w:p>
    <w:p>
      <w:pPr>
        <w:ind w:left="704" w:hanging="264"/>
        <w:spacing w:after="0"/>
        <w:tabs>
          <w:tab w:leader="none" w:pos="704" w:val="left"/>
        </w:tabs>
        <w:numPr>
          <w:ilvl w:val="1"/>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Powers of Board. </w:t>
      </w:r>
      <w:r>
        <w:rPr>
          <w:rFonts w:ascii="Arial" w:cs="Arial" w:eastAsia="Arial" w:hAnsi="Arial"/>
          <w:sz w:val="18"/>
          <w:szCs w:val="18"/>
          <w:color w:val="auto"/>
        </w:rPr>
        <w:t>The Board will have the power, subject to, and within the limitations of, the express provisions of the Plan:</w:t>
      </w:r>
    </w:p>
    <w:p>
      <w:pPr>
        <w:spacing w:after="0" w:line="121" w:lineRule="exact"/>
        <w:rPr>
          <w:rFonts w:ascii="Arial" w:cs="Arial" w:eastAsia="Arial" w:hAnsi="Arial"/>
          <w:sz w:val="18"/>
          <w:szCs w:val="18"/>
          <w:b w:val="1"/>
          <w:bCs w:val="1"/>
          <w:color w:val="auto"/>
        </w:rPr>
      </w:pPr>
    </w:p>
    <w:p>
      <w:pPr>
        <w:jc w:val="both"/>
        <w:ind w:left="4" w:right="40" w:firstLine="987"/>
        <w:spacing w:after="0" w:line="263" w:lineRule="auto"/>
        <w:tabs>
          <w:tab w:leader="none" w:pos="1210" w:val="left"/>
        </w:tabs>
        <w:numPr>
          <w:ilvl w:val="2"/>
          <w:numId w:val="289"/>
        </w:numPr>
        <w:rPr>
          <w:rFonts w:ascii="Arial" w:cs="Arial" w:eastAsia="Arial" w:hAnsi="Arial"/>
          <w:sz w:val="18"/>
          <w:szCs w:val="18"/>
          <w:b w:val="1"/>
          <w:bCs w:val="1"/>
          <w:color w:val="auto"/>
        </w:rPr>
      </w:pPr>
      <w:r>
        <w:rPr>
          <w:rFonts w:ascii="Arial" w:cs="Arial" w:eastAsia="Arial" w:hAnsi="Arial"/>
          <w:sz w:val="18"/>
          <w:szCs w:val="18"/>
          <w:color w:val="auto"/>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0" w:right="459" w:bottom="1440" w:gutter="0" w:footer="0" w:header="0"/>
        </w:sectPr>
      </w:pPr>
    </w:p>
    <w:bookmarkStart w:id="383" w:name="page384"/>
    <w:bookmarkEnd w:id="383"/>
    <w:p>
      <w:pPr>
        <w:jc w:val="both"/>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w:t>
      </w:r>
    </w:p>
    <w:p>
      <w:pPr>
        <w:spacing w:after="0" w:line="79" w:lineRule="exact"/>
        <w:rPr>
          <w:sz w:val="20"/>
          <w:szCs w:val="20"/>
          <w:color w:val="auto"/>
        </w:rPr>
      </w:pPr>
    </w:p>
    <w:p>
      <w:pPr>
        <w:ind w:left="4" w:right="60" w:firstLine="987"/>
        <w:spacing w:after="0" w:line="263" w:lineRule="auto"/>
        <w:tabs>
          <w:tab w:leader="none" w:pos="1260" w:val="left"/>
        </w:tabs>
        <w:numPr>
          <w:ilvl w:val="1"/>
          <w:numId w:val="290"/>
        </w:numPr>
        <w:rPr>
          <w:rFonts w:ascii="Arial" w:cs="Arial" w:eastAsia="Arial" w:hAnsi="Arial"/>
          <w:sz w:val="18"/>
          <w:szCs w:val="18"/>
          <w:b w:val="1"/>
          <w:bCs w:val="1"/>
          <w:color w:val="auto"/>
        </w:rPr>
      </w:pPr>
      <w:r>
        <w:rPr>
          <w:rFonts w:ascii="Arial" w:cs="Arial" w:eastAsia="Arial" w:hAnsi="Arial"/>
          <w:sz w:val="18"/>
          <w:szCs w:val="18"/>
          <w:color w:val="auto"/>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75" w:lineRule="exact"/>
        <w:rPr>
          <w:rFonts w:ascii="Arial" w:cs="Arial" w:eastAsia="Arial" w:hAnsi="Arial"/>
          <w:sz w:val="18"/>
          <w:szCs w:val="18"/>
          <w:b w:val="1"/>
          <w:bCs w:val="1"/>
          <w:color w:val="auto"/>
        </w:rPr>
      </w:pPr>
    </w:p>
    <w:p>
      <w:pPr>
        <w:ind w:left="1304" w:hanging="313"/>
        <w:spacing w:after="0"/>
        <w:tabs>
          <w:tab w:leader="none" w:pos="1304" w:val="left"/>
        </w:tabs>
        <w:numPr>
          <w:ilvl w:val="1"/>
          <w:numId w:val="290"/>
        </w:numPr>
        <w:rPr>
          <w:rFonts w:ascii="Arial" w:cs="Arial" w:eastAsia="Arial" w:hAnsi="Arial"/>
          <w:sz w:val="18"/>
          <w:szCs w:val="18"/>
          <w:b w:val="1"/>
          <w:bCs w:val="1"/>
          <w:color w:val="auto"/>
        </w:rPr>
      </w:pPr>
      <w:r>
        <w:rPr>
          <w:rFonts w:ascii="Arial" w:cs="Arial" w:eastAsia="Arial" w:hAnsi="Arial"/>
          <w:sz w:val="18"/>
          <w:szCs w:val="18"/>
          <w:color w:val="auto"/>
        </w:rPr>
        <w:t>To settle all controversies regarding the Plan and Awards granted under it.</w:t>
      </w:r>
    </w:p>
    <w:p>
      <w:pPr>
        <w:spacing w:after="0" w:line="117" w:lineRule="exact"/>
        <w:rPr>
          <w:rFonts w:ascii="Arial" w:cs="Arial" w:eastAsia="Arial" w:hAnsi="Arial"/>
          <w:sz w:val="18"/>
          <w:szCs w:val="18"/>
          <w:b w:val="1"/>
          <w:bCs w:val="1"/>
          <w:color w:val="auto"/>
        </w:rPr>
      </w:pPr>
    </w:p>
    <w:p>
      <w:pPr>
        <w:ind w:left="4" w:right="440" w:firstLine="987"/>
        <w:spacing w:after="0" w:line="342" w:lineRule="auto"/>
        <w:tabs>
          <w:tab w:leader="none" w:pos="1300" w:val="left"/>
        </w:tabs>
        <w:numPr>
          <w:ilvl w:val="1"/>
          <w:numId w:val="290"/>
        </w:numPr>
        <w:rPr>
          <w:rFonts w:ascii="Arial" w:cs="Arial" w:eastAsia="Arial" w:hAnsi="Arial"/>
          <w:sz w:val="16"/>
          <w:szCs w:val="16"/>
          <w:b w:val="1"/>
          <w:bCs w:val="1"/>
          <w:color w:val="auto"/>
        </w:rPr>
      </w:pPr>
      <w:r>
        <w:rPr>
          <w:rFonts w:ascii="Arial" w:cs="Arial" w:eastAsia="Arial" w:hAnsi="Arial"/>
          <w:sz w:val="16"/>
          <w:szCs w:val="16"/>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15" w:lineRule="exact"/>
        <w:rPr>
          <w:rFonts w:ascii="Arial" w:cs="Arial" w:eastAsia="Arial" w:hAnsi="Arial"/>
          <w:sz w:val="16"/>
          <w:szCs w:val="16"/>
          <w:b w:val="1"/>
          <w:bCs w:val="1"/>
          <w:color w:val="auto"/>
        </w:rPr>
      </w:pPr>
    </w:p>
    <w:p>
      <w:pPr>
        <w:ind w:left="4" w:right="80" w:firstLine="987"/>
        <w:spacing w:after="0" w:line="259" w:lineRule="auto"/>
        <w:tabs>
          <w:tab w:leader="none" w:pos="1250" w:val="left"/>
        </w:tabs>
        <w:numPr>
          <w:ilvl w:val="1"/>
          <w:numId w:val="290"/>
        </w:numPr>
        <w:rPr>
          <w:rFonts w:ascii="Arial" w:cs="Arial" w:eastAsia="Arial" w:hAnsi="Arial"/>
          <w:sz w:val="18"/>
          <w:szCs w:val="18"/>
          <w:b w:val="1"/>
          <w:bCs w:val="1"/>
          <w:color w:val="auto"/>
        </w:rPr>
      </w:pPr>
      <w:r>
        <w:rPr>
          <w:rFonts w:ascii="Arial" w:cs="Arial" w:eastAsia="Arial" w:hAnsi="Arial"/>
          <w:sz w:val="18"/>
          <w:szCs w:val="18"/>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78" w:lineRule="exact"/>
        <w:rPr>
          <w:rFonts w:ascii="Arial" w:cs="Arial" w:eastAsia="Arial" w:hAnsi="Arial"/>
          <w:sz w:val="18"/>
          <w:szCs w:val="18"/>
          <w:b w:val="1"/>
          <w:bCs w:val="1"/>
          <w:color w:val="auto"/>
        </w:rPr>
      </w:pPr>
    </w:p>
    <w:p>
      <w:pPr>
        <w:ind w:left="4" w:right="160" w:firstLine="987"/>
        <w:spacing w:after="0" w:line="277" w:lineRule="auto"/>
        <w:tabs>
          <w:tab w:leader="none" w:pos="1300" w:val="left"/>
        </w:tabs>
        <w:numPr>
          <w:ilvl w:val="1"/>
          <w:numId w:val="290"/>
        </w:numPr>
        <w:rPr>
          <w:rFonts w:ascii="Arial" w:cs="Arial" w:eastAsia="Arial" w:hAnsi="Arial"/>
          <w:sz w:val="18"/>
          <w:szCs w:val="18"/>
          <w:b w:val="1"/>
          <w:bCs w:val="1"/>
          <w:color w:val="auto"/>
        </w:rPr>
      </w:pPr>
      <w:r>
        <w:rPr>
          <w:rFonts w:ascii="Arial" w:cs="Arial" w:eastAsia="Arial" w:hAnsi="Arial"/>
          <w:sz w:val="18"/>
          <w:szCs w:val="18"/>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62" w:lineRule="exact"/>
        <w:rPr>
          <w:rFonts w:ascii="Arial" w:cs="Arial" w:eastAsia="Arial" w:hAnsi="Arial"/>
          <w:sz w:val="18"/>
          <w:szCs w:val="18"/>
          <w:b w:val="1"/>
          <w:bCs w:val="1"/>
          <w:color w:val="auto"/>
        </w:rPr>
      </w:pPr>
    </w:p>
    <w:p>
      <w:pPr>
        <w:ind w:left="4" w:right="60" w:firstLine="987"/>
        <w:spacing w:after="0" w:line="287" w:lineRule="auto"/>
        <w:tabs>
          <w:tab w:leader="none" w:pos="1350" w:val="left"/>
        </w:tabs>
        <w:numPr>
          <w:ilvl w:val="1"/>
          <w:numId w:val="290"/>
        </w:numPr>
        <w:rPr>
          <w:rFonts w:ascii="Arial" w:cs="Arial" w:eastAsia="Arial" w:hAnsi="Arial"/>
          <w:sz w:val="16"/>
          <w:szCs w:val="16"/>
          <w:b w:val="1"/>
          <w:bCs w:val="1"/>
          <w:color w:val="auto"/>
        </w:rPr>
      </w:pPr>
      <w:r>
        <w:rPr>
          <w:rFonts w:ascii="Arial" w:cs="Arial" w:eastAsia="Arial" w:hAnsi="Arial"/>
          <w:sz w:val="16"/>
          <w:szCs w:val="16"/>
          <w:color w:val="auto"/>
        </w:rPr>
        <w:t>To amend the Plan in any respect the Board deems necessary or advisable; provided, 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w:t>
      </w:r>
    </w:p>
    <w:p>
      <w:pPr>
        <w:spacing w:after="0" w:line="2" w:lineRule="exact"/>
        <w:rPr>
          <w:rFonts w:ascii="Arial" w:cs="Arial" w:eastAsia="Arial" w:hAnsi="Arial"/>
          <w:sz w:val="16"/>
          <w:szCs w:val="16"/>
          <w:b w:val="1"/>
          <w:bCs w:val="1"/>
          <w:color w:val="auto"/>
        </w:rPr>
      </w:pPr>
    </w:p>
    <w:p>
      <w:pPr>
        <w:ind w:left="264" w:hanging="264"/>
        <w:spacing w:after="0"/>
        <w:tabs>
          <w:tab w:leader="none" w:pos="26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such Participant consents in writing.</w:t>
      </w:r>
    </w:p>
    <w:p>
      <w:pPr>
        <w:spacing w:after="0" w:line="102" w:lineRule="exact"/>
        <w:rPr>
          <w:rFonts w:ascii="Arial" w:cs="Arial" w:eastAsia="Arial" w:hAnsi="Arial"/>
          <w:sz w:val="18"/>
          <w:szCs w:val="18"/>
          <w:color w:val="auto"/>
        </w:rPr>
      </w:pPr>
    </w:p>
    <w:p>
      <w:pPr>
        <w:ind w:left="1404" w:hanging="413"/>
        <w:spacing w:after="0"/>
        <w:tabs>
          <w:tab w:leader="none" w:pos="1404" w:val="left"/>
        </w:tabs>
        <w:numPr>
          <w:ilvl w:val="1"/>
          <w:numId w:val="291"/>
        </w:numPr>
        <w:rPr>
          <w:rFonts w:ascii="Arial" w:cs="Arial" w:eastAsia="Arial" w:hAnsi="Arial"/>
          <w:sz w:val="18"/>
          <w:szCs w:val="18"/>
          <w:b w:val="1"/>
          <w:bCs w:val="1"/>
          <w:color w:val="auto"/>
        </w:rPr>
      </w:pPr>
      <w:r>
        <w:rPr>
          <w:rFonts w:ascii="Arial" w:cs="Arial" w:eastAsia="Arial" w:hAnsi="Arial"/>
          <w:sz w:val="18"/>
          <w:szCs w:val="18"/>
          <w:color w:val="auto"/>
        </w:rPr>
        <w:t>To submit any amendment to the Plan for stockholder approval.</w:t>
      </w:r>
    </w:p>
    <w:p>
      <w:pPr>
        <w:spacing w:after="0" w:line="117" w:lineRule="exact"/>
        <w:rPr>
          <w:rFonts w:ascii="Arial" w:cs="Arial" w:eastAsia="Arial" w:hAnsi="Arial"/>
          <w:sz w:val="18"/>
          <w:szCs w:val="18"/>
          <w:b w:val="1"/>
          <w:bCs w:val="1"/>
          <w:color w:val="auto"/>
        </w:rPr>
      </w:pPr>
    </w:p>
    <w:p>
      <w:pPr>
        <w:ind w:left="4" w:right="40" w:firstLine="987"/>
        <w:spacing w:after="0" w:line="301" w:lineRule="auto"/>
        <w:tabs>
          <w:tab w:leader="none" w:pos="1300" w:val="left"/>
        </w:tabs>
        <w:numPr>
          <w:ilvl w:val="1"/>
          <w:numId w:val="291"/>
        </w:numPr>
        <w:rPr>
          <w:rFonts w:ascii="Arial" w:cs="Arial" w:eastAsia="Arial" w:hAnsi="Arial"/>
          <w:sz w:val="16"/>
          <w:szCs w:val="16"/>
          <w:b w:val="1"/>
          <w:bCs w:val="1"/>
          <w:color w:val="auto"/>
        </w:rPr>
      </w:pPr>
      <w:r>
        <w:rPr>
          <w:rFonts w:ascii="Arial" w:cs="Arial" w:eastAsia="Arial" w:hAnsi="Arial"/>
          <w:sz w:val="16"/>
          <w:szCs w:val="16"/>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a Participant’s rights under any Award will not be Materially Impaired by any such amendment unless (1) the Company requests the consent of the affected Participant, and (2) such Participant consents in writing.</w:t>
      </w:r>
    </w:p>
    <w:p>
      <w:pPr>
        <w:spacing w:after="0" w:line="9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4"/>
          </w:cols>
          <w:pgMar w:left="436" w:top="274" w:right="479" w:bottom="1440" w:gutter="0" w:footer="0" w:header="0"/>
        </w:sectPr>
      </w:pPr>
    </w:p>
    <w:bookmarkStart w:id="384" w:name="page385"/>
    <w:bookmarkEnd w:id="384"/>
    <w:p>
      <w:pPr>
        <w:ind w:left="-40" w:firstLine="987"/>
        <w:spacing w:after="0" w:line="277" w:lineRule="auto"/>
        <w:tabs>
          <w:tab w:leader="none" w:pos="1206" w:val="left"/>
        </w:tabs>
        <w:numPr>
          <w:ilvl w:val="1"/>
          <w:numId w:val="29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Generally, to exercise such powers and to perform such acts as the Board deems necessary or expedient to promote the best interests of the Company and that are not in conflict with the provisions of the Plan or Awards.</w:t>
      </w:r>
    </w:p>
    <w:p>
      <w:pPr>
        <w:spacing w:after="0" w:line="62" w:lineRule="exact"/>
        <w:rPr>
          <w:rFonts w:ascii="Arial" w:cs="Arial" w:eastAsia="Arial" w:hAnsi="Arial"/>
          <w:sz w:val="18"/>
          <w:szCs w:val="18"/>
          <w:b w:val="1"/>
          <w:bCs w:val="1"/>
          <w:color w:val="auto"/>
        </w:rPr>
      </w:pPr>
    </w:p>
    <w:p>
      <w:pPr>
        <w:ind w:left="-40" w:right="280" w:firstLine="987"/>
        <w:spacing w:after="0" w:line="259" w:lineRule="auto"/>
        <w:tabs>
          <w:tab w:leader="none" w:pos="1256" w:val="left"/>
        </w:tabs>
        <w:numPr>
          <w:ilvl w:val="1"/>
          <w:numId w:val="292"/>
        </w:numPr>
        <w:rPr>
          <w:rFonts w:ascii="Arial" w:cs="Arial" w:eastAsia="Arial" w:hAnsi="Arial"/>
          <w:sz w:val="18"/>
          <w:szCs w:val="18"/>
          <w:b w:val="1"/>
          <w:bCs w:val="1"/>
          <w:color w:val="auto"/>
        </w:rPr>
      </w:pPr>
      <w:r>
        <w:rPr>
          <w:rFonts w:ascii="Arial" w:cs="Arial" w:eastAsia="Arial" w:hAnsi="Arial"/>
          <w:sz w:val="18"/>
          <w:szCs w:val="18"/>
          <w:color w:val="auto"/>
        </w:rPr>
        <w:t>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spacing w:after="0" w:line="78" w:lineRule="exact"/>
        <w:rPr>
          <w:rFonts w:ascii="Arial" w:cs="Arial" w:eastAsia="Arial" w:hAnsi="Arial"/>
          <w:sz w:val="18"/>
          <w:szCs w:val="18"/>
          <w:b w:val="1"/>
          <w:bCs w:val="1"/>
          <w:color w:val="auto"/>
        </w:rPr>
      </w:pPr>
    </w:p>
    <w:p>
      <w:pPr>
        <w:ind w:left="-40" w:right="60" w:firstLine="987"/>
        <w:spacing w:after="0" w:line="296" w:lineRule="auto"/>
        <w:tabs>
          <w:tab w:leader="none" w:pos="1306" w:val="left"/>
        </w:tabs>
        <w:numPr>
          <w:ilvl w:val="1"/>
          <w:numId w:val="292"/>
        </w:numPr>
        <w:rPr>
          <w:rFonts w:ascii="Arial" w:cs="Arial" w:eastAsia="Arial" w:hAnsi="Arial"/>
          <w:sz w:val="16"/>
          <w:szCs w:val="16"/>
          <w:b w:val="1"/>
          <w:bCs w:val="1"/>
          <w:color w:val="auto"/>
        </w:rPr>
      </w:pPr>
      <w:r>
        <w:rPr>
          <w:rFonts w:ascii="Arial" w:cs="Arial" w:eastAsia="Arial" w:hAnsi="Arial"/>
          <w:sz w:val="16"/>
          <w:szCs w:val="16"/>
          <w:color w:val="auto"/>
        </w:rPr>
        <w:t>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w:t>
      </w:r>
    </w:p>
    <w:p>
      <w:pPr>
        <w:spacing w:after="0" w:line="49" w:lineRule="exact"/>
        <w:rPr>
          <w:rFonts w:ascii="Arial" w:cs="Arial" w:eastAsia="Arial" w:hAnsi="Arial"/>
          <w:sz w:val="16"/>
          <w:szCs w:val="16"/>
          <w:b w:val="1"/>
          <w:bCs w:val="1"/>
          <w:color w:val="auto"/>
        </w:rPr>
      </w:pPr>
    </w:p>
    <w:p>
      <w:pPr>
        <w:ind w:left="640" w:hanging="244"/>
        <w:spacing w:after="0"/>
        <w:tabs>
          <w:tab w:leader="none" w:pos="640"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Delegation to Committee.</w:t>
      </w:r>
    </w:p>
    <w:p>
      <w:pPr>
        <w:spacing w:after="0" w:line="117" w:lineRule="exact"/>
        <w:rPr>
          <w:rFonts w:ascii="Arial" w:cs="Arial" w:eastAsia="Arial" w:hAnsi="Arial"/>
          <w:sz w:val="18"/>
          <w:szCs w:val="18"/>
          <w:b w:val="1"/>
          <w:bCs w:val="1"/>
          <w:color w:val="auto"/>
        </w:rPr>
      </w:pPr>
    </w:p>
    <w:p>
      <w:pPr>
        <w:ind w:left="-40" w:firstLine="987"/>
        <w:spacing w:after="0" w:line="291" w:lineRule="auto"/>
        <w:tabs>
          <w:tab w:leader="none" w:pos="1166" w:val="left"/>
        </w:tabs>
        <w:numPr>
          <w:ilvl w:val="1"/>
          <w:numId w:val="29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 </w:t>
      </w:r>
      <w:r>
        <w:rPr>
          <w:rFonts w:ascii="Arial" w:cs="Arial" w:eastAsia="Arial" w:hAnsi="Arial"/>
          <w:sz w:val="16"/>
          <w:szCs w:val="16"/>
          <w:color w:val="auto"/>
        </w:rPr>
        <w:t>The Board may delegate some or all of the administration of the Plan to a Committee or Committees. If administration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51" w:lineRule="exact"/>
        <w:rPr>
          <w:rFonts w:ascii="Arial" w:cs="Arial" w:eastAsia="Arial" w:hAnsi="Arial"/>
          <w:sz w:val="16"/>
          <w:szCs w:val="16"/>
          <w:b w:val="1"/>
          <w:bCs w:val="1"/>
          <w:color w:val="auto"/>
        </w:rPr>
      </w:pPr>
    </w:p>
    <w:p>
      <w:pPr>
        <w:ind w:left="-40" w:firstLine="987"/>
        <w:spacing w:after="0" w:line="303" w:lineRule="auto"/>
        <w:tabs>
          <w:tab w:leader="none" w:pos="1216" w:val="left"/>
        </w:tabs>
        <w:numPr>
          <w:ilvl w:val="1"/>
          <w:numId w:val="29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Rule 16b-3 Compliance. </w:t>
      </w:r>
      <w:r>
        <w:rPr>
          <w:rFonts w:ascii="Arial" w:cs="Arial" w:eastAsia="Arial" w:hAnsi="Arial"/>
          <w:sz w:val="16"/>
          <w:szCs w:val="16"/>
          <w:color w:val="auto"/>
        </w:rPr>
        <w:t>To the extent an Award is intended to qualify for the exemption from Section 16(b) of the Exchange Act that</w:t>
      </w:r>
      <w:r>
        <w:rPr>
          <w:rFonts w:ascii="Arial" w:cs="Arial" w:eastAsia="Arial" w:hAnsi="Arial"/>
          <w:sz w:val="16"/>
          <w:szCs w:val="16"/>
          <w:b w:val="1"/>
          <w:bCs w:val="1"/>
          <w:color w:val="auto"/>
        </w:rPr>
        <w:t xml:space="preserve"> </w:t>
      </w:r>
      <w:r>
        <w:rPr>
          <w:rFonts w:ascii="Arial" w:cs="Arial" w:eastAsia="Arial" w:hAnsi="Arial"/>
          <w:sz w:val="16"/>
          <w:szCs w:val="16"/>
          <w:color w:val="auto"/>
        </w:rPr>
        <w:t>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42" w:lineRule="exact"/>
        <w:rPr>
          <w:rFonts w:ascii="Arial" w:cs="Arial" w:eastAsia="Arial" w:hAnsi="Arial"/>
          <w:sz w:val="16"/>
          <w:szCs w:val="16"/>
          <w:b w:val="1"/>
          <w:bCs w:val="1"/>
          <w:color w:val="auto"/>
        </w:rPr>
      </w:pPr>
    </w:p>
    <w:p>
      <w:pPr>
        <w:ind w:left="-40" w:right="60" w:firstLine="436"/>
        <w:spacing w:after="0" w:line="282" w:lineRule="auto"/>
        <w:tabs>
          <w:tab w:leader="none" w:pos="665"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of Board’s Decision. </w:t>
      </w:r>
      <w:r>
        <w:rPr>
          <w:rFonts w:ascii="Arial" w:cs="Arial" w:eastAsia="Arial" w:hAnsi="Arial"/>
          <w:sz w:val="18"/>
          <w:szCs w:val="18"/>
          <w:color w:val="auto"/>
        </w:rPr>
        <w:t>All determinations, interpretations and constructions made by the Board or any Committee in good faith will not</w:t>
      </w:r>
      <w:r>
        <w:rPr>
          <w:rFonts w:ascii="Arial" w:cs="Arial" w:eastAsia="Arial" w:hAnsi="Arial"/>
          <w:sz w:val="18"/>
          <w:szCs w:val="18"/>
          <w:b w:val="1"/>
          <w:bCs w:val="1"/>
          <w:color w:val="auto"/>
        </w:rPr>
        <w:t xml:space="preserve"> </w:t>
      </w:r>
      <w:r>
        <w:rPr>
          <w:rFonts w:ascii="Arial" w:cs="Arial" w:eastAsia="Arial" w:hAnsi="Arial"/>
          <w:sz w:val="18"/>
          <w:szCs w:val="18"/>
          <w:color w:val="auto"/>
        </w:rPr>
        <w:t>be subject to review by any person and will be final, binding and conclusive on all persons.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480" w:top="274" w:right="499" w:bottom="1440" w:gutter="0" w:footer="0" w:header="0"/>
        </w:sectPr>
      </w:pPr>
    </w:p>
    <w:bookmarkStart w:id="385" w:name="page386"/>
    <w:bookmarkEnd w:id="385"/>
    <w:p>
      <w:pPr>
        <w:ind w:left="684" w:hanging="244"/>
        <w:spacing w:after="0"/>
        <w:tabs>
          <w:tab w:leader="none" w:pos="684" w:val="left"/>
        </w:tabs>
        <w:numPr>
          <w:ilvl w:val="1"/>
          <w:numId w:val="294"/>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Delegation to an Officer. </w:t>
      </w:r>
      <w:r>
        <w:rPr>
          <w:rFonts w:ascii="Arial" w:cs="Arial" w:eastAsia="Arial" w:hAnsi="Arial"/>
          <w:sz w:val="16"/>
          <w:szCs w:val="16"/>
          <w:color w:val="auto"/>
        </w:rPr>
        <w:t>The Board or any Committee may delegate to one or more Officers the authority to do one or both of the following</w:t>
      </w:r>
    </w:p>
    <w:p>
      <w:pPr>
        <w:spacing w:after="0" w:line="50" w:lineRule="exact"/>
        <w:rPr>
          <w:rFonts w:ascii="Arial" w:cs="Arial" w:eastAsia="Arial" w:hAnsi="Arial"/>
          <w:sz w:val="16"/>
          <w:szCs w:val="16"/>
          <w:b w:val="1"/>
          <w:bCs w:val="1"/>
          <w:color w:val="auto"/>
        </w:rPr>
      </w:pPr>
    </w:p>
    <w:p>
      <w:pPr>
        <w:ind w:left="224" w:hanging="224"/>
        <w:spacing w:after="0"/>
        <w:tabs>
          <w:tab w:leader="none" w:pos="224" w:val="left"/>
        </w:tabs>
        <w:numPr>
          <w:ilvl w:val="0"/>
          <w:numId w:val="295"/>
        </w:numPr>
        <w:rPr>
          <w:rFonts w:ascii="Arial" w:cs="Arial" w:eastAsia="Arial" w:hAnsi="Arial"/>
          <w:sz w:val="17"/>
          <w:szCs w:val="17"/>
          <w:color w:val="auto"/>
        </w:rPr>
      </w:pPr>
      <w:r>
        <w:rPr>
          <w:rFonts w:ascii="Arial" w:cs="Arial" w:eastAsia="Arial" w:hAnsi="Arial"/>
          <w:sz w:val="17"/>
          <w:szCs w:val="17"/>
          <w:color w:val="auto"/>
        </w:rPr>
        <w:t>designate Employees who are not Officers to be recipients of Options and SARs (and, to the extent permitted by Applicable Law, other types of</w:t>
      </w:r>
    </w:p>
    <w:p>
      <w:pPr>
        <w:spacing w:after="0" w:line="20" w:lineRule="exact"/>
        <w:rPr>
          <w:rFonts w:ascii="Arial" w:cs="Arial" w:eastAsia="Arial" w:hAnsi="Arial"/>
          <w:sz w:val="17"/>
          <w:szCs w:val="17"/>
          <w:color w:val="auto"/>
        </w:rPr>
      </w:pPr>
    </w:p>
    <w:p>
      <w:pPr>
        <w:ind w:left="4" w:right="80"/>
        <w:spacing w:after="0" w:line="269" w:lineRule="auto"/>
        <w:rPr>
          <w:rFonts w:ascii="Arial" w:cs="Arial" w:eastAsia="Arial" w:hAnsi="Arial"/>
          <w:sz w:val="17"/>
          <w:szCs w:val="17"/>
          <w:color w:val="auto"/>
        </w:rPr>
      </w:pPr>
      <w:r>
        <w:rPr>
          <w:rFonts w:ascii="Arial" w:cs="Arial" w:eastAsia="Arial" w:hAnsi="Arial"/>
          <w:sz w:val="17"/>
          <w:szCs w:val="17"/>
          <w:color w:val="auto"/>
        </w:rPr>
        <w:t>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spacing w:after="0" w:line="203" w:lineRule="exact"/>
        <w:rPr>
          <w:sz w:val="20"/>
          <w:szCs w:val="20"/>
          <w:color w:val="auto"/>
        </w:rPr>
      </w:pPr>
    </w:p>
    <w:p>
      <w:pPr>
        <w:ind w:left="424" w:hanging="424"/>
        <w:spacing w:after="0"/>
        <w:tabs>
          <w:tab w:leader="none" w:pos="424"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AX</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ITHHOLDING</w:t>
      </w:r>
    </w:p>
    <w:p>
      <w:pPr>
        <w:spacing w:after="0" w:line="117" w:lineRule="exact"/>
        <w:rPr>
          <w:rFonts w:ascii="Arial" w:cs="Arial" w:eastAsia="Arial" w:hAnsi="Arial"/>
          <w:sz w:val="18"/>
          <w:szCs w:val="18"/>
          <w:b w:val="1"/>
          <w:bCs w:val="1"/>
          <w:color w:val="auto"/>
        </w:rPr>
      </w:pPr>
    </w:p>
    <w:p>
      <w:pPr>
        <w:ind w:left="4" w:firstLine="436"/>
        <w:spacing w:after="0" w:line="256" w:lineRule="auto"/>
        <w:tabs>
          <w:tab w:leader="none" w:pos="699" w:val="left"/>
        </w:tabs>
        <w:numPr>
          <w:ilvl w:val="1"/>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 Authorization. </w:t>
      </w:r>
      <w:r>
        <w:rPr>
          <w:rFonts w:ascii="Arial" w:cs="Arial" w:eastAsia="Arial" w:hAnsi="Arial"/>
          <w:sz w:val="18"/>
          <w:szCs w:val="18"/>
          <w:color w:val="auto"/>
        </w:rPr>
        <w:t>As a condition to acceptance of any Award under the Plan, a Participant authorizes withholding from payroll and</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amounts payable to such Participant, and otherwise agrees to make adequate provision for (including), any sums required to satisfy any U.S. federal, state, local and/or foreign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79" w:lineRule="exact"/>
        <w:rPr>
          <w:rFonts w:ascii="Arial" w:cs="Arial" w:eastAsia="Arial" w:hAnsi="Arial"/>
          <w:sz w:val="18"/>
          <w:szCs w:val="18"/>
          <w:b w:val="1"/>
          <w:bCs w:val="1"/>
          <w:color w:val="auto"/>
        </w:rPr>
      </w:pPr>
    </w:p>
    <w:p>
      <w:pPr>
        <w:ind w:left="704" w:hanging="264"/>
        <w:spacing w:after="0"/>
        <w:tabs>
          <w:tab w:leader="none" w:pos="704" w:val="left"/>
        </w:tabs>
        <w:numPr>
          <w:ilvl w:val="1"/>
          <w:numId w:val="29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Satisfaction of Withholding Obligation. </w:t>
      </w:r>
      <w:r>
        <w:rPr>
          <w:rFonts w:ascii="Arial" w:cs="Arial" w:eastAsia="Arial" w:hAnsi="Arial"/>
          <w:sz w:val="17"/>
          <w:szCs w:val="17"/>
          <w:color w:val="auto"/>
        </w:rPr>
        <w:t>To the extent permitted by the terms of an Award Agreement, the Company may, in its sole</w:t>
      </w:r>
    </w:p>
    <w:p>
      <w:pPr>
        <w:spacing w:after="0" w:line="38" w:lineRule="exact"/>
        <w:rPr>
          <w:rFonts w:ascii="Arial" w:cs="Arial" w:eastAsia="Arial" w:hAnsi="Arial"/>
          <w:sz w:val="17"/>
          <w:szCs w:val="17"/>
          <w:b w:val="1"/>
          <w:bCs w:val="1"/>
          <w:color w:val="auto"/>
        </w:rPr>
      </w:pPr>
    </w:p>
    <w:p>
      <w:pPr>
        <w:ind w:left="4"/>
        <w:spacing w:after="0" w:line="252" w:lineRule="auto"/>
        <w:rPr>
          <w:rFonts w:ascii="Arial" w:cs="Arial" w:eastAsia="Arial" w:hAnsi="Arial"/>
          <w:sz w:val="17"/>
          <w:szCs w:val="17"/>
          <w:b w:val="1"/>
          <w:bCs w:val="1"/>
          <w:color w:val="auto"/>
        </w:rPr>
      </w:pPr>
      <w:r>
        <w:rPr>
          <w:rFonts w:ascii="Arial" w:cs="Arial" w:eastAsia="Arial" w:hAnsi="Arial"/>
          <w:sz w:val="18"/>
          <w:szCs w:val="18"/>
          <w:color w:val="auto"/>
        </w:rPr>
        <w:t>discretion, 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spacing w:after="0" w:line="81" w:lineRule="exact"/>
        <w:rPr>
          <w:rFonts w:ascii="Arial" w:cs="Arial" w:eastAsia="Arial" w:hAnsi="Arial"/>
          <w:sz w:val="17"/>
          <w:szCs w:val="17"/>
          <w:b w:val="1"/>
          <w:bCs w:val="1"/>
          <w:color w:val="auto"/>
        </w:rPr>
      </w:pPr>
    </w:p>
    <w:p>
      <w:pPr>
        <w:ind w:left="4" w:right="100" w:firstLine="436"/>
        <w:spacing w:after="0" w:line="274" w:lineRule="auto"/>
        <w:tabs>
          <w:tab w:leader="none" w:pos="689" w:val="left"/>
        </w:tabs>
        <w:numPr>
          <w:ilvl w:val="1"/>
          <w:numId w:val="29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Obligation to Notify or Minimize Taxes; No Liability to Claims. </w:t>
      </w:r>
      <w:r>
        <w:rPr>
          <w:rFonts w:ascii="Arial" w:cs="Arial" w:eastAsia="Arial" w:hAnsi="Arial"/>
          <w:sz w:val="17"/>
          <w:szCs w:val="17"/>
          <w:color w:val="auto"/>
        </w:rPr>
        <w:t>Except as required by Applicable Law the Company has no duty or</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0" w:right="459" w:bottom="1440" w:gutter="0" w:footer="0" w:header="0"/>
        </w:sectPr>
      </w:pPr>
    </w:p>
    <w:bookmarkStart w:id="386" w:name="page387"/>
    <w:bookmarkEnd w:id="386"/>
    <w:p>
      <w:pPr>
        <w:ind w:left="4"/>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53" w:lineRule="exact"/>
        <w:rPr>
          <w:sz w:val="20"/>
          <w:szCs w:val="20"/>
          <w:color w:val="auto"/>
        </w:rPr>
      </w:pPr>
    </w:p>
    <w:p>
      <w:pPr>
        <w:ind w:left="4" w:firstLine="436"/>
        <w:spacing w:after="0" w:line="261" w:lineRule="auto"/>
        <w:tabs>
          <w:tab w:leader="none" w:pos="709" w:val="left"/>
        </w:tabs>
        <w:numPr>
          <w:ilvl w:val="1"/>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 Indemnification. </w:t>
      </w:r>
      <w:r>
        <w:rPr>
          <w:rFonts w:ascii="Arial" w:cs="Arial" w:eastAsia="Arial" w:hAnsi="Arial"/>
          <w:sz w:val="18"/>
          <w:szCs w:val="18"/>
          <w:color w:val="auto"/>
        </w:rPr>
        <w:t>As a condition to accepting an Award under the Plan, in the event that the amount of the Company’s and/or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206" w:lineRule="exact"/>
        <w:rPr>
          <w:rFonts w:ascii="Arial" w:cs="Arial" w:eastAsia="Arial" w:hAnsi="Arial"/>
          <w:sz w:val="18"/>
          <w:szCs w:val="18"/>
          <w:b w:val="1"/>
          <w:bCs w:val="1"/>
          <w:color w:val="auto"/>
        </w:rPr>
      </w:pPr>
    </w:p>
    <w:p>
      <w:pPr>
        <w:ind w:left="424" w:hanging="424"/>
        <w:spacing w:after="0"/>
        <w:tabs>
          <w:tab w:leader="none" w:pos="424"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60" w:firstLine="436"/>
        <w:spacing w:after="0" w:line="282" w:lineRule="auto"/>
        <w:tabs>
          <w:tab w:leader="none" w:pos="699" w:val="left"/>
        </w:tabs>
        <w:numPr>
          <w:ilvl w:val="1"/>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Source of Shares. </w:t>
      </w:r>
      <w:r>
        <w:rPr>
          <w:rFonts w:ascii="Arial" w:cs="Arial" w:eastAsia="Arial" w:hAnsi="Arial"/>
          <w:sz w:val="18"/>
          <w:szCs w:val="18"/>
          <w:color w:val="auto"/>
        </w:rPr>
        <w:t>The stock issuable under the Plan will be shares of authorized but unissued or reacquired Common Stock, including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repurchased by the Company on the open market or otherwise.</w:t>
      </w:r>
    </w:p>
    <w:p>
      <w:pPr>
        <w:spacing w:after="0" w:line="53" w:lineRule="exact"/>
        <w:rPr>
          <w:rFonts w:ascii="Arial" w:cs="Arial" w:eastAsia="Arial" w:hAnsi="Arial"/>
          <w:sz w:val="18"/>
          <w:szCs w:val="18"/>
          <w:b w:val="1"/>
          <w:bCs w:val="1"/>
          <w:color w:val="auto"/>
        </w:rPr>
      </w:pPr>
    </w:p>
    <w:p>
      <w:pPr>
        <w:ind w:left="4" w:right="480" w:firstLine="436"/>
        <w:spacing w:after="0" w:line="282" w:lineRule="auto"/>
        <w:tabs>
          <w:tab w:leader="none" w:pos="709" w:val="left"/>
        </w:tabs>
        <w:numPr>
          <w:ilvl w:val="1"/>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Proceeds from Sales of Common Stock. </w:t>
      </w:r>
      <w:r>
        <w:rPr>
          <w:rFonts w:ascii="Arial" w:cs="Arial" w:eastAsia="Arial" w:hAnsi="Arial"/>
          <w:sz w:val="18"/>
          <w:szCs w:val="18"/>
          <w:color w:val="auto"/>
        </w:rPr>
        <w:t>Proceeds from the sale of shares of Common Stock pursuant to Awards will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funds of the Company.</w:t>
      </w:r>
    </w:p>
    <w:p>
      <w:pPr>
        <w:spacing w:after="0" w:line="53" w:lineRule="exact"/>
        <w:rPr>
          <w:rFonts w:ascii="Arial" w:cs="Arial" w:eastAsia="Arial" w:hAnsi="Arial"/>
          <w:sz w:val="18"/>
          <w:szCs w:val="18"/>
          <w:b w:val="1"/>
          <w:bCs w:val="1"/>
          <w:color w:val="auto"/>
        </w:rPr>
      </w:pPr>
    </w:p>
    <w:p>
      <w:pPr>
        <w:ind w:left="4" w:right="40" w:firstLine="436"/>
        <w:spacing w:after="0" w:line="255" w:lineRule="auto"/>
        <w:tabs>
          <w:tab w:leader="none" w:pos="689" w:val="left"/>
        </w:tabs>
        <w:numPr>
          <w:ilvl w:val="1"/>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Corporate Action Constituting Grant of Awards. </w:t>
      </w:r>
      <w:r>
        <w:rPr>
          <w:rFonts w:ascii="Arial" w:cs="Arial" w:eastAsia="Arial" w:hAnsi="Arial"/>
          <w:sz w:val="18"/>
          <w:szCs w:val="18"/>
          <w:color w:val="auto"/>
        </w:rPr>
        <w:t>Corporate action constituting a grant by the Company of an Award to any Participant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80" w:lineRule="exact"/>
        <w:rPr>
          <w:rFonts w:ascii="Arial" w:cs="Arial" w:eastAsia="Arial" w:hAnsi="Arial"/>
          <w:sz w:val="18"/>
          <w:szCs w:val="18"/>
          <w:b w:val="1"/>
          <w:bCs w:val="1"/>
          <w:color w:val="auto"/>
        </w:rPr>
      </w:pPr>
    </w:p>
    <w:p>
      <w:pPr>
        <w:ind w:left="4" w:right="60" w:firstLine="436"/>
        <w:spacing w:after="0" w:line="289" w:lineRule="auto"/>
        <w:tabs>
          <w:tab w:leader="none" w:pos="709" w:val="left"/>
        </w:tabs>
        <w:numPr>
          <w:ilvl w:val="1"/>
          <w:numId w:val="29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 Rights. </w:t>
      </w:r>
      <w:r>
        <w:rPr>
          <w:rFonts w:ascii="Arial" w:cs="Arial" w:eastAsia="Arial" w:hAnsi="Arial"/>
          <w:sz w:val="17"/>
          <w:szCs w:val="17"/>
          <w:color w:val="auto"/>
        </w:rPr>
        <w:t>No Participant will be deemed to be the holder of, or to have any of the rights of a holder with respect to, any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9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4"/>
          </w:cols>
          <w:pgMar w:left="436" w:top="274" w:right="499" w:bottom="1440" w:gutter="0" w:footer="0" w:header="0"/>
        </w:sectPr>
      </w:pPr>
    </w:p>
    <w:bookmarkStart w:id="387" w:name="page388"/>
    <w:bookmarkEnd w:id="387"/>
    <w:p>
      <w:pPr>
        <w:ind w:left="-60" w:firstLine="436"/>
        <w:spacing w:after="0" w:line="269" w:lineRule="auto"/>
        <w:tabs>
          <w:tab w:leader="none" w:pos="625" w:val="left"/>
        </w:tabs>
        <w:numPr>
          <w:ilvl w:val="0"/>
          <w:numId w:val="299"/>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Employment or Other Service Rights. </w:t>
      </w:r>
      <w:r>
        <w:rPr>
          <w:rFonts w:ascii="Arial" w:cs="Arial" w:eastAsia="Arial" w:hAnsi="Arial"/>
          <w:sz w:val="17"/>
          <w:szCs w:val="17"/>
          <w:color w:val="auto"/>
        </w:rPr>
        <w:t>Nothing in the Plan, any Award Agreement or any other instrument executed thereunder or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73" w:lineRule="exact"/>
        <w:rPr>
          <w:rFonts w:ascii="Arial" w:cs="Arial" w:eastAsia="Arial" w:hAnsi="Arial"/>
          <w:sz w:val="17"/>
          <w:szCs w:val="17"/>
          <w:b w:val="1"/>
          <w:bCs w:val="1"/>
          <w:color w:val="auto"/>
        </w:rPr>
      </w:pPr>
    </w:p>
    <w:p>
      <w:pPr>
        <w:ind w:left="-60" w:right="20" w:firstLine="436"/>
        <w:spacing w:after="0" w:line="292" w:lineRule="auto"/>
        <w:tabs>
          <w:tab w:leader="none" w:pos="605" w:val="left"/>
        </w:tabs>
        <w:numPr>
          <w:ilvl w:val="0"/>
          <w:numId w:val="29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Change in Time Commitment. </w:t>
      </w:r>
      <w:r>
        <w:rPr>
          <w:rFonts w:ascii="Arial" w:cs="Arial" w:eastAsia="Arial" w:hAnsi="Arial"/>
          <w:sz w:val="16"/>
          <w:szCs w:val="16"/>
          <w:color w:val="auto"/>
        </w:rPr>
        <w:t>In the event a Participant’s regular level of time commitment in the performance of his or her services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53" w:lineRule="exact"/>
        <w:rPr>
          <w:rFonts w:ascii="Arial" w:cs="Arial" w:eastAsia="Arial" w:hAnsi="Arial"/>
          <w:sz w:val="16"/>
          <w:szCs w:val="16"/>
          <w:b w:val="1"/>
          <w:bCs w:val="1"/>
          <w:color w:val="auto"/>
        </w:rPr>
      </w:pPr>
    </w:p>
    <w:p>
      <w:pPr>
        <w:ind w:left="-60" w:right="160" w:firstLine="436"/>
        <w:spacing w:after="0" w:line="314" w:lineRule="auto"/>
        <w:tabs>
          <w:tab w:leader="none" w:pos="635" w:val="left"/>
        </w:tabs>
        <w:numPr>
          <w:ilvl w:val="0"/>
          <w:numId w:val="29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Execution of Additional Documents. </w:t>
      </w:r>
      <w:r>
        <w:rPr>
          <w:rFonts w:ascii="Arial" w:cs="Arial" w:eastAsia="Arial" w:hAnsi="Arial"/>
          <w:sz w:val="16"/>
          <w:szCs w:val="16"/>
          <w:color w:val="auto"/>
        </w:rPr>
        <w:t>As a condition to accepting an Award under the Plan, the Participant agrees to execute any additional</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33" w:lineRule="exact"/>
        <w:rPr>
          <w:rFonts w:ascii="Arial" w:cs="Arial" w:eastAsia="Arial" w:hAnsi="Arial"/>
          <w:sz w:val="16"/>
          <w:szCs w:val="16"/>
          <w:b w:val="1"/>
          <w:bCs w:val="1"/>
          <w:color w:val="auto"/>
        </w:rPr>
      </w:pPr>
    </w:p>
    <w:p>
      <w:pPr>
        <w:ind w:left="-60" w:right="20" w:firstLine="436"/>
        <w:spacing w:after="0" w:line="274" w:lineRule="auto"/>
        <w:tabs>
          <w:tab w:leader="none" w:pos="645" w:val="left"/>
        </w:tabs>
        <w:numPr>
          <w:ilvl w:val="0"/>
          <w:numId w:val="29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Electronic Delivery and Participation. </w:t>
      </w:r>
      <w:r>
        <w:rPr>
          <w:rFonts w:ascii="Arial" w:cs="Arial" w:eastAsia="Arial" w:hAnsi="Arial"/>
          <w:sz w:val="17"/>
          <w:szCs w:val="17"/>
          <w:color w:val="auto"/>
        </w:rPr>
        <w:t>Any reference herein or in an Award Agreement to a “written” agreement or document will include</w:t>
      </w:r>
      <w:r>
        <w:rPr>
          <w:rFonts w:ascii="Arial" w:cs="Arial" w:eastAsia="Arial" w:hAnsi="Arial"/>
          <w:sz w:val="17"/>
          <w:szCs w:val="17"/>
          <w:b w:val="1"/>
          <w:bCs w:val="1"/>
          <w:color w:val="auto"/>
        </w:rPr>
        <w:t xml:space="preserve"> </w:t>
      </w:r>
      <w:r>
        <w:rPr>
          <w:rFonts w:ascii="Arial" w:cs="Arial" w:eastAsia="Arial" w:hAnsi="Arial"/>
          <w:sz w:val="17"/>
          <w:szCs w:val="17"/>
          <w:color w:val="auto"/>
        </w:rPr>
        <w:t>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80"/>
          </w:cols>
          <w:pgMar w:left="500" w:top="270" w:right="519" w:bottom="1440" w:gutter="0" w:footer="0" w:header="0"/>
        </w:sectPr>
      </w:pPr>
    </w:p>
    <w:bookmarkStart w:id="388" w:name="page389"/>
    <w:bookmarkEnd w:id="388"/>
    <w:p>
      <w:pPr>
        <w:ind w:firstLine="436"/>
        <w:spacing w:after="0" w:line="291" w:lineRule="auto"/>
        <w:tabs>
          <w:tab w:leader="none" w:pos="655" w:val="left"/>
        </w:tabs>
        <w:numPr>
          <w:ilvl w:val="0"/>
          <w:numId w:val="300"/>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Clawback/Recovery. </w:t>
      </w:r>
      <w:r>
        <w:rPr>
          <w:rFonts w:ascii="Arial" w:cs="Arial" w:eastAsia="Arial" w:hAnsi="Arial"/>
          <w:sz w:val="16"/>
          <w:szCs w:val="16"/>
          <w:color w:val="auto"/>
        </w:rPr>
        <w:t>All Awards granted under the Plan will be subject to recoupment in accordance with any clawback policy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w:t>
      </w:r>
    </w:p>
    <w:p>
      <w:pPr>
        <w:spacing w:after="0" w:line="51" w:lineRule="exact"/>
        <w:rPr>
          <w:rFonts w:ascii="Arial" w:cs="Arial" w:eastAsia="Arial" w:hAnsi="Arial"/>
          <w:sz w:val="16"/>
          <w:szCs w:val="16"/>
          <w:b w:val="1"/>
          <w:bCs w:val="1"/>
          <w:color w:val="auto"/>
        </w:rPr>
      </w:pPr>
    </w:p>
    <w:p>
      <w:pPr>
        <w:ind w:right="40" w:firstLine="436"/>
        <w:spacing w:after="0" w:line="261" w:lineRule="auto"/>
        <w:tabs>
          <w:tab w:leader="none" w:pos="665"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Securities Law Compliance. </w:t>
      </w:r>
      <w:r>
        <w:rPr>
          <w:rFonts w:ascii="Arial" w:cs="Arial" w:eastAsia="Arial" w:hAnsi="Arial"/>
          <w:sz w:val="18"/>
          <w:szCs w:val="18"/>
          <w:color w:val="auto"/>
        </w:rPr>
        <w:t>A Participant will not be issued any shares in respect of an Award unless either (i) the shares are registered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71" w:lineRule="exact"/>
        <w:rPr>
          <w:rFonts w:ascii="Arial" w:cs="Arial" w:eastAsia="Arial" w:hAnsi="Arial"/>
          <w:sz w:val="18"/>
          <w:szCs w:val="18"/>
          <w:b w:val="1"/>
          <w:bCs w:val="1"/>
          <w:color w:val="auto"/>
        </w:rPr>
      </w:pPr>
    </w:p>
    <w:p>
      <w:pPr>
        <w:ind w:right="20" w:firstLine="436"/>
        <w:spacing w:after="0" w:line="258" w:lineRule="auto"/>
        <w:tabs>
          <w:tab w:leader="none" w:pos="705"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 or Assignment of Awards; Issued Shares. </w:t>
      </w:r>
      <w:r>
        <w:rPr>
          <w:rFonts w:ascii="Arial" w:cs="Arial" w:eastAsia="Arial" w:hAnsi="Arial"/>
          <w:sz w:val="18"/>
          <w:szCs w:val="18"/>
          <w:color w:val="auto"/>
        </w:rPr>
        <w:t>Except as expressly provided in the Plan or the form of Award Agreement, Awards</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75" w:lineRule="exact"/>
        <w:rPr>
          <w:rFonts w:ascii="Arial" w:cs="Arial" w:eastAsia="Arial" w:hAnsi="Arial"/>
          <w:sz w:val="18"/>
          <w:szCs w:val="18"/>
          <w:b w:val="1"/>
          <w:bCs w:val="1"/>
          <w:color w:val="auto"/>
        </w:rPr>
      </w:pPr>
    </w:p>
    <w:p>
      <w:pPr>
        <w:jc w:val="both"/>
        <w:ind w:right="40" w:firstLine="436"/>
        <w:spacing w:after="0" w:line="261" w:lineRule="auto"/>
        <w:tabs>
          <w:tab w:leader="none" w:pos="655"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on Other Employee Benefit Plans. </w:t>
      </w:r>
      <w:r>
        <w:rPr>
          <w:rFonts w:ascii="Arial" w:cs="Arial" w:eastAsia="Arial" w:hAnsi="Arial"/>
          <w:sz w:val="18"/>
          <w:szCs w:val="18"/>
          <w:color w:val="auto"/>
        </w:rPr>
        <w:t>The value of any Award granted under the Plan, as determined upon grant, vesting or settlement,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71" w:lineRule="exact"/>
        <w:rPr>
          <w:rFonts w:ascii="Arial" w:cs="Arial" w:eastAsia="Arial" w:hAnsi="Arial"/>
          <w:sz w:val="18"/>
          <w:szCs w:val="18"/>
          <w:b w:val="1"/>
          <w:bCs w:val="1"/>
          <w:color w:val="auto"/>
        </w:rPr>
      </w:pPr>
    </w:p>
    <w:p>
      <w:pPr>
        <w:ind w:right="100" w:firstLine="436"/>
        <w:spacing w:after="0" w:line="314" w:lineRule="auto"/>
        <w:tabs>
          <w:tab w:leader="none" w:pos="755" w:val="left"/>
        </w:tabs>
        <w:numPr>
          <w:ilvl w:val="0"/>
          <w:numId w:val="30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Deferrals. </w:t>
      </w:r>
      <w:r>
        <w:rPr>
          <w:rFonts w:ascii="Arial" w:cs="Arial" w:eastAsia="Arial" w:hAnsi="Arial"/>
          <w:sz w:val="16"/>
          <w:szCs w:val="16"/>
          <w:color w:val="auto"/>
        </w:rPr>
        <w:t>To the extent permitted by Applicable Law, the Board, in its sole discretion, may determine that the delivery of Common Stock or</w:t>
      </w:r>
      <w:r>
        <w:rPr>
          <w:rFonts w:ascii="Arial" w:cs="Arial" w:eastAsia="Arial" w:hAnsi="Arial"/>
          <w:sz w:val="16"/>
          <w:szCs w:val="16"/>
          <w:b w:val="1"/>
          <w:bCs w:val="1"/>
          <w:color w:val="auto"/>
        </w:rPr>
        <w:t xml:space="preserve"> </w:t>
      </w:r>
      <w:r>
        <w:rPr>
          <w:rFonts w:ascii="Arial" w:cs="Arial" w:eastAsia="Arial" w:hAnsi="Arial"/>
          <w:sz w:val="16"/>
          <w:szCs w:val="16"/>
          <w:color w:val="auto"/>
        </w:rPr>
        <w:t>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w:t>
      </w:r>
    </w:p>
    <w:p>
      <w:pPr>
        <w:spacing w:after="0" w:line="33" w:lineRule="exact"/>
        <w:rPr>
          <w:rFonts w:ascii="Arial" w:cs="Arial" w:eastAsia="Arial" w:hAnsi="Arial"/>
          <w:sz w:val="16"/>
          <w:szCs w:val="16"/>
          <w:b w:val="1"/>
          <w:bCs w:val="1"/>
          <w:color w:val="auto"/>
        </w:rPr>
      </w:pPr>
    </w:p>
    <w:p>
      <w:pPr>
        <w:ind w:right="40" w:firstLine="436"/>
        <w:spacing w:after="0" w:line="277" w:lineRule="auto"/>
        <w:tabs>
          <w:tab w:leader="none" w:pos="705" w:val="left"/>
        </w:tabs>
        <w:numPr>
          <w:ilvl w:val="0"/>
          <w:numId w:val="30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Section 409A. </w:t>
      </w:r>
      <w:r>
        <w:rPr>
          <w:rFonts w:ascii="Arial" w:cs="Arial" w:eastAsia="Arial" w:hAnsi="Arial"/>
          <w:sz w:val="17"/>
          <w:szCs w:val="17"/>
          <w:color w:val="auto"/>
        </w:rPr>
        <w:t>Unless otherwise expressly provided for in an Award Agreement, the Plan and Award Agreements will be interpreted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0" w:right="459" w:bottom="1440" w:gutter="0" w:footer="0" w:header="0"/>
        </w:sectPr>
      </w:pPr>
    </w:p>
    <w:bookmarkStart w:id="389" w:name="page390"/>
    <w:bookmarkEnd w:id="389"/>
    <w:p>
      <w:pPr>
        <w:ind w:left="4" w:right="1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80" w:lineRule="exact"/>
        <w:rPr>
          <w:sz w:val="20"/>
          <w:szCs w:val="20"/>
          <w:color w:val="auto"/>
        </w:rPr>
      </w:pPr>
    </w:p>
    <w:p>
      <w:pPr>
        <w:ind w:left="4" w:firstLine="436"/>
        <w:spacing w:after="0" w:line="266" w:lineRule="auto"/>
        <w:tabs>
          <w:tab w:leader="none" w:pos="699" w:val="left"/>
        </w:tabs>
        <w:numPr>
          <w:ilvl w:val="1"/>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HOICE OF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and any controversy arising out of or relating to this Plan shall be governed by, and construed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internal laws of the State of Delaware, without regard to conflict of law principles that would result in any application of any law other than the law of the State of Delaware.</w:t>
      </w:r>
    </w:p>
    <w:p>
      <w:pPr>
        <w:spacing w:after="0" w:line="202" w:lineRule="exact"/>
        <w:rPr>
          <w:rFonts w:ascii="Arial" w:cs="Arial" w:eastAsia="Arial" w:hAnsi="Arial"/>
          <w:sz w:val="18"/>
          <w:szCs w:val="18"/>
          <w:b w:val="1"/>
          <w:bCs w:val="1"/>
          <w:color w:val="auto"/>
        </w:rPr>
      </w:pPr>
    </w:p>
    <w:p>
      <w:pPr>
        <w:ind w:left="424" w:hanging="424"/>
        <w:spacing w:after="0"/>
        <w:tabs>
          <w:tab w:leader="none" w:pos="424"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p>
    <w:p>
      <w:pPr>
        <w:spacing w:after="0" w:line="121" w:lineRule="exact"/>
        <w:rPr>
          <w:sz w:val="20"/>
          <w:szCs w:val="20"/>
          <w:color w:val="auto"/>
        </w:rPr>
      </w:pPr>
    </w:p>
    <w:p>
      <w:pPr>
        <w:ind w:left="4" w:right="20" w:firstLine="440"/>
        <w:spacing w:after="0" w:line="271" w:lineRule="auto"/>
        <w:rPr>
          <w:sz w:val="20"/>
          <w:szCs w:val="20"/>
          <w:color w:val="auto"/>
        </w:rPr>
      </w:pPr>
      <w:r>
        <w:rPr>
          <w:rFonts w:ascii="Arial" w:cs="Arial" w:eastAsia="Arial" w:hAnsi="Arial"/>
          <w:sz w:val="17"/>
          <w:szCs w:val="17"/>
          <w:color w:val="auto"/>
        </w:rPr>
        <w:t>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201" w:lineRule="exact"/>
        <w:rPr>
          <w:sz w:val="20"/>
          <w:szCs w:val="20"/>
          <w:color w:val="auto"/>
        </w:rPr>
      </w:pPr>
    </w:p>
    <w:p>
      <w:pPr>
        <w:ind w:left="424" w:hanging="424"/>
        <w:spacing w:after="0"/>
        <w:tabs>
          <w:tab w:leader="none" w:pos="424"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DDITIONAL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ULES FOR</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UBJECT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409</w:t>
      </w:r>
      <w:r>
        <w:rPr>
          <w:rFonts w:ascii="Arial" w:cs="Arial" w:eastAsia="Arial" w:hAnsi="Arial"/>
          <w:sz w:val="14"/>
          <w:szCs w:val="14"/>
          <w:b w:val="1"/>
          <w:bCs w:val="1"/>
          <w:color w:val="auto"/>
        </w:rPr>
        <w:t>A</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20" w:firstLine="436"/>
        <w:spacing w:after="0" w:line="347" w:lineRule="auto"/>
        <w:tabs>
          <w:tab w:leader="none" w:pos="699" w:val="left"/>
        </w:tabs>
        <w:numPr>
          <w:ilvl w:val="1"/>
          <w:numId w:val="30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Application. </w:t>
      </w:r>
      <w:r>
        <w:rPr>
          <w:rFonts w:ascii="Arial" w:cs="Arial" w:eastAsia="Arial" w:hAnsi="Arial"/>
          <w:sz w:val="16"/>
          <w:szCs w:val="16"/>
          <w:color w:val="auto"/>
        </w:rPr>
        <w:t>Unless the provisions of this Section of the Plan are expressly superseded by the provisions in the form of Award Agreement,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this Section shall apply and shall supersede anything to the contrary set forth in the Award Agreement for a Non- Exempt Award.</w:t>
      </w:r>
    </w:p>
    <w:p>
      <w:pPr>
        <w:spacing w:after="0" w:line="7" w:lineRule="exact"/>
        <w:rPr>
          <w:rFonts w:ascii="Arial" w:cs="Arial" w:eastAsia="Arial" w:hAnsi="Arial"/>
          <w:sz w:val="16"/>
          <w:szCs w:val="16"/>
          <w:b w:val="1"/>
          <w:bCs w:val="1"/>
          <w:color w:val="auto"/>
        </w:rPr>
      </w:pPr>
    </w:p>
    <w:p>
      <w:pPr>
        <w:ind w:left="4" w:right="260" w:firstLine="436"/>
        <w:spacing w:after="0" w:line="282" w:lineRule="auto"/>
        <w:tabs>
          <w:tab w:leader="none" w:pos="709" w:val="left"/>
        </w:tabs>
        <w:numPr>
          <w:ilvl w:val="1"/>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Non-Exempt Awards Subject to Non-Exempt Severance Arrangements. </w:t>
      </w:r>
      <w:r>
        <w:rPr>
          <w:rFonts w:ascii="Arial" w:cs="Arial" w:eastAsia="Arial" w:hAnsi="Arial"/>
          <w:sz w:val="18"/>
          <w:szCs w:val="18"/>
          <w:color w:val="auto"/>
        </w:rPr>
        <w:t>To the extent a Non-Exempt Award is subject to Section 409A</w:t>
      </w:r>
      <w:r>
        <w:rPr>
          <w:rFonts w:ascii="Arial" w:cs="Arial" w:eastAsia="Arial" w:hAnsi="Arial"/>
          <w:sz w:val="18"/>
          <w:szCs w:val="18"/>
          <w:b w:val="1"/>
          <w:bCs w:val="1"/>
          <w:color w:val="auto"/>
        </w:rPr>
        <w:t xml:space="preserve"> </w:t>
      </w:r>
      <w:r>
        <w:rPr>
          <w:rFonts w:ascii="Arial" w:cs="Arial" w:eastAsia="Arial" w:hAnsi="Arial"/>
          <w:sz w:val="18"/>
          <w:szCs w:val="18"/>
          <w:color w:val="auto"/>
        </w:rPr>
        <w:t>due to application of a Non-Exempt Severance Arrangement, the following provisions of this subsection (b) apply.</w:t>
      </w:r>
    </w:p>
    <w:p>
      <w:pPr>
        <w:spacing w:after="0" w:line="57" w:lineRule="exact"/>
        <w:rPr>
          <w:rFonts w:ascii="Arial" w:cs="Arial" w:eastAsia="Arial" w:hAnsi="Arial"/>
          <w:sz w:val="18"/>
          <w:szCs w:val="18"/>
          <w:b w:val="1"/>
          <w:bCs w:val="1"/>
          <w:color w:val="auto"/>
        </w:rPr>
      </w:pPr>
    </w:p>
    <w:p>
      <w:pPr>
        <w:ind w:left="4" w:right="60" w:firstLine="987"/>
        <w:spacing w:after="0" w:line="259" w:lineRule="auto"/>
        <w:tabs>
          <w:tab w:leader="none" w:pos="1210" w:val="left"/>
        </w:tabs>
        <w:numPr>
          <w:ilvl w:val="2"/>
          <w:numId w:val="303"/>
        </w:numPr>
        <w:rPr>
          <w:rFonts w:ascii="Arial" w:cs="Arial" w:eastAsia="Arial" w:hAnsi="Arial"/>
          <w:sz w:val="18"/>
          <w:szCs w:val="18"/>
          <w:b w:val="1"/>
          <w:bCs w:val="1"/>
          <w:color w:val="auto"/>
        </w:rPr>
      </w:pPr>
      <w:r>
        <w:rPr>
          <w:rFonts w:ascii="Arial" w:cs="Arial" w:eastAsia="Arial" w:hAnsi="Arial"/>
          <w:sz w:val="18"/>
          <w:szCs w:val="18"/>
          <w:color w:val="auto"/>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Arial" w:cs="Arial" w:eastAsia="Arial" w:hAnsi="Arial"/>
          <w:sz w:val="15"/>
          <w:szCs w:val="15"/>
          <w:color w:val="auto"/>
        </w:rPr>
        <w:t>st</w:t>
      </w:r>
      <w:r>
        <w:rPr>
          <w:rFonts w:ascii="Arial" w:cs="Arial" w:eastAsia="Arial" w:hAnsi="Arial"/>
          <w:sz w:val="18"/>
          <w:szCs w:val="18"/>
          <w:color w:val="auto"/>
        </w:rPr>
        <w:t xml:space="preserve"> of the calendar year that includes the applicable vesting date, or (ii) the 60</w:t>
      </w:r>
      <w:r>
        <w:rPr>
          <w:rFonts w:ascii="Arial" w:cs="Arial" w:eastAsia="Arial" w:hAnsi="Arial"/>
          <w:sz w:val="15"/>
          <w:szCs w:val="15"/>
          <w:color w:val="auto"/>
        </w:rPr>
        <w:t>th</w:t>
      </w:r>
      <w:r>
        <w:rPr>
          <w:rFonts w:ascii="Arial" w:cs="Arial" w:eastAsia="Arial" w:hAnsi="Arial"/>
          <w:sz w:val="18"/>
          <w:szCs w:val="18"/>
          <w:color w:val="auto"/>
        </w:rPr>
        <w:t xml:space="preserve"> day that follows the applicable vesting date.</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4"/>
          </w:cols>
          <w:pgMar w:left="436" w:top="274" w:right="479" w:bottom="1440" w:gutter="0" w:footer="0" w:header="0"/>
        </w:sectPr>
      </w:pPr>
    </w:p>
    <w:bookmarkStart w:id="390" w:name="page391"/>
    <w:bookmarkEnd w:id="390"/>
    <w:p>
      <w:pPr>
        <w:ind w:left="4" w:right="100" w:firstLine="987"/>
        <w:spacing w:after="0" w:line="284" w:lineRule="auto"/>
        <w:tabs>
          <w:tab w:leader="none" w:pos="1260" w:val="left"/>
        </w:tabs>
        <w:numPr>
          <w:ilvl w:val="2"/>
          <w:numId w:val="304"/>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vesting of the Non-Exempt Award accelerates under the terms of a Non- 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w:t>
      </w:r>
      <w:r>
        <w:rPr>
          <w:rFonts w:ascii="Arial" w:cs="Arial" w:eastAsia="Arial" w:hAnsi="Arial"/>
          <w:sz w:val="13"/>
          <w:szCs w:val="13"/>
          <w:color w:val="auto"/>
        </w:rPr>
        <w:t>th</w:t>
      </w:r>
      <w:r>
        <w:rPr>
          <w:rFonts w:ascii="Arial" w:cs="Arial" w:eastAsia="Arial" w:hAnsi="Arial"/>
          <w:sz w:val="16"/>
          <w:szCs w:val="16"/>
          <w:color w:val="auto"/>
        </w:rPr>
        <w:t xml:space="preserve"> day that follows the date of the Participant’s Separation from Service. However, if at the time the shares would otherwise be issued the Participant is subject to the distribution limitations contained in Section 409A applicable to “specified employees,” as defined in</w:t>
      </w:r>
    </w:p>
    <w:p>
      <w:pPr>
        <w:spacing w:after="0" w:line="4" w:lineRule="exact"/>
        <w:rPr>
          <w:rFonts w:ascii="Arial" w:cs="Arial" w:eastAsia="Arial" w:hAnsi="Arial"/>
          <w:sz w:val="16"/>
          <w:szCs w:val="16"/>
          <w:b w:val="1"/>
          <w:bCs w:val="1"/>
          <w:color w:val="auto"/>
        </w:rPr>
      </w:pPr>
    </w:p>
    <w:p>
      <w:pPr>
        <w:ind w:left="4" w:right="740"/>
        <w:spacing w:after="0" w:line="290" w:lineRule="auto"/>
        <w:rPr>
          <w:rFonts w:ascii="Arial" w:cs="Arial" w:eastAsia="Arial" w:hAnsi="Arial"/>
          <w:sz w:val="16"/>
          <w:szCs w:val="16"/>
          <w:b w:val="1"/>
          <w:bCs w:val="1"/>
          <w:color w:val="auto"/>
        </w:rPr>
      </w:pPr>
      <w:r>
        <w:rPr>
          <w:rFonts w:ascii="Arial" w:cs="Arial" w:eastAsia="Arial" w:hAnsi="Arial"/>
          <w:sz w:val="17"/>
          <w:szCs w:val="17"/>
          <w:color w:val="auto"/>
        </w:rPr>
        <w:t>Section 409A(a)(2)(B)(i) of the Code, such shares shall not be issued before the date that is six months following the date of such Participant’s Separation from Service, or, if earlier, the date of the Participant’s death that occurs within such six month period.</w:t>
      </w:r>
    </w:p>
    <w:p>
      <w:pPr>
        <w:spacing w:after="0" w:line="53" w:lineRule="exact"/>
        <w:rPr>
          <w:rFonts w:ascii="Arial" w:cs="Arial" w:eastAsia="Arial" w:hAnsi="Arial"/>
          <w:sz w:val="16"/>
          <w:szCs w:val="16"/>
          <w:b w:val="1"/>
          <w:bCs w:val="1"/>
          <w:color w:val="auto"/>
        </w:rPr>
      </w:pPr>
    </w:p>
    <w:p>
      <w:pPr>
        <w:ind w:left="4" w:right="100" w:firstLine="987"/>
        <w:spacing w:after="0" w:line="254" w:lineRule="auto"/>
        <w:tabs>
          <w:tab w:leader="none" w:pos="1310" w:val="left"/>
        </w:tabs>
        <w:numPr>
          <w:ilvl w:val="2"/>
          <w:numId w:val="304"/>
        </w:numPr>
        <w:rPr>
          <w:rFonts w:ascii="Arial" w:cs="Arial" w:eastAsia="Arial" w:hAnsi="Arial"/>
          <w:sz w:val="18"/>
          <w:szCs w:val="18"/>
          <w:b w:val="1"/>
          <w:bCs w:val="1"/>
          <w:color w:val="auto"/>
        </w:rPr>
      </w:pPr>
      <w:r>
        <w:rPr>
          <w:rFonts w:ascii="Arial" w:cs="Arial" w:eastAsia="Arial" w:hAnsi="Arial"/>
          <w:sz w:val="18"/>
          <w:szCs w:val="18"/>
          <w:color w:val="auto"/>
        </w:rPr>
        <w:t>If vesting of a Non-Exempt Award accelerates under the terms of a Non- 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w:t>
      </w:r>
    </w:p>
    <w:p>
      <w:pPr>
        <w:spacing w:after="0" w:line="82" w:lineRule="exact"/>
        <w:rPr>
          <w:rFonts w:ascii="Arial" w:cs="Arial" w:eastAsia="Arial" w:hAnsi="Arial"/>
          <w:sz w:val="18"/>
          <w:szCs w:val="18"/>
          <w:b w:val="1"/>
          <w:bCs w:val="1"/>
          <w:color w:val="auto"/>
        </w:rPr>
      </w:pPr>
    </w:p>
    <w:p>
      <w:pPr>
        <w:ind w:left="684" w:hanging="244"/>
        <w:spacing w:after="0"/>
        <w:tabs>
          <w:tab w:leader="none" w:pos="684" w:val="left"/>
        </w:tabs>
        <w:numPr>
          <w:ilvl w:val="1"/>
          <w:numId w:val="30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Treatment of Non-Exempt Awards Upon a Corporate Transaction for Employees and Consultants. </w:t>
      </w:r>
      <w:r>
        <w:rPr>
          <w:rFonts w:ascii="Arial" w:cs="Arial" w:eastAsia="Arial" w:hAnsi="Arial"/>
          <w:sz w:val="16"/>
          <w:szCs w:val="16"/>
          <w:color w:val="auto"/>
        </w:rPr>
        <w:t>The provisions of this subsection</w:t>
      </w:r>
    </w:p>
    <w:p>
      <w:pPr>
        <w:spacing w:after="0" w:line="50" w:lineRule="exact"/>
        <w:rPr>
          <w:rFonts w:ascii="Arial" w:cs="Arial" w:eastAsia="Arial" w:hAnsi="Arial"/>
          <w:sz w:val="16"/>
          <w:szCs w:val="16"/>
          <w:b w:val="1"/>
          <w:bCs w:val="1"/>
          <w:color w:val="auto"/>
        </w:rPr>
      </w:pPr>
    </w:p>
    <w:p>
      <w:pPr>
        <w:jc w:val="both"/>
        <w:ind w:left="4" w:right="200" w:hanging="4"/>
        <w:spacing w:after="0" w:line="255" w:lineRule="auto"/>
        <w:tabs>
          <w:tab w:leader="none" w:pos="249" w:val="left"/>
        </w:tabs>
        <w:numPr>
          <w:ilvl w:val="0"/>
          <w:numId w:val="306"/>
        </w:numPr>
        <w:rPr>
          <w:rFonts w:ascii="Arial" w:cs="Arial" w:eastAsia="Arial" w:hAnsi="Arial"/>
          <w:sz w:val="18"/>
          <w:szCs w:val="18"/>
          <w:color w:val="auto"/>
        </w:rPr>
      </w:pPr>
      <w:r>
        <w:rPr>
          <w:rFonts w:ascii="Arial" w:cs="Arial" w:eastAsia="Arial" w:hAnsi="Arial"/>
          <w:sz w:val="18"/>
          <w:szCs w:val="18"/>
          <w:color w:val="auto"/>
        </w:rPr>
        <w:t>shall apply and shall supersede anything to the contrary set forth in the Plan with respect to the permitted treatment of any Non- Exempt Award in connection with a Corporate Transaction if the Participant was either an Employee or Consultant upon the applicable date of grant of the Non-Exempt Award.</w:t>
      </w:r>
    </w:p>
    <w:p>
      <w:pPr>
        <w:spacing w:after="0" w:line="77" w:lineRule="exact"/>
        <w:rPr>
          <w:rFonts w:ascii="Arial" w:cs="Arial" w:eastAsia="Arial" w:hAnsi="Arial"/>
          <w:sz w:val="18"/>
          <w:szCs w:val="18"/>
          <w:color w:val="auto"/>
        </w:rPr>
      </w:pPr>
    </w:p>
    <w:p>
      <w:pPr>
        <w:ind w:left="1204" w:hanging="213"/>
        <w:spacing w:after="0"/>
        <w:tabs>
          <w:tab w:leader="none" w:pos="1204" w:val="left"/>
        </w:tabs>
        <w:numPr>
          <w:ilvl w:val="2"/>
          <w:numId w:val="30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Vested Non-Exempt Awards. </w:t>
      </w:r>
      <w:r>
        <w:rPr>
          <w:rFonts w:ascii="Arial" w:cs="Arial" w:eastAsia="Arial" w:hAnsi="Arial"/>
          <w:sz w:val="16"/>
          <w:szCs w:val="16"/>
          <w:color w:val="auto"/>
        </w:rPr>
        <w:t>The following provisions shall apply to any Vested Non-Exempt Award in connection with a Corporate</w:t>
      </w:r>
    </w:p>
    <w:p>
      <w:pPr>
        <w:spacing w:after="0" w:line="50"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8"/>
          <w:szCs w:val="18"/>
          <w:color w:val="auto"/>
        </w:rPr>
        <w:t>Transaction:</w:t>
      </w:r>
    </w:p>
    <w:p>
      <w:pPr>
        <w:spacing w:after="0" w:line="102" w:lineRule="exact"/>
        <w:rPr>
          <w:rFonts w:ascii="Arial" w:cs="Arial" w:eastAsia="Arial" w:hAnsi="Arial"/>
          <w:sz w:val="16"/>
          <w:szCs w:val="16"/>
          <w:b w:val="1"/>
          <w:bCs w:val="1"/>
          <w:color w:val="auto"/>
        </w:rPr>
      </w:pPr>
    </w:p>
    <w:p>
      <w:pPr>
        <w:ind w:left="4" w:firstLine="1428"/>
        <w:spacing w:after="0" w:line="257" w:lineRule="auto"/>
        <w:tabs>
          <w:tab w:leader="none" w:pos="1691" w:val="left"/>
        </w:tabs>
        <w:numPr>
          <w:ilvl w:val="3"/>
          <w:numId w:val="306"/>
        </w:numPr>
        <w:rPr>
          <w:rFonts w:ascii="Arial" w:cs="Arial" w:eastAsia="Arial" w:hAnsi="Arial"/>
          <w:sz w:val="18"/>
          <w:szCs w:val="18"/>
          <w:b w:val="1"/>
          <w:bCs w:val="1"/>
          <w:color w:val="auto"/>
        </w:rPr>
      </w:pPr>
      <w:r>
        <w:rPr>
          <w:rFonts w:ascii="Arial" w:cs="Arial" w:eastAsia="Arial" w:hAnsi="Arial"/>
          <w:sz w:val="18"/>
          <w:szCs w:val="18"/>
          <w:color w:val="auto"/>
        </w:rPr>
        <w:t>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4" w:right="459" w:bottom="1440" w:gutter="0" w:footer="0" w:header="0"/>
        </w:sectPr>
      </w:pPr>
    </w:p>
    <w:bookmarkStart w:id="391" w:name="page392"/>
    <w:bookmarkEnd w:id="391"/>
    <w:p>
      <w:pPr>
        <w:ind w:left="-40" w:right="120" w:firstLine="1428"/>
        <w:spacing w:after="0" w:line="273" w:lineRule="auto"/>
        <w:tabs>
          <w:tab w:leader="none" w:pos="1647" w:val="left"/>
        </w:tabs>
        <w:numPr>
          <w:ilvl w:val="2"/>
          <w:numId w:val="307"/>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Corporate Transaction is not also a Section 409A Change in Control, then the Acquiring Entity must either assume, continue or substitute each Vested Non- 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spacing w:after="0" w:line="65" w:lineRule="exact"/>
        <w:rPr>
          <w:rFonts w:ascii="Arial" w:cs="Arial" w:eastAsia="Arial" w:hAnsi="Arial"/>
          <w:sz w:val="17"/>
          <w:szCs w:val="17"/>
          <w:b w:val="1"/>
          <w:bCs w:val="1"/>
          <w:color w:val="auto"/>
        </w:rPr>
      </w:pPr>
    </w:p>
    <w:p>
      <w:pPr>
        <w:ind w:left="-40" w:right="680" w:firstLine="987"/>
        <w:spacing w:after="0" w:line="282" w:lineRule="auto"/>
        <w:tabs>
          <w:tab w:leader="none" w:pos="1216" w:val="left"/>
        </w:tabs>
        <w:numPr>
          <w:ilvl w:val="1"/>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Unvested Non-Exempt Awards. </w:t>
      </w:r>
      <w:r>
        <w:rPr>
          <w:rFonts w:ascii="Arial" w:cs="Arial" w:eastAsia="Arial" w:hAnsi="Arial"/>
          <w:sz w:val="18"/>
          <w:szCs w:val="18"/>
          <w:color w:val="auto"/>
        </w:rPr>
        <w:t>The following provisions shall apply to any Unvested Non-Exempt Award unless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Board pursuant to subsection (e) of this Section.</w:t>
      </w:r>
    </w:p>
    <w:p>
      <w:pPr>
        <w:spacing w:after="0" w:line="57" w:lineRule="exact"/>
        <w:rPr>
          <w:rFonts w:ascii="Arial" w:cs="Arial" w:eastAsia="Arial" w:hAnsi="Arial"/>
          <w:sz w:val="18"/>
          <w:szCs w:val="18"/>
          <w:b w:val="1"/>
          <w:bCs w:val="1"/>
          <w:color w:val="auto"/>
        </w:rPr>
      </w:pPr>
    </w:p>
    <w:p>
      <w:pPr>
        <w:ind w:left="-40" w:right="60" w:firstLine="1428"/>
        <w:spacing w:after="0" w:line="291" w:lineRule="auto"/>
        <w:tabs>
          <w:tab w:leader="none" w:pos="1647" w:val="left"/>
        </w:tabs>
        <w:numPr>
          <w:ilvl w:val="2"/>
          <w:numId w:val="308"/>
        </w:numPr>
        <w:rPr>
          <w:rFonts w:ascii="Arial" w:cs="Arial" w:eastAsia="Arial" w:hAnsi="Arial"/>
          <w:sz w:val="16"/>
          <w:szCs w:val="16"/>
          <w:b w:val="1"/>
          <w:bCs w:val="1"/>
          <w:color w:val="auto"/>
        </w:rPr>
      </w:pPr>
      <w:r>
        <w:rPr>
          <w:rFonts w:ascii="Arial" w:cs="Arial" w:eastAsia="Arial" w:hAnsi="Arial"/>
          <w:sz w:val="16"/>
          <w:szCs w:val="16"/>
          <w:color w:val="auto"/>
        </w:rPr>
        <w:t>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spacing w:after="0" w:line="58" w:lineRule="exact"/>
        <w:rPr>
          <w:rFonts w:ascii="Arial" w:cs="Arial" w:eastAsia="Arial" w:hAnsi="Arial"/>
          <w:sz w:val="16"/>
          <w:szCs w:val="16"/>
          <w:b w:val="1"/>
          <w:bCs w:val="1"/>
          <w:color w:val="auto"/>
        </w:rPr>
      </w:pPr>
    </w:p>
    <w:p>
      <w:pPr>
        <w:ind w:left="-40" w:firstLine="1428"/>
        <w:spacing w:after="0" w:line="271" w:lineRule="auto"/>
        <w:tabs>
          <w:tab w:leader="none" w:pos="1647" w:val="left"/>
        </w:tabs>
        <w:numPr>
          <w:ilvl w:val="2"/>
          <w:numId w:val="308"/>
        </w:numPr>
        <w:rPr>
          <w:rFonts w:ascii="Arial" w:cs="Arial" w:eastAsia="Arial" w:hAnsi="Arial"/>
          <w:sz w:val="17"/>
          <w:szCs w:val="17"/>
          <w:b w:val="1"/>
          <w:bCs w:val="1"/>
          <w:color w:val="auto"/>
        </w:rPr>
      </w:pPr>
      <w:r>
        <w:rPr>
          <w:rFonts w:ascii="Arial" w:cs="Arial" w:eastAsia="Arial" w:hAnsi="Arial"/>
          <w:sz w:val="17"/>
          <w:szCs w:val="17"/>
          <w:color w:val="auto"/>
        </w:rPr>
        <w:t>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spacing w:after="0" w:line="70" w:lineRule="exact"/>
        <w:rPr>
          <w:rFonts w:ascii="Arial" w:cs="Arial" w:eastAsia="Arial" w:hAnsi="Arial"/>
          <w:sz w:val="17"/>
          <w:szCs w:val="17"/>
          <w:b w:val="1"/>
          <w:bCs w:val="1"/>
          <w:color w:val="auto"/>
        </w:rPr>
      </w:pPr>
    </w:p>
    <w:p>
      <w:pPr>
        <w:ind w:left="-40" w:right="400" w:firstLine="1428"/>
        <w:spacing w:after="0" w:line="277" w:lineRule="auto"/>
        <w:tabs>
          <w:tab w:leader="none" w:pos="1647" w:val="left"/>
        </w:tabs>
        <w:numPr>
          <w:ilvl w:val="2"/>
          <w:numId w:val="308"/>
        </w:numPr>
        <w:rPr>
          <w:rFonts w:ascii="Arial" w:cs="Arial" w:eastAsia="Arial" w:hAnsi="Arial"/>
          <w:sz w:val="18"/>
          <w:szCs w:val="18"/>
          <w:b w:val="1"/>
          <w:bCs w:val="1"/>
          <w:color w:val="auto"/>
        </w:rPr>
      </w:pPr>
      <w:r>
        <w:rPr>
          <w:rFonts w:ascii="Arial" w:cs="Arial" w:eastAsia="Arial" w:hAnsi="Arial"/>
          <w:sz w:val="18"/>
          <w:szCs w:val="18"/>
          <w:color w:val="auto"/>
        </w:rPr>
        <w:t>The foregoing treatment shall apply with respect to all Unvested Non-Exempt Awards upon any Corporate Transaction, and regardless of whether or not such Corporate Transaction is also a Section 409A Change in Control.</w:t>
      </w:r>
    </w:p>
    <w:p>
      <w:pPr>
        <w:spacing w:after="0" w:line="58" w:lineRule="exact"/>
        <w:rPr>
          <w:rFonts w:ascii="Arial" w:cs="Arial" w:eastAsia="Arial" w:hAnsi="Arial"/>
          <w:sz w:val="18"/>
          <w:szCs w:val="18"/>
          <w:b w:val="1"/>
          <w:bCs w:val="1"/>
          <w:color w:val="auto"/>
        </w:rPr>
      </w:pPr>
    </w:p>
    <w:p>
      <w:pPr>
        <w:ind w:left="-40" w:right="440" w:firstLine="436"/>
        <w:spacing w:after="0" w:line="266" w:lineRule="auto"/>
        <w:tabs>
          <w:tab w:leader="none" w:pos="665"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Treatment of Non-Exempt Awards Upon a Corporate Transaction for Non- Employee Directors. </w:t>
      </w:r>
      <w:r>
        <w:rPr>
          <w:rFonts w:ascii="Arial" w:cs="Arial" w:eastAsia="Arial" w:hAnsi="Arial"/>
          <w:sz w:val="18"/>
          <w:szCs w:val="18"/>
          <w:color w:val="auto"/>
        </w:rPr>
        <w:t>The following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subsection (d) shall apply and shall supersede anything to the contrary that may be set forth in the Plan with respect to the permitted treatment of a Non-Exempt Director Award in connection with a Corporate Transaction.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480" w:top="274" w:right="479" w:bottom="1440" w:gutter="0" w:footer="0" w:header="0"/>
        </w:sectPr>
      </w:pPr>
    </w:p>
    <w:bookmarkStart w:id="392" w:name="page393"/>
    <w:bookmarkEnd w:id="392"/>
    <w:p>
      <w:pPr>
        <w:ind w:left="-20" w:firstLine="987"/>
        <w:spacing w:after="0" w:line="275" w:lineRule="auto"/>
        <w:tabs>
          <w:tab w:leader="none" w:pos="1186" w:val="left"/>
        </w:tabs>
        <w:numPr>
          <w:ilvl w:val="1"/>
          <w:numId w:val="310"/>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w:t>
      </w:r>
    </w:p>
    <w:p>
      <w:pPr>
        <w:spacing w:after="0" w:line="68" w:lineRule="exact"/>
        <w:rPr>
          <w:rFonts w:ascii="Arial" w:cs="Arial" w:eastAsia="Arial" w:hAnsi="Arial"/>
          <w:sz w:val="17"/>
          <w:szCs w:val="17"/>
          <w:b w:val="1"/>
          <w:bCs w:val="1"/>
          <w:color w:val="auto"/>
        </w:rPr>
      </w:pPr>
    </w:p>
    <w:p>
      <w:pPr>
        <w:ind w:left="-20" w:right="20" w:firstLine="987"/>
        <w:spacing w:after="0" w:line="291" w:lineRule="auto"/>
        <w:tabs>
          <w:tab w:leader="none" w:pos="1236" w:val="left"/>
        </w:tabs>
        <w:numPr>
          <w:ilvl w:val="1"/>
          <w:numId w:val="310"/>
        </w:numPr>
        <w:rPr>
          <w:rFonts w:ascii="Arial" w:cs="Arial" w:eastAsia="Arial" w:hAnsi="Arial"/>
          <w:sz w:val="16"/>
          <w:szCs w:val="16"/>
          <w:b w:val="1"/>
          <w:bCs w:val="1"/>
          <w:color w:val="auto"/>
        </w:rPr>
      </w:pPr>
      <w:r>
        <w:rPr>
          <w:rFonts w:ascii="Arial" w:cs="Arial" w:eastAsia="Arial" w:hAnsi="Arial"/>
          <w:sz w:val="16"/>
          <w:szCs w:val="16"/>
          <w:color w:val="auto"/>
        </w:rPr>
        <w:t>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w:t>
      </w:r>
    </w:p>
    <w:p>
      <w:pPr>
        <w:spacing w:after="0" w:line="58" w:lineRule="exact"/>
        <w:rPr>
          <w:rFonts w:ascii="Arial" w:cs="Arial" w:eastAsia="Arial" w:hAnsi="Arial"/>
          <w:sz w:val="16"/>
          <w:szCs w:val="16"/>
          <w:b w:val="1"/>
          <w:bCs w:val="1"/>
          <w:color w:val="auto"/>
        </w:rPr>
      </w:pPr>
    </w:p>
    <w:p>
      <w:pPr>
        <w:ind w:left="-20" w:right="320" w:firstLine="436"/>
        <w:spacing w:after="0" w:line="277" w:lineRule="auto"/>
        <w:tabs>
          <w:tab w:leader="none" w:pos="665" w:val="left"/>
        </w:tabs>
        <w:numPr>
          <w:ilvl w:val="0"/>
          <w:numId w:val="311"/>
        </w:numPr>
        <w:rPr>
          <w:rFonts w:ascii="Arial" w:cs="Arial" w:eastAsia="Arial" w:hAnsi="Arial"/>
          <w:sz w:val="18"/>
          <w:szCs w:val="18"/>
          <w:b w:val="1"/>
          <w:bCs w:val="1"/>
          <w:color w:val="auto"/>
        </w:rPr>
      </w:pPr>
      <w:r>
        <w:rPr>
          <w:rFonts w:ascii="Arial" w:cs="Arial" w:eastAsia="Arial" w:hAnsi="Arial"/>
          <w:sz w:val="18"/>
          <w:szCs w:val="18"/>
          <w:color w:val="auto"/>
        </w:rPr>
        <w:t>If the RSU Award is a Non-Exempt Award, then the provisions in this Section 11(e) shall apply and supersede anything to the contrary that may be set forth in the Plan or the Award Agreement with respect to the permitted treatment of such Non-Exempt Award:</w:t>
      </w:r>
    </w:p>
    <w:p>
      <w:pPr>
        <w:spacing w:after="0" w:line="62" w:lineRule="exact"/>
        <w:rPr>
          <w:rFonts w:ascii="Arial" w:cs="Arial" w:eastAsia="Arial" w:hAnsi="Arial"/>
          <w:sz w:val="18"/>
          <w:szCs w:val="18"/>
          <w:b w:val="1"/>
          <w:bCs w:val="1"/>
          <w:color w:val="auto"/>
        </w:rPr>
      </w:pPr>
    </w:p>
    <w:p>
      <w:pPr>
        <w:ind w:left="-20" w:right="320" w:firstLine="987"/>
        <w:spacing w:after="0" w:line="263" w:lineRule="auto"/>
        <w:tabs>
          <w:tab w:leader="none" w:pos="1186" w:val="left"/>
        </w:tabs>
        <w:numPr>
          <w:ilvl w:val="1"/>
          <w:numId w:val="311"/>
        </w:numPr>
        <w:rPr>
          <w:rFonts w:ascii="Arial" w:cs="Arial" w:eastAsia="Arial" w:hAnsi="Arial"/>
          <w:sz w:val="18"/>
          <w:szCs w:val="18"/>
          <w:b w:val="1"/>
          <w:bCs w:val="1"/>
          <w:color w:val="auto"/>
        </w:rPr>
      </w:pPr>
      <w:r>
        <w:rPr>
          <w:rFonts w:ascii="Arial" w:cs="Arial" w:eastAsia="Arial" w:hAnsi="Arial"/>
          <w:sz w:val="18"/>
          <w:szCs w:val="18"/>
          <w:color w:val="auto"/>
        </w:rPr>
        <w:t>Any exercise by the Board of discretion to accelerate the vesting of a Non- Exempt Award shall not result in any acceleration of the scheduled issuance dates for the shares in respect of the Non-Exempt Award unless earlier issuance of the shares upon the applicable vesting dates would be in compliance with the requirements of Section 409A.</w:t>
      </w:r>
    </w:p>
    <w:p>
      <w:pPr>
        <w:spacing w:after="0" w:line="75" w:lineRule="exact"/>
        <w:rPr>
          <w:rFonts w:ascii="Arial" w:cs="Arial" w:eastAsia="Arial" w:hAnsi="Arial"/>
          <w:sz w:val="18"/>
          <w:szCs w:val="18"/>
          <w:b w:val="1"/>
          <w:bCs w:val="1"/>
          <w:color w:val="auto"/>
        </w:rPr>
      </w:pPr>
    </w:p>
    <w:p>
      <w:pPr>
        <w:ind w:left="-20" w:right="140" w:firstLine="987"/>
        <w:spacing w:after="0" w:line="308" w:lineRule="auto"/>
        <w:tabs>
          <w:tab w:leader="none" w:pos="1236" w:val="left"/>
        </w:tabs>
        <w:numPr>
          <w:ilvl w:val="1"/>
          <w:numId w:val="311"/>
        </w:numPr>
        <w:rPr>
          <w:rFonts w:ascii="Arial" w:cs="Arial" w:eastAsia="Arial" w:hAnsi="Arial"/>
          <w:sz w:val="17"/>
          <w:szCs w:val="17"/>
          <w:b w:val="1"/>
          <w:bCs w:val="1"/>
          <w:color w:val="auto"/>
        </w:rPr>
      </w:pPr>
      <w:r>
        <w:rPr>
          <w:rFonts w:ascii="Arial" w:cs="Arial" w:eastAsia="Arial" w:hAnsi="Arial"/>
          <w:sz w:val="17"/>
          <w:szCs w:val="17"/>
          <w:color w:val="auto"/>
        </w:rPr>
        <w:t>The Company explicitly reserves the right to earlier settle any Non-Exempt Award to the extent permitted and in compliance with the requirements of Section 409A, including pursuant to any of the exemptions available in Treasury Regulations Section 1.409A- 3(j)(4)(ix).</w:t>
      </w:r>
    </w:p>
    <w:p>
      <w:pPr>
        <w:spacing w:after="0" w:line="38" w:lineRule="exact"/>
        <w:rPr>
          <w:rFonts w:ascii="Arial" w:cs="Arial" w:eastAsia="Arial" w:hAnsi="Arial"/>
          <w:sz w:val="17"/>
          <w:szCs w:val="17"/>
          <w:b w:val="1"/>
          <w:bCs w:val="1"/>
          <w:color w:val="auto"/>
        </w:rPr>
      </w:pPr>
    </w:p>
    <w:p>
      <w:pPr>
        <w:ind w:left="-20" w:firstLine="987"/>
        <w:spacing w:after="0" w:line="273" w:lineRule="auto"/>
        <w:tabs>
          <w:tab w:leader="none" w:pos="1286" w:val="left"/>
        </w:tabs>
        <w:numPr>
          <w:ilvl w:val="1"/>
          <w:numId w:val="311"/>
        </w:numPr>
        <w:rPr>
          <w:rFonts w:ascii="Arial" w:cs="Arial" w:eastAsia="Arial" w:hAnsi="Arial"/>
          <w:sz w:val="17"/>
          <w:szCs w:val="17"/>
          <w:b w:val="1"/>
          <w:bCs w:val="1"/>
          <w:color w:val="auto"/>
        </w:rPr>
      </w:pPr>
      <w:r>
        <w:rPr>
          <w:rFonts w:ascii="Arial" w:cs="Arial" w:eastAsia="Arial" w:hAnsi="Arial"/>
          <w:sz w:val="17"/>
          <w:szCs w:val="17"/>
          <w:color w:val="auto"/>
        </w:rPr>
        <w:t>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provides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60" w:top="274" w:right="459" w:bottom="1440" w:gutter="0" w:footer="0" w:header="0"/>
        </w:sectPr>
      </w:pPr>
    </w:p>
    <w:bookmarkStart w:id="393" w:name="page394"/>
    <w:bookmarkEnd w:id="393"/>
    <w:p>
      <w:pPr>
        <w:jc w:val="both"/>
        <w:ind w:left="4"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spacing w:after="0" w:line="76" w:lineRule="exact"/>
        <w:rPr>
          <w:sz w:val="20"/>
          <w:szCs w:val="20"/>
          <w:color w:val="auto"/>
        </w:rPr>
      </w:pPr>
    </w:p>
    <w:p>
      <w:pPr>
        <w:ind w:left="4" w:right="40" w:firstLine="987"/>
        <w:spacing w:after="0" w:line="286" w:lineRule="auto"/>
        <w:tabs>
          <w:tab w:leader="none" w:pos="1300" w:val="left"/>
        </w:tabs>
        <w:numPr>
          <w:ilvl w:val="1"/>
          <w:numId w:val="312"/>
        </w:numPr>
        <w:rPr>
          <w:rFonts w:ascii="Arial" w:cs="Arial" w:eastAsia="Arial" w:hAnsi="Arial"/>
          <w:sz w:val="17"/>
          <w:szCs w:val="17"/>
          <w:b w:val="1"/>
          <w:bCs w:val="1"/>
          <w:color w:val="auto"/>
        </w:rPr>
      </w:pPr>
      <w:r>
        <w:rPr>
          <w:rFonts w:ascii="Arial" w:cs="Arial" w:eastAsia="Arial" w:hAnsi="Arial"/>
          <w:sz w:val="17"/>
          <w:szCs w:val="17"/>
          <w:color w:val="auto"/>
        </w:rPr>
        <w:t>The provisions in this subsection (e) for delivery of the shares in respect of the settlement of an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spacing w:after="0" w:line="188" w:lineRule="exact"/>
        <w:rPr>
          <w:rFonts w:ascii="Arial" w:cs="Arial" w:eastAsia="Arial" w:hAnsi="Arial"/>
          <w:sz w:val="17"/>
          <w:szCs w:val="17"/>
          <w:b w:val="1"/>
          <w:bCs w:val="1"/>
          <w:color w:val="auto"/>
        </w:rPr>
      </w:pPr>
    </w:p>
    <w:p>
      <w:pPr>
        <w:ind w:left="424" w:hanging="424"/>
        <w:spacing w:after="0"/>
        <w:tabs>
          <w:tab w:leader="none" w:pos="424" w:val="left"/>
        </w:tabs>
        <w:numPr>
          <w:ilvl w:val="0"/>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EVERABILITY</w:t>
      </w:r>
      <w:r>
        <w:rPr>
          <w:rFonts w:ascii="Arial" w:cs="Arial" w:eastAsia="Arial" w:hAnsi="Arial"/>
          <w:sz w:val="18"/>
          <w:szCs w:val="18"/>
          <w:b w:val="1"/>
          <w:bCs w:val="1"/>
          <w:color w:val="auto"/>
        </w:rPr>
        <w:t>.</w:t>
      </w:r>
    </w:p>
    <w:p>
      <w:pPr>
        <w:spacing w:after="0" w:line="121" w:lineRule="exact"/>
        <w:rPr>
          <w:sz w:val="20"/>
          <w:szCs w:val="20"/>
          <w:color w:val="auto"/>
        </w:rPr>
      </w:pPr>
    </w:p>
    <w:p>
      <w:pPr>
        <w:ind w:left="4" w:firstLine="440"/>
        <w:spacing w:after="0" w:line="279" w:lineRule="auto"/>
        <w:rPr>
          <w:sz w:val="20"/>
          <w:szCs w:val="20"/>
          <w:color w:val="auto"/>
        </w:rPr>
      </w:pPr>
      <w:r>
        <w:rPr>
          <w:rFonts w:ascii="Arial" w:cs="Arial" w:eastAsia="Arial" w:hAnsi="Arial"/>
          <w:sz w:val="17"/>
          <w:szCs w:val="17"/>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94" w:lineRule="exact"/>
        <w:rPr>
          <w:sz w:val="20"/>
          <w:szCs w:val="20"/>
          <w:color w:val="auto"/>
        </w:rPr>
      </w:pPr>
    </w:p>
    <w:p>
      <w:pPr>
        <w:ind w:left="424" w:hanging="424"/>
        <w:spacing w:after="0"/>
        <w:tabs>
          <w:tab w:leader="none" w:pos="424"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ERMINATION OF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Board may suspend or terminate the Plan at any time. No Incentive Stock Options may be granted after the tenth anniversary of the earlier of:</w:t>
      </w:r>
    </w:p>
    <w:p>
      <w:pPr>
        <w:spacing w:after="0" w:line="46" w:lineRule="exact"/>
        <w:rPr>
          <w:sz w:val="20"/>
          <w:szCs w:val="20"/>
          <w:color w:val="auto"/>
        </w:rPr>
      </w:pPr>
    </w:p>
    <w:p>
      <w:pPr>
        <w:ind w:left="4" w:right="140" w:hanging="4"/>
        <w:spacing w:after="0" w:line="260" w:lineRule="auto"/>
        <w:tabs>
          <w:tab w:leader="none" w:pos="219"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Adoption Date, or (ii) the date the Plan is approved by the Company’s stockholders. No Awards may be granted under the Plan while the Plan is suspended or after it is terminated.</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4"/>
          </w:cols>
          <w:pgMar w:left="436" w:top="274" w:right="479" w:bottom="1440" w:gutter="0" w:footer="0" w:header="0"/>
        </w:sectPr>
      </w:pPr>
    </w:p>
    <w:bookmarkStart w:id="394" w:name="page395"/>
    <w:bookmarkEnd w:id="394"/>
    <w:p>
      <w:pPr>
        <w:ind w:left="424" w:hanging="424"/>
        <w:spacing w:after="0"/>
        <w:tabs>
          <w:tab w:leader="none" w:pos="424"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w:t>
      </w:r>
      <w:r>
        <w:rPr>
          <w:rFonts w:ascii="Arial" w:cs="Arial" w:eastAsia="Arial" w:hAnsi="Arial"/>
          <w:sz w:val="14"/>
          <w:szCs w:val="14"/>
          <w:b w:val="1"/>
          <w:bCs w:val="1"/>
          <w:color w:val="auto"/>
        </w:rPr>
        <w:t>EFINITIONS</w:t>
      </w:r>
      <w:r>
        <w:rPr>
          <w:rFonts w:ascii="Arial" w:cs="Arial" w:eastAsia="Arial" w:hAnsi="Arial"/>
          <w:sz w:val="18"/>
          <w:szCs w:val="18"/>
          <w:b w:val="1"/>
          <w:bCs w:val="1"/>
          <w:color w:val="auto"/>
        </w:rPr>
        <w: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As used in the Plan, the following definitions apply to the capitalized terms indicated below:</w:t>
      </w:r>
    </w:p>
    <w:p>
      <w:pPr>
        <w:spacing w:after="0" w:line="117" w:lineRule="exact"/>
        <w:rPr>
          <w:sz w:val="20"/>
          <w:szCs w:val="20"/>
          <w:color w:val="auto"/>
        </w:rPr>
      </w:pPr>
    </w:p>
    <w:p>
      <w:pPr>
        <w:ind w:left="704" w:hanging="264"/>
        <w:spacing w:after="0"/>
        <w:tabs>
          <w:tab w:leader="none" w:pos="704" w:val="left"/>
        </w:tabs>
        <w:numPr>
          <w:ilvl w:val="0"/>
          <w:numId w:val="317"/>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Acquiring Entity</w:t>
      </w:r>
      <w:r>
        <w:rPr>
          <w:rFonts w:ascii="Arial" w:cs="Arial" w:eastAsia="Arial" w:hAnsi="Arial"/>
          <w:sz w:val="17"/>
          <w:szCs w:val="17"/>
          <w:color w:val="auto"/>
        </w:rPr>
        <w:t>” means the surviving or acquiring corporation (or its parent company) in connection with a Corporate Transaction.</w:t>
      </w:r>
    </w:p>
    <w:p>
      <w:pPr>
        <w:spacing w:after="0" w:line="128" w:lineRule="exact"/>
        <w:rPr>
          <w:rFonts w:ascii="Arial" w:cs="Arial" w:eastAsia="Arial" w:hAnsi="Arial"/>
          <w:sz w:val="17"/>
          <w:szCs w:val="17"/>
          <w:b w:val="1"/>
          <w:bCs w:val="1"/>
          <w:color w:val="auto"/>
        </w:rPr>
      </w:pPr>
    </w:p>
    <w:p>
      <w:pPr>
        <w:ind w:left="704" w:hanging="264"/>
        <w:spacing w:after="0"/>
        <w:tabs>
          <w:tab w:leader="none" w:pos="704" w:val="left"/>
        </w:tabs>
        <w:numPr>
          <w:ilvl w:val="0"/>
          <w:numId w:val="3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Adoption Date</w:t>
      </w:r>
      <w:r>
        <w:rPr>
          <w:rFonts w:ascii="Arial" w:cs="Arial" w:eastAsia="Arial" w:hAnsi="Arial"/>
          <w:sz w:val="18"/>
          <w:szCs w:val="18"/>
          <w:color w:val="auto"/>
        </w:rPr>
        <w:t>” means the date the Plan is first approved by the Board or Compensation Committee.</w:t>
      </w:r>
    </w:p>
    <w:p>
      <w:pPr>
        <w:spacing w:after="0" w:line="117" w:lineRule="exact"/>
        <w:rPr>
          <w:rFonts w:ascii="Arial" w:cs="Arial" w:eastAsia="Arial" w:hAnsi="Arial"/>
          <w:sz w:val="18"/>
          <w:szCs w:val="18"/>
          <w:b w:val="1"/>
          <w:bCs w:val="1"/>
          <w:color w:val="auto"/>
        </w:rPr>
      </w:pPr>
    </w:p>
    <w:p>
      <w:pPr>
        <w:ind w:left="4" w:right="360" w:firstLine="436"/>
        <w:spacing w:after="0" w:line="263" w:lineRule="auto"/>
        <w:tabs>
          <w:tab w:leader="none" w:pos="689" w:val="left"/>
        </w:tabs>
        <w:numPr>
          <w:ilvl w:val="0"/>
          <w:numId w:val="3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75" w:lineRule="exact"/>
        <w:rPr>
          <w:rFonts w:ascii="Arial" w:cs="Arial" w:eastAsia="Arial" w:hAnsi="Arial"/>
          <w:sz w:val="18"/>
          <w:szCs w:val="18"/>
          <w:b w:val="1"/>
          <w:bCs w:val="1"/>
          <w:color w:val="auto"/>
        </w:rPr>
      </w:pPr>
    </w:p>
    <w:p>
      <w:pPr>
        <w:ind w:left="4" w:firstLine="436"/>
        <w:spacing w:after="0" w:line="257" w:lineRule="auto"/>
        <w:tabs>
          <w:tab w:leader="none" w:pos="709" w:val="left"/>
        </w:tabs>
        <w:numPr>
          <w:ilvl w:val="0"/>
          <w:numId w:val="3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Law</w:t>
      </w:r>
      <w:r>
        <w:rPr>
          <w:rFonts w:ascii="Arial" w:cs="Arial" w:eastAsia="Arial" w:hAnsi="Arial"/>
          <w:sz w:val="18"/>
          <w:szCs w:val="18"/>
          <w:color w:val="auto"/>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 regulating organization such as the Nasdaq Stock Market, New York Stock Exchange, or the Financial Industry Regulatory Authority).</w:t>
      </w:r>
    </w:p>
    <w:p>
      <w:pPr>
        <w:spacing w:after="0" w:line="79" w:lineRule="exact"/>
        <w:rPr>
          <w:rFonts w:ascii="Arial" w:cs="Arial" w:eastAsia="Arial" w:hAnsi="Arial"/>
          <w:sz w:val="18"/>
          <w:szCs w:val="18"/>
          <w:b w:val="1"/>
          <w:bCs w:val="1"/>
          <w:color w:val="auto"/>
        </w:rPr>
      </w:pPr>
    </w:p>
    <w:p>
      <w:pPr>
        <w:ind w:left="4" w:right="320" w:firstLine="436"/>
        <w:spacing w:after="0" w:line="308" w:lineRule="auto"/>
        <w:tabs>
          <w:tab w:leader="none" w:pos="689" w:val="left"/>
        </w:tabs>
        <w:numPr>
          <w:ilvl w:val="0"/>
          <w:numId w:val="317"/>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means any right to receive Common Stock, cash or other property granted under the Plan (including an Incentive Stock Option, a Nonstatutory Stock Option, a Restricted Stock Award, an RSU Award, a SAR, a Performance Award or any Other Award).</w:t>
      </w:r>
    </w:p>
    <w:p>
      <w:pPr>
        <w:spacing w:after="0" w:line="38" w:lineRule="exact"/>
        <w:rPr>
          <w:rFonts w:ascii="Arial" w:cs="Arial" w:eastAsia="Arial" w:hAnsi="Arial"/>
          <w:sz w:val="17"/>
          <w:szCs w:val="17"/>
          <w:b w:val="1"/>
          <w:bCs w:val="1"/>
          <w:color w:val="auto"/>
        </w:rPr>
      </w:pPr>
    </w:p>
    <w:p>
      <w:pPr>
        <w:ind w:left="4" w:right="160" w:firstLine="436"/>
        <w:spacing w:after="0" w:line="311" w:lineRule="auto"/>
        <w:tabs>
          <w:tab w:leader="none" w:pos="669" w:val="left"/>
        </w:tabs>
        <w:numPr>
          <w:ilvl w:val="0"/>
          <w:numId w:val="31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means a written or electronic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including through electronic means, to a Participant along with the Grant Notice.</w:t>
      </w:r>
    </w:p>
    <w:p>
      <w:pPr>
        <w:spacing w:after="0" w:line="40" w:lineRule="exact"/>
        <w:rPr>
          <w:rFonts w:ascii="Arial" w:cs="Arial" w:eastAsia="Arial" w:hAnsi="Arial"/>
          <w:sz w:val="16"/>
          <w:szCs w:val="16"/>
          <w:b w:val="1"/>
          <w:bCs w:val="1"/>
          <w:color w:val="auto"/>
        </w:rPr>
      </w:pPr>
    </w:p>
    <w:p>
      <w:pPr>
        <w:ind w:left="4" w:right="40" w:firstLine="436"/>
        <w:spacing w:after="0" w:line="263" w:lineRule="auto"/>
        <w:tabs>
          <w:tab w:leader="none" w:pos="699" w:val="left"/>
        </w:tabs>
        <w:numPr>
          <w:ilvl w:val="0"/>
          <w:numId w:val="3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75" w:lineRule="exact"/>
        <w:rPr>
          <w:rFonts w:ascii="Arial" w:cs="Arial" w:eastAsia="Arial" w:hAnsi="Arial"/>
          <w:sz w:val="18"/>
          <w:szCs w:val="18"/>
          <w:b w:val="1"/>
          <w:bCs w:val="1"/>
          <w:color w:val="auto"/>
        </w:rPr>
      </w:pPr>
    </w:p>
    <w:p>
      <w:pPr>
        <w:ind w:left="4" w:right="140" w:firstLine="436"/>
        <w:spacing w:after="0" w:line="254" w:lineRule="auto"/>
        <w:tabs>
          <w:tab w:leader="none" w:pos="709" w:val="left"/>
        </w:tabs>
        <w:numPr>
          <w:ilvl w:val="0"/>
          <w:numId w:val="317"/>
        </w:numPr>
        <w:rPr>
          <w:rFonts w:ascii="Arial" w:cs="Arial" w:eastAsia="Arial" w:hAnsi="Arial"/>
          <w:sz w:val="18"/>
          <w:szCs w:val="18"/>
          <w:b w:val="1"/>
          <w:bCs w:val="1"/>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Capitalization Adjustment</w:t>
      </w:r>
      <w:r>
        <w:rPr>
          <w:rFonts w:ascii="Arial" w:cs="Arial" w:eastAsia="Arial" w:hAnsi="Arial"/>
          <w:sz w:val="18"/>
          <w:szCs w:val="18"/>
          <w:color w:val="auto"/>
        </w:rPr>
        <w:t>” means any change that is made in, or other events that occur with respect to, the Common Stock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or subject to any Award after the date the Plan is adopted by the Board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2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4"/>
          </w:cols>
          <w:pgMar w:left="436" w:top="270" w:right="479" w:bottom="1440" w:gutter="0" w:footer="0" w:header="0"/>
        </w:sectPr>
      </w:pPr>
    </w:p>
    <w:bookmarkStart w:id="395" w:name="page396"/>
    <w:bookmarkEnd w:id="395"/>
    <w:p>
      <w:pPr>
        <w:ind w:firstLine="436"/>
        <w:spacing w:after="0" w:line="286" w:lineRule="auto"/>
        <w:tabs>
          <w:tab w:leader="none" w:pos="655" w:val="left"/>
        </w:tabs>
        <w:numPr>
          <w:ilvl w:val="0"/>
          <w:numId w:val="3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has the meaning ascribed to such term in any written agreement between a Participant and the Company defining such term and, in the absence of such agreement, such term means, with respect to a Participant, the occurrence of any of the following events: (i) the Participant’s dishonest statements or acts with respect to the Company or any Affiliate of the Company, or any current or prospective customers, suppliers, vendors or other third parties with which such entity does business; (ii) the Participant’s commission of (A) a felony or (B) any misdemeanor involving moral turpitude, deceit, dishonesty or fraud; (iii) the Participant’s failure to perform the Participant’s assigned duties and responsibilities to the reasonable satisfaction of the Company which failure continues, in the reasonable judgment of the Company, after written notice given to the Participant by the Company; (iv) the Participant’s gross negligence, willful misconduct or insubordination with respect to the Company or any Affiliate of the Company; or (v) the Participant’s material violation of any provision of any agreement(s) between the Participant and the Company relating to noncompetition, nonsolicitation, nondisclosure and/or assignment of inventions.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65" w:lineRule="exact"/>
        <w:rPr>
          <w:rFonts w:ascii="Arial" w:cs="Arial" w:eastAsia="Arial" w:hAnsi="Arial"/>
          <w:sz w:val="16"/>
          <w:szCs w:val="16"/>
          <w:color w:val="auto"/>
        </w:rPr>
      </w:pPr>
    </w:p>
    <w:p>
      <w:pPr>
        <w:ind w:right="100" w:firstLine="436"/>
        <w:spacing w:after="0" w:line="277" w:lineRule="auto"/>
        <w:tabs>
          <w:tab w:leader="none" w:pos="665" w:val="left"/>
        </w:tabs>
        <w:numPr>
          <w:ilvl w:val="0"/>
          <w:numId w:val="31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or “</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means the occurrence, in a single transaction or in a series of related transactions, of any one or more of the following events:</w:t>
      </w:r>
    </w:p>
    <w:p>
      <w:pPr>
        <w:spacing w:after="0" w:line="62" w:lineRule="exact"/>
        <w:rPr>
          <w:rFonts w:ascii="Arial" w:cs="Arial" w:eastAsia="Arial" w:hAnsi="Arial"/>
          <w:sz w:val="18"/>
          <w:szCs w:val="18"/>
          <w:b w:val="1"/>
          <w:bCs w:val="1"/>
          <w:color w:val="auto"/>
        </w:rPr>
      </w:pPr>
    </w:p>
    <w:p>
      <w:pPr>
        <w:ind w:firstLine="987"/>
        <w:spacing w:after="0" w:line="287" w:lineRule="auto"/>
        <w:tabs>
          <w:tab w:leader="none" w:pos="1206" w:val="left"/>
        </w:tabs>
        <w:numPr>
          <w:ilvl w:val="1"/>
          <w:numId w:val="318"/>
        </w:numPr>
        <w:rPr>
          <w:rFonts w:ascii="Arial" w:cs="Arial" w:eastAsia="Arial" w:hAnsi="Arial"/>
          <w:sz w:val="16"/>
          <w:szCs w:val="16"/>
          <w:b w:val="1"/>
          <w:bCs w:val="1"/>
          <w:color w:val="auto"/>
        </w:rPr>
      </w:pPr>
      <w:r>
        <w:rPr>
          <w:rFonts w:ascii="Arial" w:cs="Arial" w:eastAsia="Arial" w:hAnsi="Arial"/>
          <w:sz w:val="16"/>
          <w:szCs w:val="16"/>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Arial" w:cs="Arial" w:eastAsia="Arial" w:hAnsi="Arial"/>
          <w:sz w:val="16"/>
          <w:szCs w:val="16"/>
          <w:i w:val="1"/>
          <w:iCs w:val="1"/>
          <w:color w:val="auto"/>
        </w:rPr>
        <w:t>Subject</w:t>
      </w:r>
      <w:r>
        <w:rPr>
          <w:rFonts w:ascii="Arial" w:cs="Arial" w:eastAsia="Arial" w:hAnsi="Arial"/>
          <w:sz w:val="16"/>
          <w:szCs w:val="16"/>
          <w:color w:val="auto"/>
        </w:rPr>
        <w:t xml:space="preserve"> </w:t>
      </w:r>
      <w:r>
        <w:rPr>
          <w:rFonts w:ascii="Arial" w:cs="Arial" w:eastAsia="Arial" w:hAnsi="Arial"/>
          <w:sz w:val="16"/>
          <w:szCs w:val="16"/>
          <w:i w:val="1"/>
          <w:iCs w:val="1"/>
          <w:color w:val="auto"/>
        </w:rPr>
        <w:t>Person</w:t>
      </w:r>
      <w:r>
        <w:rPr>
          <w:rFonts w:ascii="Arial" w:cs="Arial" w:eastAsia="Arial" w:hAnsi="Arial"/>
          <w:sz w:val="16"/>
          <w:szCs w:val="16"/>
          <w:color w:val="auto"/>
        </w:rPr>
        <w:t>”) exceeds the designated percentage threshold of the outstanding voting securities as a result of a repurchase or other acquisition of voting</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396" w:name="page397"/>
    <w:bookmarkEnd w:id="396"/>
    <w:p>
      <w:pPr>
        <w:ind w:right="160" w:firstLine="987"/>
        <w:spacing w:after="0" w:line="273" w:lineRule="auto"/>
        <w:tabs>
          <w:tab w:leader="none" w:pos="1256" w:val="left"/>
        </w:tabs>
        <w:numPr>
          <w:ilvl w:val="0"/>
          <w:numId w:val="319"/>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Acquiring Entity in such merger, consolidation or similar transaction or (B) more than 50% of the combined outstanding voting power of the parent of the Acquiring Entity in such merger, consolidation or similar transaction, in each case in substantially the same proportions as their Ownership of the outstanding voting securities of the Company immediately prior to such transaction;</w:t>
      </w:r>
    </w:p>
    <w:p>
      <w:pPr>
        <w:spacing w:after="0" w:line="69" w:lineRule="exact"/>
        <w:rPr>
          <w:rFonts w:ascii="Arial" w:cs="Arial" w:eastAsia="Arial" w:hAnsi="Arial"/>
          <w:sz w:val="17"/>
          <w:szCs w:val="17"/>
          <w:b w:val="1"/>
          <w:bCs w:val="1"/>
          <w:color w:val="auto"/>
        </w:rPr>
      </w:pPr>
    </w:p>
    <w:p>
      <w:pPr>
        <w:ind w:right="120" w:firstLine="987"/>
        <w:spacing w:after="0" w:line="257" w:lineRule="auto"/>
        <w:tabs>
          <w:tab w:leader="none" w:pos="1306" w:val="left"/>
        </w:tabs>
        <w:numPr>
          <w:ilvl w:val="0"/>
          <w:numId w:val="319"/>
        </w:numPr>
        <w:rPr>
          <w:rFonts w:ascii="Arial" w:cs="Arial" w:eastAsia="Arial" w:hAnsi="Arial"/>
          <w:sz w:val="18"/>
          <w:szCs w:val="18"/>
          <w:b w:val="1"/>
          <w:bCs w:val="1"/>
          <w:color w:val="auto"/>
        </w:rPr>
      </w:pPr>
      <w:r>
        <w:rPr>
          <w:rFonts w:ascii="Arial" w:cs="Arial" w:eastAsia="Arial" w:hAnsi="Arial"/>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79" w:lineRule="exact"/>
        <w:rPr>
          <w:rFonts w:ascii="Arial" w:cs="Arial" w:eastAsia="Arial" w:hAnsi="Arial"/>
          <w:sz w:val="18"/>
          <w:szCs w:val="18"/>
          <w:b w:val="1"/>
          <w:bCs w:val="1"/>
          <w:color w:val="auto"/>
        </w:rPr>
      </w:pPr>
    </w:p>
    <w:p>
      <w:pPr>
        <w:ind w:right="100" w:firstLine="987"/>
        <w:spacing w:after="0" w:line="279" w:lineRule="auto"/>
        <w:tabs>
          <w:tab w:leader="none" w:pos="1296" w:val="left"/>
        </w:tabs>
        <w:numPr>
          <w:ilvl w:val="0"/>
          <w:numId w:val="319"/>
        </w:numPr>
        <w:rPr>
          <w:rFonts w:ascii="Arial" w:cs="Arial" w:eastAsia="Arial" w:hAnsi="Arial"/>
          <w:sz w:val="17"/>
          <w:szCs w:val="17"/>
          <w:b w:val="1"/>
          <w:bCs w:val="1"/>
          <w:color w:val="auto"/>
        </w:rPr>
      </w:pPr>
      <w:r>
        <w:rPr>
          <w:rFonts w:ascii="Arial" w:cs="Arial" w:eastAsia="Arial" w:hAnsi="Arial"/>
          <w:sz w:val="17"/>
          <w:szCs w:val="17"/>
          <w:color w:val="auto"/>
        </w:rPr>
        <w:t>individuals who, on the date the Plan is adopted by the Board, are members of the Board (the “</w:t>
      </w:r>
      <w:r>
        <w:rPr>
          <w:rFonts w:ascii="Arial" w:cs="Arial" w:eastAsia="Arial" w:hAnsi="Arial"/>
          <w:sz w:val="17"/>
          <w:szCs w:val="17"/>
          <w:b w:val="1"/>
          <w:bCs w:val="1"/>
          <w:i w:val="1"/>
          <w:iCs w:val="1"/>
          <w:color w:val="auto"/>
        </w:rPr>
        <w:t>Incumbent Board</w:t>
      </w:r>
      <w:r>
        <w:rPr>
          <w:rFonts w:ascii="Arial" w:cs="Arial" w:eastAsia="Arial" w:hAnsi="Arial"/>
          <w:sz w:val="17"/>
          <w:szCs w:val="17"/>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63"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Notwithstanding the foregoing or any other provision of this Plan, (A) the term Change in Control shall not include a sale of assets, merger or other transaction effected exclusively for the purpose of changing the domicile of the Company,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 and (C) with respect to any nonqualified deferred compensation that becomes payable on account of the Change in Control, the transaction or event described in clause (i), (ii), (iii), or (iv) also constitutes a Section 409A Change in Control if required in order for the payment not to violate Section 409A of the Code.</w:t>
      </w:r>
    </w:p>
    <w:p>
      <w:pPr>
        <w:spacing w:after="0" w:line="69" w:lineRule="exact"/>
        <w:rPr>
          <w:sz w:val="20"/>
          <w:szCs w:val="20"/>
          <w:color w:val="auto"/>
        </w:rPr>
      </w:pPr>
    </w:p>
    <w:p>
      <w:pPr>
        <w:ind w:left="700" w:hanging="264"/>
        <w:spacing w:after="0"/>
        <w:tabs>
          <w:tab w:leader="none" w:pos="700" w:val="left"/>
        </w:tabs>
        <w:numPr>
          <w:ilvl w:val="0"/>
          <w:numId w:val="32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including any applicable regulations and guidance thereunder.</w:t>
      </w:r>
    </w:p>
    <w:p>
      <w:pPr>
        <w:spacing w:after="0" w:line="117" w:lineRule="exact"/>
        <w:rPr>
          <w:rFonts w:ascii="Arial" w:cs="Arial" w:eastAsia="Arial" w:hAnsi="Arial"/>
          <w:sz w:val="18"/>
          <w:szCs w:val="18"/>
          <w:b w:val="1"/>
          <w:bCs w:val="1"/>
          <w:color w:val="auto"/>
        </w:rPr>
      </w:pPr>
    </w:p>
    <w:p>
      <w:pPr>
        <w:ind w:firstLine="436"/>
        <w:spacing w:after="0" w:line="277" w:lineRule="auto"/>
        <w:tabs>
          <w:tab w:leader="none" w:pos="655" w:val="left"/>
        </w:tabs>
        <w:numPr>
          <w:ilvl w:val="0"/>
          <w:numId w:val="32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Compensation Committee and any other committee of one or more Directors to whom authority has been delegated by the Board or Compensation Committee in accordance with the Plan.</w:t>
      </w:r>
    </w:p>
    <w:p>
      <w:pPr>
        <w:spacing w:after="0" w:line="62" w:lineRule="exact"/>
        <w:rPr>
          <w:rFonts w:ascii="Arial" w:cs="Arial" w:eastAsia="Arial" w:hAnsi="Arial"/>
          <w:sz w:val="18"/>
          <w:szCs w:val="18"/>
          <w:b w:val="1"/>
          <w:bCs w:val="1"/>
          <w:color w:val="auto"/>
        </w:rPr>
      </w:pPr>
    </w:p>
    <w:p>
      <w:pPr>
        <w:ind w:left="760" w:hanging="324"/>
        <w:spacing w:after="0"/>
        <w:tabs>
          <w:tab w:leader="none" w:pos="760" w:val="left"/>
        </w:tabs>
        <w:numPr>
          <w:ilvl w:val="0"/>
          <w:numId w:val="32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w:t>
      </w:r>
    </w:p>
    <w:p>
      <w:pPr>
        <w:spacing w:after="0" w:line="117" w:lineRule="exact"/>
        <w:rPr>
          <w:rFonts w:ascii="Arial" w:cs="Arial" w:eastAsia="Arial" w:hAnsi="Arial"/>
          <w:sz w:val="18"/>
          <w:szCs w:val="18"/>
          <w:b w:val="1"/>
          <w:bCs w:val="1"/>
          <w:color w:val="auto"/>
        </w:rPr>
      </w:pPr>
    </w:p>
    <w:p>
      <w:pPr>
        <w:ind w:left="700" w:hanging="264"/>
        <w:spacing w:after="0"/>
        <w:tabs>
          <w:tab w:leader="none" w:pos="700" w:val="left"/>
        </w:tabs>
        <w:numPr>
          <w:ilvl w:val="0"/>
          <w:numId w:val="32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Adagio Therapeutics, Inc., a Delaware corporation.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440" w:top="274" w:right="499" w:bottom="1440" w:gutter="0" w:footer="0" w:header="0"/>
        </w:sectPr>
      </w:pPr>
    </w:p>
    <w:bookmarkStart w:id="397" w:name="page398"/>
    <w:bookmarkEnd w:id="397"/>
    <w:p>
      <w:pPr>
        <w:ind w:left="700" w:hanging="264"/>
        <w:spacing w:after="0"/>
        <w:tabs>
          <w:tab w:leader="none" w:pos="700" w:val="left"/>
        </w:tabs>
        <w:numPr>
          <w:ilvl w:val="0"/>
          <w:numId w:val="32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means the Compensation Committee of the Board.</w:t>
      </w:r>
    </w:p>
    <w:p>
      <w:pPr>
        <w:spacing w:after="0" w:line="117" w:lineRule="exact"/>
        <w:rPr>
          <w:rFonts w:ascii="Arial" w:cs="Arial" w:eastAsia="Arial" w:hAnsi="Arial"/>
          <w:sz w:val="18"/>
          <w:szCs w:val="18"/>
          <w:b w:val="1"/>
          <w:bCs w:val="1"/>
          <w:color w:val="auto"/>
        </w:rPr>
      </w:pPr>
    </w:p>
    <w:p>
      <w:pPr>
        <w:ind w:right="80" w:firstLine="436"/>
        <w:spacing w:after="0" w:line="275" w:lineRule="auto"/>
        <w:tabs>
          <w:tab w:leader="none" w:pos="705" w:val="left"/>
        </w:tabs>
        <w:numPr>
          <w:ilvl w:val="0"/>
          <w:numId w:val="32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Consultant</w:t>
      </w:r>
      <w:r>
        <w:rPr>
          <w:rFonts w:ascii="Arial" w:cs="Arial" w:eastAsia="Arial" w:hAnsi="Arial"/>
          <w:sz w:val="17"/>
          <w:szCs w:val="17"/>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68" w:lineRule="exact"/>
        <w:rPr>
          <w:rFonts w:ascii="Arial" w:cs="Arial" w:eastAsia="Arial" w:hAnsi="Arial"/>
          <w:sz w:val="17"/>
          <w:szCs w:val="17"/>
          <w:b w:val="1"/>
          <w:bCs w:val="1"/>
          <w:color w:val="auto"/>
        </w:rPr>
      </w:pPr>
    </w:p>
    <w:p>
      <w:pPr>
        <w:ind w:firstLine="436"/>
        <w:spacing w:after="0" w:line="268" w:lineRule="auto"/>
        <w:tabs>
          <w:tab w:leader="none" w:pos="705" w:val="left"/>
        </w:tabs>
        <w:numPr>
          <w:ilvl w:val="0"/>
          <w:numId w:val="32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Continuous Service</w:t>
      </w:r>
      <w:r>
        <w:rPr>
          <w:rFonts w:ascii="Arial" w:cs="Arial" w:eastAsia="Arial" w:hAnsi="Arial"/>
          <w:sz w:val="17"/>
          <w:szCs w:val="17"/>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Arial" w:cs="Arial" w:eastAsia="Arial" w:hAnsi="Arial"/>
          <w:sz w:val="17"/>
          <w:szCs w:val="17"/>
          <w:i w:val="1"/>
          <w:iCs w:val="1"/>
          <w:color w:val="auto"/>
        </w:rPr>
        <w:t>,</w:t>
      </w:r>
      <w:r>
        <w:rPr>
          <w:rFonts w:ascii="Arial" w:cs="Arial" w:eastAsia="Arial" w:hAnsi="Arial"/>
          <w:sz w:val="17"/>
          <w:szCs w:val="17"/>
          <w:color w:val="auto"/>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73" w:lineRule="exact"/>
        <w:rPr>
          <w:rFonts w:ascii="Arial" w:cs="Arial" w:eastAsia="Arial" w:hAnsi="Arial"/>
          <w:sz w:val="17"/>
          <w:szCs w:val="17"/>
          <w:b w:val="1"/>
          <w:bCs w:val="1"/>
          <w:color w:val="auto"/>
        </w:rPr>
      </w:pPr>
    </w:p>
    <w:p>
      <w:pPr>
        <w:ind w:right="440" w:firstLine="436"/>
        <w:spacing w:after="0" w:line="277" w:lineRule="auto"/>
        <w:tabs>
          <w:tab w:leader="none" w:pos="685" w:val="left"/>
        </w:tabs>
        <w:numPr>
          <w:ilvl w:val="0"/>
          <w:numId w:val="32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consummation, in a single transaction or in a series of related transactions, of any one or more of the following events:</w:t>
      </w:r>
    </w:p>
    <w:p>
      <w:pPr>
        <w:spacing w:after="0" w:line="62" w:lineRule="exact"/>
        <w:rPr>
          <w:rFonts w:ascii="Arial" w:cs="Arial" w:eastAsia="Arial" w:hAnsi="Arial"/>
          <w:sz w:val="18"/>
          <w:szCs w:val="18"/>
          <w:b w:val="1"/>
          <w:bCs w:val="1"/>
          <w:color w:val="auto"/>
        </w:rPr>
      </w:pPr>
    </w:p>
    <w:p>
      <w:pPr>
        <w:ind w:left="1200" w:hanging="213"/>
        <w:spacing w:after="0"/>
        <w:tabs>
          <w:tab w:leader="none" w:pos="1200" w:val="left"/>
        </w:tabs>
        <w:numPr>
          <w:ilvl w:val="1"/>
          <w:numId w:val="321"/>
        </w:numPr>
        <w:rPr>
          <w:rFonts w:ascii="Arial" w:cs="Arial" w:eastAsia="Arial" w:hAnsi="Arial"/>
          <w:sz w:val="17"/>
          <w:szCs w:val="17"/>
          <w:b w:val="1"/>
          <w:bCs w:val="1"/>
          <w:color w:val="auto"/>
        </w:rPr>
      </w:pPr>
      <w:r>
        <w:rPr>
          <w:rFonts w:ascii="Arial" w:cs="Arial" w:eastAsia="Arial" w:hAnsi="Arial"/>
          <w:sz w:val="17"/>
          <w:szCs w:val="17"/>
          <w:color w:val="auto"/>
        </w:rPr>
        <w:t>a sale or other disposition of all or substantially all, as determined by the Board, of the consolidated assets of the Company and its</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Subsidiaries;</w:t>
      </w:r>
    </w:p>
    <w:p>
      <w:pPr>
        <w:spacing w:after="0" w:line="102" w:lineRule="exact"/>
        <w:rPr>
          <w:rFonts w:ascii="Arial" w:cs="Arial" w:eastAsia="Arial" w:hAnsi="Arial"/>
          <w:sz w:val="17"/>
          <w:szCs w:val="17"/>
          <w:b w:val="1"/>
          <w:bCs w:val="1"/>
          <w:color w:val="auto"/>
        </w:rPr>
      </w:pPr>
    </w:p>
    <w:p>
      <w:pPr>
        <w:ind w:left="1260" w:hanging="273"/>
        <w:spacing w:after="0"/>
        <w:tabs>
          <w:tab w:leader="none" w:pos="1260" w:val="left"/>
        </w:tabs>
        <w:numPr>
          <w:ilvl w:val="1"/>
          <w:numId w:val="321"/>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at least 50% of the outstanding securities of the Company;</w:t>
      </w:r>
    </w:p>
    <w:p>
      <w:pPr>
        <w:spacing w:after="0" w:line="117" w:lineRule="exact"/>
        <w:rPr>
          <w:rFonts w:ascii="Arial" w:cs="Arial" w:eastAsia="Arial" w:hAnsi="Arial"/>
          <w:sz w:val="18"/>
          <w:szCs w:val="18"/>
          <w:b w:val="1"/>
          <w:bCs w:val="1"/>
          <w:color w:val="auto"/>
        </w:rPr>
      </w:pPr>
    </w:p>
    <w:p>
      <w:pPr>
        <w:ind w:left="1300" w:hanging="313"/>
        <w:spacing w:after="0"/>
        <w:tabs>
          <w:tab w:leader="none" w:pos="1300" w:val="left"/>
        </w:tabs>
        <w:numPr>
          <w:ilvl w:val="1"/>
          <w:numId w:val="321"/>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not the surviving corporation;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398" w:name="page399"/>
    <w:bookmarkEnd w:id="398"/>
    <w:p>
      <w:pPr>
        <w:ind w:right="260" w:firstLine="987"/>
        <w:spacing w:after="0" w:line="263" w:lineRule="auto"/>
        <w:tabs>
          <w:tab w:leader="none" w:pos="1296" w:val="left"/>
        </w:tabs>
        <w:numPr>
          <w:ilvl w:val="0"/>
          <w:numId w:val="32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84"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Notwithstanding the foregoing or any other provision of this Plan, (A) the term Corporate Transaction shall not include a sale of assets, merger or other transaction effected exclusively for the purpose of changing the domicile of the Company, (B) the definition of Corporate Transaction (or any analogous term) in an individual written agreement between the Company or any Affiliate and the Participant shall supersede the foregoing definition with respect to Awards subject to such agreement; provided, however, that if no definition of Corporate Transaction or any analogous term is set forth in such an individual written agreement, the foregoing definition shall apply, and (C) with respect to any nonqualified deferred compensation that becomes payable on account of the Corporate Transaction, the transaction or event described in clause (i), (ii), (iii), or (iv) also constitutes a Section 409A Change in Control if required in order for the payment not to violate Section 409A of the Code.</w:t>
      </w:r>
    </w:p>
    <w:p>
      <w:pPr>
        <w:spacing w:after="0" w:line="69" w:lineRule="exact"/>
        <w:rPr>
          <w:sz w:val="20"/>
          <w:szCs w:val="20"/>
          <w:color w:val="auto"/>
        </w:rPr>
      </w:pPr>
    </w:p>
    <w:p>
      <w:pPr>
        <w:ind w:left="680" w:hanging="244"/>
        <w:spacing w:after="0"/>
        <w:tabs>
          <w:tab w:leader="none" w:pos="680" w:val="left"/>
        </w:tabs>
        <w:numPr>
          <w:ilvl w:val="0"/>
          <w:numId w:val="32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117" w:lineRule="exact"/>
        <w:rPr>
          <w:rFonts w:ascii="Arial" w:cs="Arial" w:eastAsia="Arial" w:hAnsi="Arial"/>
          <w:sz w:val="18"/>
          <w:szCs w:val="18"/>
          <w:b w:val="1"/>
          <w:bCs w:val="1"/>
          <w:color w:val="auto"/>
        </w:rPr>
      </w:pPr>
    </w:p>
    <w:p>
      <w:pPr>
        <w:ind w:left="660" w:hanging="224"/>
        <w:spacing w:after="0"/>
        <w:tabs>
          <w:tab w:leader="none" w:pos="660" w:val="left"/>
        </w:tabs>
        <w:numPr>
          <w:ilvl w:val="0"/>
          <w:numId w:val="32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determine</w:t>
      </w:r>
      <w:r>
        <w:rPr>
          <w:rFonts w:ascii="Arial" w:cs="Arial" w:eastAsia="Arial" w:hAnsi="Arial"/>
          <w:sz w:val="18"/>
          <w:szCs w:val="18"/>
          <w:color w:val="auto"/>
        </w:rPr>
        <w:t>” or “</w:t>
      </w:r>
      <w:r>
        <w:rPr>
          <w:rFonts w:ascii="Arial" w:cs="Arial" w:eastAsia="Arial" w:hAnsi="Arial"/>
          <w:sz w:val="18"/>
          <w:szCs w:val="18"/>
          <w:b w:val="1"/>
          <w:bCs w:val="1"/>
          <w:i w:val="1"/>
          <w:iCs w:val="1"/>
          <w:color w:val="auto"/>
        </w:rPr>
        <w:t>determined</w:t>
      </w:r>
      <w:r>
        <w:rPr>
          <w:rFonts w:ascii="Arial" w:cs="Arial" w:eastAsia="Arial" w:hAnsi="Arial"/>
          <w:sz w:val="18"/>
          <w:szCs w:val="18"/>
          <w:color w:val="auto"/>
        </w:rPr>
        <w:t>” means as determined by the Board or the Committee (or its designee) in its sole discretion.</w:t>
      </w:r>
    </w:p>
    <w:p>
      <w:pPr>
        <w:spacing w:after="0" w:line="117" w:lineRule="exact"/>
        <w:rPr>
          <w:rFonts w:ascii="Arial" w:cs="Arial" w:eastAsia="Arial" w:hAnsi="Arial"/>
          <w:sz w:val="18"/>
          <w:szCs w:val="18"/>
          <w:b w:val="1"/>
          <w:bCs w:val="1"/>
          <w:color w:val="auto"/>
        </w:rPr>
      </w:pPr>
    </w:p>
    <w:p>
      <w:pPr>
        <w:jc w:val="both"/>
        <w:ind w:right="400" w:firstLine="436"/>
        <w:spacing w:after="0" w:line="259" w:lineRule="auto"/>
        <w:tabs>
          <w:tab w:leader="none" w:pos="705" w:val="left"/>
        </w:tabs>
        <w:numPr>
          <w:ilvl w:val="0"/>
          <w:numId w:val="32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78" w:lineRule="exact"/>
        <w:rPr>
          <w:rFonts w:ascii="Arial" w:cs="Arial" w:eastAsia="Arial" w:hAnsi="Arial"/>
          <w:sz w:val="18"/>
          <w:szCs w:val="18"/>
          <w:b w:val="1"/>
          <w:bCs w:val="1"/>
          <w:color w:val="auto"/>
        </w:rPr>
      </w:pPr>
    </w:p>
    <w:p>
      <w:pPr>
        <w:ind w:left="700" w:hanging="264"/>
        <w:spacing w:after="0"/>
        <w:tabs>
          <w:tab w:leader="none" w:pos="700" w:val="left"/>
        </w:tabs>
        <w:numPr>
          <w:ilvl w:val="0"/>
          <w:numId w:val="32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means immediately prior to the IPO Date, provided that this Plan is approved by the Company’s stockholders prior to the IPO</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Date.</w:t>
      </w:r>
    </w:p>
    <w:p>
      <w:pPr>
        <w:spacing w:after="0" w:line="102" w:lineRule="exact"/>
        <w:rPr>
          <w:rFonts w:ascii="Arial" w:cs="Arial" w:eastAsia="Arial" w:hAnsi="Arial"/>
          <w:sz w:val="16"/>
          <w:szCs w:val="16"/>
          <w:b w:val="1"/>
          <w:bCs w:val="1"/>
          <w:color w:val="auto"/>
        </w:rPr>
      </w:pPr>
    </w:p>
    <w:p>
      <w:pPr>
        <w:ind w:right="120" w:firstLine="436"/>
        <w:spacing w:after="0" w:line="277" w:lineRule="auto"/>
        <w:tabs>
          <w:tab w:leader="none" w:pos="735" w:val="left"/>
        </w:tabs>
        <w:numPr>
          <w:ilvl w:val="0"/>
          <w:numId w:val="32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62" w:lineRule="exact"/>
        <w:rPr>
          <w:rFonts w:ascii="Arial" w:cs="Arial" w:eastAsia="Arial" w:hAnsi="Arial"/>
          <w:sz w:val="18"/>
          <w:szCs w:val="18"/>
          <w:b w:val="1"/>
          <w:bCs w:val="1"/>
          <w:color w:val="auto"/>
        </w:rPr>
      </w:pPr>
    </w:p>
    <w:p>
      <w:pPr>
        <w:ind w:left="700" w:hanging="264"/>
        <w:spacing w:after="0"/>
        <w:tabs>
          <w:tab w:leader="none" w:pos="700" w:val="left"/>
        </w:tabs>
        <w:numPr>
          <w:ilvl w:val="0"/>
          <w:numId w:val="32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means the Company or the Affiliate of the Company that employs the Participant.</w:t>
      </w:r>
    </w:p>
    <w:p>
      <w:pPr>
        <w:spacing w:after="0" w:line="117" w:lineRule="exact"/>
        <w:rPr>
          <w:rFonts w:ascii="Arial" w:cs="Arial" w:eastAsia="Arial" w:hAnsi="Arial"/>
          <w:sz w:val="18"/>
          <w:szCs w:val="18"/>
          <w:b w:val="1"/>
          <w:bCs w:val="1"/>
          <w:color w:val="auto"/>
        </w:rPr>
      </w:pPr>
    </w:p>
    <w:p>
      <w:pPr>
        <w:ind w:left="700" w:hanging="264"/>
        <w:spacing w:after="0"/>
        <w:tabs>
          <w:tab w:leader="none" w:pos="700" w:val="left"/>
        </w:tabs>
        <w:numPr>
          <w:ilvl w:val="0"/>
          <w:numId w:val="32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 corporation, partnership, limited liability company or other entity.</w:t>
      </w:r>
    </w:p>
    <w:p>
      <w:pPr>
        <w:spacing w:after="0" w:line="117" w:lineRule="exact"/>
        <w:rPr>
          <w:rFonts w:ascii="Arial" w:cs="Arial" w:eastAsia="Arial" w:hAnsi="Arial"/>
          <w:sz w:val="18"/>
          <w:szCs w:val="18"/>
          <w:b w:val="1"/>
          <w:bCs w:val="1"/>
          <w:color w:val="auto"/>
        </w:rPr>
      </w:pPr>
    </w:p>
    <w:p>
      <w:pPr>
        <w:ind w:left="680" w:hanging="244"/>
        <w:spacing w:after="0"/>
        <w:tabs>
          <w:tab w:leader="none" w:pos="680" w:val="left"/>
        </w:tabs>
        <w:numPr>
          <w:ilvl w:val="0"/>
          <w:numId w:val="32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399" w:name="page400"/>
    <w:bookmarkEnd w:id="399"/>
    <w:p>
      <w:pPr>
        <w:ind w:left="-60" w:right="20" w:firstLine="436"/>
        <w:spacing w:after="0" w:line="254" w:lineRule="auto"/>
        <w:tabs>
          <w:tab w:leader="none" w:pos="725" w:val="left"/>
        </w:tabs>
        <w:numPr>
          <w:ilvl w:val="0"/>
          <w:numId w:val="32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Exchange Act Person</w:t>
      </w:r>
      <w:r>
        <w:rPr>
          <w:rFonts w:ascii="Arial" w:cs="Arial" w:eastAsia="Arial" w:hAnsi="Arial"/>
          <w:sz w:val="18"/>
          <w:szCs w:val="18"/>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83" w:lineRule="exact"/>
        <w:rPr>
          <w:rFonts w:ascii="Arial" w:cs="Arial" w:eastAsia="Arial" w:hAnsi="Arial"/>
          <w:sz w:val="18"/>
          <w:szCs w:val="18"/>
          <w:b w:val="1"/>
          <w:bCs w:val="1"/>
          <w:color w:val="auto"/>
        </w:rPr>
      </w:pPr>
    </w:p>
    <w:p>
      <w:pPr>
        <w:ind w:left="-60" w:right="80" w:firstLine="436"/>
        <w:spacing w:after="0" w:line="277" w:lineRule="auto"/>
        <w:tabs>
          <w:tab w:leader="none" w:pos="745" w:val="left"/>
        </w:tabs>
        <w:numPr>
          <w:ilvl w:val="0"/>
          <w:numId w:val="32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unless otherwise determined by the Board, the value of the Common Stock (as determined on a per share or aggregate basis, as applicable) determined as follows:</w:t>
      </w:r>
    </w:p>
    <w:p>
      <w:pPr>
        <w:spacing w:after="0" w:line="62" w:lineRule="exact"/>
        <w:rPr>
          <w:rFonts w:ascii="Arial" w:cs="Arial" w:eastAsia="Arial" w:hAnsi="Arial"/>
          <w:sz w:val="18"/>
          <w:szCs w:val="18"/>
          <w:b w:val="1"/>
          <w:bCs w:val="1"/>
          <w:color w:val="auto"/>
        </w:rPr>
      </w:pPr>
    </w:p>
    <w:p>
      <w:pPr>
        <w:ind w:left="-60" w:firstLine="987"/>
        <w:spacing w:after="0" w:line="263" w:lineRule="auto"/>
        <w:tabs>
          <w:tab w:leader="none" w:pos="1146" w:val="left"/>
        </w:tabs>
        <w:numPr>
          <w:ilvl w:val="1"/>
          <w:numId w:val="324"/>
        </w:numPr>
        <w:rPr>
          <w:rFonts w:ascii="Arial" w:cs="Arial" w:eastAsia="Arial" w:hAnsi="Arial"/>
          <w:sz w:val="18"/>
          <w:szCs w:val="18"/>
          <w:b w:val="1"/>
          <w:bCs w:val="1"/>
          <w:color w:val="auto"/>
        </w:rPr>
      </w:pPr>
      <w:r>
        <w:rPr>
          <w:rFonts w:ascii="Arial" w:cs="Arial" w:eastAsia="Arial" w:hAnsi="Arial"/>
          <w:sz w:val="18"/>
          <w:szCs w:val="18"/>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75" w:lineRule="exact"/>
        <w:rPr>
          <w:rFonts w:ascii="Arial" w:cs="Arial" w:eastAsia="Arial" w:hAnsi="Arial"/>
          <w:sz w:val="18"/>
          <w:szCs w:val="18"/>
          <w:b w:val="1"/>
          <w:bCs w:val="1"/>
          <w:color w:val="auto"/>
        </w:rPr>
      </w:pPr>
    </w:p>
    <w:p>
      <w:pPr>
        <w:ind w:left="-60" w:right="280" w:firstLine="987"/>
        <w:spacing w:after="0" w:line="277" w:lineRule="auto"/>
        <w:tabs>
          <w:tab w:leader="none" w:pos="1196" w:val="left"/>
        </w:tabs>
        <w:numPr>
          <w:ilvl w:val="1"/>
          <w:numId w:val="324"/>
        </w:numPr>
        <w:rPr>
          <w:rFonts w:ascii="Arial" w:cs="Arial" w:eastAsia="Arial" w:hAnsi="Arial"/>
          <w:sz w:val="18"/>
          <w:szCs w:val="18"/>
          <w:b w:val="1"/>
          <w:bCs w:val="1"/>
          <w:color w:val="auto"/>
        </w:rPr>
      </w:pPr>
      <w:r>
        <w:rPr>
          <w:rFonts w:ascii="Arial" w:cs="Arial" w:eastAsia="Arial" w:hAnsi="Arial"/>
          <w:sz w:val="18"/>
          <w:szCs w:val="18"/>
          <w:color w:val="auto"/>
        </w:rPr>
        <w:t>If there is no closing sales price for the Common Stock on the date of determination, then the Fair Market Value will be the closing selling price on the last preceding date for which such quotation exists.</w:t>
      </w:r>
    </w:p>
    <w:p>
      <w:pPr>
        <w:spacing w:after="0" w:line="62" w:lineRule="exact"/>
        <w:rPr>
          <w:rFonts w:ascii="Arial" w:cs="Arial" w:eastAsia="Arial" w:hAnsi="Arial"/>
          <w:sz w:val="18"/>
          <w:szCs w:val="18"/>
          <w:b w:val="1"/>
          <w:bCs w:val="1"/>
          <w:color w:val="auto"/>
        </w:rPr>
      </w:pPr>
    </w:p>
    <w:p>
      <w:pPr>
        <w:ind w:left="-60" w:right="580" w:firstLine="987"/>
        <w:spacing w:after="0" w:line="277" w:lineRule="auto"/>
        <w:tabs>
          <w:tab w:leader="none" w:pos="1246" w:val="left"/>
        </w:tabs>
        <w:numPr>
          <w:ilvl w:val="1"/>
          <w:numId w:val="324"/>
        </w:numPr>
        <w:rPr>
          <w:rFonts w:ascii="Arial" w:cs="Arial" w:eastAsia="Arial" w:hAnsi="Arial"/>
          <w:sz w:val="18"/>
          <w:szCs w:val="18"/>
          <w:b w:val="1"/>
          <w:bCs w:val="1"/>
          <w:color w:val="auto"/>
        </w:rPr>
      </w:pPr>
      <w:r>
        <w:rPr>
          <w:rFonts w:ascii="Arial" w:cs="Arial" w:eastAsia="Arial" w:hAnsi="Arial"/>
          <w:sz w:val="18"/>
          <w:szCs w:val="18"/>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62" w:lineRule="exact"/>
        <w:rPr>
          <w:rFonts w:ascii="Arial" w:cs="Arial" w:eastAsia="Arial" w:hAnsi="Arial"/>
          <w:sz w:val="18"/>
          <w:szCs w:val="18"/>
          <w:b w:val="1"/>
          <w:bCs w:val="1"/>
          <w:color w:val="auto"/>
        </w:rPr>
      </w:pPr>
    </w:p>
    <w:p>
      <w:pPr>
        <w:ind w:left="-60" w:right="120" w:firstLine="436"/>
        <w:spacing w:after="0" w:line="255" w:lineRule="auto"/>
        <w:tabs>
          <w:tab w:leader="none" w:pos="705" w:val="left"/>
        </w:tabs>
        <w:numPr>
          <w:ilvl w:val="0"/>
          <w:numId w:val="32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Body</w:t>
      </w:r>
      <w:r>
        <w:rPr>
          <w:rFonts w:ascii="Arial" w:cs="Arial" w:eastAsia="Arial" w:hAnsi="Arial"/>
          <w:sz w:val="18"/>
          <w:szCs w:val="18"/>
          <w:color w:val="auto"/>
        </w:rPr>
        <w:t>” means any: (i) nation, state, commonwealth, province, territory, county, municipality, district or other jurisdiction of any nature; (ii) federal, state, local, municipal, foreign or other government; (iii) governmental or regulatory body, or quasi- 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New York Stock Exchange, and the Financial Industry Regulatory Authority).</w:t>
      </w:r>
    </w:p>
    <w:p>
      <w:pPr>
        <w:spacing w:after="0" w:line="84" w:lineRule="exact"/>
        <w:rPr>
          <w:rFonts w:ascii="Arial" w:cs="Arial" w:eastAsia="Arial" w:hAnsi="Arial"/>
          <w:sz w:val="18"/>
          <w:szCs w:val="18"/>
          <w:b w:val="1"/>
          <w:bCs w:val="1"/>
          <w:color w:val="auto"/>
        </w:rPr>
      </w:pPr>
    </w:p>
    <w:p>
      <w:pPr>
        <w:jc w:val="both"/>
        <w:ind w:left="-60" w:right="200" w:firstLine="436"/>
        <w:spacing w:after="0" w:line="286" w:lineRule="auto"/>
        <w:tabs>
          <w:tab w:leader="none" w:pos="745" w:val="left"/>
        </w:tabs>
        <w:numPr>
          <w:ilvl w:val="0"/>
          <w:numId w:val="32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Grant Notice</w:t>
      </w:r>
      <w:r>
        <w:rPr>
          <w:rFonts w:ascii="Arial" w:cs="Arial" w:eastAsia="Arial" w:hAnsi="Arial"/>
          <w:sz w:val="17"/>
          <w:szCs w:val="17"/>
          <w:color w:val="auto"/>
        </w:rPr>
        <w:t>”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spacing w:after="0" w:line="57" w:lineRule="exact"/>
        <w:rPr>
          <w:rFonts w:ascii="Arial" w:cs="Arial" w:eastAsia="Arial" w:hAnsi="Arial"/>
          <w:sz w:val="17"/>
          <w:szCs w:val="17"/>
          <w:b w:val="1"/>
          <w:bCs w:val="1"/>
          <w:color w:val="auto"/>
        </w:rPr>
      </w:pPr>
    </w:p>
    <w:p>
      <w:pPr>
        <w:ind w:left="-60" w:right="340" w:firstLine="436"/>
        <w:spacing w:after="0" w:line="277" w:lineRule="auto"/>
        <w:tabs>
          <w:tab w:leader="none" w:pos="705" w:val="left"/>
        </w:tabs>
        <w:numPr>
          <w:ilvl w:val="0"/>
          <w:numId w:val="32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granted pursuant to Section 4 of the Plan that is intended to be, and qualifies as, an “incentive stock option” within the meaning of Section 422 of the Code.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00"/>
          </w:cols>
          <w:pgMar w:left="500" w:top="274" w:right="499" w:bottom="1440" w:gutter="0" w:footer="0" w:header="0"/>
        </w:sectPr>
      </w:pPr>
    </w:p>
    <w:bookmarkStart w:id="400" w:name="page401"/>
    <w:bookmarkEnd w:id="400"/>
    <w:p>
      <w:pPr>
        <w:ind w:left="4" w:right="120" w:firstLine="436"/>
        <w:spacing w:after="0" w:line="277" w:lineRule="auto"/>
        <w:tabs>
          <w:tab w:leader="none" w:pos="729" w:val="left"/>
        </w:tabs>
        <w:numPr>
          <w:ilvl w:val="1"/>
          <w:numId w:val="32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IPO Date</w:t>
      </w:r>
      <w:r>
        <w:rPr>
          <w:rFonts w:ascii="Arial" w:cs="Arial" w:eastAsia="Arial" w:hAnsi="Arial"/>
          <w:sz w:val="18"/>
          <w:szCs w:val="18"/>
          <w:color w:val="auto"/>
        </w:rPr>
        <w:t>” means the date of the underwriting agreement between the Company and the underwriter(s) managing the initial public offering of the Common Stock, pursuant to which the Common Stock is priced for the initial public offering.</w:t>
      </w:r>
    </w:p>
    <w:p>
      <w:pPr>
        <w:spacing w:after="0" w:line="62" w:lineRule="exact"/>
        <w:rPr>
          <w:rFonts w:ascii="Arial" w:cs="Arial" w:eastAsia="Arial" w:hAnsi="Arial"/>
          <w:sz w:val="18"/>
          <w:szCs w:val="18"/>
          <w:b w:val="1"/>
          <w:bCs w:val="1"/>
          <w:color w:val="auto"/>
        </w:rPr>
      </w:pPr>
    </w:p>
    <w:p>
      <w:pPr>
        <w:ind w:left="4" w:right="60" w:firstLine="436"/>
        <w:spacing w:after="0" w:line="290" w:lineRule="auto"/>
        <w:tabs>
          <w:tab w:leader="none" w:pos="789" w:val="left"/>
        </w:tabs>
        <w:numPr>
          <w:ilvl w:val="1"/>
          <w:numId w:val="32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Materially Impair</w:t>
      </w:r>
      <w:r>
        <w:rPr>
          <w:rFonts w:ascii="Arial" w:cs="Arial" w:eastAsia="Arial" w:hAnsi="Arial"/>
          <w:sz w:val="16"/>
          <w:szCs w:val="16"/>
          <w:color w:val="auto"/>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SAR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57" w:lineRule="exact"/>
        <w:rPr>
          <w:rFonts w:ascii="Arial" w:cs="Arial" w:eastAsia="Arial" w:hAnsi="Arial"/>
          <w:sz w:val="16"/>
          <w:szCs w:val="16"/>
          <w:b w:val="1"/>
          <w:bCs w:val="1"/>
          <w:color w:val="auto"/>
        </w:rPr>
      </w:pPr>
    </w:p>
    <w:p>
      <w:pPr>
        <w:ind w:left="4" w:right="100" w:firstLine="436"/>
        <w:spacing w:after="0" w:line="285" w:lineRule="auto"/>
        <w:tabs>
          <w:tab w:leader="none" w:pos="809" w:val="left"/>
        </w:tabs>
        <w:numPr>
          <w:ilvl w:val="1"/>
          <w:numId w:val="32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Non-Employee Director</w:t>
      </w:r>
      <w:r>
        <w:rPr>
          <w:rFonts w:ascii="Arial" w:cs="Arial" w:eastAsia="Arial" w:hAnsi="Arial"/>
          <w:sz w:val="16"/>
          <w:szCs w:val="16"/>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Arial" w:cs="Arial" w:eastAsia="Arial" w:hAnsi="Arial"/>
          <w:sz w:val="16"/>
          <w:szCs w:val="16"/>
          <w:b w:val="1"/>
          <w:bCs w:val="1"/>
          <w:i w:val="1"/>
          <w:iCs w:val="1"/>
          <w:color w:val="auto"/>
        </w:rPr>
        <w:t>Regulation S-K</w:t>
      </w:r>
      <w:r>
        <w:rPr>
          <w:rFonts w:ascii="Arial" w:cs="Arial" w:eastAsia="Arial" w:hAnsi="Arial"/>
          <w:sz w:val="16"/>
          <w:szCs w:val="16"/>
          <w:color w:val="auto"/>
        </w:rPr>
        <w:t>”)), does not possess an interest in any other transaction for which disclosure would be required under Item 404(a) of Regulation S-K, and is not engaged in a business relationship for which disclosure would be required pursuant to Item 404(b) of Regulation S-K; or</w:t>
      </w:r>
    </w:p>
    <w:p>
      <w:pPr>
        <w:spacing w:after="0" w:line="1" w:lineRule="exact"/>
        <w:rPr>
          <w:rFonts w:ascii="Arial" w:cs="Arial" w:eastAsia="Arial" w:hAnsi="Arial"/>
          <w:sz w:val="16"/>
          <w:szCs w:val="16"/>
          <w:b w:val="1"/>
          <w:bCs w:val="1"/>
          <w:color w:val="auto"/>
        </w:rPr>
      </w:pPr>
    </w:p>
    <w:p>
      <w:pPr>
        <w:ind w:left="264" w:hanging="264"/>
        <w:spacing w:after="0"/>
        <w:tabs>
          <w:tab w:leader="none" w:pos="264"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is otherwise considered a “non-employee director” for purposes of Rule 16b-3.</w:t>
      </w:r>
    </w:p>
    <w:p>
      <w:pPr>
        <w:spacing w:after="0" w:line="102" w:lineRule="exact"/>
        <w:rPr>
          <w:rFonts w:ascii="Arial" w:cs="Arial" w:eastAsia="Arial" w:hAnsi="Arial"/>
          <w:sz w:val="18"/>
          <w:szCs w:val="18"/>
          <w:color w:val="auto"/>
        </w:rPr>
      </w:pPr>
    </w:p>
    <w:p>
      <w:pPr>
        <w:ind w:left="4" w:right="120" w:firstLine="436"/>
        <w:spacing w:after="0" w:line="263" w:lineRule="auto"/>
        <w:tabs>
          <w:tab w:leader="none" w:pos="709" w:val="left"/>
        </w:tabs>
        <w:numPr>
          <w:ilvl w:val="1"/>
          <w:numId w:val="32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Non-Exempt Award</w:t>
      </w:r>
      <w:r>
        <w:rPr>
          <w:rFonts w:ascii="Arial" w:cs="Arial" w:eastAsia="Arial" w:hAnsi="Arial"/>
          <w:sz w:val="18"/>
          <w:szCs w:val="18"/>
          <w:color w:val="auto"/>
        </w:rPr>
        <w:t>” means any Award that is subject to, and not exempt from, Section 409A, including as the result of (i) a deferral of the issuance of the shares subject to the Award which is elected by the Participant or imposed by the Company, or (ii) the terms of any Non-Exempt Severance Agreement.</w:t>
      </w:r>
    </w:p>
    <w:p>
      <w:pPr>
        <w:spacing w:after="0" w:line="75" w:lineRule="exact"/>
        <w:rPr>
          <w:rFonts w:ascii="Arial" w:cs="Arial" w:eastAsia="Arial" w:hAnsi="Arial"/>
          <w:sz w:val="18"/>
          <w:szCs w:val="18"/>
          <w:b w:val="1"/>
          <w:bCs w:val="1"/>
          <w:color w:val="auto"/>
        </w:rPr>
      </w:pPr>
    </w:p>
    <w:p>
      <w:pPr>
        <w:ind w:left="4" w:right="600" w:firstLine="436"/>
        <w:spacing w:after="0" w:line="277" w:lineRule="auto"/>
        <w:tabs>
          <w:tab w:leader="none" w:pos="729" w:val="left"/>
        </w:tabs>
        <w:numPr>
          <w:ilvl w:val="1"/>
          <w:numId w:val="32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Non-Exempt Director Award</w:t>
      </w:r>
      <w:r>
        <w:rPr>
          <w:rFonts w:ascii="Arial" w:cs="Arial" w:eastAsia="Arial" w:hAnsi="Arial"/>
          <w:sz w:val="18"/>
          <w:szCs w:val="18"/>
          <w:color w:val="auto"/>
        </w:rPr>
        <w:t>” means a Non-Exempt Award granted to a Participant who was a Director but not an Employee on the applicable grant date.</w:t>
      </w:r>
    </w:p>
    <w:p>
      <w:pPr>
        <w:spacing w:after="0" w:line="62" w:lineRule="exact"/>
        <w:rPr>
          <w:rFonts w:ascii="Arial" w:cs="Arial" w:eastAsia="Arial" w:hAnsi="Arial"/>
          <w:sz w:val="18"/>
          <w:szCs w:val="18"/>
          <w:b w:val="1"/>
          <w:bCs w:val="1"/>
          <w:color w:val="auto"/>
        </w:rPr>
      </w:pPr>
    </w:p>
    <w:p>
      <w:pPr>
        <w:jc w:val="both"/>
        <w:ind w:left="4" w:firstLine="436"/>
        <w:spacing w:after="0" w:line="275" w:lineRule="auto"/>
        <w:tabs>
          <w:tab w:leader="none" w:pos="809" w:val="left"/>
        </w:tabs>
        <w:numPr>
          <w:ilvl w:val="1"/>
          <w:numId w:val="32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Non-Exempt Severance Arrangement</w:t>
      </w:r>
      <w:r>
        <w:rPr>
          <w:rFonts w:ascii="Arial" w:cs="Arial" w:eastAsia="Arial" w:hAnsi="Arial"/>
          <w:sz w:val="17"/>
          <w:szCs w:val="17"/>
          <w:color w:val="auto"/>
        </w:rPr>
        <w:t>” 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Arial" w:cs="Arial" w:eastAsia="Arial" w:hAnsi="Arial"/>
          <w:sz w:val="17"/>
          <w:szCs w:val="17"/>
          <w:b w:val="1"/>
          <w:bCs w:val="1"/>
          <w:i w:val="1"/>
          <w:iCs w:val="1"/>
          <w:color w:val="auto"/>
        </w:rPr>
        <w:t>Separation from Service</w:t>
      </w:r>
      <w:r>
        <w:rPr>
          <w:rFonts w:ascii="Arial" w:cs="Arial" w:eastAsia="Arial" w:hAnsi="Arial"/>
          <w:sz w:val="17"/>
          <w:szCs w:val="17"/>
          <w:color w:val="auto"/>
        </w:rPr>
        <w:t>”) and such severance benefit does not satisfy the requirements for an exemption from application of Section 409A provided under Treasury Regulations Section 1.409A-1(b)(4), 1.409A-1(b)(9) or otherwise.</w:t>
      </w:r>
    </w:p>
    <w:p>
      <w:pPr>
        <w:spacing w:after="0" w:line="68" w:lineRule="exact"/>
        <w:rPr>
          <w:rFonts w:ascii="Arial" w:cs="Arial" w:eastAsia="Arial" w:hAnsi="Arial"/>
          <w:sz w:val="17"/>
          <w:szCs w:val="17"/>
          <w:b w:val="1"/>
          <w:bCs w:val="1"/>
          <w:color w:val="auto"/>
        </w:rPr>
      </w:pPr>
    </w:p>
    <w:p>
      <w:pPr>
        <w:jc w:val="center"/>
        <w:ind w:left="5424" w:right="120" w:hanging="4984"/>
        <w:spacing w:after="0" w:line="449" w:lineRule="auto"/>
        <w:tabs>
          <w:tab w:leader="none" w:pos="711" w:val="left"/>
        </w:tabs>
        <w:numPr>
          <w:ilvl w:val="1"/>
          <w:numId w:val="32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Nonstatutory Stock Option</w:t>
      </w:r>
      <w:r>
        <w:rPr>
          <w:rFonts w:ascii="Arial" w:cs="Arial" w:eastAsia="Arial" w:hAnsi="Arial"/>
          <w:sz w:val="18"/>
          <w:szCs w:val="18"/>
          <w:color w:val="auto"/>
        </w:rPr>
        <w:t>” means any option granted pursuant to Section 4 of the Plan that does not qualify as an Incentive Stock Option. 29</w:t>
      </w:r>
    </w:p>
    <w:p>
      <w:pPr>
        <w:sectPr>
          <w:pgSz w:w="11900" w:h="16838" w:orient="portrait"/>
          <w:cols w:equalWidth="0" w:num="1">
            <w:col w:w="10944"/>
          </w:cols>
          <w:pgMar w:left="436" w:top="274" w:right="519" w:bottom="1440" w:gutter="0" w:footer="0" w:header="0"/>
        </w:sectPr>
      </w:pPr>
    </w:p>
    <w:bookmarkStart w:id="401" w:name="page402"/>
    <w:bookmarkEnd w:id="401"/>
    <w:p>
      <w:pPr>
        <w:ind w:left="900" w:hanging="464"/>
        <w:spacing w:after="0"/>
        <w:tabs>
          <w:tab w:leader="none" w:pos="900" w:val="left"/>
        </w:tabs>
        <w:numPr>
          <w:ilvl w:val="0"/>
          <w:numId w:val="32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 person who is an officer of the Company within the meaning of Section 16 of the Exchange Act.</w:t>
      </w:r>
    </w:p>
    <w:p>
      <w:pPr>
        <w:spacing w:after="0" w:line="117" w:lineRule="exact"/>
        <w:rPr>
          <w:rFonts w:ascii="Arial" w:cs="Arial" w:eastAsia="Arial" w:hAnsi="Arial"/>
          <w:sz w:val="18"/>
          <w:szCs w:val="18"/>
          <w:b w:val="1"/>
          <w:bCs w:val="1"/>
          <w:color w:val="auto"/>
        </w:rPr>
      </w:pPr>
    </w:p>
    <w:p>
      <w:pPr>
        <w:ind w:left="800" w:hanging="364"/>
        <w:spacing w:after="0"/>
        <w:tabs>
          <w:tab w:leader="none" w:pos="800" w:val="left"/>
        </w:tabs>
        <w:numPr>
          <w:ilvl w:val="0"/>
          <w:numId w:val="32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Incentive Stock Option or a Nonstatutory Stock Option to purchase shares of Common Stock granted pursuant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03" w:lineRule="exact"/>
        <w:rPr>
          <w:sz w:val="20"/>
          <w:szCs w:val="20"/>
          <w:color w:val="auto"/>
        </w:rPr>
      </w:pPr>
    </w:p>
    <w:p>
      <w:pPr>
        <w:ind w:right="220" w:firstLine="436"/>
        <w:spacing w:after="0" w:line="259" w:lineRule="auto"/>
        <w:tabs>
          <w:tab w:leader="none" w:pos="785" w:val="left"/>
        </w:tabs>
        <w:numPr>
          <w:ilvl w:val="0"/>
          <w:numId w:val="32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means a written or electronic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including through electronic means, to a Participant along with the Grant Notice. Each Option Agreement will be subject to the terms and conditions of the Plan.</w:t>
      </w:r>
    </w:p>
    <w:p>
      <w:pPr>
        <w:spacing w:after="0" w:line="78" w:lineRule="exact"/>
        <w:rPr>
          <w:rFonts w:ascii="Arial" w:cs="Arial" w:eastAsia="Arial" w:hAnsi="Arial"/>
          <w:sz w:val="18"/>
          <w:szCs w:val="18"/>
          <w:b w:val="1"/>
          <w:bCs w:val="1"/>
          <w:color w:val="auto"/>
        </w:rPr>
      </w:pPr>
    </w:p>
    <w:p>
      <w:pPr>
        <w:ind w:right="700" w:firstLine="436"/>
        <w:spacing w:after="0" w:line="277" w:lineRule="auto"/>
        <w:tabs>
          <w:tab w:leader="none" w:pos="805" w:val="left"/>
        </w:tabs>
        <w:numPr>
          <w:ilvl w:val="0"/>
          <w:numId w:val="32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Optionholder</w:t>
      </w:r>
      <w:r>
        <w:rPr>
          <w:rFonts w:ascii="Arial" w:cs="Arial" w:eastAsia="Arial" w:hAnsi="Arial"/>
          <w:sz w:val="18"/>
          <w:szCs w:val="18"/>
          <w:color w:val="auto"/>
        </w:rPr>
        <w:t>” means a person to whom an Option is granted pursuant to the Plan or, if applicable, such other person who holds an outstanding Option.</w:t>
      </w:r>
    </w:p>
    <w:p>
      <w:pPr>
        <w:spacing w:after="0" w:line="62" w:lineRule="exact"/>
        <w:rPr>
          <w:rFonts w:ascii="Arial" w:cs="Arial" w:eastAsia="Arial" w:hAnsi="Arial"/>
          <w:sz w:val="18"/>
          <w:szCs w:val="18"/>
          <w:b w:val="1"/>
          <w:bCs w:val="1"/>
          <w:color w:val="auto"/>
        </w:rPr>
      </w:pPr>
    </w:p>
    <w:p>
      <w:pPr>
        <w:ind w:right="20" w:firstLine="436"/>
        <w:spacing w:after="0" w:line="286" w:lineRule="auto"/>
        <w:tabs>
          <w:tab w:leader="none" w:pos="805" w:val="left"/>
        </w:tabs>
        <w:numPr>
          <w:ilvl w:val="0"/>
          <w:numId w:val="328"/>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Other Award</w:t>
      </w:r>
      <w:r>
        <w:rPr>
          <w:rFonts w:ascii="Arial" w:cs="Arial" w:eastAsia="Arial" w:hAnsi="Arial"/>
          <w:sz w:val="17"/>
          <w:szCs w:val="17"/>
          <w:color w:val="auto"/>
        </w:rPr>
        <w:t>” means an award valued in whole or in part by reference to, or otherwise based on, Common Stock, including the appreciation in value thereof (e.g., options or stock rights with an exercise price or strike price less than 100% of the Fair Market Value at the time of grant) that is not an Incentive Stock Option, Nonstatutory Stock Option, SAR, Restricted Stock Award, RSU Award or Performance Award.</w:t>
      </w:r>
    </w:p>
    <w:p>
      <w:pPr>
        <w:spacing w:after="0" w:line="57" w:lineRule="exact"/>
        <w:rPr>
          <w:rFonts w:ascii="Arial" w:cs="Arial" w:eastAsia="Arial" w:hAnsi="Arial"/>
          <w:sz w:val="17"/>
          <w:szCs w:val="17"/>
          <w:b w:val="1"/>
          <w:bCs w:val="1"/>
          <w:color w:val="auto"/>
        </w:rPr>
      </w:pPr>
    </w:p>
    <w:p>
      <w:pPr>
        <w:ind w:right="280" w:firstLine="436"/>
        <w:spacing w:after="0" w:line="342" w:lineRule="auto"/>
        <w:tabs>
          <w:tab w:leader="none" w:pos="765" w:val="left"/>
        </w:tabs>
        <w:numPr>
          <w:ilvl w:val="0"/>
          <w:numId w:val="32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Other Award Agreement</w:t>
      </w:r>
      <w:r>
        <w:rPr>
          <w:rFonts w:ascii="Arial" w:cs="Arial" w:eastAsia="Arial" w:hAnsi="Arial"/>
          <w:sz w:val="16"/>
          <w:szCs w:val="16"/>
          <w:color w:val="auto"/>
        </w:rPr>
        <w:t>” means a written or electronic agreement between the Company and a holder of an Other Award evidencing the terms and conditions of an Other Award grant. Each Other Award Agreement will be subject to the terms and conditions of the Plan.</w:t>
      </w:r>
    </w:p>
    <w:p>
      <w:pPr>
        <w:spacing w:after="0" w:line="15" w:lineRule="exact"/>
        <w:rPr>
          <w:rFonts w:ascii="Arial" w:cs="Arial" w:eastAsia="Arial" w:hAnsi="Arial"/>
          <w:sz w:val="16"/>
          <w:szCs w:val="16"/>
          <w:b w:val="1"/>
          <w:bCs w:val="1"/>
          <w:color w:val="auto"/>
        </w:rPr>
      </w:pPr>
    </w:p>
    <w:p>
      <w:pPr>
        <w:ind w:right="160" w:firstLine="436"/>
        <w:spacing w:after="0" w:line="311" w:lineRule="auto"/>
        <w:tabs>
          <w:tab w:leader="none" w:pos="745" w:val="left"/>
        </w:tabs>
        <w:numPr>
          <w:ilvl w:val="0"/>
          <w:numId w:val="32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Own,</w:t>
      </w:r>
      <w:r>
        <w:rPr>
          <w:rFonts w:ascii="Arial" w:cs="Arial" w:eastAsia="Arial" w:hAnsi="Arial"/>
          <w:sz w:val="16"/>
          <w:szCs w:val="16"/>
          <w:color w:val="auto"/>
        </w:rPr>
        <w:t>” “</w:t>
      </w:r>
      <w:r>
        <w:rPr>
          <w:rFonts w:ascii="Arial" w:cs="Arial" w:eastAsia="Arial" w:hAnsi="Arial"/>
          <w:sz w:val="16"/>
          <w:szCs w:val="16"/>
          <w:b w:val="1"/>
          <w:bCs w:val="1"/>
          <w:i w:val="1"/>
          <w:iCs w:val="1"/>
          <w:color w:val="auto"/>
        </w:rPr>
        <w:t>Owned,</w:t>
      </w:r>
      <w:r>
        <w:rPr>
          <w:rFonts w:ascii="Arial" w:cs="Arial" w:eastAsia="Arial" w:hAnsi="Arial"/>
          <w:sz w:val="16"/>
          <w:szCs w:val="16"/>
          <w:color w:val="auto"/>
        </w:rPr>
        <w:t>” “</w:t>
      </w:r>
      <w:r>
        <w:rPr>
          <w:rFonts w:ascii="Arial" w:cs="Arial" w:eastAsia="Arial" w:hAnsi="Arial"/>
          <w:sz w:val="16"/>
          <w:szCs w:val="16"/>
          <w:b w:val="1"/>
          <w:bCs w:val="1"/>
          <w:i w:val="1"/>
          <w:iCs w:val="1"/>
          <w:color w:val="auto"/>
        </w:rPr>
        <w:t>Owner,</w:t>
      </w:r>
      <w:r>
        <w:rPr>
          <w:rFonts w:ascii="Arial" w:cs="Arial" w:eastAsia="Arial" w:hAnsi="Arial"/>
          <w:sz w:val="16"/>
          <w:szCs w:val="16"/>
          <w:color w:val="auto"/>
        </w:rPr>
        <w:t>” “</w:t>
      </w:r>
      <w:r>
        <w:rPr>
          <w:rFonts w:ascii="Arial" w:cs="Arial" w:eastAsia="Arial" w:hAnsi="Arial"/>
          <w:sz w:val="16"/>
          <w:szCs w:val="16"/>
          <w:b w:val="1"/>
          <w:bCs w:val="1"/>
          <w:i w:val="1"/>
          <w:iCs w:val="1"/>
          <w:color w:val="auto"/>
        </w:rPr>
        <w:t>Ownership</w:t>
      </w:r>
      <w:r>
        <w:rPr>
          <w:rFonts w:ascii="Arial" w:cs="Arial" w:eastAsia="Arial" w:hAnsi="Arial"/>
          <w:sz w:val="16"/>
          <w:szCs w:val="16"/>
          <w:color w:val="auto"/>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40" w:lineRule="exact"/>
        <w:rPr>
          <w:rFonts w:ascii="Arial" w:cs="Arial" w:eastAsia="Arial" w:hAnsi="Arial"/>
          <w:sz w:val="16"/>
          <w:szCs w:val="16"/>
          <w:b w:val="1"/>
          <w:bCs w:val="1"/>
          <w:color w:val="auto"/>
        </w:rPr>
      </w:pPr>
    </w:p>
    <w:p>
      <w:pPr>
        <w:ind w:right="440" w:firstLine="436"/>
        <w:spacing w:after="0" w:line="277" w:lineRule="auto"/>
        <w:tabs>
          <w:tab w:leader="none" w:pos="725" w:val="left"/>
        </w:tabs>
        <w:numPr>
          <w:ilvl w:val="0"/>
          <w:numId w:val="32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 Employee, Director or Consultant to whom an Award is granted pursuant to the Plan or, if applicable, such other person who holds an outstanding Award.</w:t>
      </w:r>
    </w:p>
    <w:p>
      <w:pPr>
        <w:spacing w:after="0" w:line="62" w:lineRule="exact"/>
        <w:rPr>
          <w:rFonts w:ascii="Arial" w:cs="Arial" w:eastAsia="Arial" w:hAnsi="Arial"/>
          <w:sz w:val="18"/>
          <w:szCs w:val="18"/>
          <w:b w:val="1"/>
          <w:bCs w:val="1"/>
          <w:color w:val="auto"/>
        </w:rPr>
      </w:pPr>
    </w:p>
    <w:p>
      <w:pPr>
        <w:ind w:right="120" w:firstLine="436"/>
        <w:spacing w:after="0" w:line="296" w:lineRule="auto"/>
        <w:tabs>
          <w:tab w:leader="none" w:pos="805" w:val="left"/>
        </w:tabs>
        <w:numPr>
          <w:ilvl w:val="0"/>
          <w:numId w:val="32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Award</w:t>
      </w:r>
      <w:r>
        <w:rPr>
          <w:rFonts w:ascii="Arial" w:cs="Arial" w:eastAsia="Arial" w:hAnsi="Arial"/>
          <w:sz w:val="16"/>
          <w:szCs w:val="16"/>
          <w:color w:val="auto"/>
        </w:rPr>
        <w:t>”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53" w:lineRule="exact"/>
        <w:rPr>
          <w:rFonts w:ascii="Arial" w:cs="Arial" w:eastAsia="Arial" w:hAnsi="Arial"/>
          <w:sz w:val="16"/>
          <w:szCs w:val="16"/>
          <w:b w:val="1"/>
          <w:bCs w:val="1"/>
          <w:color w:val="auto"/>
        </w:rPr>
      </w:pPr>
    </w:p>
    <w:p>
      <w:pPr>
        <w:ind w:firstLine="436"/>
        <w:spacing w:after="0" w:line="263" w:lineRule="auto"/>
        <w:tabs>
          <w:tab w:leader="none" w:pos="785" w:val="left"/>
        </w:tabs>
        <w:numPr>
          <w:ilvl w:val="0"/>
          <w:numId w:val="32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Criteria</w:t>
      </w:r>
      <w:r>
        <w:rPr>
          <w:rFonts w:ascii="Arial" w:cs="Arial" w:eastAsia="Arial" w:hAnsi="Arial"/>
          <w:sz w:val="18"/>
          <w:szCs w:val="18"/>
          <w:color w:val="auto"/>
        </w:rPr>
        <w:t>” means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earnings (including earnings per share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402" w:name="page403"/>
    <w:bookmarkEnd w:id="402"/>
    <w:p>
      <w:pPr>
        <w:ind w:left="4"/>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net earnings); earnings before interest, taxes and depreciation; earnings before interest, taxes, depreciation and amortization; total stockholder return; return on equity or average stockholder’s equity; return on assets, investment, or capital employed; stock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 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 whether or not listed herein.</w:t>
      </w:r>
    </w:p>
    <w:p>
      <w:pPr>
        <w:spacing w:after="0" w:line="66" w:lineRule="exact"/>
        <w:rPr>
          <w:sz w:val="20"/>
          <w:szCs w:val="20"/>
          <w:color w:val="auto"/>
        </w:rPr>
      </w:pPr>
    </w:p>
    <w:p>
      <w:pPr>
        <w:ind w:left="4" w:right="40" w:firstLine="436"/>
        <w:spacing w:after="0" w:line="283" w:lineRule="auto"/>
        <w:tabs>
          <w:tab w:leader="none" w:pos="869" w:val="left"/>
        </w:tabs>
        <w:numPr>
          <w:ilvl w:val="1"/>
          <w:numId w:val="32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Goals</w:t>
      </w:r>
      <w:r>
        <w:rPr>
          <w:rFonts w:ascii="Arial" w:cs="Arial" w:eastAsia="Arial" w:hAnsi="Arial"/>
          <w:sz w:val="16"/>
          <w:szCs w:val="16"/>
          <w:color w:val="auto"/>
        </w:rPr>
        <w:t>” means, for a Performance Period,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w:t>
      </w:r>
    </w:p>
    <w:p>
      <w:pPr>
        <w:spacing w:after="0" w:line="4" w:lineRule="exact"/>
        <w:rPr>
          <w:rFonts w:ascii="Arial" w:cs="Arial" w:eastAsia="Arial" w:hAnsi="Arial"/>
          <w:sz w:val="16"/>
          <w:szCs w:val="16"/>
          <w:b w:val="1"/>
          <w:bCs w:val="1"/>
          <w:color w:val="auto"/>
        </w:rPr>
      </w:pPr>
    </w:p>
    <w:p>
      <w:pPr>
        <w:ind w:left="4" w:hanging="4"/>
        <w:spacing w:after="0" w:line="290" w:lineRule="auto"/>
        <w:tabs>
          <w:tab w:leader="none" w:pos="259" w:val="left"/>
        </w:tabs>
        <w:numPr>
          <w:ilvl w:val="0"/>
          <w:numId w:val="330"/>
        </w:numPr>
        <w:rPr>
          <w:rFonts w:ascii="Arial" w:cs="Arial" w:eastAsia="Arial" w:hAnsi="Arial"/>
          <w:sz w:val="16"/>
          <w:szCs w:val="16"/>
          <w:color w:val="auto"/>
        </w:rPr>
      </w:pPr>
      <w:r>
        <w:rPr>
          <w:rFonts w:ascii="Arial" w:cs="Arial" w:eastAsia="Arial" w:hAnsi="Arial"/>
          <w:sz w:val="16"/>
          <w:szCs w:val="16"/>
          <w:color w:val="auto"/>
        </w:rPr>
        <w:t>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may establish or provide for other adjustment items in the Award</w:t>
      </w:r>
    </w:p>
    <w:p>
      <w:pPr>
        <w:spacing w:after="0" w:line="9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4"/>
          </w:cols>
          <w:pgMar w:left="436" w:top="274" w:right="479" w:bottom="1440" w:gutter="0" w:footer="0" w:header="0"/>
        </w:sectPr>
      </w:pPr>
    </w:p>
    <w:bookmarkStart w:id="403" w:name="page404"/>
    <w:bookmarkEnd w:id="403"/>
    <w:p>
      <w:pPr>
        <w:ind w:left="4" w:right="1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at the time the Award is granted or in such other document setting forth the Performance Goals at the time the Performance Goals are established.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80" w:lineRule="exact"/>
        <w:rPr>
          <w:sz w:val="20"/>
          <w:szCs w:val="20"/>
          <w:color w:val="auto"/>
        </w:rPr>
      </w:pPr>
    </w:p>
    <w:p>
      <w:pPr>
        <w:ind w:left="4" w:right="120" w:firstLine="436"/>
        <w:spacing w:after="0" w:line="263" w:lineRule="auto"/>
        <w:tabs>
          <w:tab w:leader="none" w:pos="789" w:val="left"/>
        </w:tabs>
        <w:numPr>
          <w:ilvl w:val="0"/>
          <w:numId w:val="33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spacing w:after="0" w:line="75" w:lineRule="exact"/>
        <w:rPr>
          <w:rFonts w:ascii="Arial" w:cs="Arial" w:eastAsia="Arial" w:hAnsi="Arial"/>
          <w:sz w:val="18"/>
          <w:szCs w:val="18"/>
          <w:b w:val="1"/>
          <w:bCs w:val="1"/>
          <w:color w:val="auto"/>
        </w:rPr>
      </w:pPr>
    </w:p>
    <w:p>
      <w:pPr>
        <w:ind w:left="784" w:hanging="344"/>
        <w:spacing w:after="0"/>
        <w:tabs>
          <w:tab w:leader="none" w:pos="784" w:val="left"/>
        </w:tabs>
        <w:numPr>
          <w:ilvl w:val="0"/>
          <w:numId w:val="33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Adagio Therapeutics, Inc. 2021 Equity Incentive Plan, as amended from time to time.</w:t>
      </w:r>
    </w:p>
    <w:p>
      <w:pPr>
        <w:spacing w:after="0" w:line="117" w:lineRule="exact"/>
        <w:rPr>
          <w:rFonts w:ascii="Arial" w:cs="Arial" w:eastAsia="Arial" w:hAnsi="Arial"/>
          <w:sz w:val="18"/>
          <w:szCs w:val="18"/>
          <w:b w:val="1"/>
          <w:bCs w:val="1"/>
          <w:color w:val="auto"/>
        </w:rPr>
      </w:pPr>
    </w:p>
    <w:p>
      <w:pPr>
        <w:ind w:left="4" w:right="240" w:firstLine="436"/>
        <w:spacing w:after="0" w:line="277" w:lineRule="auto"/>
        <w:tabs>
          <w:tab w:leader="none" w:pos="769" w:val="left"/>
        </w:tabs>
        <w:numPr>
          <w:ilvl w:val="0"/>
          <w:numId w:val="33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 Administrator</w:t>
      </w:r>
      <w:r>
        <w:rPr>
          <w:rFonts w:ascii="Arial" w:cs="Arial" w:eastAsia="Arial" w:hAnsi="Arial"/>
          <w:sz w:val="18"/>
          <w:szCs w:val="18"/>
          <w:color w:val="auto"/>
        </w:rPr>
        <w:t>” means the person, persons, and/or third-party administrator designated by the Company to administer the day to day operations of the Plan and the Company’s other equity incentive programs.</w:t>
      </w:r>
    </w:p>
    <w:p>
      <w:pPr>
        <w:spacing w:after="0" w:line="62" w:lineRule="exact"/>
        <w:rPr>
          <w:sz w:val="20"/>
          <w:szCs w:val="20"/>
          <w:color w:val="auto"/>
        </w:rPr>
      </w:pPr>
    </w:p>
    <w:p>
      <w:pPr>
        <w:ind w:left="4" w:right="100" w:firstLine="436"/>
        <w:spacing w:after="0" w:line="277" w:lineRule="auto"/>
        <w:tabs>
          <w:tab w:leader="none" w:pos="879" w:val="left"/>
        </w:tabs>
        <w:numPr>
          <w:ilvl w:val="1"/>
          <w:numId w:val="33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Post-Termination Exercise Period</w:t>
      </w:r>
      <w:r>
        <w:rPr>
          <w:rFonts w:ascii="Arial" w:cs="Arial" w:eastAsia="Arial" w:hAnsi="Arial"/>
          <w:sz w:val="18"/>
          <w:szCs w:val="18"/>
          <w:color w:val="auto"/>
        </w:rPr>
        <w:t>” means the period following termination of a Participant’s Continuous Service within which an Option or SAR is exercisable, as specified in Section 4(h).</w:t>
      </w:r>
    </w:p>
    <w:p>
      <w:pPr>
        <w:spacing w:after="0" w:line="62" w:lineRule="exact"/>
        <w:rPr>
          <w:rFonts w:ascii="Arial" w:cs="Arial" w:eastAsia="Arial" w:hAnsi="Arial"/>
          <w:sz w:val="18"/>
          <w:szCs w:val="18"/>
          <w:b w:val="1"/>
          <w:bCs w:val="1"/>
          <w:color w:val="auto"/>
        </w:rPr>
      </w:pPr>
    </w:p>
    <w:p>
      <w:pPr>
        <w:ind w:left="904" w:hanging="464"/>
        <w:spacing w:after="0"/>
        <w:tabs>
          <w:tab w:leader="none" w:pos="904" w:val="left"/>
        </w:tabs>
        <w:numPr>
          <w:ilvl w:val="1"/>
          <w:numId w:val="33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Prior Plan’s Available Reserve</w:t>
      </w:r>
      <w:r>
        <w:rPr>
          <w:rFonts w:ascii="Arial" w:cs="Arial" w:eastAsia="Arial" w:hAnsi="Arial"/>
          <w:sz w:val="16"/>
          <w:szCs w:val="16"/>
          <w:color w:val="auto"/>
        </w:rPr>
        <w:t>” means the number of shares available for the grant of new awards under the Prior Plan as of the Effective</w:t>
      </w:r>
    </w:p>
    <w:p>
      <w:pPr>
        <w:spacing w:after="0" w:line="46"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8"/>
          <w:szCs w:val="18"/>
          <w:color w:val="auto"/>
        </w:rPr>
        <w:t>Date.</w:t>
      </w:r>
    </w:p>
    <w:p>
      <w:pPr>
        <w:spacing w:after="0" w:line="102" w:lineRule="exact"/>
        <w:rPr>
          <w:rFonts w:ascii="Arial" w:cs="Arial" w:eastAsia="Arial" w:hAnsi="Arial"/>
          <w:sz w:val="16"/>
          <w:szCs w:val="16"/>
          <w:b w:val="1"/>
          <w:bCs w:val="1"/>
          <w:color w:val="auto"/>
        </w:rPr>
      </w:pPr>
    </w:p>
    <w:p>
      <w:pPr>
        <w:ind w:left="844" w:hanging="404"/>
        <w:spacing w:after="0"/>
        <w:tabs>
          <w:tab w:leader="none" w:pos="844" w:val="left"/>
        </w:tabs>
        <w:numPr>
          <w:ilvl w:val="1"/>
          <w:numId w:val="33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Prior Plan</w:t>
      </w:r>
      <w:r>
        <w:rPr>
          <w:rFonts w:ascii="Arial" w:cs="Arial" w:eastAsia="Arial" w:hAnsi="Arial"/>
          <w:sz w:val="17"/>
          <w:szCs w:val="17"/>
          <w:color w:val="auto"/>
        </w:rPr>
        <w:t>” means the Adagio Therapeutics, Inc. 2020 Equity Incentive Plan.</w:t>
      </w:r>
    </w:p>
    <w:p>
      <w:pPr>
        <w:spacing w:after="0" w:line="128" w:lineRule="exact"/>
        <w:rPr>
          <w:rFonts w:ascii="Arial" w:cs="Arial" w:eastAsia="Arial" w:hAnsi="Arial"/>
          <w:sz w:val="17"/>
          <w:szCs w:val="17"/>
          <w:b w:val="1"/>
          <w:bCs w:val="1"/>
          <w:color w:val="auto"/>
        </w:rPr>
      </w:pPr>
    </w:p>
    <w:p>
      <w:pPr>
        <w:ind w:left="4" w:right="100" w:firstLine="436"/>
        <w:spacing w:after="0" w:line="277" w:lineRule="auto"/>
        <w:tabs>
          <w:tab w:leader="none" w:pos="909" w:val="left"/>
        </w:tabs>
        <w:numPr>
          <w:ilvl w:val="1"/>
          <w:numId w:val="33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or “</w:t>
      </w:r>
      <w:r>
        <w:rPr>
          <w:rFonts w:ascii="Arial" w:cs="Arial" w:eastAsia="Arial" w:hAnsi="Arial"/>
          <w:sz w:val="18"/>
          <w:szCs w:val="18"/>
          <w:b w:val="1"/>
          <w:bCs w:val="1"/>
          <w:i w:val="1"/>
          <w:iCs w:val="1"/>
          <w:color w:val="auto"/>
        </w:rPr>
        <w:t>RSA</w:t>
      </w:r>
      <w:r>
        <w:rPr>
          <w:rFonts w:ascii="Arial" w:cs="Arial" w:eastAsia="Arial" w:hAnsi="Arial"/>
          <w:sz w:val="18"/>
          <w:szCs w:val="18"/>
          <w:color w:val="auto"/>
        </w:rPr>
        <w:t>” means an Award of shares of Common Stock which is granted pursuant to the terms and conditions of Section 5(a).</w:t>
      </w:r>
    </w:p>
    <w:p>
      <w:pPr>
        <w:spacing w:after="0" w:line="62" w:lineRule="exact"/>
        <w:rPr>
          <w:rFonts w:ascii="Arial" w:cs="Arial" w:eastAsia="Arial" w:hAnsi="Arial"/>
          <w:sz w:val="18"/>
          <w:szCs w:val="18"/>
          <w:b w:val="1"/>
          <w:bCs w:val="1"/>
          <w:color w:val="auto"/>
        </w:rPr>
      </w:pPr>
    </w:p>
    <w:p>
      <w:pPr>
        <w:ind w:left="4" w:right="40" w:firstLine="436"/>
        <w:spacing w:after="0" w:line="275" w:lineRule="auto"/>
        <w:tabs>
          <w:tab w:leader="none" w:pos="849" w:val="left"/>
        </w:tabs>
        <w:numPr>
          <w:ilvl w:val="1"/>
          <w:numId w:val="33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Stock Award Agreement</w:t>
      </w:r>
      <w:r>
        <w:rPr>
          <w:rFonts w:ascii="Arial" w:cs="Arial" w:eastAsia="Arial" w:hAnsi="Arial"/>
          <w:sz w:val="17"/>
          <w:szCs w:val="17"/>
          <w:color w:val="auto"/>
        </w:rPr>
        <w:t>” means a written or electronic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including by electronic means, to a Participant along with the Grant Notice. Each Restricted Stock Award Agreement will be subject to the terms and conditions of the Plan.</w:t>
      </w:r>
    </w:p>
    <w:p>
      <w:pPr>
        <w:spacing w:after="0" w:line="68" w:lineRule="exact"/>
        <w:rPr>
          <w:rFonts w:ascii="Arial" w:cs="Arial" w:eastAsia="Arial" w:hAnsi="Arial"/>
          <w:sz w:val="17"/>
          <w:szCs w:val="17"/>
          <w:b w:val="1"/>
          <w:bCs w:val="1"/>
          <w:color w:val="auto"/>
        </w:rPr>
      </w:pPr>
    </w:p>
    <w:p>
      <w:pPr>
        <w:ind w:left="784" w:hanging="344"/>
        <w:spacing w:after="0"/>
        <w:tabs>
          <w:tab w:leader="none" w:pos="784" w:val="left"/>
        </w:tabs>
        <w:numPr>
          <w:ilvl w:val="1"/>
          <w:numId w:val="33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Returning Shares</w:t>
      </w:r>
      <w:r>
        <w:rPr>
          <w:rFonts w:ascii="Arial" w:cs="Arial" w:eastAsia="Arial" w:hAnsi="Arial"/>
          <w:sz w:val="16"/>
          <w:szCs w:val="16"/>
          <w:color w:val="auto"/>
        </w:rPr>
        <w:t>” means shares subject to outstanding stock awards granted under the Prior Plan and that following the Effective Date:</w:t>
      </w:r>
    </w:p>
    <w:p>
      <w:pPr>
        <w:spacing w:after="0" w:line="46" w:lineRule="exact"/>
        <w:rPr>
          <w:rFonts w:ascii="Arial" w:cs="Arial" w:eastAsia="Arial" w:hAnsi="Arial"/>
          <w:sz w:val="16"/>
          <w:szCs w:val="16"/>
          <w:b w:val="1"/>
          <w:bCs w:val="1"/>
          <w:color w:val="auto"/>
        </w:rPr>
      </w:pPr>
    </w:p>
    <w:p>
      <w:pPr>
        <w:ind w:left="4" w:hanging="4"/>
        <w:spacing w:after="0" w:line="273" w:lineRule="auto"/>
        <w:tabs>
          <w:tab w:leader="none" w:pos="299" w:val="left"/>
        </w:tabs>
        <w:numPr>
          <w:ilvl w:val="0"/>
          <w:numId w:val="333"/>
        </w:numPr>
        <w:rPr>
          <w:rFonts w:ascii="Arial" w:cs="Arial" w:eastAsia="Arial" w:hAnsi="Arial"/>
          <w:sz w:val="17"/>
          <w:szCs w:val="17"/>
          <w:color w:val="auto"/>
        </w:rPr>
      </w:pPr>
      <w:r>
        <w:rPr>
          <w:rFonts w:ascii="Arial" w:cs="Arial" w:eastAsia="Arial" w:hAnsi="Arial"/>
          <w:sz w:val="17"/>
          <w:szCs w:val="17"/>
          <w:color w:val="auto"/>
        </w:rPr>
        <w:t>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w:t>
      </w:r>
    </w:p>
    <w:p>
      <w:pPr>
        <w:spacing w:after="0" w:line="10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4"/>
          </w:cols>
          <w:pgMar w:left="436" w:top="274" w:right="459" w:bottom="1440" w:gutter="0" w:footer="0" w:header="0"/>
        </w:sectPr>
      </w:pPr>
    </w:p>
    <w:bookmarkStart w:id="404" w:name="page405"/>
    <w:bookmarkEnd w:id="404"/>
    <w:p>
      <w:pPr>
        <w:ind w:left="-20" w:right="120" w:firstLine="436"/>
        <w:spacing w:after="0" w:line="308" w:lineRule="auto"/>
        <w:tabs>
          <w:tab w:leader="none" w:pos="855" w:val="left"/>
        </w:tabs>
        <w:numPr>
          <w:ilvl w:val="0"/>
          <w:numId w:val="334"/>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i w:val="1"/>
          <w:iCs w:val="1"/>
          <w:color w:val="auto"/>
        </w:rPr>
        <w:t>RSU Award</w:t>
      </w:r>
      <w:r>
        <w:rPr>
          <w:rFonts w:ascii="Arial" w:cs="Arial" w:eastAsia="Arial" w:hAnsi="Arial"/>
          <w:sz w:val="17"/>
          <w:szCs w:val="17"/>
          <w:color w:val="auto"/>
        </w:rPr>
        <w:t>” or “</w:t>
      </w:r>
      <w:r>
        <w:rPr>
          <w:rFonts w:ascii="Arial" w:cs="Arial" w:eastAsia="Arial" w:hAnsi="Arial"/>
          <w:sz w:val="17"/>
          <w:szCs w:val="17"/>
          <w:b w:val="1"/>
          <w:bCs w:val="1"/>
          <w:i w:val="1"/>
          <w:iCs w:val="1"/>
          <w:color w:val="auto"/>
        </w:rPr>
        <w:t>RSU</w:t>
      </w:r>
      <w:r>
        <w:rPr>
          <w:rFonts w:ascii="Arial" w:cs="Arial" w:eastAsia="Arial" w:hAnsi="Arial"/>
          <w:sz w:val="17"/>
          <w:szCs w:val="17"/>
          <w:color w:val="auto"/>
        </w:rPr>
        <w:t>” means an Award of restricted stock units representing the right to receive an issuance of shares of Common Stock which is granted pursuant to the terms and conditions of Section 5(a).</w:t>
      </w:r>
    </w:p>
    <w:p>
      <w:pPr>
        <w:spacing w:after="0" w:line="38" w:lineRule="exact"/>
        <w:rPr>
          <w:rFonts w:ascii="Arial" w:cs="Arial" w:eastAsia="Arial" w:hAnsi="Arial"/>
          <w:sz w:val="17"/>
          <w:szCs w:val="17"/>
          <w:b w:val="1"/>
          <w:bCs w:val="1"/>
          <w:color w:val="auto"/>
        </w:rPr>
      </w:pPr>
    </w:p>
    <w:p>
      <w:pPr>
        <w:ind w:left="-20" w:right="140" w:firstLine="436"/>
        <w:spacing w:after="0" w:line="301" w:lineRule="auto"/>
        <w:tabs>
          <w:tab w:leader="none" w:pos="885" w:val="left"/>
        </w:tabs>
        <w:numPr>
          <w:ilvl w:val="0"/>
          <w:numId w:val="33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RSU Award Agreement</w:t>
      </w:r>
      <w:r>
        <w:rPr>
          <w:rFonts w:ascii="Arial" w:cs="Arial" w:eastAsia="Arial" w:hAnsi="Arial"/>
          <w:sz w:val="16"/>
          <w:szCs w:val="16"/>
          <w:color w:val="auto"/>
        </w:rPr>
        <w:t>” means a written or electronic agreement between the Company and a holder of an RSU Award evidencing the terms and conditions of an RSU Award grant. The RSU Award Agreement includes the Grant Notice for the RSU Award and the agreement containing the written summary of the general terms and conditions applicable to the RSU Award and which is provided, including by electronic means, to a Participant along with the Grant Notice. Each RSU Award Agreement will be subject to the terms and conditions of the Plan.</w:t>
      </w:r>
    </w:p>
    <w:p>
      <w:pPr>
        <w:spacing w:after="0" w:line="49" w:lineRule="exact"/>
        <w:rPr>
          <w:rFonts w:ascii="Arial" w:cs="Arial" w:eastAsia="Arial" w:hAnsi="Arial"/>
          <w:sz w:val="16"/>
          <w:szCs w:val="16"/>
          <w:b w:val="1"/>
          <w:bCs w:val="1"/>
          <w:color w:val="auto"/>
        </w:rPr>
      </w:pPr>
    </w:p>
    <w:p>
      <w:pPr>
        <w:ind w:left="740" w:hanging="324"/>
        <w:spacing w:after="0"/>
        <w:tabs>
          <w:tab w:leader="none" w:pos="740" w:val="left"/>
        </w:tabs>
        <w:numPr>
          <w:ilvl w:val="0"/>
          <w:numId w:val="33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Rule 16b-3</w:t>
      </w:r>
      <w:r>
        <w:rPr>
          <w:rFonts w:ascii="Arial" w:cs="Arial" w:eastAsia="Arial" w:hAnsi="Arial"/>
          <w:sz w:val="17"/>
          <w:szCs w:val="17"/>
          <w:color w:val="auto"/>
        </w:rPr>
        <w:t>” means Rule 16b-3 promulgated under the Exchange Act or any successor to Rule 16b-3, as in effect from time to time.</w:t>
      </w:r>
    </w:p>
    <w:p>
      <w:pPr>
        <w:spacing w:after="0" w:line="128" w:lineRule="exact"/>
        <w:rPr>
          <w:rFonts w:ascii="Arial" w:cs="Arial" w:eastAsia="Arial" w:hAnsi="Arial"/>
          <w:sz w:val="17"/>
          <w:szCs w:val="17"/>
          <w:b w:val="1"/>
          <w:bCs w:val="1"/>
          <w:color w:val="auto"/>
        </w:rPr>
      </w:pPr>
    </w:p>
    <w:p>
      <w:pPr>
        <w:ind w:left="760" w:hanging="344"/>
        <w:spacing w:after="0"/>
        <w:tabs>
          <w:tab w:leader="none" w:pos="760" w:val="left"/>
        </w:tabs>
        <w:numPr>
          <w:ilvl w:val="0"/>
          <w:numId w:val="33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405</w:t>
      </w:r>
      <w:r>
        <w:rPr>
          <w:rFonts w:ascii="Arial" w:cs="Arial" w:eastAsia="Arial" w:hAnsi="Arial"/>
          <w:sz w:val="18"/>
          <w:szCs w:val="18"/>
          <w:color w:val="auto"/>
        </w:rPr>
        <w:t>” means Rule 405 promulgated under the Securities Act.</w:t>
      </w:r>
    </w:p>
    <w:p>
      <w:pPr>
        <w:spacing w:after="0" w:line="117" w:lineRule="exact"/>
        <w:rPr>
          <w:rFonts w:ascii="Arial" w:cs="Arial" w:eastAsia="Arial" w:hAnsi="Arial"/>
          <w:sz w:val="18"/>
          <w:szCs w:val="18"/>
          <w:b w:val="1"/>
          <w:bCs w:val="1"/>
          <w:color w:val="auto"/>
        </w:rPr>
      </w:pPr>
    </w:p>
    <w:p>
      <w:pPr>
        <w:ind w:left="880" w:hanging="464"/>
        <w:spacing w:after="0"/>
        <w:tabs>
          <w:tab w:leader="none" w:pos="880" w:val="left"/>
        </w:tabs>
        <w:numPr>
          <w:ilvl w:val="0"/>
          <w:numId w:val="33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means Section 409A of the Code and the regulations and other guidance thereunder.</w:t>
      </w:r>
    </w:p>
    <w:p>
      <w:pPr>
        <w:spacing w:after="0" w:line="117" w:lineRule="exact"/>
        <w:rPr>
          <w:rFonts w:ascii="Arial" w:cs="Arial" w:eastAsia="Arial" w:hAnsi="Arial"/>
          <w:sz w:val="18"/>
          <w:szCs w:val="18"/>
          <w:b w:val="1"/>
          <w:bCs w:val="1"/>
          <w:color w:val="auto"/>
        </w:rPr>
      </w:pPr>
    </w:p>
    <w:p>
      <w:pPr>
        <w:jc w:val="both"/>
        <w:ind w:left="-20" w:firstLine="436"/>
        <w:spacing w:after="0" w:line="263" w:lineRule="auto"/>
        <w:tabs>
          <w:tab w:leader="none" w:pos="735" w:val="left"/>
        </w:tabs>
        <w:numPr>
          <w:ilvl w:val="0"/>
          <w:numId w:val="33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Section 409A Change in Control</w:t>
      </w:r>
      <w:r>
        <w:rPr>
          <w:rFonts w:ascii="Arial" w:cs="Arial" w:eastAsia="Arial" w:hAnsi="Arial"/>
          <w:sz w:val="18"/>
          <w:szCs w:val="18"/>
          <w:color w:val="auto"/>
        </w:rPr>
        <w:t>” means a change in the ownership or effective control of the Company, or in the ownership of a substantial portion of the Company’s assets, as provided in Section 409A(a)(2)(A)(v) of the Code and Treasury Regulations Section 1.409A- 3(i)(5) (without regard to any alternative definition thereunder).</w:t>
      </w:r>
    </w:p>
    <w:p>
      <w:pPr>
        <w:spacing w:after="0" w:line="75" w:lineRule="exact"/>
        <w:rPr>
          <w:rFonts w:ascii="Arial" w:cs="Arial" w:eastAsia="Arial" w:hAnsi="Arial"/>
          <w:sz w:val="18"/>
          <w:szCs w:val="18"/>
          <w:b w:val="1"/>
          <w:bCs w:val="1"/>
          <w:color w:val="auto"/>
        </w:rPr>
      </w:pPr>
    </w:p>
    <w:p>
      <w:pPr>
        <w:ind w:left="1040" w:hanging="624"/>
        <w:spacing w:after="0"/>
        <w:tabs>
          <w:tab w:leader="none" w:pos="1040" w:val="left"/>
        </w:tabs>
        <w:numPr>
          <w:ilvl w:val="0"/>
          <w:numId w:val="33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117" w:lineRule="exact"/>
        <w:rPr>
          <w:rFonts w:ascii="Arial" w:cs="Arial" w:eastAsia="Arial" w:hAnsi="Arial"/>
          <w:sz w:val="18"/>
          <w:szCs w:val="18"/>
          <w:b w:val="1"/>
          <w:bCs w:val="1"/>
          <w:color w:val="auto"/>
        </w:rPr>
      </w:pPr>
    </w:p>
    <w:p>
      <w:pPr>
        <w:ind w:left="880" w:hanging="464"/>
        <w:spacing w:after="0"/>
        <w:tabs>
          <w:tab w:leader="none" w:pos="880" w:val="left"/>
        </w:tabs>
        <w:numPr>
          <w:ilvl w:val="0"/>
          <w:numId w:val="33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 Reserve</w:t>
      </w:r>
      <w:r>
        <w:rPr>
          <w:rFonts w:ascii="Arial" w:cs="Arial" w:eastAsia="Arial" w:hAnsi="Arial"/>
          <w:sz w:val="18"/>
          <w:szCs w:val="18"/>
          <w:color w:val="auto"/>
        </w:rPr>
        <w:t>” means the number of shares available for issuance under the Plan as set forth in Section 2(a).</w:t>
      </w:r>
    </w:p>
    <w:p>
      <w:pPr>
        <w:spacing w:after="0" w:line="117" w:lineRule="exact"/>
        <w:rPr>
          <w:rFonts w:ascii="Arial" w:cs="Arial" w:eastAsia="Arial" w:hAnsi="Arial"/>
          <w:sz w:val="18"/>
          <w:szCs w:val="18"/>
          <w:b w:val="1"/>
          <w:bCs w:val="1"/>
          <w:color w:val="auto"/>
        </w:rPr>
      </w:pPr>
    </w:p>
    <w:p>
      <w:pPr>
        <w:ind w:left="-20" w:right="60" w:firstLine="436"/>
        <w:spacing w:after="0" w:line="308" w:lineRule="auto"/>
        <w:tabs>
          <w:tab w:leader="none" w:pos="855" w:val="left"/>
        </w:tabs>
        <w:numPr>
          <w:ilvl w:val="0"/>
          <w:numId w:val="33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Stock Appreciation Right</w:t>
      </w:r>
      <w:r>
        <w:rPr>
          <w:rFonts w:ascii="Arial" w:cs="Arial" w:eastAsia="Arial" w:hAnsi="Arial"/>
          <w:sz w:val="17"/>
          <w:szCs w:val="17"/>
          <w:color w:val="auto"/>
        </w:rPr>
        <w:t>” or “</w:t>
      </w:r>
      <w:r>
        <w:rPr>
          <w:rFonts w:ascii="Arial" w:cs="Arial" w:eastAsia="Arial" w:hAnsi="Arial"/>
          <w:sz w:val="17"/>
          <w:szCs w:val="17"/>
          <w:b w:val="1"/>
          <w:bCs w:val="1"/>
          <w:i w:val="1"/>
          <w:iCs w:val="1"/>
          <w:color w:val="auto"/>
        </w:rPr>
        <w:t>SAR</w:t>
      </w:r>
      <w:r>
        <w:rPr>
          <w:rFonts w:ascii="Arial" w:cs="Arial" w:eastAsia="Arial" w:hAnsi="Arial"/>
          <w:sz w:val="17"/>
          <w:szCs w:val="17"/>
          <w:color w:val="auto"/>
        </w:rPr>
        <w:t>” means a right to receive the appreciation on Common Stock that is granted pursuant to the terms and conditions of Section 4.</w:t>
      </w:r>
    </w:p>
    <w:p>
      <w:pPr>
        <w:spacing w:after="0" w:line="38" w:lineRule="exact"/>
        <w:rPr>
          <w:rFonts w:ascii="Arial" w:cs="Arial" w:eastAsia="Arial" w:hAnsi="Arial"/>
          <w:sz w:val="17"/>
          <w:szCs w:val="17"/>
          <w:b w:val="1"/>
          <w:bCs w:val="1"/>
          <w:color w:val="auto"/>
        </w:rPr>
      </w:pPr>
    </w:p>
    <w:p>
      <w:pPr>
        <w:ind w:left="-20" w:right="120" w:firstLine="436"/>
        <w:spacing w:after="0" w:line="259" w:lineRule="auto"/>
        <w:tabs>
          <w:tab w:leader="none" w:pos="885" w:val="left"/>
        </w:tabs>
        <w:numPr>
          <w:ilvl w:val="0"/>
          <w:numId w:val="33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SAR Agreement</w:t>
      </w:r>
      <w:r>
        <w:rPr>
          <w:rFonts w:ascii="Arial" w:cs="Arial" w:eastAsia="Arial" w:hAnsi="Arial"/>
          <w:sz w:val="18"/>
          <w:szCs w:val="18"/>
          <w:color w:val="auto"/>
        </w:rPr>
        <w:t>” means a written or electronic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including by electronic means, to a Participant along with the Grant Notice. Each SAR Agreement will be subject to the terms and conditions of the Plan.</w:t>
      </w:r>
    </w:p>
    <w:p>
      <w:pPr>
        <w:spacing w:after="0" w:line="78" w:lineRule="exact"/>
        <w:rPr>
          <w:rFonts w:ascii="Arial" w:cs="Arial" w:eastAsia="Arial" w:hAnsi="Arial"/>
          <w:sz w:val="18"/>
          <w:szCs w:val="18"/>
          <w:b w:val="1"/>
          <w:bCs w:val="1"/>
          <w:color w:val="auto"/>
        </w:rPr>
      </w:pPr>
    </w:p>
    <w:p>
      <w:pPr>
        <w:ind w:left="-20" w:right="220" w:firstLine="436"/>
        <w:spacing w:after="0" w:line="275" w:lineRule="auto"/>
        <w:tabs>
          <w:tab w:leader="none" w:pos="885" w:val="left"/>
        </w:tabs>
        <w:numPr>
          <w:ilvl w:val="0"/>
          <w:numId w:val="33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60"/>
          </w:cols>
          <w:pgMar w:left="460" w:top="274" w:right="479" w:bottom="1440" w:gutter="0" w:footer="0" w:header="0"/>
        </w:sectPr>
      </w:pPr>
    </w:p>
    <w:bookmarkStart w:id="405" w:name="page406"/>
    <w:bookmarkEnd w:id="405"/>
    <w:p>
      <w:pPr>
        <w:ind w:right="40" w:firstLine="436"/>
        <w:spacing w:after="0" w:line="277" w:lineRule="auto"/>
        <w:tabs>
          <w:tab w:leader="none" w:pos="845" w:val="left"/>
        </w:tabs>
        <w:numPr>
          <w:ilvl w:val="0"/>
          <w:numId w:val="33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Ten Percent Stockholder</w:t>
      </w:r>
      <w:r>
        <w:rPr>
          <w:rFonts w:ascii="Arial" w:cs="Arial" w:eastAsia="Arial" w:hAnsi="Arial"/>
          <w:sz w:val="18"/>
          <w:szCs w:val="18"/>
          <w:color w:val="auto"/>
        </w:rPr>
        <w:t>” means a person who Owns (or is deemed to Own pursuant to Section 424(d) of the Code) stock possessing more than 10% of the total combined voting power of all classes of stock of the Company or any Affiliate.</w:t>
      </w:r>
    </w:p>
    <w:p>
      <w:pPr>
        <w:spacing w:after="0" w:line="62" w:lineRule="exact"/>
        <w:rPr>
          <w:rFonts w:ascii="Arial" w:cs="Arial" w:eastAsia="Arial" w:hAnsi="Arial"/>
          <w:sz w:val="18"/>
          <w:szCs w:val="18"/>
          <w:b w:val="1"/>
          <w:bCs w:val="1"/>
          <w:color w:val="auto"/>
        </w:rPr>
      </w:pPr>
    </w:p>
    <w:p>
      <w:pPr>
        <w:ind w:right="140" w:firstLine="436"/>
        <w:spacing w:after="0" w:line="342" w:lineRule="auto"/>
        <w:tabs>
          <w:tab w:leader="none" w:pos="815" w:val="left"/>
        </w:tabs>
        <w:numPr>
          <w:ilvl w:val="0"/>
          <w:numId w:val="33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Trading Policy</w:t>
      </w:r>
      <w:r>
        <w:rPr>
          <w:rFonts w:ascii="Arial" w:cs="Arial" w:eastAsia="Arial" w:hAnsi="Arial"/>
          <w:sz w:val="16"/>
          <w:szCs w:val="16"/>
          <w:color w:val="auto"/>
        </w:rPr>
        <w:t>” means the Company’s policy permitting certain individuals to sell Company shares only during certain “window” periods and/or otherwise restricts the ability of certain individuals to transfer or encumber Company shares, as in effect from time to time.</w:t>
      </w:r>
    </w:p>
    <w:p>
      <w:pPr>
        <w:spacing w:after="0" w:line="15" w:lineRule="exact"/>
        <w:rPr>
          <w:rFonts w:ascii="Arial" w:cs="Arial" w:eastAsia="Arial" w:hAnsi="Arial"/>
          <w:sz w:val="16"/>
          <w:szCs w:val="16"/>
          <w:b w:val="1"/>
          <w:bCs w:val="1"/>
          <w:color w:val="auto"/>
        </w:rPr>
      </w:pPr>
    </w:p>
    <w:p>
      <w:pPr>
        <w:ind w:right="80" w:firstLine="436"/>
        <w:spacing w:after="0" w:line="277" w:lineRule="auto"/>
        <w:tabs>
          <w:tab w:leader="none" w:pos="785" w:val="left"/>
        </w:tabs>
        <w:numPr>
          <w:ilvl w:val="0"/>
          <w:numId w:val="33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Unvested Non-Exempt Award</w:t>
      </w:r>
      <w:r>
        <w:rPr>
          <w:rFonts w:ascii="Arial" w:cs="Arial" w:eastAsia="Arial" w:hAnsi="Arial"/>
          <w:sz w:val="18"/>
          <w:szCs w:val="18"/>
          <w:color w:val="auto"/>
        </w:rPr>
        <w:t>” means the portion of any Non-Exempt Award that had not vested in accordance with its terms upon or prior to the date of any Corporate Transaction.</w:t>
      </w:r>
    </w:p>
    <w:p>
      <w:pPr>
        <w:spacing w:after="0" w:line="62" w:lineRule="exact"/>
        <w:rPr>
          <w:rFonts w:ascii="Arial" w:cs="Arial" w:eastAsia="Arial" w:hAnsi="Arial"/>
          <w:sz w:val="18"/>
          <w:szCs w:val="18"/>
          <w:b w:val="1"/>
          <w:bCs w:val="1"/>
          <w:color w:val="auto"/>
        </w:rPr>
      </w:pPr>
    </w:p>
    <w:p>
      <w:pPr>
        <w:ind w:firstLine="436"/>
        <w:spacing w:after="0" w:line="277" w:lineRule="auto"/>
        <w:tabs>
          <w:tab w:leader="none" w:pos="905" w:val="left"/>
        </w:tabs>
        <w:numPr>
          <w:ilvl w:val="0"/>
          <w:numId w:val="33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Vested Non-Exempt Award</w:t>
      </w:r>
      <w:r>
        <w:rPr>
          <w:rFonts w:ascii="Arial" w:cs="Arial" w:eastAsia="Arial" w:hAnsi="Arial"/>
          <w:sz w:val="18"/>
          <w:szCs w:val="18"/>
          <w:color w:val="auto"/>
        </w:rPr>
        <w:t>” means the portion of any Non-Exempt Award that had vested in accordance with its terms upon or prior to the date of a Corporate Transaction.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406" w:name="page407"/>
    <w:bookmarkEnd w:id="40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t>
      </w:r>
      <w:r>
        <w:rPr>
          <w:rFonts w:ascii="Arial" w:cs="Arial" w:eastAsia="Arial" w:hAnsi="Arial"/>
          <w:sz w:val="14"/>
          <w:szCs w:val="14"/>
          <w:b w:val="1"/>
          <w:bCs w:val="1"/>
          <w:color w:val="auto"/>
        </w:rPr>
        <w:t>DAGIO</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RANT</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OTICE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Adagio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pursuant to the Company’s 2021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has granted to you (“</w:t>
      </w:r>
      <w:r>
        <w:rPr>
          <w:rFonts w:ascii="Arial" w:cs="Arial" w:eastAsia="Arial" w:hAnsi="Arial"/>
          <w:sz w:val="18"/>
          <w:szCs w:val="18"/>
          <w:b w:val="1"/>
          <w:bCs w:val="1"/>
          <w:i w:val="1"/>
          <w:iCs w:val="1"/>
          <w:color w:val="auto"/>
        </w:rPr>
        <w:t>Optionholder</w:t>
      </w:r>
      <w:r>
        <w:rPr>
          <w:rFonts w:ascii="Arial" w:cs="Arial" w:eastAsia="Arial" w:hAnsi="Arial"/>
          <w:sz w:val="18"/>
          <w:szCs w:val="18"/>
          <w:color w:val="auto"/>
        </w:rPr>
        <w:t>”</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an option to purchase the number of shares of the Common Stock set forth below (the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Your Option is subject to all of the terms and conditions as set forth herein and in the Plan, and the Stock Option Agreement and the Notice of Exercise, all of which are attached hereto and incorporated herein in their entirety. Capitalized terms not explicitly defined herein but defined in the Plan or the Stock Option Agreement shall have the meanings set forth in the Plan or the Stock Option Agreement, as applicable.</w:t>
      </w:r>
    </w:p>
    <w:p>
      <w:pPr>
        <w:spacing w:after="0" w:line="215"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4120515</wp:posOffset>
            </wp:positionH>
            <wp:positionV relativeFrom="paragraph">
              <wp:posOffset>14605</wp:posOffset>
            </wp:positionV>
            <wp:extent cx="143129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8">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16"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4120515</wp:posOffset>
            </wp:positionH>
            <wp:positionV relativeFrom="paragraph">
              <wp:posOffset>14605</wp:posOffset>
            </wp:positionV>
            <wp:extent cx="143129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9">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16"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4120515</wp:posOffset>
            </wp:positionH>
            <wp:positionV relativeFrom="paragraph">
              <wp:posOffset>14605</wp:posOffset>
            </wp:positionV>
            <wp:extent cx="143129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0">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16"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Number of Shares of Common Stock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4120515</wp:posOffset>
            </wp:positionH>
            <wp:positionV relativeFrom="paragraph">
              <wp:posOffset>14605</wp:posOffset>
            </wp:positionV>
            <wp:extent cx="143129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1">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16"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4120515</wp:posOffset>
            </wp:positionH>
            <wp:positionV relativeFrom="paragraph">
              <wp:posOffset>14605</wp:posOffset>
            </wp:positionV>
            <wp:extent cx="14312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2">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16"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4120515</wp:posOffset>
            </wp:positionH>
            <wp:positionV relativeFrom="paragraph">
              <wp:posOffset>14605</wp:posOffset>
            </wp:positionV>
            <wp:extent cx="143129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3">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16"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4120515</wp:posOffset>
            </wp:positionH>
            <wp:positionV relativeFrom="paragraph">
              <wp:posOffset>14605</wp:posOffset>
            </wp:positionV>
            <wp:extent cx="143129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4">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Type of Grant: [</w:t>
      </w:r>
      <w:r>
        <w:rPr>
          <w:rFonts w:ascii="Arial" w:cs="Arial" w:eastAsia="Arial" w:hAnsi="Arial"/>
          <w:sz w:val="18"/>
          <w:szCs w:val="18"/>
          <w:color w:val="auto"/>
        </w:rPr>
        <w:t>Incentive Stock Option]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OR</w:t>
      </w:r>
      <w:r>
        <w:rPr>
          <w:rFonts w:ascii="Arial" w:cs="Arial" w:eastAsia="Arial" w:hAnsi="Arial"/>
          <w:sz w:val="18"/>
          <w:szCs w:val="18"/>
          <w:b w:val="1"/>
          <w:bCs w:val="1"/>
          <w:color w:val="auto"/>
        </w:rPr>
        <w:t xml:space="preserve"> </w:t>
      </w:r>
      <w:r>
        <w:rPr>
          <w:rFonts w:ascii="Arial" w:cs="Arial" w:eastAsia="Arial" w:hAnsi="Arial"/>
          <w:sz w:val="18"/>
          <w:szCs w:val="18"/>
          <w:color w:val="auto"/>
        </w:rPr>
        <w:t>[Nonstatutory Stock Option]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and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Vesting Schedule</w:t>
      </w:r>
      <w:r>
        <w:rPr>
          <w:rFonts w:ascii="Arial" w:cs="Arial" w:eastAsia="Arial" w:hAnsi="Arial"/>
          <w:sz w:val="17"/>
          <w:szCs w:val="17"/>
          <w:color w:val="auto"/>
        </w:rPr>
        <w:t>: Subject to the Optionholder’s Continuous Service through each applicable vesting date, the Option will vest as follows:</w:t>
      </w:r>
    </w:p>
    <w:p>
      <w:pPr>
        <w:spacing w:after="0" w:line="110" w:lineRule="exact"/>
        <w:rPr>
          <w:sz w:val="20"/>
          <w:szCs w:val="20"/>
          <w:color w:val="auto"/>
        </w:rPr>
      </w:pPr>
    </w:p>
    <w:p>
      <w:pPr>
        <w:ind w:left="2000"/>
        <w:spacing w:after="0"/>
        <w:tabs>
          <w:tab w:leader="none" w:pos="89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1310005</wp:posOffset>
            </wp:positionH>
            <wp:positionV relativeFrom="paragraph">
              <wp:posOffset>-7620</wp:posOffset>
            </wp:positionV>
            <wp:extent cx="437007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5">
                      <a:extLst>
                        <a:ext uri="{28A0092B-C50C-407E-A947-70E740481C1C}"/>
                      </a:extLst>
                    </a:blip>
                    <a:srcRect/>
                    <a:stretch>
                      <a:fillRect/>
                    </a:stretch>
                  </pic:blipFill>
                  <pic:spPr bwMode="auto">
                    <a:xfrm>
                      <a:off x="0" y="0"/>
                      <a:ext cx="4370070" cy="8255"/>
                    </a:xfrm>
                    <a:prstGeom prst="rect">
                      <a:avLst/>
                    </a:prstGeom>
                    <a:noFill/>
                  </pic:spPr>
                </pic:pic>
              </a:graphicData>
            </a:graphic>
          </wp:anchor>
        </w:drawing>
      </w:r>
    </w:p>
    <w:p>
      <w:pPr>
        <w:spacing w:after="0" w:line="9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Optionholder Acknowledgements: </w:t>
      </w:r>
      <w:r>
        <w:rPr>
          <w:rFonts w:ascii="Arial" w:cs="Arial" w:eastAsia="Arial" w:hAnsi="Arial"/>
          <w:sz w:val="18"/>
          <w:szCs w:val="18"/>
          <w:color w:val="auto"/>
        </w:rPr>
        <w:t>By your signature below or by electronic acceptance or authentication in a form authorized by the Company, you</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 and agree that:</w:t>
      </w:r>
    </w:p>
    <w:p>
      <w:pPr>
        <w:spacing w:after="0" w:line="71" w:lineRule="exact"/>
        <w:rPr>
          <w:sz w:val="20"/>
          <w:szCs w:val="20"/>
          <w:color w:val="auto"/>
        </w:rPr>
      </w:pPr>
    </w:p>
    <w:p>
      <w:pPr>
        <w:ind w:left="960" w:right="60" w:hanging="424"/>
        <w:spacing w:after="0" w:line="259" w:lineRule="auto"/>
        <w:tabs>
          <w:tab w:leader="none" w:pos="9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Option is governed by this Stock Option Grant Notice (this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and the provisions of the Plan and the Stock Option Agreement and the Notice of Exercise, all of which are made a part of this document. Unless otherwise provided in the Plan, this Grant Notice and the Stock Option Agreement (together, the “</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may not be modified, amended or revised except in a writing signed by you and a duly authorized officer of the Company.</w:t>
      </w:r>
    </w:p>
    <w:p>
      <w:pPr>
        <w:spacing w:after="0" w:line="92" w:lineRule="exact"/>
        <w:rPr>
          <w:rFonts w:ascii="Arial" w:cs="Arial" w:eastAsia="Arial" w:hAnsi="Arial"/>
          <w:sz w:val="18"/>
          <w:szCs w:val="18"/>
          <w:color w:val="auto"/>
        </w:rPr>
      </w:pPr>
    </w:p>
    <w:p>
      <w:pPr>
        <w:ind w:left="960" w:right="180" w:hanging="424"/>
        <w:spacing w:after="0" w:line="263" w:lineRule="auto"/>
        <w:tabs>
          <w:tab w:leader="none" w:pos="9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 xml:space="preserve">[If the Option is an Incentive Stock Option, it (plus other outstanding Incentive Stock Options granted to you) cannot be first </w:t>
      </w:r>
      <w:r>
        <w:rPr>
          <w:rFonts w:ascii="Arial" w:cs="Arial" w:eastAsia="Arial" w:hAnsi="Arial"/>
          <w:sz w:val="18"/>
          <w:szCs w:val="18"/>
          <w:i w:val="1"/>
          <w:iCs w:val="1"/>
          <w:color w:val="auto"/>
        </w:rPr>
        <w:t>exercisable</w:t>
      </w:r>
      <w:r>
        <w:rPr>
          <w:rFonts w:ascii="Arial" w:cs="Arial" w:eastAsia="Arial" w:hAnsi="Arial"/>
          <w:sz w:val="18"/>
          <w:szCs w:val="18"/>
          <w:color w:val="auto"/>
        </w:rPr>
        <w:t xml:space="preserve"> for more than $100,000 in value (measured by exercise price) in any calendar year. Any excess over $100,000 is a Nonstatutory Stock Option.]</w:t>
      </w:r>
    </w:p>
    <w:p>
      <w:pPr>
        <w:sectPr>
          <w:pgSz w:w="11900" w:h="16838" w:orient="portrait"/>
          <w:cols w:equalWidth="0" w:num="1">
            <w:col w:w="10980"/>
          </w:cols>
          <w:pgMar w:left="440" w:top="270" w:right="479" w:bottom="1440" w:gutter="0" w:footer="0" w:header="0"/>
        </w:sectPr>
      </w:pPr>
    </w:p>
    <w:bookmarkStart w:id="407" w:name="page408"/>
    <w:bookmarkEnd w:id="407"/>
    <w:p>
      <w:pPr>
        <w:ind w:left="960" w:right="180" w:hanging="424"/>
        <w:spacing w:after="0" w:line="263" w:lineRule="auto"/>
        <w:tabs>
          <w:tab w:leader="none" w:pos="9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You consent to receive this Grant Notice, the Stock Option Agreement, the Plan, the Prospectus and any other Plan-related documents by electronic delivery and to participate in the Plan through an on-line or electronic system established and maintained by the Company or another third party designated by the Company.</w:t>
      </w:r>
    </w:p>
    <w:p>
      <w:pPr>
        <w:spacing w:after="0" w:line="89" w:lineRule="exact"/>
        <w:rPr>
          <w:rFonts w:ascii="Arial" w:cs="Arial" w:eastAsia="Arial" w:hAnsi="Arial"/>
          <w:sz w:val="18"/>
          <w:szCs w:val="18"/>
          <w:color w:val="auto"/>
        </w:rPr>
      </w:pPr>
    </w:p>
    <w:p>
      <w:pPr>
        <w:jc w:val="both"/>
        <w:ind w:left="960" w:right="100" w:hanging="424"/>
        <w:spacing w:after="0" w:line="263" w:lineRule="auto"/>
        <w:tabs>
          <w:tab w:leader="none" w:pos="9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You have read and are familiar with the provisions of the Plan, the Stock Option Agreement, the Notice of Exercise and the Prospectus. In the event of any conflict between the provisions in this Grant Notice, the Option Agreement, the Notice of Exercise, or the Prospectus and the terms of the Plan, the terms of the Plan shall control.</w:t>
      </w:r>
    </w:p>
    <w:p>
      <w:pPr>
        <w:spacing w:after="0" w:line="89" w:lineRule="exact"/>
        <w:rPr>
          <w:rFonts w:ascii="Arial" w:cs="Arial" w:eastAsia="Arial" w:hAnsi="Arial"/>
          <w:sz w:val="18"/>
          <w:szCs w:val="18"/>
          <w:color w:val="auto"/>
        </w:rPr>
      </w:pPr>
    </w:p>
    <w:p>
      <w:pPr>
        <w:ind w:left="960" w:right="100" w:hanging="424"/>
        <w:spacing w:after="0" w:line="301" w:lineRule="auto"/>
        <w:tabs>
          <w:tab w:leader="none" w:pos="96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The Option Agreement sets forth the entire understanding between you and the Company regarding the acquisition of Common Stock and supersedes all prior oral and written agreements, promises and/or representations on that subject with the exception of other equity awards previously granted to you and any written employment agreement, offer letter, severance agreement, written severance plan or policy, or other written agreement between the Company and you in each case that specifies the terms that should govern this Option.</w:t>
      </w:r>
    </w:p>
    <w:p>
      <w:pPr>
        <w:spacing w:after="0" w:line="62" w:lineRule="exact"/>
        <w:rPr>
          <w:rFonts w:ascii="Arial" w:cs="Arial" w:eastAsia="Arial" w:hAnsi="Arial"/>
          <w:sz w:val="16"/>
          <w:szCs w:val="16"/>
          <w:color w:val="auto"/>
        </w:rPr>
      </w:pPr>
    </w:p>
    <w:p>
      <w:pPr>
        <w:jc w:val="both"/>
        <w:ind w:left="960" w:right="280" w:hanging="424"/>
        <w:spacing w:after="0" w:line="286" w:lineRule="auto"/>
        <w:tabs>
          <w:tab w:leader="none" w:pos="960" w:val="left"/>
        </w:tabs>
        <w:numPr>
          <w:ilvl w:val="0"/>
          <w:numId w:val="337"/>
        </w:numPr>
        <w:rPr>
          <w:rFonts w:ascii="Arial" w:cs="Arial" w:eastAsia="Arial" w:hAnsi="Arial"/>
          <w:sz w:val="17"/>
          <w:szCs w:val="17"/>
          <w:color w:val="auto"/>
        </w:rPr>
      </w:pPr>
      <w:r>
        <w:rPr>
          <w:rFonts w:ascii="Arial" w:cs="Arial" w:eastAsia="Arial" w:hAnsi="Arial"/>
          <w:sz w:val="17"/>
          <w:szCs w:val="17"/>
          <w:color w:val="auto"/>
        </w:rPr>
        <w:t>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DAGIO</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c>
          <w:tcPr>
            <w:tcW w:w="70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PTIONHOLDER</w:t>
            </w:r>
            <w:r>
              <w:rPr>
                <w:rFonts w:ascii="Arial" w:cs="Arial" w:eastAsia="Arial" w:hAnsi="Arial"/>
                <w:sz w:val="18"/>
                <w:szCs w:val="18"/>
                <w:b w:val="1"/>
                <w:bCs w:val="1"/>
                <w:color w:val="auto"/>
              </w:rPr>
              <w:t>:</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By:</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24"/>
        </w:trPr>
        <w:tc>
          <w:tcPr>
            <w:tcW w:w="540" w:type="dxa"/>
            <w:vAlign w:val="bottom"/>
          </w:tcPr>
          <w:p>
            <w:pPr>
              <w:spacing w:after="0"/>
              <w:rPr>
                <w:sz w:val="19"/>
                <w:szCs w:val="19"/>
                <w:color w:val="auto"/>
              </w:rPr>
            </w:pPr>
          </w:p>
        </w:tc>
        <w:tc>
          <w:tcPr>
            <w:tcW w:w="4620" w:type="dxa"/>
            <w:vAlign w:val="bottom"/>
            <w:tcBorders>
              <w:top w:val="single" w:sz="8" w:color="auto"/>
            </w:tcBorders>
          </w:tcPr>
          <w:p>
            <w:pPr>
              <w:ind w:left="1960"/>
              <w:spacing w:after="0"/>
              <w:rPr>
                <w:sz w:val="20"/>
                <w:szCs w:val="20"/>
                <w:color w:val="auto"/>
              </w:rPr>
            </w:pPr>
            <w:r>
              <w:rPr>
                <w:rFonts w:ascii="Arial" w:cs="Arial" w:eastAsia="Arial" w:hAnsi="Arial"/>
                <w:sz w:val="18"/>
                <w:szCs w:val="18"/>
                <w:color w:val="auto"/>
              </w:rPr>
              <w:t>Signature</w:t>
            </w:r>
          </w:p>
        </w:tc>
        <w:tc>
          <w:tcPr>
            <w:tcW w:w="7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620" w:type="dxa"/>
            <w:vAlign w:val="bottom"/>
            <w:tcBorders>
              <w:top w:val="single" w:sz="8" w:color="auto"/>
            </w:tcBorders>
          </w:tcPr>
          <w:p>
            <w:pPr>
              <w:ind w:left="1960"/>
              <w:spacing w:after="0"/>
              <w:rPr>
                <w:sz w:val="20"/>
                <w:szCs w:val="20"/>
                <w:color w:val="auto"/>
              </w:rPr>
            </w:pPr>
            <w:r>
              <w:rPr>
                <w:rFonts w:ascii="Arial" w:cs="Arial" w:eastAsia="Arial" w:hAnsi="Arial"/>
                <w:sz w:val="18"/>
                <w:szCs w:val="18"/>
                <w:color w:val="auto"/>
              </w:rPr>
              <w:t>Signature</w:t>
            </w:r>
          </w:p>
        </w:tc>
      </w:tr>
      <w:tr>
        <w:trPr>
          <w:trHeight w:val="431"/>
        </w:trPr>
        <w:tc>
          <w:tcPr>
            <w:tcW w:w="5160" w:type="dxa"/>
            <w:vAlign w:val="bottom"/>
            <w:gridSpan w:val="2"/>
          </w:tcPr>
          <w:p>
            <w:pPr>
              <w:spacing w:after="0"/>
              <w:rPr>
                <w:sz w:val="20"/>
                <w:szCs w:val="20"/>
                <w:color w:val="auto"/>
              </w:rPr>
            </w:pPr>
            <w:r>
              <w:rPr>
                <w:rFonts w:ascii="Arial" w:cs="Arial" w:eastAsia="Arial" w:hAnsi="Arial"/>
                <w:sz w:val="18"/>
                <w:szCs w:val="18"/>
                <w:color w:val="auto"/>
              </w:rPr>
              <w:t>Title:</w:t>
            </w:r>
          </w:p>
        </w:tc>
        <w:tc>
          <w:tcPr>
            <w:tcW w:w="70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Date:</w:t>
            </w:r>
          </w:p>
        </w:tc>
      </w:tr>
      <w:tr>
        <w:trPr>
          <w:trHeight w:val="223"/>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620" w:type="dxa"/>
            <w:vAlign w:val="bottom"/>
            <w:tcBorders>
              <w:top w:val="single" w:sz="8" w:color="auto"/>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20" w:type="dxa"/>
            <w:vAlign w:val="bottom"/>
            <w:tcBorders>
              <w:top w:val="single" w:sz="8" w:color="auto"/>
            </w:tcBorders>
          </w:tcPr>
          <w:p>
            <w:pPr>
              <w:spacing w:after="0"/>
              <w:rPr>
                <w:sz w:val="19"/>
                <w:szCs w:val="19"/>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TTACHMENTS</w:t>
      </w:r>
      <w:r>
        <w:rPr>
          <w:rFonts w:ascii="Arial" w:cs="Arial" w:eastAsia="Arial" w:hAnsi="Arial"/>
          <w:sz w:val="18"/>
          <w:szCs w:val="18"/>
          <w:color w:val="auto"/>
        </w:rPr>
        <w:t>: Stock Option Agreement, 2021 Equity Incentive Plan, Notice of Exercise</w:t>
      </w:r>
    </w:p>
    <w:p>
      <w:pPr>
        <w:sectPr>
          <w:pgSz w:w="11900" w:h="16838" w:orient="portrait"/>
          <w:cols w:equalWidth="0" w:num="1">
            <w:col w:w="11020"/>
          </w:cols>
          <w:pgMar w:left="440" w:top="274" w:right="439" w:bottom="1440" w:gutter="0" w:footer="0" w:header="0"/>
        </w:sectPr>
      </w:pPr>
    </w:p>
    <w:bookmarkStart w:id="408" w:name="page409"/>
    <w:bookmarkEnd w:id="40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t>
      </w:r>
      <w:r>
        <w:rPr>
          <w:rFonts w:ascii="Arial" w:cs="Arial" w:eastAsia="Arial" w:hAnsi="Arial"/>
          <w:sz w:val="14"/>
          <w:szCs w:val="14"/>
          <w:b w:val="1"/>
          <w:bCs w:val="1"/>
          <w:color w:val="auto"/>
        </w:rPr>
        <w:t>TTACHMENT</w:t>
      </w:r>
      <w:r>
        <w:rPr>
          <w:rFonts w:ascii="Arial" w:cs="Arial" w:eastAsia="Arial" w:hAnsi="Arial"/>
          <w:sz w:val="18"/>
          <w:szCs w:val="18"/>
          <w:b w:val="1"/>
          <w:bCs w:val="1"/>
          <w:color w:val="auto"/>
        </w:rPr>
        <w:t xml:space="preserv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ADAGIO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OPTION AGREEMENT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(2021 EQUITY INCENTIVE PLAN)</w:t>
      </w:r>
    </w:p>
    <w:p>
      <w:pPr>
        <w:spacing w:after="0" w:line="21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As reflected by your Stock Option Grant Notice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Adagio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you an option under the Company’s 2021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to purchase a number of shares of Common Stock at the exercise price indicated in your Grant Notice (the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Capitalized terms not explicitly defined in this Agreement but defined in the Grant Notice or the Plan shall have the meanings set forth in the Grant Notice or Plan, as applicable. The terms of your Option as specified in the Grant Notice and this Stock Option Agreement constitute your Option Agreement.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general terms and conditions applicable to your Option are as follows:</w:t>
      </w:r>
    </w:p>
    <w:p>
      <w:pPr>
        <w:spacing w:after="0" w:line="113" w:lineRule="exact"/>
        <w:rPr>
          <w:sz w:val="20"/>
          <w:szCs w:val="20"/>
          <w:color w:val="auto"/>
        </w:rPr>
      </w:pPr>
    </w:p>
    <w:p>
      <w:pPr>
        <w:ind w:left="620" w:hanging="184"/>
        <w:spacing w:after="0"/>
        <w:tabs>
          <w:tab w:leader="none" w:pos="620"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OVERNING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OCUMENT</w:t>
      </w:r>
      <w:r>
        <w:rPr>
          <w:rFonts w:ascii="Arial" w:cs="Arial" w:eastAsia="Arial" w:hAnsi="Arial"/>
          <w:sz w:val="18"/>
          <w:szCs w:val="18"/>
          <w:b w:val="1"/>
          <w:bCs w:val="1"/>
          <w:color w:val="auto"/>
        </w:rPr>
        <w:t xml:space="preserve">. </w:t>
      </w:r>
      <w:r>
        <w:rPr>
          <w:rFonts w:ascii="Arial" w:cs="Arial" w:eastAsia="Arial" w:hAnsi="Arial"/>
          <w:sz w:val="18"/>
          <w:szCs w:val="18"/>
          <w:color w:val="auto"/>
        </w:rPr>
        <w:t>Your Option is subject to all the provisions of the Plan, including but not limited to the provisions in:</w:t>
      </w:r>
    </w:p>
    <w:p>
      <w:pPr>
        <w:spacing w:after="0" w:line="121" w:lineRule="exact"/>
        <w:rPr>
          <w:rFonts w:ascii="Arial" w:cs="Arial" w:eastAsia="Arial" w:hAnsi="Arial"/>
          <w:sz w:val="18"/>
          <w:szCs w:val="18"/>
          <w:b w:val="1"/>
          <w:bCs w:val="1"/>
          <w:color w:val="auto"/>
        </w:rPr>
      </w:pPr>
    </w:p>
    <w:p>
      <w:pPr>
        <w:ind w:left="1240" w:hanging="253"/>
        <w:spacing w:after="0"/>
        <w:tabs>
          <w:tab w:leader="none" w:pos="1240" w:val="left"/>
        </w:tabs>
        <w:numPr>
          <w:ilvl w:val="1"/>
          <w:numId w:val="338"/>
        </w:numPr>
        <w:rPr>
          <w:rFonts w:ascii="Arial" w:cs="Arial" w:eastAsia="Arial" w:hAnsi="Arial"/>
          <w:sz w:val="17"/>
          <w:szCs w:val="17"/>
          <w:b w:val="1"/>
          <w:bCs w:val="1"/>
          <w:color w:val="auto"/>
        </w:rPr>
      </w:pPr>
      <w:r>
        <w:rPr>
          <w:rFonts w:ascii="Arial" w:cs="Arial" w:eastAsia="Arial" w:hAnsi="Arial"/>
          <w:sz w:val="17"/>
          <w:szCs w:val="17"/>
          <w:color w:val="auto"/>
        </w:rPr>
        <w:t>Section 6 regarding the impact of a Capitalization Adjustment, dissolution, liquidation, or Corporate Transaction on your Option;</w:t>
      </w:r>
    </w:p>
    <w:p>
      <w:pPr>
        <w:spacing w:after="0" w:line="128" w:lineRule="exact"/>
        <w:rPr>
          <w:rFonts w:ascii="Arial" w:cs="Arial" w:eastAsia="Arial" w:hAnsi="Arial"/>
          <w:sz w:val="17"/>
          <w:szCs w:val="17"/>
          <w:b w:val="1"/>
          <w:bCs w:val="1"/>
          <w:color w:val="auto"/>
        </w:rPr>
      </w:pPr>
    </w:p>
    <w:p>
      <w:pPr>
        <w:ind w:left="1260" w:hanging="273"/>
        <w:spacing w:after="0"/>
        <w:tabs>
          <w:tab w:leader="none" w:pos="1260" w:val="left"/>
        </w:tabs>
        <w:numPr>
          <w:ilvl w:val="1"/>
          <w:numId w:val="338"/>
        </w:numPr>
        <w:rPr>
          <w:rFonts w:ascii="Arial" w:cs="Arial" w:eastAsia="Arial" w:hAnsi="Arial"/>
          <w:sz w:val="16"/>
          <w:szCs w:val="16"/>
          <w:b w:val="1"/>
          <w:bCs w:val="1"/>
          <w:color w:val="auto"/>
        </w:rPr>
      </w:pPr>
      <w:r>
        <w:rPr>
          <w:rFonts w:ascii="Arial" w:cs="Arial" w:eastAsia="Arial" w:hAnsi="Arial"/>
          <w:sz w:val="16"/>
          <w:szCs w:val="16"/>
          <w:color w:val="auto"/>
        </w:rPr>
        <w:t>Section 9(e) regarding the Company’s retained rights to terminate your Continuous Service notwithstanding the grant of the Option;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03" w:lineRule="exact"/>
        <w:rPr>
          <w:sz w:val="20"/>
          <w:szCs w:val="20"/>
          <w:color w:val="auto"/>
        </w:rPr>
      </w:pPr>
    </w:p>
    <w:p>
      <w:pPr>
        <w:ind w:left="1240" w:hanging="253"/>
        <w:spacing w:after="0"/>
        <w:tabs>
          <w:tab w:leader="none" w:pos="1240" w:val="left"/>
        </w:tabs>
        <w:numPr>
          <w:ilvl w:val="0"/>
          <w:numId w:val="339"/>
        </w:numPr>
        <w:rPr>
          <w:rFonts w:ascii="Arial" w:cs="Arial" w:eastAsia="Arial" w:hAnsi="Arial"/>
          <w:sz w:val="18"/>
          <w:szCs w:val="18"/>
          <w:b w:val="1"/>
          <w:bCs w:val="1"/>
          <w:color w:val="auto"/>
        </w:rPr>
      </w:pPr>
      <w:r>
        <w:rPr>
          <w:rFonts w:ascii="Arial" w:cs="Arial" w:eastAsia="Arial" w:hAnsi="Arial"/>
          <w:sz w:val="18"/>
          <w:szCs w:val="18"/>
          <w:color w:val="auto"/>
        </w:rPr>
        <w:t>Section 8 regarding the tax consequences of your Option.</w:t>
      </w:r>
    </w:p>
    <w:p>
      <w:pPr>
        <w:spacing w:after="0" w:line="22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Your Option is further subject to all interpretations, amendments, rules and regulations, which may from time to time be promulgated and adopted pursuant to the Plan. In the event of any conflict between the Option Agreement and the provisions of the Plan, the provisions of the Plan shall control.</w:t>
      </w:r>
    </w:p>
    <w:p>
      <w:pPr>
        <w:spacing w:after="0" w:line="120" w:lineRule="exact"/>
        <w:rPr>
          <w:sz w:val="20"/>
          <w:szCs w:val="20"/>
          <w:color w:val="auto"/>
        </w:rPr>
      </w:pPr>
    </w:p>
    <w:p>
      <w:pPr>
        <w:ind w:left="620" w:hanging="184"/>
        <w:spacing w:after="0"/>
        <w:tabs>
          <w:tab w:leader="none" w:pos="620"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436"/>
        <w:spacing w:after="0" w:line="259" w:lineRule="auto"/>
        <w:tabs>
          <w:tab w:leader="none" w:pos="695" w:val="left"/>
        </w:tabs>
        <w:numPr>
          <w:ilvl w:val="0"/>
          <w:numId w:val="341"/>
        </w:numPr>
        <w:rPr>
          <w:rFonts w:ascii="Arial" w:cs="Arial" w:eastAsia="Arial" w:hAnsi="Arial"/>
          <w:sz w:val="18"/>
          <w:szCs w:val="18"/>
          <w:b w:val="1"/>
          <w:bCs w:val="1"/>
          <w:color w:val="auto"/>
        </w:rPr>
      </w:pPr>
      <w:r>
        <w:rPr>
          <w:rFonts w:ascii="Arial" w:cs="Arial" w:eastAsia="Arial" w:hAnsi="Arial"/>
          <w:sz w:val="18"/>
          <w:szCs w:val="18"/>
          <w:color w:val="auto"/>
        </w:rPr>
        <w:t>You may generally exercise the vested portion of your Option for whole shares of Common Stock at any time during its term by delivery of payment of the exercise price and applicable withholding taxes and other required documentation to the Plan Administrator in accordance with the exercise procedures established by the Plan Administrator, which may include an electronic submission. Please review Sections 4(i), 4(j) and 7(b)(v) of the Plan, which may restrict or prohibit your ability to exercise your Option during certain periods.</w:t>
      </w:r>
    </w:p>
    <w:p>
      <w:pPr>
        <w:spacing w:after="0" w:line="78" w:lineRule="exact"/>
        <w:rPr>
          <w:rFonts w:ascii="Arial" w:cs="Arial" w:eastAsia="Arial" w:hAnsi="Arial"/>
          <w:sz w:val="18"/>
          <w:szCs w:val="18"/>
          <w:b w:val="1"/>
          <w:bCs w:val="1"/>
          <w:color w:val="auto"/>
        </w:rPr>
      </w:pPr>
    </w:p>
    <w:p>
      <w:pPr>
        <w:ind w:left="700" w:hanging="264"/>
        <w:spacing w:after="0"/>
        <w:tabs>
          <w:tab w:leader="none" w:pos="700" w:val="left"/>
        </w:tabs>
        <w:numPr>
          <w:ilvl w:val="0"/>
          <w:numId w:val="341"/>
        </w:numPr>
        <w:rPr>
          <w:rFonts w:ascii="Arial" w:cs="Arial" w:eastAsia="Arial" w:hAnsi="Arial"/>
          <w:sz w:val="18"/>
          <w:szCs w:val="18"/>
          <w:b w:val="1"/>
          <w:bCs w:val="1"/>
          <w:color w:val="auto"/>
        </w:rPr>
      </w:pPr>
      <w:r>
        <w:rPr>
          <w:rFonts w:ascii="Arial" w:cs="Arial" w:eastAsia="Arial" w:hAnsi="Arial"/>
          <w:sz w:val="18"/>
          <w:szCs w:val="18"/>
          <w:color w:val="auto"/>
        </w:rPr>
        <w:t>To the extent permitted by Applicable Law, you may pay your Option exercise price as follows:</w:t>
      </w:r>
    </w:p>
    <w:p>
      <w:pPr>
        <w:spacing w:after="0" w:line="117" w:lineRule="exact"/>
        <w:rPr>
          <w:rFonts w:ascii="Arial" w:cs="Arial" w:eastAsia="Arial" w:hAnsi="Arial"/>
          <w:sz w:val="18"/>
          <w:szCs w:val="18"/>
          <w:b w:val="1"/>
          <w:bCs w:val="1"/>
          <w:color w:val="auto"/>
        </w:rPr>
      </w:pPr>
    </w:p>
    <w:p>
      <w:pPr>
        <w:ind w:left="1200" w:hanging="213"/>
        <w:spacing w:after="0"/>
        <w:tabs>
          <w:tab w:leader="none" w:pos="1200" w:val="left"/>
        </w:tabs>
        <w:numPr>
          <w:ilvl w:val="1"/>
          <w:numId w:val="341"/>
        </w:numPr>
        <w:rPr>
          <w:rFonts w:ascii="Arial" w:cs="Arial" w:eastAsia="Arial" w:hAnsi="Arial"/>
          <w:sz w:val="18"/>
          <w:szCs w:val="18"/>
          <w:b w:val="1"/>
          <w:bCs w:val="1"/>
          <w:color w:val="auto"/>
        </w:rPr>
      </w:pPr>
      <w:r>
        <w:rPr>
          <w:rFonts w:ascii="Arial" w:cs="Arial" w:eastAsia="Arial" w:hAnsi="Arial"/>
          <w:sz w:val="18"/>
          <w:szCs w:val="18"/>
          <w:color w:val="auto"/>
        </w:rPr>
        <w:t>cash, check, bank draft or money order;</w:t>
      </w:r>
    </w:p>
    <w:p>
      <w:pPr>
        <w:sectPr>
          <w:pgSz w:w="11900" w:h="16838" w:orient="portrait"/>
          <w:cols w:equalWidth="0" w:num="1">
            <w:col w:w="10980"/>
          </w:cols>
          <w:pgMar w:left="440" w:top="270" w:right="479" w:bottom="1440" w:gutter="0" w:footer="0" w:header="0"/>
        </w:sectPr>
      </w:pPr>
    </w:p>
    <w:bookmarkStart w:id="409" w:name="page410"/>
    <w:bookmarkEnd w:id="409"/>
    <w:p>
      <w:pPr>
        <w:ind w:right="100" w:firstLine="987"/>
        <w:spacing w:after="0" w:line="277" w:lineRule="auto"/>
        <w:tabs>
          <w:tab w:leader="none" w:pos="1256" w:val="left"/>
        </w:tabs>
        <w:numPr>
          <w:ilvl w:val="1"/>
          <w:numId w:val="34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Company and/or Committee consent at the time of exercise, pursuant to a “cashless exercise” program as further described in Section 4(c)(ii) of the Plan if at the time of exercise the Common Stock is publicly traded;</w:t>
      </w:r>
    </w:p>
    <w:p>
      <w:pPr>
        <w:spacing w:after="0" w:line="62" w:lineRule="exact"/>
        <w:rPr>
          <w:rFonts w:ascii="Arial" w:cs="Arial" w:eastAsia="Arial" w:hAnsi="Arial"/>
          <w:sz w:val="18"/>
          <w:szCs w:val="18"/>
          <w:b w:val="1"/>
          <w:bCs w:val="1"/>
          <w:color w:val="auto"/>
        </w:rPr>
      </w:pPr>
    </w:p>
    <w:p>
      <w:pPr>
        <w:ind w:right="140" w:firstLine="987"/>
        <w:spacing w:after="0" w:line="277" w:lineRule="auto"/>
        <w:tabs>
          <w:tab w:leader="none" w:pos="1306" w:val="left"/>
        </w:tabs>
        <w:numPr>
          <w:ilvl w:val="1"/>
          <w:numId w:val="342"/>
        </w:numPr>
        <w:rPr>
          <w:rFonts w:ascii="Arial" w:cs="Arial" w:eastAsia="Arial" w:hAnsi="Arial"/>
          <w:sz w:val="18"/>
          <w:szCs w:val="18"/>
          <w:b w:val="1"/>
          <w:bCs w:val="1"/>
          <w:color w:val="auto"/>
        </w:rPr>
      </w:pPr>
      <w:r>
        <w:rPr>
          <w:rFonts w:ascii="Arial" w:cs="Arial" w:eastAsia="Arial" w:hAnsi="Arial"/>
          <w:sz w:val="18"/>
          <w:szCs w:val="18"/>
          <w:color w:val="auto"/>
        </w:rPr>
        <w:t>subject to Company and/or Committee consent at the time of exercise, by delivery of previously owned shares of Common Stock as further described in Section 4(c)(iii) of the Plan; or</w:t>
      </w:r>
    </w:p>
    <w:p>
      <w:pPr>
        <w:spacing w:after="0" w:line="62" w:lineRule="exact"/>
        <w:rPr>
          <w:rFonts w:ascii="Arial" w:cs="Arial" w:eastAsia="Arial" w:hAnsi="Arial"/>
          <w:sz w:val="18"/>
          <w:szCs w:val="18"/>
          <w:b w:val="1"/>
          <w:bCs w:val="1"/>
          <w:color w:val="auto"/>
        </w:rPr>
      </w:pPr>
    </w:p>
    <w:p>
      <w:pPr>
        <w:ind w:right="600" w:firstLine="987"/>
        <w:spacing w:after="0" w:line="277" w:lineRule="auto"/>
        <w:tabs>
          <w:tab w:leader="none" w:pos="1296" w:val="left"/>
        </w:tabs>
        <w:numPr>
          <w:ilvl w:val="1"/>
          <w:numId w:val="342"/>
        </w:numPr>
        <w:rPr>
          <w:rFonts w:ascii="Arial" w:cs="Arial" w:eastAsia="Arial" w:hAnsi="Arial"/>
          <w:sz w:val="18"/>
          <w:szCs w:val="18"/>
          <w:b w:val="1"/>
          <w:bCs w:val="1"/>
          <w:color w:val="auto"/>
        </w:rPr>
      </w:pPr>
      <w:r>
        <w:rPr>
          <w:rFonts w:ascii="Arial" w:cs="Arial" w:eastAsia="Arial" w:hAnsi="Arial"/>
          <w:sz w:val="18"/>
          <w:szCs w:val="18"/>
          <w:color w:val="auto"/>
        </w:rPr>
        <w:t>subject to Company and/or Committee consent at the time of exercise, if the Option is a Nonstatutory Stock Option, by a “net exercise” arrangement as further described in Section 4(c)(iv) of the Plan.</w:t>
      </w:r>
    </w:p>
    <w:p>
      <w:pPr>
        <w:spacing w:after="0" w:line="62" w:lineRule="exact"/>
        <w:rPr>
          <w:rFonts w:ascii="Arial" w:cs="Arial" w:eastAsia="Arial" w:hAnsi="Arial"/>
          <w:sz w:val="18"/>
          <w:szCs w:val="18"/>
          <w:b w:val="1"/>
          <w:bCs w:val="1"/>
          <w:color w:val="auto"/>
        </w:rPr>
      </w:pPr>
    </w:p>
    <w:p>
      <w:pPr>
        <w:ind w:firstLine="436"/>
        <w:spacing w:after="0" w:line="269" w:lineRule="auto"/>
        <w:tabs>
          <w:tab w:leader="none" w:pos="685" w:val="left"/>
        </w:tabs>
        <w:numPr>
          <w:ilvl w:val="0"/>
          <w:numId w:val="343"/>
        </w:numPr>
        <w:rPr>
          <w:rFonts w:ascii="Arial" w:cs="Arial" w:eastAsia="Arial" w:hAnsi="Arial"/>
          <w:sz w:val="17"/>
          <w:szCs w:val="17"/>
          <w:b w:val="1"/>
          <w:bCs w:val="1"/>
          <w:color w:val="auto"/>
        </w:rPr>
      </w:pPr>
      <w:r>
        <w:rPr>
          <w:rFonts w:ascii="Arial" w:cs="Arial" w:eastAsia="Arial" w:hAnsi="Arial"/>
          <w:sz w:val="17"/>
          <w:szCs w:val="17"/>
          <w:color w:val="auto"/>
        </w:rPr>
        <w:t>By accepting your Option, you agree that you will not sell, dispose of, transfer, make any short sale of, grant any option for the purchase of, or enter into any hedging or similar transaction with the same economic effect as a sale with respect to any shares of Common Stock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Arial" w:cs="Arial" w:eastAsia="Arial" w:hAnsi="Arial"/>
          <w:sz w:val="17"/>
          <w:szCs w:val="17"/>
          <w:b w:val="1"/>
          <w:bCs w:val="1"/>
          <w:i w:val="1"/>
          <w:iCs w:val="1"/>
          <w:color w:val="auto"/>
        </w:rPr>
        <w:t>Lock-Up Period</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that nothing contained in this section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2(c). The underwriters of the Company’s stock are intended third party beneficiaries of this Section 2(c) and will have the right, power and authority to enforce the provisions hereof as though they were a party hereto.</w:t>
      </w:r>
    </w:p>
    <w:p>
      <w:pPr>
        <w:spacing w:after="0" w:line="178" w:lineRule="exact"/>
        <w:rPr>
          <w:sz w:val="20"/>
          <w:szCs w:val="20"/>
          <w:color w:val="auto"/>
        </w:rPr>
      </w:pPr>
    </w:p>
    <w:p>
      <w:pPr>
        <w:ind w:right="80" w:firstLine="436"/>
        <w:spacing w:after="0" w:line="282" w:lineRule="auto"/>
        <w:tabs>
          <w:tab w:leader="none" w:pos="620" w:val="left"/>
        </w:tabs>
        <w:numPr>
          <w:ilvl w:val="0"/>
          <w:numId w:val="344"/>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w:t>
      </w:r>
      <w:r>
        <w:rPr>
          <w:rFonts w:ascii="Arial" w:cs="Arial" w:eastAsia="Arial" w:hAnsi="Arial"/>
          <w:sz w:val="18"/>
          <w:szCs w:val="18"/>
          <w:b w:val="1"/>
          <w:bCs w:val="1"/>
          <w:color w:val="auto"/>
        </w:rPr>
        <w:t xml:space="preserve">. </w:t>
      </w:r>
      <w:r>
        <w:rPr>
          <w:rFonts w:ascii="Arial" w:cs="Arial" w:eastAsia="Arial" w:hAnsi="Arial"/>
          <w:sz w:val="18"/>
          <w:szCs w:val="18"/>
          <w:color w:val="auto"/>
        </w:rPr>
        <w:t>You may not exercise your Option before the commencement of its term or after its term expires. The term of your Option commences</w:t>
      </w:r>
      <w:r>
        <w:rPr>
          <w:rFonts w:ascii="Arial" w:cs="Arial" w:eastAsia="Arial" w:hAnsi="Arial"/>
          <w:sz w:val="18"/>
          <w:szCs w:val="18"/>
          <w:b w:val="1"/>
          <w:bCs w:val="1"/>
          <w:color w:val="auto"/>
        </w:rPr>
        <w:t xml:space="preserve"> </w:t>
      </w:r>
      <w:r>
        <w:rPr>
          <w:rFonts w:ascii="Arial" w:cs="Arial" w:eastAsia="Arial" w:hAnsi="Arial"/>
          <w:sz w:val="18"/>
          <w:szCs w:val="18"/>
          <w:color w:val="auto"/>
        </w:rPr>
        <w:t>on the Date of Grant and expires upon the earliest of the following:</w:t>
      </w:r>
    </w:p>
    <w:p>
      <w:pPr>
        <w:spacing w:after="0" w:line="57" w:lineRule="exact"/>
        <w:rPr>
          <w:rFonts w:ascii="Arial" w:cs="Arial" w:eastAsia="Arial" w:hAnsi="Arial"/>
          <w:sz w:val="18"/>
          <w:szCs w:val="18"/>
          <w:b w:val="1"/>
          <w:bCs w:val="1"/>
          <w:color w:val="auto"/>
        </w:rPr>
      </w:pPr>
    </w:p>
    <w:p>
      <w:pPr>
        <w:ind w:left="1240" w:hanging="253"/>
        <w:spacing w:after="0"/>
        <w:tabs>
          <w:tab w:leader="none" w:pos="1240" w:val="left"/>
        </w:tabs>
        <w:numPr>
          <w:ilvl w:val="1"/>
          <w:numId w:val="344"/>
        </w:numPr>
        <w:rPr>
          <w:rFonts w:ascii="Arial" w:cs="Arial" w:eastAsia="Arial" w:hAnsi="Arial"/>
          <w:sz w:val="18"/>
          <w:szCs w:val="18"/>
          <w:b w:val="1"/>
          <w:bCs w:val="1"/>
          <w:color w:val="auto"/>
        </w:rPr>
      </w:pPr>
      <w:r>
        <w:rPr>
          <w:rFonts w:ascii="Arial" w:cs="Arial" w:eastAsia="Arial" w:hAnsi="Arial"/>
          <w:sz w:val="18"/>
          <w:szCs w:val="18"/>
          <w:color w:val="auto"/>
        </w:rPr>
        <w:t>immediately upon the termination of your Continuous Service for Cause;</w:t>
      </w:r>
    </w:p>
    <w:p>
      <w:pPr>
        <w:spacing w:after="0" w:line="117" w:lineRule="exact"/>
        <w:rPr>
          <w:rFonts w:ascii="Arial" w:cs="Arial" w:eastAsia="Arial" w:hAnsi="Arial"/>
          <w:sz w:val="18"/>
          <w:szCs w:val="18"/>
          <w:b w:val="1"/>
          <w:bCs w:val="1"/>
          <w:color w:val="auto"/>
        </w:rPr>
      </w:pPr>
    </w:p>
    <w:p>
      <w:pPr>
        <w:ind w:left="1260" w:hanging="273"/>
        <w:spacing w:after="0"/>
        <w:tabs>
          <w:tab w:leader="none" w:pos="1260" w:val="left"/>
        </w:tabs>
        <w:numPr>
          <w:ilvl w:val="1"/>
          <w:numId w:val="344"/>
        </w:numPr>
        <w:rPr>
          <w:rFonts w:ascii="Arial" w:cs="Arial" w:eastAsia="Arial" w:hAnsi="Arial"/>
          <w:sz w:val="18"/>
          <w:szCs w:val="18"/>
          <w:b w:val="1"/>
          <w:bCs w:val="1"/>
          <w:color w:val="auto"/>
        </w:rPr>
      </w:pPr>
      <w:r>
        <w:rPr>
          <w:rFonts w:ascii="Arial" w:cs="Arial" w:eastAsia="Arial" w:hAnsi="Arial"/>
          <w:sz w:val="18"/>
          <w:szCs w:val="18"/>
          <w:color w:val="auto"/>
        </w:rPr>
        <w:t>three months after the termination of your Continuous Service for any reason other than Cause, Disability or death;</w:t>
      </w:r>
    </w:p>
    <w:p>
      <w:pPr>
        <w:spacing w:after="0" w:line="117" w:lineRule="exact"/>
        <w:rPr>
          <w:rFonts w:ascii="Arial" w:cs="Arial" w:eastAsia="Arial" w:hAnsi="Arial"/>
          <w:sz w:val="18"/>
          <w:szCs w:val="18"/>
          <w:b w:val="1"/>
          <w:bCs w:val="1"/>
          <w:color w:val="auto"/>
        </w:rPr>
      </w:pPr>
    </w:p>
    <w:p>
      <w:pPr>
        <w:ind w:left="1240" w:hanging="253"/>
        <w:spacing w:after="0"/>
        <w:tabs>
          <w:tab w:leader="none" w:pos="1240" w:val="left"/>
        </w:tabs>
        <w:numPr>
          <w:ilvl w:val="1"/>
          <w:numId w:val="344"/>
        </w:numPr>
        <w:rPr>
          <w:rFonts w:ascii="Arial" w:cs="Arial" w:eastAsia="Arial" w:hAnsi="Arial"/>
          <w:sz w:val="18"/>
          <w:szCs w:val="18"/>
          <w:b w:val="1"/>
          <w:bCs w:val="1"/>
          <w:color w:val="auto"/>
        </w:rPr>
      </w:pPr>
      <w:r>
        <w:rPr>
          <w:rFonts w:ascii="Arial" w:cs="Arial" w:eastAsia="Arial" w:hAnsi="Arial"/>
          <w:sz w:val="18"/>
          <w:szCs w:val="18"/>
          <w:color w:val="auto"/>
        </w:rPr>
        <w:t>12 months after the termination of your Continuous Service due to your Disability;</w:t>
      </w:r>
    </w:p>
    <w:p>
      <w:pPr>
        <w:spacing w:after="0" w:line="117" w:lineRule="exact"/>
        <w:rPr>
          <w:rFonts w:ascii="Arial" w:cs="Arial" w:eastAsia="Arial" w:hAnsi="Arial"/>
          <w:sz w:val="18"/>
          <w:szCs w:val="18"/>
          <w:b w:val="1"/>
          <w:bCs w:val="1"/>
          <w:color w:val="auto"/>
        </w:rPr>
      </w:pPr>
    </w:p>
    <w:p>
      <w:pPr>
        <w:ind w:left="1260" w:hanging="273"/>
        <w:spacing w:after="0"/>
        <w:tabs>
          <w:tab w:leader="none" w:pos="1260" w:val="left"/>
        </w:tabs>
        <w:numPr>
          <w:ilvl w:val="1"/>
          <w:numId w:val="344"/>
        </w:numPr>
        <w:rPr>
          <w:rFonts w:ascii="Arial" w:cs="Arial" w:eastAsia="Arial" w:hAnsi="Arial"/>
          <w:sz w:val="18"/>
          <w:szCs w:val="18"/>
          <w:b w:val="1"/>
          <w:bCs w:val="1"/>
          <w:color w:val="auto"/>
        </w:rPr>
      </w:pPr>
      <w:r>
        <w:rPr>
          <w:rFonts w:ascii="Arial" w:cs="Arial" w:eastAsia="Arial" w:hAnsi="Arial"/>
          <w:sz w:val="18"/>
          <w:szCs w:val="18"/>
          <w:color w:val="auto"/>
        </w:rPr>
        <w:t>18 months after your death if you die during your Continuous Service;</w:t>
      </w:r>
    </w:p>
    <w:p>
      <w:pPr>
        <w:spacing w:after="0" w:line="117" w:lineRule="exact"/>
        <w:rPr>
          <w:rFonts w:ascii="Arial" w:cs="Arial" w:eastAsia="Arial" w:hAnsi="Arial"/>
          <w:sz w:val="18"/>
          <w:szCs w:val="18"/>
          <w:b w:val="1"/>
          <w:bCs w:val="1"/>
          <w:color w:val="auto"/>
        </w:rPr>
      </w:pPr>
    </w:p>
    <w:p>
      <w:pPr>
        <w:ind w:left="1240" w:hanging="253"/>
        <w:spacing w:after="0"/>
        <w:tabs>
          <w:tab w:leader="none" w:pos="1240" w:val="left"/>
        </w:tabs>
        <w:numPr>
          <w:ilvl w:val="1"/>
          <w:numId w:val="344"/>
        </w:numPr>
        <w:rPr>
          <w:rFonts w:ascii="Arial" w:cs="Arial" w:eastAsia="Arial" w:hAnsi="Arial"/>
          <w:sz w:val="16"/>
          <w:szCs w:val="16"/>
          <w:b w:val="1"/>
          <w:bCs w:val="1"/>
          <w:color w:val="auto"/>
        </w:rPr>
      </w:pPr>
      <w:r>
        <w:rPr>
          <w:rFonts w:ascii="Arial" w:cs="Arial" w:eastAsia="Arial" w:hAnsi="Arial"/>
          <w:sz w:val="16"/>
          <w:szCs w:val="16"/>
          <w:color w:val="auto"/>
        </w:rPr>
        <w:t>immediately upon a Corporate Transaction if the Board has determined that the Option will terminate in connection with a Corporate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Transaction,</w:t>
      </w:r>
    </w:p>
    <w:p>
      <w:pPr>
        <w:spacing w:after="0" w:line="102" w:lineRule="exact"/>
        <w:rPr>
          <w:rFonts w:ascii="Arial" w:cs="Arial" w:eastAsia="Arial" w:hAnsi="Arial"/>
          <w:sz w:val="16"/>
          <w:szCs w:val="16"/>
          <w:b w:val="1"/>
          <w:bCs w:val="1"/>
          <w:color w:val="auto"/>
        </w:rPr>
      </w:pPr>
    </w:p>
    <w:p>
      <w:pPr>
        <w:ind w:left="1220" w:hanging="233"/>
        <w:spacing w:after="0"/>
        <w:tabs>
          <w:tab w:leader="none" w:pos="1220" w:val="left"/>
        </w:tabs>
        <w:numPr>
          <w:ilvl w:val="1"/>
          <w:numId w:val="344"/>
        </w:numPr>
        <w:rPr>
          <w:rFonts w:ascii="Arial" w:cs="Arial" w:eastAsia="Arial" w:hAnsi="Arial"/>
          <w:sz w:val="18"/>
          <w:szCs w:val="18"/>
          <w:b w:val="1"/>
          <w:bCs w:val="1"/>
          <w:color w:val="auto"/>
        </w:rPr>
      </w:pPr>
      <w:r>
        <w:rPr>
          <w:rFonts w:ascii="Arial" w:cs="Arial" w:eastAsia="Arial" w:hAnsi="Arial"/>
          <w:sz w:val="18"/>
          <w:szCs w:val="18"/>
          <w:color w:val="auto"/>
        </w:rPr>
        <w:t>the Expiration Date indicated in your Grant Notice; or</w:t>
      </w:r>
    </w:p>
    <w:p>
      <w:pPr>
        <w:sectPr>
          <w:pgSz w:w="11900" w:h="16838" w:orient="portrait"/>
          <w:cols w:equalWidth="0" w:num="1">
            <w:col w:w="10940"/>
          </w:cols>
          <w:pgMar w:left="440" w:top="274" w:right="519" w:bottom="1440" w:gutter="0" w:footer="0" w:header="0"/>
        </w:sectPr>
      </w:pPr>
    </w:p>
    <w:bookmarkStart w:id="410" w:name="page411"/>
    <w:bookmarkEnd w:id="410"/>
    <w:p>
      <w:pPr>
        <w:ind w:left="1240" w:hanging="253"/>
        <w:spacing w:after="0"/>
        <w:tabs>
          <w:tab w:leader="none" w:pos="1240" w:val="left"/>
        </w:tabs>
        <w:numPr>
          <w:ilvl w:val="0"/>
          <w:numId w:val="34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day before the 10th anniversary of the Date of Grant.</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Notwithstanding the foregoing, if you die during the period provided in Section 3(b) or 3(c) above, the term of your Option shall not expire until the earlier of (i) 18 months after your death, (ii) upon any termination of the Option in connection with a Corporate Transaction, (iii) the Expiration Date indicated in your Grant Notice, or (iv) the day before the tenth anniversary of the Date of Grant. Additionally, the Post-Termination Exercise Period of your Option may be extended as provided in Section 4(i) of the Plan.</w:t>
      </w:r>
    </w:p>
    <w:p>
      <w:pPr>
        <w:spacing w:after="0" w:line="79"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To obtain the federal income tax advantages associated with an Incentive Stock Option, the Code requires that at all times beginning on the date of grant of your Option and ending on the day three months before the date of your Option’s exercise, you must be an employee of the Company or an Affiliate, except in the event of your death or Disability. If the Company provides for the extended exercisability of your Option under certain circumstances for your benefit, your Option will not necessarily be treated as an Incentive Stock Option if you exercise your Option more than three months after the date your employment terminates.</w:t>
      </w:r>
    </w:p>
    <w:p>
      <w:pPr>
        <w:spacing w:after="0" w:line="76" w:lineRule="exact"/>
        <w:rPr>
          <w:sz w:val="20"/>
          <w:szCs w:val="20"/>
          <w:color w:val="auto"/>
        </w:rPr>
      </w:pPr>
    </w:p>
    <w:p>
      <w:pPr>
        <w:ind w:right="140" w:firstLine="436"/>
        <w:spacing w:after="0" w:line="270" w:lineRule="auto"/>
        <w:tabs>
          <w:tab w:leader="none" w:pos="620" w:val="left"/>
        </w:tabs>
        <w:numPr>
          <w:ilvl w:val="0"/>
          <w:numId w:val="346"/>
        </w:numPr>
        <w:rPr>
          <w:rFonts w:ascii="Arial" w:cs="Arial" w:eastAsia="Arial" w:hAnsi="Arial"/>
          <w:sz w:val="17"/>
          <w:szCs w:val="17"/>
          <w:b w:val="1"/>
          <w:bCs w:val="1"/>
          <w:color w:val="auto"/>
        </w:rPr>
      </w:pPr>
      <w:r>
        <w:rPr>
          <w:rFonts w:ascii="Arial" w:cs="Arial" w:eastAsia="Arial" w:hAnsi="Arial"/>
          <w:sz w:val="17"/>
          <w:szCs w:val="17"/>
          <w:b w:val="1"/>
          <w:bCs w:val="1"/>
          <w:color w:val="auto"/>
        </w:rPr>
        <w:t>W</w:t>
      </w:r>
      <w:r>
        <w:rPr>
          <w:rFonts w:ascii="Arial" w:cs="Arial" w:eastAsia="Arial" w:hAnsi="Arial"/>
          <w:sz w:val="13"/>
          <w:szCs w:val="13"/>
          <w:b w:val="1"/>
          <w:bCs w:val="1"/>
          <w:color w:val="auto"/>
        </w:rPr>
        <w:t>ITHHOLDING</w:t>
      </w:r>
      <w:r>
        <w:rPr>
          <w:rFonts w:ascii="Arial" w:cs="Arial" w:eastAsia="Arial" w:hAnsi="Arial"/>
          <w:sz w:val="17"/>
          <w:szCs w:val="17"/>
          <w:b w:val="1"/>
          <w:bCs w:val="1"/>
          <w:color w:val="auto"/>
        </w:rPr>
        <w:t xml:space="preserve"> O</w:t>
      </w:r>
      <w:r>
        <w:rPr>
          <w:rFonts w:ascii="Arial" w:cs="Arial" w:eastAsia="Arial" w:hAnsi="Arial"/>
          <w:sz w:val="13"/>
          <w:szCs w:val="13"/>
          <w:b w:val="1"/>
          <w:bCs w:val="1"/>
          <w:color w:val="auto"/>
        </w:rPr>
        <w:t>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As further provided in Section 8 of the Plan: (a) you may not exercise your Option unless the applicable tax</w:t>
      </w:r>
      <w:r>
        <w:rPr>
          <w:rFonts w:ascii="Arial" w:cs="Arial" w:eastAsia="Arial" w:hAnsi="Arial"/>
          <w:sz w:val="17"/>
          <w:szCs w:val="17"/>
          <w:b w:val="1"/>
          <w:bCs w:val="1"/>
          <w:color w:val="auto"/>
        </w:rPr>
        <w:t xml:space="preserve"> </w:t>
      </w:r>
      <w:r>
        <w:rPr>
          <w:rFonts w:ascii="Arial" w:cs="Arial" w:eastAsia="Arial" w:hAnsi="Arial"/>
          <w:sz w:val="17"/>
          <w:szCs w:val="17"/>
          <w:color w:val="auto"/>
        </w:rPr>
        <w:t>withholding obligations are satisfied, and (b) 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if any, which arise in connection with the exercise of your Option in accordance with the withholding procedures established by the Company. Accordingly, you may not be able to exercise your Option even though the Option is vested, and the Company shall have no obligation to issue shares of Common Stock subject to your Option, unless and until such obligations are satisfied. In the event that the amount of the Company’s withholding obligation in connection with your Option was greater than the amount actually withheld by the Company, you agree to indemnify and hold the Company harmless from any failure by the Company to withhold the proper amount.</w:t>
      </w:r>
    </w:p>
    <w:p>
      <w:pPr>
        <w:spacing w:after="0" w:line="68" w:lineRule="exact"/>
        <w:rPr>
          <w:rFonts w:ascii="Arial" w:cs="Arial" w:eastAsia="Arial" w:hAnsi="Arial"/>
          <w:sz w:val="17"/>
          <w:szCs w:val="17"/>
          <w:b w:val="1"/>
          <w:bCs w:val="1"/>
          <w:color w:val="auto"/>
        </w:rPr>
      </w:pPr>
    </w:p>
    <w:p>
      <w:pPr>
        <w:ind w:firstLine="436"/>
        <w:spacing w:after="0" w:line="289" w:lineRule="auto"/>
        <w:tabs>
          <w:tab w:leader="none" w:pos="620" w:val="left"/>
        </w:tabs>
        <w:numPr>
          <w:ilvl w:val="0"/>
          <w:numId w:val="346"/>
        </w:numPr>
        <w:rPr>
          <w:rFonts w:ascii="Arial" w:cs="Arial" w:eastAsia="Arial" w:hAnsi="Arial"/>
          <w:sz w:val="17"/>
          <w:szCs w:val="17"/>
          <w:b w:val="1"/>
          <w:bCs w:val="1"/>
          <w:color w:val="auto"/>
        </w:rPr>
      </w:pPr>
      <w:r>
        <w:rPr>
          <w:rFonts w:ascii="Arial" w:cs="Arial" w:eastAsia="Arial" w:hAnsi="Arial"/>
          <w:sz w:val="17"/>
          <w:szCs w:val="17"/>
          <w:b w:val="1"/>
          <w:bCs w:val="1"/>
          <w:color w:val="auto"/>
        </w:rPr>
        <w:t>I</w:t>
      </w:r>
      <w:r>
        <w:rPr>
          <w:rFonts w:ascii="Arial" w:cs="Arial" w:eastAsia="Arial" w:hAnsi="Arial"/>
          <w:sz w:val="13"/>
          <w:szCs w:val="13"/>
          <w:b w:val="1"/>
          <w:bCs w:val="1"/>
          <w:color w:val="auto"/>
        </w:rPr>
        <w:t>NCENTIVE</w:t>
      </w:r>
      <w:r>
        <w:rPr>
          <w:rFonts w:ascii="Arial" w:cs="Arial" w:eastAsia="Arial" w:hAnsi="Arial"/>
          <w:sz w:val="17"/>
          <w:szCs w:val="17"/>
          <w:b w:val="1"/>
          <w:bCs w:val="1"/>
          <w:color w:val="auto"/>
        </w:rPr>
        <w:t xml:space="preserve"> S</w:t>
      </w:r>
      <w:r>
        <w:rPr>
          <w:rFonts w:ascii="Arial" w:cs="Arial" w:eastAsia="Arial" w:hAnsi="Arial"/>
          <w:sz w:val="13"/>
          <w:szCs w:val="13"/>
          <w:b w:val="1"/>
          <w:bCs w:val="1"/>
          <w:color w:val="auto"/>
        </w:rPr>
        <w:t>TOCK</w:t>
      </w:r>
      <w:r>
        <w:rPr>
          <w:rFonts w:ascii="Arial" w:cs="Arial" w:eastAsia="Arial" w:hAnsi="Arial"/>
          <w:sz w:val="17"/>
          <w:szCs w:val="17"/>
          <w:b w:val="1"/>
          <w:bCs w:val="1"/>
          <w:color w:val="auto"/>
        </w:rPr>
        <w:t xml:space="preserve"> O</w:t>
      </w:r>
      <w:r>
        <w:rPr>
          <w:rFonts w:ascii="Arial" w:cs="Arial" w:eastAsia="Arial" w:hAnsi="Arial"/>
          <w:sz w:val="13"/>
          <w:szCs w:val="13"/>
          <w:b w:val="1"/>
          <w:bCs w:val="1"/>
          <w:color w:val="auto"/>
        </w:rPr>
        <w:t>PTION</w:t>
      </w:r>
      <w:r>
        <w:rPr>
          <w:rFonts w:ascii="Arial" w:cs="Arial" w:eastAsia="Arial" w:hAnsi="Arial"/>
          <w:sz w:val="17"/>
          <w:szCs w:val="17"/>
          <w:b w:val="1"/>
          <w:bCs w:val="1"/>
          <w:color w:val="auto"/>
        </w:rPr>
        <w:t xml:space="preserve"> D</w:t>
      </w:r>
      <w:r>
        <w:rPr>
          <w:rFonts w:ascii="Arial" w:cs="Arial" w:eastAsia="Arial" w:hAnsi="Arial"/>
          <w:sz w:val="13"/>
          <w:szCs w:val="13"/>
          <w:b w:val="1"/>
          <w:bCs w:val="1"/>
          <w:color w:val="auto"/>
        </w:rPr>
        <w:t>ISPOSITION</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EQUIREMENT</w:t>
      </w:r>
      <w:r>
        <w:rPr>
          <w:rFonts w:ascii="Arial" w:cs="Arial" w:eastAsia="Arial" w:hAnsi="Arial"/>
          <w:sz w:val="17"/>
          <w:szCs w:val="17"/>
          <w:b w:val="1"/>
          <w:bCs w:val="1"/>
          <w:color w:val="auto"/>
        </w:rPr>
        <w:t xml:space="preserve">. </w:t>
      </w:r>
      <w:r>
        <w:rPr>
          <w:rFonts w:ascii="Arial" w:cs="Arial" w:eastAsia="Arial" w:hAnsi="Arial"/>
          <w:sz w:val="17"/>
          <w:szCs w:val="17"/>
          <w:color w:val="auto"/>
        </w:rPr>
        <w:t>If your Option is an Incentive Stock Option, you must notify the Company in</w:t>
      </w:r>
      <w:r>
        <w:rPr>
          <w:rFonts w:ascii="Arial" w:cs="Arial" w:eastAsia="Arial" w:hAnsi="Arial"/>
          <w:sz w:val="17"/>
          <w:szCs w:val="17"/>
          <w:b w:val="1"/>
          <w:bCs w:val="1"/>
          <w:color w:val="auto"/>
        </w:rPr>
        <w:t xml:space="preserve"> </w:t>
      </w:r>
      <w:r>
        <w:rPr>
          <w:rFonts w:ascii="Arial" w:cs="Arial" w:eastAsia="Arial" w:hAnsi="Arial"/>
          <w:sz w:val="17"/>
          <w:szCs w:val="17"/>
          <w:color w:val="auto"/>
        </w:rPr>
        <w:t>writing within 15 days after the date of any disposition of any of the shares of the Common Stock issued upon exercise of your Option that occurs within two years after the date of your Option grant or within one year after such shares of Common Stock are transferred upon exercise of your Option.</w:t>
      </w:r>
    </w:p>
    <w:p>
      <w:pPr>
        <w:spacing w:after="0" w:line="49" w:lineRule="exact"/>
        <w:rPr>
          <w:rFonts w:ascii="Arial" w:cs="Arial" w:eastAsia="Arial" w:hAnsi="Arial"/>
          <w:sz w:val="17"/>
          <w:szCs w:val="17"/>
          <w:b w:val="1"/>
          <w:bCs w:val="1"/>
          <w:color w:val="auto"/>
        </w:rPr>
      </w:pPr>
    </w:p>
    <w:p>
      <w:pPr>
        <w:ind w:right="680" w:firstLine="436"/>
        <w:spacing w:after="0" w:line="282" w:lineRule="auto"/>
        <w:tabs>
          <w:tab w:leader="none" w:pos="620"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RANSFERABILITY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in Section 4(e) of the Plan, your Option is not transferable, except by will or by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laws of descent and distribution, and is exercisable during your life only by you.</w:t>
      </w:r>
    </w:p>
    <w:p>
      <w:pPr>
        <w:spacing w:after="0" w:line="53" w:lineRule="exact"/>
        <w:rPr>
          <w:rFonts w:ascii="Arial" w:cs="Arial" w:eastAsia="Arial" w:hAnsi="Arial"/>
          <w:sz w:val="18"/>
          <w:szCs w:val="18"/>
          <w:b w:val="1"/>
          <w:bCs w:val="1"/>
          <w:color w:val="auto"/>
        </w:rPr>
      </w:pPr>
    </w:p>
    <w:p>
      <w:pPr>
        <w:ind w:right="20" w:firstLine="436"/>
        <w:spacing w:after="0" w:line="266" w:lineRule="auto"/>
        <w:tabs>
          <w:tab w:leader="none" w:pos="620"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Your Option is subject to the terms of any agreement governing a Corporate Transaction involving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without limitation, a provision for the appointment of a stockholder representative that is authorized to act on your behalf with respect to any escrow, indemnities and any contingent consideration.</w:t>
      </w:r>
    </w:p>
    <w:p>
      <w:pPr>
        <w:sectPr>
          <w:pgSz w:w="11900" w:h="16838" w:orient="portrait"/>
          <w:cols w:equalWidth="0" w:num="1">
            <w:col w:w="11000"/>
          </w:cols>
          <w:pgMar w:left="440" w:top="274" w:right="459" w:bottom="1440" w:gutter="0" w:footer="0" w:header="0"/>
        </w:sectPr>
      </w:pPr>
    </w:p>
    <w:bookmarkStart w:id="411" w:name="page412"/>
    <w:bookmarkEnd w:id="411"/>
    <w:p>
      <w:pPr>
        <w:ind w:left="-436" w:firstLine="436"/>
        <w:spacing w:after="0" w:line="291" w:lineRule="auto"/>
        <w:tabs>
          <w:tab w:leader="none" w:pos="184" w:val="left"/>
        </w:tabs>
        <w:numPr>
          <w:ilvl w:val="0"/>
          <w:numId w:val="347"/>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w:t>
      </w:r>
      <w:r>
        <w:rPr>
          <w:rFonts w:ascii="Arial" w:cs="Arial" w:eastAsia="Arial" w:hAnsi="Arial"/>
          <w:sz w:val="12"/>
          <w:szCs w:val="12"/>
          <w:b w:val="1"/>
          <w:bCs w:val="1"/>
          <w:color w:val="auto"/>
        </w:rPr>
        <w:t>O</w:t>
      </w:r>
      <w:r>
        <w:rPr>
          <w:rFonts w:ascii="Arial" w:cs="Arial" w:eastAsia="Arial" w:hAnsi="Arial"/>
          <w:sz w:val="16"/>
          <w:szCs w:val="16"/>
          <w:b w:val="1"/>
          <w:bCs w:val="1"/>
          <w:color w:val="auto"/>
        </w:rPr>
        <w:t xml:space="preserve"> L</w:t>
      </w:r>
      <w:r>
        <w:rPr>
          <w:rFonts w:ascii="Arial" w:cs="Arial" w:eastAsia="Arial" w:hAnsi="Arial"/>
          <w:sz w:val="12"/>
          <w:szCs w:val="12"/>
          <w:b w:val="1"/>
          <w:bCs w:val="1"/>
          <w:color w:val="auto"/>
        </w:rPr>
        <w:t>IABILITY FOR</w:t>
      </w:r>
      <w:r>
        <w:rPr>
          <w:rFonts w:ascii="Arial" w:cs="Arial" w:eastAsia="Arial" w:hAnsi="Arial"/>
          <w:sz w:val="16"/>
          <w:szCs w:val="16"/>
          <w:b w:val="1"/>
          <w:bCs w:val="1"/>
          <w:color w:val="auto"/>
        </w:rPr>
        <w:t xml:space="preserve"> T</w:t>
      </w:r>
      <w:r>
        <w:rPr>
          <w:rFonts w:ascii="Arial" w:cs="Arial" w:eastAsia="Arial" w:hAnsi="Arial"/>
          <w:sz w:val="12"/>
          <w:szCs w:val="12"/>
          <w:b w:val="1"/>
          <w:bCs w:val="1"/>
          <w:color w:val="auto"/>
        </w:rPr>
        <w:t>AXES</w:t>
      </w:r>
      <w:r>
        <w:rPr>
          <w:rFonts w:ascii="Arial" w:cs="Arial" w:eastAsia="Arial" w:hAnsi="Arial"/>
          <w:sz w:val="16"/>
          <w:szCs w:val="16"/>
          <w:b w:val="1"/>
          <w:bCs w:val="1"/>
          <w:color w:val="auto"/>
        </w:rPr>
        <w:t xml:space="preserve">. </w:t>
      </w:r>
      <w:r>
        <w:rPr>
          <w:rFonts w:ascii="Arial" w:cs="Arial" w:eastAsia="Arial" w:hAnsi="Arial"/>
          <w:sz w:val="16"/>
          <w:szCs w:val="16"/>
          <w:color w:val="auto"/>
        </w:rPr>
        <w:t>As a condition to accepting the Option, you hereby (a) agree to not make any claim against the Company,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of its Officers, Directors, Employees or Affiliates related to tax liabilities arising from the Option or other Company compensation and (b) acknowledge that you were advised to consult with your own personal tax, financial and other legal advisors regarding the tax consequences of the Option and have either done so or knowingly and voluntarily declined to do so. Additionally, you acknowledge that the Option is exempt from Section 409A only if the exercise price is at least equal to the “fair market value” of the Common Stock on the date of grant as determined by the Internal Revenue Service and there is no other impermissible deferral of compensation associated with the Option. Additionally, as a condition to accepting the Option, you agree not make any claim against the Company, or any of its Officers, Directors, Employees or Affiliates in the event that the Internal Revenue Service asserts that such exercise is less than the “fair market value” of the Common Stock on the date of grant as subsequently determined by the Internal Revenue Service.</w:t>
      </w:r>
    </w:p>
    <w:p>
      <w:pPr>
        <w:spacing w:after="0" w:line="51" w:lineRule="exact"/>
        <w:rPr>
          <w:rFonts w:ascii="Arial" w:cs="Arial" w:eastAsia="Arial" w:hAnsi="Arial"/>
          <w:sz w:val="16"/>
          <w:szCs w:val="16"/>
          <w:b w:val="1"/>
          <w:bCs w:val="1"/>
          <w:color w:val="auto"/>
        </w:rPr>
      </w:pPr>
    </w:p>
    <w:p>
      <w:pPr>
        <w:jc w:val="both"/>
        <w:ind w:left="-436" w:right="80" w:firstLine="436"/>
        <w:spacing w:after="0" w:line="281" w:lineRule="auto"/>
        <w:tabs>
          <w:tab w:leader="none" w:pos="184" w:val="left"/>
        </w:tabs>
        <w:numPr>
          <w:ilvl w:val="0"/>
          <w:numId w:val="347"/>
        </w:numPr>
        <w:rPr>
          <w:rFonts w:ascii="Arial" w:cs="Arial" w:eastAsia="Arial" w:hAnsi="Arial"/>
          <w:sz w:val="17"/>
          <w:szCs w:val="17"/>
          <w:b w:val="1"/>
          <w:bCs w:val="1"/>
          <w:color w:val="auto"/>
        </w:rPr>
      </w:pPr>
      <w:r>
        <w:rPr>
          <w:rFonts w:ascii="Arial" w:cs="Arial" w:eastAsia="Arial" w:hAnsi="Arial"/>
          <w:sz w:val="17"/>
          <w:szCs w:val="17"/>
          <w:b w:val="1"/>
          <w:bCs w:val="1"/>
          <w:color w:val="auto"/>
        </w:rPr>
        <w:t>S</w:t>
      </w:r>
      <w:r>
        <w:rPr>
          <w:rFonts w:ascii="Arial" w:cs="Arial" w:eastAsia="Arial" w:hAnsi="Arial"/>
          <w:sz w:val="13"/>
          <w:szCs w:val="13"/>
          <w:b w:val="1"/>
          <w:bCs w:val="1"/>
          <w:color w:val="auto"/>
        </w:rPr>
        <w:t>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any part of this Option Agreement or the Plan is declared by any court or governmental authority to be unlawful or invalid,</w:t>
      </w:r>
      <w:r>
        <w:rPr>
          <w:rFonts w:ascii="Arial" w:cs="Arial" w:eastAsia="Arial" w:hAnsi="Arial"/>
          <w:sz w:val="17"/>
          <w:szCs w:val="17"/>
          <w:b w:val="1"/>
          <w:bCs w:val="1"/>
          <w:color w:val="auto"/>
        </w:rPr>
        <w:t xml:space="preserve"> </w:t>
      </w:r>
      <w:r>
        <w:rPr>
          <w:rFonts w:ascii="Arial" w:cs="Arial" w:eastAsia="Arial" w:hAnsi="Arial"/>
          <w:sz w:val="17"/>
          <w:szCs w:val="17"/>
          <w:color w:val="auto"/>
        </w:rPr>
        <w:t>such unlawfulness or invalidity will not invalidate any portion of this Option Agreement or the Plan not declared to be unlawful or invalid. Any Section of this Option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56" w:lineRule="exact"/>
        <w:rPr>
          <w:rFonts w:ascii="Arial" w:cs="Arial" w:eastAsia="Arial" w:hAnsi="Arial"/>
          <w:sz w:val="17"/>
          <w:szCs w:val="17"/>
          <w:b w:val="1"/>
          <w:bCs w:val="1"/>
          <w:color w:val="auto"/>
        </w:rPr>
      </w:pPr>
    </w:p>
    <w:p>
      <w:pPr>
        <w:ind w:left="-436" w:right="80" w:firstLine="436"/>
        <w:spacing w:after="0" w:line="347" w:lineRule="auto"/>
        <w:tabs>
          <w:tab w:leader="none" w:pos="274" w:val="left"/>
        </w:tabs>
        <w:numPr>
          <w:ilvl w:val="0"/>
          <w:numId w:val="347"/>
        </w:numPr>
        <w:rPr>
          <w:rFonts w:ascii="Arial" w:cs="Arial" w:eastAsia="Arial" w:hAnsi="Arial"/>
          <w:sz w:val="16"/>
          <w:szCs w:val="16"/>
          <w:b w:val="1"/>
          <w:bCs w:val="1"/>
          <w:color w:val="auto"/>
        </w:rPr>
      </w:pPr>
      <w:r>
        <w:rPr>
          <w:rFonts w:ascii="Arial" w:cs="Arial" w:eastAsia="Arial" w:hAnsi="Arial"/>
          <w:sz w:val="16"/>
          <w:szCs w:val="16"/>
          <w:b w:val="1"/>
          <w:bCs w:val="1"/>
          <w:color w:val="auto"/>
        </w:rPr>
        <w:t>O</w:t>
      </w:r>
      <w:r>
        <w:rPr>
          <w:rFonts w:ascii="Arial" w:cs="Arial" w:eastAsia="Arial" w:hAnsi="Arial"/>
          <w:sz w:val="12"/>
          <w:szCs w:val="12"/>
          <w:b w:val="1"/>
          <w:bCs w:val="1"/>
          <w:color w:val="auto"/>
        </w:rPr>
        <w:t>THER</w:t>
      </w:r>
      <w:r>
        <w:rPr>
          <w:rFonts w:ascii="Arial" w:cs="Arial" w:eastAsia="Arial" w:hAnsi="Arial"/>
          <w:sz w:val="16"/>
          <w:szCs w:val="16"/>
          <w:b w:val="1"/>
          <w:bCs w:val="1"/>
          <w:color w:val="auto"/>
        </w:rPr>
        <w:t xml:space="preserve"> D</w:t>
      </w:r>
      <w:r>
        <w:rPr>
          <w:rFonts w:ascii="Arial" w:cs="Arial" w:eastAsia="Arial" w:hAnsi="Arial"/>
          <w:sz w:val="12"/>
          <w:szCs w:val="12"/>
          <w:b w:val="1"/>
          <w:bCs w:val="1"/>
          <w:color w:val="auto"/>
        </w:rPr>
        <w:t>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You hereby acknowledge receipt of or the right to receive a document providing the information required by Rule</w:t>
      </w:r>
      <w:r>
        <w:rPr>
          <w:rFonts w:ascii="Arial" w:cs="Arial" w:eastAsia="Arial" w:hAnsi="Arial"/>
          <w:sz w:val="16"/>
          <w:szCs w:val="16"/>
          <w:b w:val="1"/>
          <w:bCs w:val="1"/>
          <w:color w:val="auto"/>
        </w:rPr>
        <w:t xml:space="preserve"> </w:t>
      </w:r>
      <w:r>
        <w:rPr>
          <w:rFonts w:ascii="Arial" w:cs="Arial" w:eastAsia="Arial" w:hAnsi="Arial"/>
          <w:sz w:val="16"/>
          <w:szCs w:val="16"/>
          <w:color w:val="auto"/>
        </w:rPr>
        <w:t>428(b)(1) promulgated under the Securities Act, which includes the Prospectus. In addition, you acknowledge receipt of the Company’s Trading Policy.</w:t>
      </w:r>
    </w:p>
    <w:p>
      <w:pPr>
        <w:spacing w:after="0" w:line="7" w:lineRule="exact"/>
        <w:rPr>
          <w:rFonts w:ascii="Arial" w:cs="Arial" w:eastAsia="Arial" w:hAnsi="Arial"/>
          <w:sz w:val="16"/>
          <w:szCs w:val="16"/>
          <w:b w:val="1"/>
          <w:bCs w:val="1"/>
          <w:color w:val="auto"/>
        </w:rPr>
      </w:pPr>
    </w:p>
    <w:p>
      <w:pPr>
        <w:ind w:left="-436" w:right="200" w:firstLine="436"/>
        <w:spacing w:after="0" w:line="282" w:lineRule="auto"/>
        <w:tabs>
          <w:tab w:leader="none" w:pos="264" w:val="left"/>
        </w:tabs>
        <w:numPr>
          <w:ilvl w:val="0"/>
          <w:numId w:val="347"/>
        </w:numPr>
        <w:rPr>
          <w:rFonts w:ascii="Arial" w:cs="Arial" w:eastAsia="Arial" w:hAnsi="Arial"/>
          <w:sz w:val="18"/>
          <w:szCs w:val="18"/>
          <w:b w:val="1"/>
          <w:bCs w:val="1"/>
          <w:color w:val="auto"/>
        </w:rPr>
      </w:pPr>
      <w:r>
        <w:rPr>
          <w:rFonts w:ascii="Arial" w:cs="Arial" w:eastAsia="Arial" w:hAnsi="Arial"/>
          <w:sz w:val="18"/>
          <w:szCs w:val="18"/>
          <w:b w:val="1"/>
          <w:bCs w:val="1"/>
          <w:color w:val="auto"/>
        </w:rPr>
        <w:t>Q</w:t>
      </w:r>
      <w:r>
        <w:rPr>
          <w:rFonts w:ascii="Arial" w:cs="Arial" w:eastAsia="Arial" w:hAnsi="Arial"/>
          <w:sz w:val="14"/>
          <w:szCs w:val="14"/>
          <w:b w:val="1"/>
          <w:bCs w:val="1"/>
          <w:color w:val="auto"/>
        </w:rPr>
        <w:t>UESTIONS</w:t>
      </w:r>
      <w:r>
        <w:rPr>
          <w:rFonts w:ascii="Arial" w:cs="Arial" w:eastAsia="Arial" w:hAnsi="Arial"/>
          <w:sz w:val="18"/>
          <w:szCs w:val="18"/>
          <w:b w:val="1"/>
          <w:bCs w:val="1"/>
          <w:color w:val="auto"/>
        </w:rPr>
        <w:t xml:space="preserve">. </w:t>
      </w:r>
      <w:r>
        <w:rPr>
          <w:rFonts w:ascii="Arial" w:cs="Arial" w:eastAsia="Arial" w:hAnsi="Arial"/>
          <w:sz w:val="18"/>
          <w:szCs w:val="18"/>
          <w:color w:val="auto"/>
        </w:rPr>
        <w:t>If you have questions regarding these or any other terms and conditions applicable to your Option, including a summary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federal income tax consequences please see the Prospectus.</w:t>
      </w:r>
    </w:p>
    <w:p>
      <w:pPr>
        <w:spacing w:after="0" w:line="161" w:lineRule="exact"/>
        <w:rPr>
          <w:rFonts w:ascii="Arial" w:cs="Arial" w:eastAsia="Arial" w:hAnsi="Arial"/>
          <w:sz w:val="18"/>
          <w:szCs w:val="18"/>
          <w:b w:val="1"/>
          <w:bCs w:val="1"/>
          <w:color w:val="auto"/>
        </w:rPr>
      </w:pPr>
    </w:p>
    <w:p>
      <w:pPr>
        <w:ind w:left="482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 * *</w:t>
      </w:r>
    </w:p>
    <w:p>
      <w:pPr>
        <w:sectPr>
          <w:pgSz w:w="11900" w:h="16838" w:orient="portrait"/>
          <w:cols w:equalWidth="0" w:num="1">
            <w:col w:w="10564"/>
          </w:cols>
          <w:pgMar w:left="876" w:top="270" w:right="459" w:bottom="1440" w:gutter="0" w:footer="0" w:header="0"/>
        </w:sectPr>
      </w:pPr>
    </w:p>
    <w:bookmarkStart w:id="412" w:name="page413"/>
    <w:bookmarkEnd w:id="41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t>
      </w:r>
      <w:r>
        <w:rPr>
          <w:rFonts w:ascii="Arial" w:cs="Arial" w:eastAsia="Arial" w:hAnsi="Arial"/>
          <w:sz w:val="14"/>
          <w:szCs w:val="14"/>
          <w:b w:val="1"/>
          <w:bCs w:val="1"/>
          <w:color w:val="auto"/>
        </w:rPr>
        <w:t>TTACHMENT</w:t>
      </w:r>
      <w:r>
        <w:rPr>
          <w:rFonts w:ascii="Arial" w:cs="Arial" w:eastAsia="Arial" w:hAnsi="Arial"/>
          <w:sz w:val="18"/>
          <w:szCs w:val="18"/>
          <w:b w:val="1"/>
          <w:bCs w:val="1"/>
          <w:color w:val="auto"/>
        </w:rPr>
        <w:t xml:space="preserv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ectPr>
          <w:pgSz w:w="11900" w:h="16838" w:orient="portrait"/>
          <w:cols w:equalWidth="0" w:num="1">
            <w:col w:w="9019"/>
          </w:cols>
          <w:pgMar w:left="1440" w:top="270" w:right="1440" w:bottom="1440" w:gutter="0" w:footer="0" w:header="0"/>
        </w:sectPr>
      </w:pPr>
    </w:p>
    <w:bookmarkStart w:id="413" w:name="page414"/>
    <w:bookmarkEnd w:id="41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t>
      </w:r>
      <w:r>
        <w:rPr>
          <w:rFonts w:ascii="Arial" w:cs="Arial" w:eastAsia="Arial" w:hAnsi="Arial"/>
          <w:sz w:val="14"/>
          <w:szCs w:val="14"/>
          <w:b w:val="1"/>
          <w:bCs w:val="1"/>
          <w:color w:val="auto"/>
        </w:rPr>
        <w:t>TTACHMENT</w:t>
      </w:r>
      <w:r>
        <w:rPr>
          <w:rFonts w:ascii="Arial" w:cs="Arial" w:eastAsia="Arial" w:hAnsi="Arial"/>
          <w:sz w:val="18"/>
          <w:szCs w:val="18"/>
          <w:b w:val="1"/>
          <w:bCs w:val="1"/>
          <w:color w:val="auto"/>
        </w:rPr>
        <w:t xml:space="preserve"> III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DAGIO</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XERCISE</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ectPr>
          <w:pgSz w:w="11900" w:h="16838" w:orient="portrait"/>
          <w:cols w:equalWidth="0" w:num="1">
            <w:col w:w="11020"/>
          </w:cols>
          <w:pgMar w:left="440" w:top="270" w:right="4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DAGIO</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303 W</w:t>
      </w:r>
      <w:r>
        <w:rPr>
          <w:rFonts w:ascii="Arial" w:cs="Arial" w:eastAsia="Arial" w:hAnsi="Arial"/>
          <w:sz w:val="13"/>
          <w:szCs w:val="13"/>
          <w:color w:val="auto"/>
        </w:rPr>
        <w:t>YMAN</w:t>
      </w:r>
      <w:r>
        <w:rPr>
          <w:rFonts w:ascii="Arial" w:cs="Arial" w:eastAsia="Arial" w:hAnsi="Arial"/>
          <w:sz w:val="17"/>
          <w:szCs w:val="17"/>
          <w:color w:val="auto"/>
        </w:rPr>
        <w:t xml:space="preserve"> S</w:t>
      </w:r>
      <w:r>
        <w:rPr>
          <w:rFonts w:ascii="Arial" w:cs="Arial" w:eastAsia="Arial" w:hAnsi="Arial"/>
          <w:sz w:val="13"/>
          <w:szCs w:val="13"/>
          <w:color w:val="auto"/>
        </w:rPr>
        <w:t>TREET</w:t>
      </w:r>
      <w:r>
        <w:rPr>
          <w:rFonts w:ascii="Arial" w:cs="Arial" w:eastAsia="Arial" w:hAnsi="Arial"/>
          <w:sz w:val="17"/>
          <w:szCs w:val="17"/>
          <w:color w:val="auto"/>
        </w:rPr>
        <w:t>, S</w:t>
      </w:r>
      <w:r>
        <w:rPr>
          <w:rFonts w:ascii="Arial" w:cs="Arial" w:eastAsia="Arial" w:hAnsi="Arial"/>
          <w:sz w:val="13"/>
          <w:szCs w:val="13"/>
          <w:color w:val="auto"/>
        </w:rPr>
        <w:t>UITE</w:t>
      </w:r>
      <w:r>
        <w:rPr>
          <w:rFonts w:ascii="Arial" w:cs="Arial" w:eastAsia="Arial" w:hAnsi="Arial"/>
          <w:sz w:val="17"/>
          <w:szCs w:val="17"/>
          <w:color w:val="auto"/>
        </w:rPr>
        <w:t xml:space="preserve"> 300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ALTHAM</w:t>
      </w:r>
      <w:r>
        <w:rPr>
          <w:rFonts w:ascii="Arial" w:cs="Arial" w:eastAsia="Arial" w:hAnsi="Arial"/>
          <w:sz w:val="18"/>
          <w:szCs w:val="18"/>
          <w:color w:val="auto"/>
        </w:rPr>
        <w:t>, MA 02451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Date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821055</wp:posOffset>
            </wp:positionH>
            <wp:positionV relativeFrom="paragraph">
              <wp:posOffset>3810</wp:posOffset>
            </wp:positionV>
            <wp:extent cx="91376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3">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237" w:lineRule="exact"/>
        <w:rPr>
          <w:sz w:val="20"/>
          <w:szCs w:val="20"/>
          <w:color w:val="auto"/>
        </w:rPr>
      </w:pPr>
    </w:p>
    <w:p>
      <w:pPr>
        <w:sectPr>
          <w:pgSz w:w="11900" w:h="16838" w:orient="portrait"/>
          <w:cols w:equalWidth="0" w:num="2">
            <w:col w:w="7560" w:space="720"/>
            <w:col w:w="2740"/>
          </w:cols>
          <w:pgMar w:left="440" w:top="270" w:right="439" w:bottom="1440" w:gutter="0" w:footer="0" w:header="0"/>
          <w:type w:val="continuous"/>
        </w:sectPr>
      </w:pPr>
    </w:p>
    <w:p>
      <w:pPr>
        <w:spacing w:after="0" w:line="11"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This constitutes notice to Adagio Therapeutics,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that I elect to purchase the below number of shares of Common Stock of the Company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by exercising my Option for the price set forth below. Capitalized terms not explicitly defined in this Notice of Exercise but defined in the Stock Option Grant Notice, Stock Option Agreement or 2021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shall have the meanings set forth in the Stock Option Grant Notice, Stock Option Agreement or Plan, as applicable. Use of certain payment methods is subject to Company and/or Committee consent and certain additional requirements set forth in the Stock Option Agreement and the Plan.</w:t>
      </w:r>
    </w:p>
    <w:p>
      <w:pPr>
        <w:spacing w:after="0" w:line="185" w:lineRule="exact"/>
        <w:rPr>
          <w:sz w:val="20"/>
          <w:szCs w:val="20"/>
          <w:color w:val="auto"/>
        </w:rPr>
      </w:pPr>
    </w:p>
    <w:p>
      <w:pPr>
        <w:spacing w:after="0" w:line="161" w:lineRule="exact"/>
        <w:tabs>
          <w:tab w:leader="none" w:pos="8340" w:val="left"/>
          <w:tab w:leader="none" w:pos="10020" w:val="left"/>
        </w:tabs>
        <w:rPr>
          <w:sz w:val="20"/>
          <w:szCs w:val="20"/>
          <w:color w:val="auto"/>
        </w:rPr>
      </w:pPr>
      <w:r>
        <w:rPr>
          <w:rFonts w:ascii="Arial" w:cs="Arial" w:eastAsia="Arial" w:hAnsi="Arial"/>
          <w:sz w:val="14"/>
          <w:szCs w:val="14"/>
          <w:color w:val="auto"/>
        </w:rPr>
        <w:t>Type of option (check one):</w:t>
      </w:r>
      <w:r>
        <w:rPr>
          <w:sz w:val="20"/>
          <w:szCs w:val="20"/>
          <w:color w:val="auto"/>
        </w:rPr>
        <w:tab/>
      </w:r>
      <w:r>
        <w:rPr>
          <w:rFonts w:ascii="Arial" w:cs="Arial" w:eastAsia="Arial" w:hAnsi="Arial"/>
          <w:sz w:val="14"/>
          <w:szCs w:val="14"/>
          <w:color w:val="auto"/>
        </w:rPr>
        <w:t xml:space="preserve">Incentive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Nonstatutory </w:t>
      </w:r>
      <w:r>
        <w:rPr>
          <w:rFonts w:ascii="MS PGothic" w:cs="MS PGothic" w:eastAsia="MS PGothic" w:hAnsi="MS PGothic"/>
          <w:sz w:val="13"/>
          <w:szCs w:val="13"/>
          <w:color w:val="auto"/>
        </w:rPr>
        <w:t>☐</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6995160" cy="14541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4">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Number of Shares as to which Option is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14605</wp:posOffset>
            </wp:positionV>
            <wp:extent cx="89154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5">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Certificates to be issued in name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6995160" cy="13716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260" w:type="dxa"/>
            <w:vAlign w:val="bottom"/>
            <w:gridSpan w:val="2"/>
          </w:tcPr>
          <w:p>
            <w:pPr>
              <w:ind w:left="360"/>
              <w:spacing w:after="0" w:line="182" w:lineRule="exact"/>
              <w:rPr>
                <w:sz w:val="20"/>
                <w:szCs w:val="20"/>
                <w:color w:val="auto"/>
              </w:rPr>
            </w:pPr>
            <w:r>
              <w:rPr>
                <w:rFonts w:ascii="Arial" w:cs="Arial" w:eastAsia="Arial" w:hAnsi="Arial"/>
                <w:sz w:val="18"/>
                <w:szCs w:val="18"/>
                <w:color w:val="auto"/>
              </w:rPr>
              <w:t>Total exercise price:</w:t>
            </w:r>
          </w:p>
        </w:tc>
        <w:tc>
          <w:tcPr>
            <w:tcW w:w="5740" w:type="dxa"/>
            <w:vAlign w:val="bottom"/>
          </w:tcPr>
          <w:p>
            <w:pPr>
              <w:spacing w:after="0"/>
              <w:rPr>
                <w:sz w:val="15"/>
                <w:szCs w:val="15"/>
                <w:color w:val="auto"/>
              </w:rPr>
            </w:pPr>
          </w:p>
        </w:tc>
        <w:tc>
          <w:tcPr>
            <w:tcW w:w="1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20" w:type="dxa"/>
            <w:vAlign w:val="bottom"/>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01"/>
        </w:trPr>
        <w:tc>
          <w:tcPr>
            <w:tcW w:w="8000" w:type="dxa"/>
            <w:vAlign w:val="bottom"/>
            <w:tcBorders>
              <w:bottom w:val="single" w:sz="8" w:color="CCEEFF"/>
            </w:tcBorders>
            <w:gridSpan w:val="3"/>
            <w:shd w:val="clear" w:color="auto" w:fill="CCEEFF"/>
          </w:tcPr>
          <w:p>
            <w:pPr>
              <w:ind w:left="720"/>
              <w:spacing w:after="0" w:line="176" w:lineRule="exact"/>
              <w:rPr>
                <w:sz w:val="20"/>
                <w:szCs w:val="20"/>
                <w:color w:val="auto"/>
              </w:rPr>
            </w:pPr>
            <w:r>
              <w:rPr>
                <w:rFonts w:ascii="Arial" w:cs="Arial" w:eastAsia="Arial" w:hAnsi="Arial"/>
                <w:sz w:val="18"/>
                <w:szCs w:val="18"/>
                <w:color w:val="auto"/>
              </w:rPr>
              <w:t>Cash, check, bank draft or money order delivered herewith:</w:t>
            </w:r>
          </w:p>
        </w:tc>
        <w:tc>
          <w:tcPr>
            <w:tcW w:w="1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r>
      <w:tr>
        <w:trPr>
          <w:trHeight w:val="175"/>
        </w:trPr>
        <w:tc>
          <w:tcPr>
            <w:tcW w:w="2260" w:type="dxa"/>
            <w:vAlign w:val="bottom"/>
            <w:tcBorders>
              <w:top w:val="single" w:sz="8" w:color="CCEEFF"/>
            </w:tcBorders>
            <w:gridSpan w:val="2"/>
          </w:tcPr>
          <w:p>
            <w:pPr>
              <w:ind w:left="720"/>
              <w:spacing w:after="0" w:line="176" w:lineRule="exact"/>
              <w:rPr>
                <w:sz w:val="20"/>
                <w:szCs w:val="20"/>
                <w:color w:val="auto"/>
              </w:rPr>
            </w:pPr>
            <w:r>
              <w:rPr>
                <w:rFonts w:ascii="Arial" w:cs="Arial" w:eastAsia="Arial" w:hAnsi="Arial"/>
                <w:sz w:val="18"/>
                <w:szCs w:val="18"/>
                <w:color w:val="auto"/>
              </w:rPr>
              <w:t>Value of</w:t>
            </w:r>
          </w:p>
        </w:tc>
        <w:tc>
          <w:tcPr>
            <w:tcW w:w="5740" w:type="dxa"/>
            <w:vAlign w:val="bottom"/>
            <w:tcBorders>
              <w:top w:val="single" w:sz="8" w:color="CCEEFF"/>
            </w:tcBorders>
          </w:tcPr>
          <w:p>
            <w:pPr>
              <w:ind w:left="60"/>
              <w:spacing w:after="0" w:line="176" w:lineRule="exact"/>
              <w:rPr>
                <w:sz w:val="20"/>
                <w:szCs w:val="20"/>
                <w:color w:val="auto"/>
              </w:rPr>
            </w:pPr>
            <w:r>
              <w:rPr>
                <w:rFonts w:ascii="Arial" w:cs="Arial" w:eastAsia="Arial" w:hAnsi="Arial"/>
                <w:sz w:val="18"/>
                <w:szCs w:val="18"/>
                <w:color w:val="auto"/>
              </w:rPr>
              <w:t>Shares delivered herewith:</w:t>
            </w:r>
          </w:p>
        </w:tc>
        <w:tc>
          <w:tcPr>
            <w:tcW w:w="1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620" w:type="dxa"/>
            <w:vAlign w:val="bottom"/>
            <w:tcBorders>
              <w:top w:val="single" w:sz="8" w:color="CCEEFF"/>
            </w:tcBorders>
          </w:tcPr>
          <w:p>
            <w:pPr>
              <w:spacing w:after="0"/>
              <w:rPr>
                <w:sz w:val="15"/>
                <w:szCs w:val="15"/>
                <w:color w:val="auto"/>
              </w:rPr>
            </w:pPr>
          </w:p>
        </w:tc>
      </w:tr>
      <w:tr>
        <w:trPr>
          <w:trHeight w:val="21"/>
        </w:trPr>
        <w:tc>
          <w:tcPr>
            <w:tcW w:w="136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01"/>
        </w:trPr>
        <w:tc>
          <w:tcPr>
            <w:tcW w:w="8000" w:type="dxa"/>
            <w:vAlign w:val="bottom"/>
            <w:tcBorders>
              <w:bottom w:val="single" w:sz="8" w:color="CCEEFF"/>
            </w:tcBorders>
            <w:gridSpan w:val="3"/>
            <w:shd w:val="clear" w:color="auto" w:fill="CCEEFF"/>
          </w:tcPr>
          <w:p>
            <w:pPr>
              <w:ind w:left="720"/>
              <w:spacing w:after="0" w:line="176" w:lineRule="exact"/>
              <w:rPr>
                <w:sz w:val="20"/>
                <w:szCs w:val="20"/>
                <w:color w:val="auto"/>
              </w:rPr>
            </w:pPr>
            <w:r>
              <w:rPr>
                <w:rFonts w:ascii="Arial" w:cs="Arial" w:eastAsia="Arial" w:hAnsi="Arial"/>
                <w:sz w:val="18"/>
                <w:szCs w:val="18"/>
                <w:color w:val="auto"/>
              </w:rPr>
              <w:t>Regulation T Program (cashless exercise)</w:t>
            </w:r>
          </w:p>
        </w:tc>
        <w:tc>
          <w:tcPr>
            <w:tcW w:w="1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r>
      <w:tr>
        <w:trPr>
          <w:trHeight w:val="176"/>
        </w:trPr>
        <w:tc>
          <w:tcPr>
            <w:tcW w:w="1360" w:type="dxa"/>
            <w:vAlign w:val="bottom"/>
            <w:tcBorders>
              <w:top w:val="single" w:sz="8" w:color="CCEEFF"/>
            </w:tcBorders>
          </w:tcPr>
          <w:p>
            <w:pPr>
              <w:ind w:left="720"/>
              <w:spacing w:after="0" w:line="176" w:lineRule="exact"/>
              <w:rPr>
                <w:sz w:val="20"/>
                <w:szCs w:val="20"/>
                <w:color w:val="auto"/>
              </w:rPr>
            </w:pPr>
            <w:r>
              <w:rPr>
                <w:rFonts w:ascii="Arial" w:cs="Arial" w:eastAsia="Arial" w:hAnsi="Arial"/>
                <w:sz w:val="18"/>
                <w:szCs w:val="18"/>
                <w:color w:val="auto"/>
                <w:w w:val="93"/>
              </w:rPr>
              <w:t>Value of</w:t>
            </w:r>
          </w:p>
        </w:tc>
        <w:tc>
          <w:tcPr>
            <w:tcW w:w="900" w:type="dxa"/>
            <w:vAlign w:val="bottom"/>
            <w:tcBorders>
              <w:top w:val="single" w:sz="8" w:color="CCEEFF"/>
              <w:bottom w:val="single" w:sz="8" w:color="auto"/>
            </w:tcBorders>
          </w:tcPr>
          <w:p>
            <w:pPr>
              <w:spacing w:after="0"/>
              <w:rPr>
                <w:sz w:val="15"/>
                <w:szCs w:val="15"/>
                <w:color w:val="auto"/>
              </w:rPr>
            </w:pPr>
          </w:p>
        </w:tc>
        <w:tc>
          <w:tcPr>
            <w:tcW w:w="5740" w:type="dxa"/>
            <w:vAlign w:val="bottom"/>
            <w:tcBorders>
              <w:top w:val="single" w:sz="8" w:color="CCEEFF"/>
            </w:tcBorders>
          </w:tcPr>
          <w:p>
            <w:pPr>
              <w:ind w:left="60"/>
              <w:spacing w:after="0" w:line="176" w:lineRule="exact"/>
              <w:rPr>
                <w:sz w:val="20"/>
                <w:szCs w:val="20"/>
                <w:color w:val="auto"/>
              </w:rPr>
            </w:pPr>
            <w:r>
              <w:rPr>
                <w:rFonts w:ascii="Arial" w:cs="Arial" w:eastAsia="Arial" w:hAnsi="Arial"/>
                <w:sz w:val="18"/>
                <w:szCs w:val="18"/>
                <w:color w:val="auto"/>
              </w:rPr>
              <w:t>Shares pursuant to net exercise:</w:t>
            </w:r>
          </w:p>
        </w:tc>
        <w:tc>
          <w:tcPr>
            <w:tcW w:w="1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CCEEFF"/>
              <w:bottom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620" w:type="dxa"/>
            <w:vAlign w:val="bottom"/>
            <w:tcBorders>
              <w:top w:val="single" w:sz="8" w:color="CCEEFF"/>
            </w:tcBorders>
          </w:tcPr>
          <w:p>
            <w:pPr>
              <w:spacing w:after="0"/>
              <w:rPr>
                <w:sz w:val="15"/>
                <w:szCs w:val="15"/>
                <w:color w:val="auto"/>
              </w:rPr>
            </w:pPr>
          </w:p>
        </w:tc>
      </w:tr>
    </w:tbl>
    <w:p>
      <w:pPr>
        <w:sectPr>
          <w:pgSz w:w="11900" w:h="16838" w:orient="portrait"/>
          <w:cols w:equalWidth="0" w:num="1">
            <w:col w:w="11020"/>
          </w:cols>
          <w:pgMar w:left="440" w:top="270" w:right="439" w:bottom="1440" w:gutter="0" w:footer="0" w:header="0"/>
          <w:type w:val="continuous"/>
        </w:sectPr>
      </w:pPr>
    </w:p>
    <w:bookmarkStart w:id="414" w:name="page415"/>
    <w:bookmarkEnd w:id="414"/>
    <w:p>
      <w:pPr>
        <w:ind w:right="14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this exercise, I agree (i) to provide such additional documents as you may require pursuant to the terms of the Plan, (ii) to satisfy the tax withholding obligations, if any, relating to the exercise of this Option as set forth in the Stock Option Agreement, and (iii) if this exercise relates to an incentive stock option, to notify you in writing within 15 days after the date of any disposition of any of the Shares issued upon exercise of this Option that occurs within two years after the Date of Grant or within one year after such Shares are issued upon exercise of this Option.</w:t>
      </w:r>
    </w:p>
    <w:p>
      <w:pPr>
        <w:spacing w:after="0" w:line="157"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I further agree that, if required by the Company (or a representative of the underwriters) in connection with the first underwritten registration of the offering of any securities of the Company under the Securities Act, I will not sell, dispose of, transfer, make any short sale of, grant any option for the purchase of, or enter into any hedging or similar transaction with the same economic effect as a sale with respect to any shares of Common Stock or other securities of the Company for a period of one hundred eighty (180) days following the effective date of a registration statement of the Company filed under the Securities Act (or such longer period as the underwriters or the Company shall request to facilitate compliance with FINRA Rule 2241 or any successor or similar rule or regulation) (the “</w:t>
      </w:r>
      <w:r>
        <w:rPr>
          <w:rFonts w:ascii="Arial" w:cs="Arial" w:eastAsia="Arial" w:hAnsi="Arial"/>
          <w:sz w:val="17"/>
          <w:szCs w:val="17"/>
          <w:b w:val="1"/>
          <w:bCs w:val="1"/>
          <w:i w:val="1"/>
          <w:iCs w:val="1"/>
          <w:color w:val="auto"/>
        </w:rPr>
        <w:t>Lock-Up Period</w:t>
      </w:r>
      <w:r>
        <w:rPr>
          <w:rFonts w:ascii="Arial" w:cs="Arial" w:eastAsia="Arial" w:hAnsi="Arial"/>
          <w:sz w:val="17"/>
          <w:szCs w:val="17"/>
          <w:color w:val="auto"/>
        </w:rPr>
        <w:t>”). I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securities subject to the foregoing restrictions until the end of such period.</w:t>
      </w:r>
    </w:p>
    <w:p>
      <w:pPr>
        <w:spacing w:after="0" w:line="20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288925</wp:posOffset>
            </wp:positionV>
            <wp:extent cx="279463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10980"/>
          </w:cols>
          <w:pgMar w:left="440" w:top="274" w:right="479" w:bottom="1440" w:gutter="0" w:footer="0" w:header="0"/>
        </w:sectPr>
      </w:pPr>
    </w:p>
    <w:bookmarkStart w:id="415" w:name="page416"/>
    <w:bookmarkEnd w:id="415"/>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Non-Employee Director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DAGIO</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RANT</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OTICE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Adagio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pursuant to the Company’s 2021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has granted to you (“</w:t>
      </w:r>
      <w:r>
        <w:rPr>
          <w:rFonts w:ascii="Arial" w:cs="Arial" w:eastAsia="Arial" w:hAnsi="Arial"/>
          <w:sz w:val="18"/>
          <w:szCs w:val="18"/>
          <w:b w:val="1"/>
          <w:bCs w:val="1"/>
          <w:i w:val="1"/>
          <w:iCs w:val="1"/>
          <w:color w:val="auto"/>
        </w:rPr>
        <w:t>Optionholder</w:t>
      </w:r>
      <w:r>
        <w:rPr>
          <w:rFonts w:ascii="Arial" w:cs="Arial" w:eastAsia="Arial" w:hAnsi="Arial"/>
          <w:sz w:val="18"/>
          <w:szCs w:val="18"/>
          <w:color w:val="auto"/>
        </w:rPr>
        <w:t>”) an option to purchase the number of shares of the Common Stock set forth below (the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Your Option is subject to all of the terms and conditions as set forth herein and in the Plan, and the Stock Option Agreement and the Notice of Exercise, all of which are attached hereto and incorporated herein in their entirety. Capitalized terms not explicitly defined herein but defined in the Plan or the Stock Option Agreement shall have the meanings set forth in the Plan or the Stock Option Agreement, as applicable.</w:t>
      </w:r>
    </w:p>
    <w:p>
      <w:pPr>
        <w:spacing w:after="0" w:line="2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3683635</wp:posOffset>
            </wp:positionH>
            <wp:positionV relativeFrom="paragraph">
              <wp:posOffset>14605</wp:posOffset>
            </wp:positionV>
            <wp:extent cx="330898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3683635</wp:posOffset>
            </wp:positionH>
            <wp:positionV relativeFrom="paragraph">
              <wp:posOffset>14605</wp:posOffset>
            </wp:positionV>
            <wp:extent cx="330898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Number of Shares of Common Stock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3683635</wp:posOffset>
            </wp:positionH>
            <wp:positionV relativeFrom="paragraph">
              <wp:posOffset>14605</wp:posOffset>
            </wp:positionV>
            <wp:extent cx="330898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2">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3683635</wp:posOffset>
            </wp:positionH>
            <wp:positionV relativeFrom="paragraph">
              <wp:posOffset>14605</wp:posOffset>
            </wp:positionV>
            <wp:extent cx="330898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3683635</wp:posOffset>
            </wp:positionH>
            <wp:positionV relativeFrom="paragraph">
              <wp:posOffset>14605</wp:posOffset>
            </wp:positionV>
            <wp:extent cx="330898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3683635</wp:posOffset>
            </wp:positionH>
            <wp:positionV relativeFrom="paragraph">
              <wp:posOffset>14605</wp:posOffset>
            </wp:positionV>
            <wp:extent cx="330898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Type of Grant:</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Nonstatutory Stock Option</w:t>
      </w:r>
    </w:p>
    <w:p>
      <w:pPr>
        <w:spacing w:after="0" w:line="136" w:lineRule="exact"/>
        <w:rPr>
          <w:sz w:val="20"/>
          <w:szCs w:val="20"/>
          <w:color w:val="auto"/>
        </w:rPr>
      </w:pPr>
    </w:p>
    <w:p>
      <w:pPr>
        <w:sectPr>
          <w:pgSz w:w="11900" w:h="16838" w:orient="portrait"/>
          <w:cols w:equalWidth="0" w:num="2">
            <w:col w:w="2920" w:space="720"/>
            <w:col w:w="7380"/>
          </w:cols>
          <w:pgMar w:left="440" w:top="274"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Exercise and Vesting Schedule:</w:t>
      </w:r>
    </w:p>
    <w:p>
      <w:pPr>
        <w:spacing w:after="0" w:line="20" w:lineRule="exact"/>
        <w:rPr>
          <w:sz w:val="20"/>
          <w:szCs w:val="20"/>
          <w:color w:val="auto"/>
        </w:rPr>
      </w:pPr>
      <w:r>
        <w:rPr>
          <w:sz w:val="20"/>
          <w:szCs w:val="20"/>
          <w:color w:val="auto"/>
        </w:rPr>
        <w:br w:type="column"/>
      </w:r>
    </w:p>
    <w:p>
      <w:pPr>
        <w:jc w:val="both"/>
        <w:ind w:right="220"/>
        <w:spacing w:after="0" w:line="263" w:lineRule="auto"/>
        <w:rPr>
          <w:sz w:val="20"/>
          <w:szCs w:val="20"/>
          <w:color w:val="auto"/>
        </w:rPr>
      </w:pPr>
      <w:r>
        <w:rPr>
          <w:rFonts w:ascii="Arial" w:cs="Arial" w:eastAsia="Arial" w:hAnsi="Arial"/>
          <w:sz w:val="18"/>
          <w:szCs w:val="18"/>
          <w:color w:val="auto"/>
        </w:rPr>
        <w:t>Subject to the Optionholder’s Continuous Service through each applicable vesting date, the Option will vest as follows, subject to the potential vesting acceleration described in Section 2 of the Stock Option Agreement:</w:t>
      </w:r>
    </w:p>
    <w:p>
      <w:pPr>
        <w:spacing w:after="0" w:line="89" w:lineRule="exact"/>
        <w:rPr>
          <w:sz w:val="20"/>
          <w:szCs w:val="20"/>
          <w:color w:val="auto"/>
        </w:rPr>
      </w:pPr>
    </w:p>
    <w:p>
      <w:pPr>
        <w:sectPr>
          <w:pgSz w:w="11900" w:h="16838" w:orient="portrait"/>
          <w:cols w:equalWidth="0" w:num="2">
            <w:col w:w="2920" w:space="720"/>
            <w:col w:w="7380"/>
          </w:cols>
          <w:pgMar w:left="440" w:top="274" w:right="439" w:bottom="1440" w:gutter="0" w:footer="0" w:header="0"/>
          <w:type w:val="continuous"/>
        </w:sectPr>
      </w:pPr>
    </w:p>
    <w:p>
      <w:pPr>
        <w:ind w:left="3640" w:right="8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Initial Grant</w:t>
      </w:r>
      <w:r>
        <w:rPr>
          <w:rFonts w:ascii="Arial" w:cs="Arial" w:eastAsia="Arial" w:hAnsi="Arial"/>
          <w:sz w:val="16"/>
          <w:szCs w:val="16"/>
          <w:color w:val="auto"/>
        </w:rPr>
        <w:t>][One-third (1/3</w:t>
      </w:r>
      <w:r>
        <w:rPr>
          <w:rFonts w:ascii="Arial" w:cs="Arial" w:eastAsia="Arial" w:hAnsi="Arial"/>
          <w:sz w:val="13"/>
          <w:szCs w:val="13"/>
          <w:color w:val="auto"/>
        </w:rPr>
        <w:t>rd</w:t>
      </w:r>
      <w:r>
        <w:rPr>
          <w:rFonts w:ascii="Arial" w:cs="Arial" w:eastAsia="Arial" w:hAnsi="Arial"/>
          <w:sz w:val="16"/>
          <w:szCs w:val="16"/>
          <w:color w:val="auto"/>
        </w:rPr>
        <w:t>) of the shares subject to the Option shall vest and become exercisable on the first (1</w:t>
      </w:r>
      <w:r>
        <w:rPr>
          <w:rFonts w:ascii="Arial" w:cs="Arial" w:eastAsia="Arial" w:hAnsi="Arial"/>
          <w:sz w:val="13"/>
          <w:szCs w:val="13"/>
          <w:color w:val="auto"/>
        </w:rPr>
        <w:t>st</w:t>
      </w:r>
      <w:r>
        <w:rPr>
          <w:rFonts w:ascii="Arial" w:cs="Arial" w:eastAsia="Arial" w:hAnsi="Arial"/>
          <w:sz w:val="16"/>
          <w:szCs w:val="16"/>
          <w:color w:val="auto"/>
        </w:rPr>
        <w:t>) anniversary of the Date of Grant and one thirty-sixth (1/36</w:t>
      </w:r>
      <w:r>
        <w:rPr>
          <w:rFonts w:ascii="Arial" w:cs="Arial" w:eastAsia="Arial" w:hAnsi="Arial"/>
          <w:sz w:val="13"/>
          <w:szCs w:val="13"/>
          <w:color w:val="auto"/>
        </w:rPr>
        <w:t>th</w:t>
      </w:r>
      <w:r>
        <w:rPr>
          <w:rFonts w:ascii="Arial" w:cs="Arial" w:eastAsia="Arial" w:hAnsi="Arial"/>
          <w:sz w:val="16"/>
          <w:szCs w:val="16"/>
          <w:color w:val="auto"/>
        </w:rPr>
        <w:t>) of the shares subject to the Option shall vest and become exercisable each month thereafter on the same day of the month as the Date of Grant (and if there is no corresponding day, on the last day of the month), such that the Option shall be fully vested and exercisable on the third (3</w:t>
      </w:r>
      <w:r>
        <w:rPr>
          <w:rFonts w:ascii="Arial" w:cs="Arial" w:eastAsia="Arial" w:hAnsi="Arial"/>
          <w:sz w:val="13"/>
          <w:szCs w:val="13"/>
          <w:color w:val="auto"/>
        </w:rPr>
        <w:t>rd</w:t>
      </w:r>
      <w:r>
        <w:rPr>
          <w:rFonts w:ascii="Arial" w:cs="Arial" w:eastAsia="Arial" w:hAnsi="Arial"/>
          <w:sz w:val="16"/>
          <w:szCs w:val="16"/>
          <w:color w:val="auto"/>
        </w:rPr>
        <w:t>) anniversary of the Date of Grant.]</w:t>
      </w:r>
    </w:p>
    <w:p>
      <w:pPr>
        <w:spacing w:after="0" w:line="67" w:lineRule="exact"/>
        <w:rPr>
          <w:sz w:val="20"/>
          <w:szCs w:val="20"/>
          <w:color w:val="auto"/>
        </w:rPr>
      </w:pPr>
    </w:p>
    <w:p>
      <w:pPr>
        <w:jc w:val="both"/>
        <w:ind w:left="3640" w:right="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Grant</w:t>
      </w:r>
      <w:r>
        <w:rPr>
          <w:rFonts w:ascii="Arial" w:cs="Arial" w:eastAsia="Arial" w:hAnsi="Arial"/>
          <w:sz w:val="18"/>
          <w:szCs w:val="18"/>
          <w:color w:val="auto"/>
        </w:rPr>
        <w:t>][The shares subject to the Option shall vest and become exercisable upon the earlier to occur of (i) the first (1</w:t>
      </w:r>
      <w:r>
        <w:rPr>
          <w:rFonts w:ascii="Arial" w:cs="Arial" w:eastAsia="Arial" w:hAnsi="Arial"/>
          <w:sz w:val="15"/>
          <w:szCs w:val="15"/>
          <w:color w:val="auto"/>
        </w:rPr>
        <w:t>st</w:t>
      </w:r>
      <w:r>
        <w:rPr>
          <w:rFonts w:ascii="Arial" w:cs="Arial" w:eastAsia="Arial" w:hAnsi="Arial"/>
          <w:sz w:val="18"/>
          <w:szCs w:val="18"/>
          <w:color w:val="auto"/>
        </w:rPr>
        <w:t>) anniversary of the Date of Grant and (ii) the date of the next annual meeting of the stockholders of the Company.]</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4" w:right="439" w:bottom="1440" w:gutter="0" w:footer="0" w:header="0"/>
          <w:type w:val="continuous"/>
        </w:sectPr>
      </w:pPr>
    </w:p>
    <w:bookmarkStart w:id="416" w:name="page417"/>
    <w:bookmarkEnd w:id="416"/>
    <w:p>
      <w:pPr>
        <w:ind w:right="2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Optionholder Acknowledgements: </w:t>
      </w:r>
      <w:r>
        <w:rPr>
          <w:rFonts w:ascii="Arial" w:cs="Arial" w:eastAsia="Arial" w:hAnsi="Arial"/>
          <w:sz w:val="18"/>
          <w:szCs w:val="18"/>
          <w:color w:val="auto"/>
        </w:rPr>
        <w:t>By your signature below or by electronic acceptance or authentication in a form authorized by the Company, you</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 and agree that:</w:t>
      </w:r>
    </w:p>
    <w:p>
      <w:pPr>
        <w:spacing w:after="0" w:line="71" w:lineRule="exact"/>
        <w:rPr>
          <w:sz w:val="20"/>
          <w:szCs w:val="20"/>
          <w:color w:val="auto"/>
        </w:rPr>
      </w:pPr>
    </w:p>
    <w:p>
      <w:pPr>
        <w:ind w:left="1420" w:right="20" w:hanging="331"/>
        <w:spacing w:after="0" w:line="259" w:lineRule="auto"/>
        <w:tabs>
          <w:tab w:leader="none" w:pos="142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Option is governed by this Stock Option Grant Notice, and the provisions of the Plan and the Stock Option Agreement and the Notice of Exercise, all of which are made a part of this document. Unless otherwise provided in the Plan, this Grant Notice and the Stock Option Agreement (together, the “</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may not be modified, amended or revised except in a writing signed by you and a duly authorized officer of the Company.</w:t>
      </w:r>
    </w:p>
    <w:p>
      <w:pPr>
        <w:spacing w:after="0" w:line="92" w:lineRule="exact"/>
        <w:rPr>
          <w:rFonts w:ascii="Arial" w:cs="Arial" w:eastAsia="Arial" w:hAnsi="Arial"/>
          <w:sz w:val="18"/>
          <w:szCs w:val="18"/>
          <w:color w:val="auto"/>
        </w:rPr>
      </w:pPr>
    </w:p>
    <w:p>
      <w:pPr>
        <w:ind w:left="1420" w:right="20" w:hanging="331"/>
        <w:spacing w:after="0" w:line="263" w:lineRule="auto"/>
        <w:tabs>
          <w:tab w:leader="none" w:pos="142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You consent to receive this Grant Notice, the Stock Option Agreement, the Plan, the Prospectus and any other Plan-related documents by electronic delivery and to participate in the Plan through an on-line or electronic system established and maintained by the Company or another third party designated by the Company.</w:t>
      </w:r>
    </w:p>
    <w:p>
      <w:pPr>
        <w:spacing w:after="0" w:line="89" w:lineRule="exact"/>
        <w:rPr>
          <w:rFonts w:ascii="Arial" w:cs="Arial" w:eastAsia="Arial" w:hAnsi="Arial"/>
          <w:sz w:val="18"/>
          <w:szCs w:val="18"/>
          <w:color w:val="auto"/>
        </w:rPr>
      </w:pPr>
    </w:p>
    <w:p>
      <w:pPr>
        <w:ind w:left="1420" w:right="180" w:hanging="331"/>
        <w:spacing w:after="0" w:line="263" w:lineRule="auto"/>
        <w:tabs>
          <w:tab w:leader="none" w:pos="142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You have read and are familiar with the provisions of the Plan, the Stock Option Agreement, the Notice of Exercise and the Prospectus. In the event of any conflict between the provisions in this Grant Notice, the Option Agreement, the Notice of Exercise, or the Prospectus and the terms of the Plan, the terms of the Plan shall control.</w:t>
      </w:r>
    </w:p>
    <w:p>
      <w:pPr>
        <w:spacing w:after="0" w:line="89" w:lineRule="exact"/>
        <w:rPr>
          <w:rFonts w:ascii="Arial" w:cs="Arial" w:eastAsia="Arial" w:hAnsi="Arial"/>
          <w:sz w:val="18"/>
          <w:szCs w:val="18"/>
          <w:color w:val="auto"/>
        </w:rPr>
      </w:pPr>
    </w:p>
    <w:p>
      <w:pPr>
        <w:ind w:left="1420" w:right="140" w:hanging="331"/>
        <w:spacing w:after="0" w:line="257" w:lineRule="auto"/>
        <w:tabs>
          <w:tab w:leader="none" w:pos="142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Option Agreement sets forth the entire understanding between you and the Company regarding the acquisition of Common Stock and supersedes all prior oral and written agreements, promises and/or representations on that subject with the exception of other equity awards previously granted to you and any written employment agreement, offer letter, severance agreement, written severance plan or policy, or other written agreement between the Company and you in each case that specifies the terms that should govern this Option.</w:t>
      </w:r>
    </w:p>
    <w:p>
      <w:pPr>
        <w:spacing w:after="0" w:line="93" w:lineRule="exact"/>
        <w:rPr>
          <w:rFonts w:ascii="Arial" w:cs="Arial" w:eastAsia="Arial" w:hAnsi="Arial"/>
          <w:sz w:val="18"/>
          <w:szCs w:val="18"/>
          <w:color w:val="auto"/>
        </w:rPr>
      </w:pPr>
    </w:p>
    <w:p>
      <w:pPr>
        <w:ind w:left="1420" w:right="360" w:hanging="331"/>
        <w:spacing w:after="0" w:line="311" w:lineRule="auto"/>
        <w:tabs>
          <w:tab w:leader="none" w:pos="1420" w:val="left"/>
        </w:tabs>
        <w:numPr>
          <w:ilvl w:val="0"/>
          <w:numId w:val="348"/>
        </w:numPr>
        <w:rPr>
          <w:rFonts w:ascii="Arial" w:cs="Arial" w:eastAsia="Arial" w:hAnsi="Arial"/>
          <w:sz w:val="16"/>
          <w:szCs w:val="16"/>
          <w:color w:val="auto"/>
        </w:rPr>
      </w:pPr>
      <w:r>
        <w:rPr>
          <w:rFonts w:ascii="Arial" w:cs="Arial" w:eastAsia="Arial" w:hAnsi="Arial"/>
          <w:sz w:val="16"/>
          <w:szCs w:val="16"/>
          <w:color w:val="auto"/>
        </w:rPr>
        <w:t>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DAGIO</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PTIONHOLDER</w:t>
            </w:r>
            <w:r>
              <w:rPr>
                <w:rFonts w:ascii="Arial" w:cs="Arial" w:eastAsia="Arial" w:hAnsi="Arial"/>
                <w:sz w:val="18"/>
                <w:szCs w:val="18"/>
                <w:b w:val="1"/>
                <w:bCs w:val="1"/>
                <w:color w:val="auto"/>
              </w:rPr>
              <w:t>:</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By:</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By:</w:t>
            </w:r>
          </w:p>
        </w:tc>
      </w:tr>
      <w:tr>
        <w:trPr>
          <w:trHeight w:val="224"/>
        </w:trPr>
        <w:tc>
          <w:tcPr>
            <w:tcW w:w="540" w:type="dxa"/>
            <w:vAlign w:val="bottom"/>
          </w:tcPr>
          <w:p>
            <w:pPr>
              <w:spacing w:after="0"/>
              <w:rPr>
                <w:sz w:val="19"/>
                <w:szCs w:val="19"/>
                <w:color w:val="auto"/>
              </w:rPr>
            </w:pPr>
          </w:p>
        </w:tc>
        <w:tc>
          <w:tcPr>
            <w:tcW w:w="4620" w:type="dxa"/>
            <w:vAlign w:val="bottom"/>
            <w:tcBorders>
              <w:top w:val="single" w:sz="8" w:color="auto"/>
            </w:tcBorders>
          </w:tcPr>
          <w:p>
            <w:pPr>
              <w:ind w:left="1960"/>
              <w:spacing w:after="0"/>
              <w:rPr>
                <w:sz w:val="20"/>
                <w:szCs w:val="20"/>
                <w:color w:val="auto"/>
              </w:rPr>
            </w:pPr>
            <w:r>
              <w:rPr>
                <w:rFonts w:ascii="Arial" w:cs="Arial" w:eastAsia="Arial" w:hAnsi="Arial"/>
                <w:sz w:val="18"/>
                <w:szCs w:val="18"/>
                <w:color w:val="auto"/>
              </w:rPr>
              <w:t>Signature</w:t>
            </w:r>
          </w:p>
        </w:tc>
        <w:tc>
          <w:tcPr>
            <w:tcW w:w="1240" w:type="dxa"/>
            <w:vAlign w:val="bottom"/>
          </w:tcPr>
          <w:p>
            <w:pPr>
              <w:spacing w:after="0"/>
              <w:rPr>
                <w:sz w:val="19"/>
                <w:szCs w:val="19"/>
                <w:color w:val="auto"/>
              </w:rPr>
            </w:pPr>
          </w:p>
        </w:tc>
        <w:tc>
          <w:tcPr>
            <w:tcW w:w="4620" w:type="dxa"/>
            <w:vAlign w:val="bottom"/>
            <w:tcBorders>
              <w:top w:val="single" w:sz="8" w:color="auto"/>
            </w:tcBorders>
          </w:tcPr>
          <w:p>
            <w:pPr>
              <w:ind w:left="1960"/>
              <w:spacing w:after="0"/>
              <w:rPr>
                <w:sz w:val="20"/>
                <w:szCs w:val="20"/>
                <w:color w:val="auto"/>
              </w:rPr>
            </w:pPr>
            <w:r>
              <w:rPr>
                <w:rFonts w:ascii="Arial" w:cs="Arial" w:eastAsia="Arial" w:hAnsi="Arial"/>
                <w:sz w:val="18"/>
                <w:szCs w:val="18"/>
                <w:color w:val="auto"/>
              </w:rPr>
              <w:t>Signature</w:t>
            </w:r>
          </w:p>
        </w:tc>
      </w:tr>
      <w:tr>
        <w:trPr>
          <w:trHeight w:val="431"/>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Borders>
              <w:bottom w:val="single" w:sz="8" w:color="auto"/>
            </w:tcBorders>
          </w:tcPr>
          <w:p>
            <w:pPr>
              <w:spacing w:after="0"/>
              <w:rPr>
                <w:sz w:val="24"/>
                <w:szCs w:val="24"/>
                <w:color w:val="auto"/>
              </w:rPr>
            </w:pPr>
          </w:p>
        </w:tc>
        <w:tc>
          <w:tcPr>
            <w:tcW w:w="1240" w:type="dxa"/>
            <w:vAlign w:val="bottom"/>
          </w:tcPr>
          <w:p>
            <w:pPr>
              <w:ind w:left="700"/>
              <w:spacing w:after="0"/>
              <w:rPr>
                <w:sz w:val="20"/>
                <w:szCs w:val="20"/>
                <w:color w:val="auto"/>
              </w:rPr>
            </w:pPr>
            <w:r>
              <w:rPr>
                <w:rFonts w:ascii="Arial" w:cs="Arial" w:eastAsia="Arial" w:hAnsi="Arial"/>
                <w:sz w:val="18"/>
                <w:szCs w:val="18"/>
                <w:color w:val="auto"/>
              </w:rPr>
              <w:t>Date:</w:t>
            </w:r>
          </w:p>
        </w:tc>
        <w:tc>
          <w:tcPr>
            <w:tcW w:w="4620" w:type="dxa"/>
            <w:vAlign w:val="bottom"/>
            <w:tcBorders>
              <w:bottom w:val="single" w:sz="8" w:color="auto"/>
            </w:tcBorders>
          </w:tcPr>
          <w:p>
            <w:pPr>
              <w:spacing w:after="0"/>
              <w:rPr>
                <w:sz w:val="24"/>
                <w:szCs w:val="24"/>
                <w:color w:val="auto"/>
              </w:rPr>
            </w:pP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62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TTACHMENTS</w:t>
      </w:r>
      <w:r>
        <w:rPr>
          <w:rFonts w:ascii="Arial" w:cs="Arial" w:eastAsia="Arial" w:hAnsi="Arial"/>
          <w:sz w:val="18"/>
          <w:szCs w:val="18"/>
          <w:color w:val="auto"/>
        </w:rPr>
        <w:t>: Stock Option Agreement, 2021 Equity Incentive Plan, Notice of Exercise</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417" w:name="page418"/>
    <w:bookmarkEnd w:id="417"/>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Non-Employee Director</w:t>
      </w:r>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TTACHMENT</w:t>
      </w:r>
      <w:r>
        <w:rPr>
          <w:rFonts w:ascii="Arial" w:cs="Arial" w:eastAsia="Arial" w:hAnsi="Arial"/>
          <w:sz w:val="18"/>
          <w:szCs w:val="18"/>
          <w:b w:val="1"/>
          <w:bCs w:val="1"/>
          <w:color w:val="auto"/>
        </w:rPr>
        <w:t xml:space="preserve"> I</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020"/>
          </w:cols>
          <w:pgMar w:left="1440" w:top="274" w:right="439" w:bottom="1440" w:gutter="0" w:footer="0" w:header="0"/>
        </w:sectPr>
      </w:pPr>
    </w:p>
    <w:bookmarkStart w:id="418" w:name="page419"/>
    <w:bookmarkEnd w:id="418"/>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Non-Employee Director</w:t>
      </w:r>
    </w:p>
    <w:p>
      <w:pPr>
        <w:spacing w:after="0" w:line="113"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DAGIO</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29"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As reflected by your Stock Option Grant Notice (“</w:t>
      </w:r>
      <w:r>
        <w:rPr>
          <w:rFonts w:ascii="Arial" w:cs="Arial" w:eastAsia="Arial" w:hAnsi="Arial"/>
          <w:sz w:val="16"/>
          <w:szCs w:val="16"/>
          <w:b w:val="1"/>
          <w:bCs w:val="1"/>
          <w:i w:val="1"/>
          <w:iCs w:val="1"/>
          <w:color w:val="auto"/>
        </w:rPr>
        <w:t>Grant Notice</w:t>
      </w:r>
      <w:r>
        <w:rPr>
          <w:rFonts w:ascii="Arial" w:cs="Arial" w:eastAsia="Arial" w:hAnsi="Arial"/>
          <w:sz w:val="16"/>
          <w:szCs w:val="16"/>
          <w:color w:val="auto"/>
        </w:rPr>
        <w:t>”), Adagio Therapeutics,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has granted you an option under its 2021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to purchase a number of shares of Common Stock at the exercise price indicated in your Grant Notice (the</w:t>
      </w:r>
    </w:p>
    <w:p>
      <w:pPr>
        <w:jc w:val="both"/>
        <w:ind w:right="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Capitalized terms not explicitly defined in this Agreement but defined in the Grant Notice or the Plan shall have the meanings set forth in the Grant Notice or Plan, as applicable. The terms of your Option as specified in the Grant Notice and this Stock Option Agreement constitute your Option Agreement.</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general terms and conditions applicable to your Option are as follows:</w:t>
      </w:r>
    </w:p>
    <w:p>
      <w:pPr>
        <w:spacing w:after="0" w:line="113" w:lineRule="exact"/>
        <w:rPr>
          <w:sz w:val="20"/>
          <w:szCs w:val="20"/>
          <w:color w:val="auto"/>
        </w:rPr>
      </w:pPr>
    </w:p>
    <w:p>
      <w:pPr>
        <w:ind w:left="620" w:hanging="184"/>
        <w:spacing w:after="0"/>
        <w:tabs>
          <w:tab w:leader="none" w:pos="620" w:val="left"/>
        </w:tabs>
        <w:numPr>
          <w:ilvl w:val="0"/>
          <w:numId w:val="349"/>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OVERNING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OCUMENT</w:t>
      </w:r>
      <w:r>
        <w:rPr>
          <w:rFonts w:ascii="Arial" w:cs="Arial" w:eastAsia="Arial" w:hAnsi="Arial"/>
          <w:sz w:val="18"/>
          <w:szCs w:val="18"/>
          <w:color w:val="auto"/>
        </w:rPr>
        <w:t>. Your Option is subject to all the provisions of the Plan, including but not limited to the provisions in:</w:t>
      </w:r>
    </w:p>
    <w:p>
      <w:pPr>
        <w:spacing w:after="0" w:line="121" w:lineRule="exact"/>
        <w:rPr>
          <w:rFonts w:ascii="Arial" w:cs="Arial" w:eastAsia="Arial" w:hAnsi="Arial"/>
          <w:sz w:val="18"/>
          <w:szCs w:val="18"/>
          <w:b w:val="1"/>
          <w:bCs w:val="1"/>
          <w:color w:val="auto"/>
        </w:rPr>
      </w:pPr>
    </w:p>
    <w:p>
      <w:pPr>
        <w:ind w:left="1240" w:hanging="253"/>
        <w:spacing w:after="0"/>
        <w:tabs>
          <w:tab w:leader="none" w:pos="1240" w:val="left"/>
        </w:tabs>
        <w:numPr>
          <w:ilvl w:val="1"/>
          <w:numId w:val="349"/>
        </w:numPr>
        <w:rPr>
          <w:rFonts w:ascii="Arial" w:cs="Arial" w:eastAsia="Arial" w:hAnsi="Arial"/>
          <w:sz w:val="17"/>
          <w:szCs w:val="17"/>
          <w:b w:val="1"/>
          <w:bCs w:val="1"/>
          <w:color w:val="auto"/>
        </w:rPr>
      </w:pPr>
      <w:r>
        <w:rPr>
          <w:rFonts w:ascii="Arial" w:cs="Arial" w:eastAsia="Arial" w:hAnsi="Arial"/>
          <w:sz w:val="17"/>
          <w:szCs w:val="17"/>
          <w:color w:val="auto"/>
        </w:rPr>
        <w:t>Section 6 regarding the impact of a Capitalization Adjustment, dissolution, liquidation, or Corporate Transaction on your Option;</w:t>
      </w:r>
    </w:p>
    <w:p>
      <w:pPr>
        <w:spacing w:after="0" w:line="128" w:lineRule="exact"/>
        <w:rPr>
          <w:rFonts w:ascii="Arial" w:cs="Arial" w:eastAsia="Arial" w:hAnsi="Arial"/>
          <w:sz w:val="17"/>
          <w:szCs w:val="17"/>
          <w:b w:val="1"/>
          <w:bCs w:val="1"/>
          <w:color w:val="auto"/>
        </w:rPr>
      </w:pPr>
    </w:p>
    <w:p>
      <w:pPr>
        <w:ind w:left="1260" w:hanging="273"/>
        <w:spacing w:after="0"/>
        <w:tabs>
          <w:tab w:leader="none" w:pos="1260" w:val="left"/>
        </w:tabs>
        <w:numPr>
          <w:ilvl w:val="1"/>
          <w:numId w:val="349"/>
        </w:numPr>
        <w:rPr>
          <w:rFonts w:ascii="Arial" w:cs="Arial" w:eastAsia="Arial" w:hAnsi="Arial"/>
          <w:sz w:val="16"/>
          <w:szCs w:val="16"/>
          <w:b w:val="1"/>
          <w:bCs w:val="1"/>
          <w:color w:val="auto"/>
        </w:rPr>
      </w:pPr>
      <w:r>
        <w:rPr>
          <w:rFonts w:ascii="Arial" w:cs="Arial" w:eastAsia="Arial" w:hAnsi="Arial"/>
          <w:sz w:val="16"/>
          <w:szCs w:val="16"/>
          <w:color w:val="auto"/>
        </w:rPr>
        <w:t>Section 9(e) regarding the Company’s retained rights to terminate your Continuous Service notwithstanding the grant of the Option;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03" w:lineRule="exact"/>
        <w:rPr>
          <w:sz w:val="20"/>
          <w:szCs w:val="20"/>
          <w:color w:val="auto"/>
        </w:rPr>
      </w:pPr>
    </w:p>
    <w:p>
      <w:pPr>
        <w:ind w:left="1240" w:hanging="253"/>
        <w:spacing w:after="0"/>
        <w:tabs>
          <w:tab w:leader="none" w:pos="1240" w:val="left"/>
        </w:tabs>
        <w:numPr>
          <w:ilvl w:val="0"/>
          <w:numId w:val="350"/>
        </w:numPr>
        <w:rPr>
          <w:rFonts w:ascii="Arial" w:cs="Arial" w:eastAsia="Arial" w:hAnsi="Arial"/>
          <w:sz w:val="18"/>
          <w:szCs w:val="18"/>
          <w:b w:val="1"/>
          <w:bCs w:val="1"/>
          <w:color w:val="auto"/>
        </w:rPr>
      </w:pPr>
      <w:r>
        <w:rPr>
          <w:rFonts w:ascii="Arial" w:cs="Arial" w:eastAsia="Arial" w:hAnsi="Arial"/>
          <w:sz w:val="18"/>
          <w:szCs w:val="18"/>
          <w:color w:val="auto"/>
        </w:rPr>
        <w:t>Section 8 regarding the tax consequences of your Option.</w:t>
      </w:r>
    </w:p>
    <w:p>
      <w:pPr>
        <w:spacing w:after="0" w:line="22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Your Option is further subject to all interpretations, amendments, rules and regulations, which may from time to time be promulgated and adopted pursuant to the Plan. In the event of any conflict between the Option Agreement and the provisions of the Plan, the provisions of the Plan shall control.</w:t>
      </w:r>
    </w:p>
    <w:p>
      <w:pPr>
        <w:spacing w:after="0" w:line="12" w:lineRule="exact"/>
        <w:rPr>
          <w:sz w:val="20"/>
          <w:szCs w:val="20"/>
          <w:color w:val="auto"/>
        </w:rPr>
      </w:pPr>
    </w:p>
    <w:p>
      <w:pPr>
        <w:ind w:left="620" w:hanging="184"/>
        <w:spacing w:after="0"/>
        <w:tabs>
          <w:tab w:leader="none" w:pos="620" w:val="left"/>
        </w:tabs>
        <w:numPr>
          <w:ilvl w:val="0"/>
          <w:numId w:val="351"/>
        </w:numPr>
        <w:rPr>
          <w:rFonts w:ascii="Arial" w:cs="Arial" w:eastAsia="Arial" w:hAnsi="Arial"/>
          <w:sz w:val="18"/>
          <w:szCs w:val="18"/>
          <w:b w:val="1"/>
          <w:bCs w:val="1"/>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ESTING</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80" w:firstLine="987"/>
        <w:spacing w:after="0" w:line="259" w:lineRule="auto"/>
        <w:tabs>
          <w:tab w:leader="none" w:pos="1246" w:val="left"/>
        </w:tabs>
        <w:numPr>
          <w:ilvl w:val="1"/>
          <w:numId w:val="351"/>
        </w:numPr>
        <w:rPr>
          <w:rFonts w:ascii="Arial" w:cs="Arial" w:eastAsia="Arial" w:hAnsi="Arial"/>
          <w:sz w:val="18"/>
          <w:szCs w:val="18"/>
          <w:b w:val="1"/>
          <w:bCs w:val="1"/>
          <w:color w:val="auto"/>
        </w:rPr>
      </w:pPr>
      <w:r>
        <w:rPr>
          <w:rFonts w:ascii="Arial" w:cs="Arial" w:eastAsia="Arial" w:hAnsi="Arial"/>
          <w:sz w:val="18"/>
          <w:szCs w:val="18"/>
          <w:color w:val="auto"/>
        </w:rPr>
        <w:t>Your Option will vest as provided in your Grant Notice, subject to the provisions contained herein and the terms of the Plan. Vesting will cease upon the termination of your Continuous Service. Notwithstanding the foregoing, if a Change in Control occurs and your Continuous Service has not terminated as of immediately prior to such Change in Control, then the vesting and exercisability of your Option will be accelerated in full upon such Change in Control.</w:t>
      </w:r>
    </w:p>
    <w:p>
      <w:pPr>
        <w:spacing w:after="0" w:line="78" w:lineRule="exact"/>
        <w:rPr>
          <w:rFonts w:ascii="Arial" w:cs="Arial" w:eastAsia="Arial" w:hAnsi="Arial"/>
          <w:sz w:val="18"/>
          <w:szCs w:val="18"/>
          <w:b w:val="1"/>
          <w:bCs w:val="1"/>
          <w:color w:val="auto"/>
        </w:rPr>
      </w:pPr>
    </w:p>
    <w:p>
      <w:pPr>
        <w:ind w:right="180" w:firstLine="987"/>
        <w:spacing w:after="0" w:line="257" w:lineRule="auto"/>
        <w:tabs>
          <w:tab w:leader="none" w:pos="1256" w:val="left"/>
        </w:tabs>
        <w:numPr>
          <w:ilvl w:val="1"/>
          <w:numId w:val="351"/>
        </w:numPr>
        <w:rPr>
          <w:rFonts w:ascii="Arial" w:cs="Arial" w:eastAsia="Arial" w:hAnsi="Arial"/>
          <w:sz w:val="18"/>
          <w:szCs w:val="18"/>
          <w:b w:val="1"/>
          <w:bCs w:val="1"/>
          <w:color w:val="auto"/>
        </w:rPr>
      </w:pPr>
      <w:r>
        <w:rPr>
          <w:rFonts w:ascii="Arial" w:cs="Arial" w:eastAsia="Arial" w:hAnsi="Arial"/>
          <w:sz w:val="18"/>
          <w:szCs w:val="18"/>
          <w:color w:val="auto"/>
        </w:rPr>
        <w:t>If any payment or benefit you would receive from the Company or otherwise in connection with a Change in Control or other similar transaction (a “</w:t>
      </w:r>
      <w:r>
        <w:rPr>
          <w:rFonts w:ascii="Arial" w:cs="Arial" w:eastAsia="Arial" w:hAnsi="Arial"/>
          <w:sz w:val="18"/>
          <w:szCs w:val="18"/>
          <w:b w:val="1"/>
          <w:bCs w:val="1"/>
          <w:i w:val="1"/>
          <w:iCs w:val="1"/>
          <w:color w:val="auto"/>
        </w:rPr>
        <w:t>280G Payment</w:t>
      </w:r>
      <w:r>
        <w:rPr>
          <w:rFonts w:ascii="Arial" w:cs="Arial" w:eastAsia="Arial" w:hAnsi="Arial"/>
          <w:sz w:val="18"/>
          <w:szCs w:val="18"/>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8"/>
          <w:szCs w:val="18"/>
          <w:b w:val="1"/>
          <w:bCs w:val="1"/>
          <w:i w:val="1"/>
          <w:iCs w:val="1"/>
          <w:color w:val="auto"/>
        </w:rPr>
        <w:t>Excise Tax</w:t>
      </w:r>
      <w:r>
        <w:rPr>
          <w:rFonts w:ascii="Arial" w:cs="Arial" w:eastAsia="Arial" w:hAnsi="Arial"/>
          <w:sz w:val="18"/>
          <w:szCs w:val="18"/>
          <w:color w:val="auto"/>
        </w:rPr>
        <w:t>”), then any such 280G Payment (a “</w:t>
      </w:r>
      <w:r>
        <w:rPr>
          <w:rFonts w:ascii="Arial" w:cs="Arial" w:eastAsia="Arial" w:hAnsi="Arial"/>
          <w:sz w:val="18"/>
          <w:szCs w:val="18"/>
          <w:b w:val="1"/>
          <w:bCs w:val="1"/>
          <w:i w:val="1"/>
          <w:iCs w:val="1"/>
          <w:color w:val="auto"/>
        </w:rPr>
        <w:t>Payment</w:t>
      </w:r>
      <w:r>
        <w:rPr>
          <w:rFonts w:ascii="Arial" w:cs="Arial" w:eastAsia="Arial" w:hAnsi="Arial"/>
          <w:sz w:val="18"/>
          <w:szCs w:val="18"/>
          <w:color w:val="auto"/>
        </w:rPr>
        <w:t>”) shall be equal to the Reduced Amount. The “</w:t>
      </w:r>
      <w:r>
        <w:rPr>
          <w:rFonts w:ascii="Arial" w:cs="Arial" w:eastAsia="Arial" w:hAnsi="Arial"/>
          <w:sz w:val="18"/>
          <w:szCs w:val="18"/>
          <w:b w:val="1"/>
          <w:bCs w:val="1"/>
          <w:i w:val="1"/>
          <w:iCs w:val="1"/>
          <w:color w:val="auto"/>
        </w:rPr>
        <w:t>Reduced Amount</w:t>
      </w:r>
      <w:r>
        <w:rPr>
          <w:rFonts w:ascii="Arial" w:cs="Arial" w:eastAsia="Arial" w:hAnsi="Arial"/>
          <w:sz w:val="18"/>
          <w:szCs w:val="18"/>
          <w:color w:val="auto"/>
        </w:rPr>
        <w:t>” shall be either (x) the largest portion of the Payment that would result in no portion of the Payment (after reduction) being subject to the Excise Tax or (y) the largest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4" w:right="439" w:bottom="1440" w:gutter="0" w:footer="0" w:header="0"/>
        </w:sectPr>
      </w:pPr>
    </w:p>
    <w:bookmarkStart w:id="419" w:name="page420"/>
    <w:bookmarkEnd w:id="419"/>
    <w:p>
      <w:pPr>
        <w:ind w:left="4"/>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your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w:t>
      </w:r>
    </w:p>
    <w:p>
      <w:pPr>
        <w:spacing w:after="0" w:line="1" w:lineRule="exact"/>
        <w:rPr>
          <w:sz w:val="20"/>
          <w:szCs w:val="20"/>
          <w:color w:val="auto"/>
        </w:rPr>
      </w:pPr>
    </w:p>
    <w:p>
      <w:pPr>
        <w:ind w:left="4" w:right="100" w:hanging="4"/>
        <w:spacing w:after="0" w:line="255" w:lineRule="auto"/>
        <w:tabs>
          <w:tab w:leader="none" w:pos="259" w:val="left"/>
        </w:tabs>
        <w:numPr>
          <w:ilvl w:val="0"/>
          <w:numId w:val="352"/>
        </w:numPr>
        <w:rPr>
          <w:rFonts w:ascii="Arial" w:cs="Arial" w:eastAsia="Arial" w:hAnsi="Arial"/>
          <w:sz w:val="18"/>
          <w:szCs w:val="18"/>
          <w:color w:val="auto"/>
        </w:rPr>
      </w:pPr>
      <w:r>
        <w:rPr>
          <w:rFonts w:ascii="Arial" w:cs="Arial" w:eastAsia="Arial" w:hAnsi="Arial"/>
          <w:sz w:val="18"/>
          <w:szCs w:val="18"/>
          <w:color w:val="auto"/>
        </w:rPr>
        <w:t>of the preceding sentence, the reduction shall occur in the manner (the “</w:t>
      </w:r>
      <w:r>
        <w:rPr>
          <w:rFonts w:ascii="Arial" w:cs="Arial" w:eastAsia="Arial" w:hAnsi="Arial"/>
          <w:sz w:val="18"/>
          <w:szCs w:val="18"/>
          <w:b w:val="1"/>
          <w:bCs w:val="1"/>
          <w:i w:val="1"/>
          <w:iCs w:val="1"/>
          <w:color w:val="auto"/>
        </w:rPr>
        <w:t>Reduction Method</w:t>
      </w:r>
      <w:r>
        <w:rPr>
          <w:rFonts w:ascii="Arial" w:cs="Arial" w:eastAsia="Arial" w:hAnsi="Arial"/>
          <w:sz w:val="18"/>
          <w:szCs w:val="18"/>
          <w:color w:val="auto"/>
        </w:rPr>
        <w:t>”) that results in the greatest economic benefit for you. If more than one method of reduction will result in the same economic benefit, the items so reduced will be reduced pro rata (the “</w:t>
      </w:r>
      <w:r>
        <w:rPr>
          <w:rFonts w:ascii="Arial" w:cs="Arial" w:eastAsia="Arial" w:hAnsi="Arial"/>
          <w:sz w:val="18"/>
          <w:szCs w:val="18"/>
          <w:b w:val="1"/>
          <w:bCs w:val="1"/>
          <w:i w:val="1"/>
          <w:iCs w:val="1"/>
          <w:color w:val="auto"/>
        </w:rPr>
        <w:t>Pro Rata Reduction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Method</w:t>
      </w:r>
      <w:r>
        <w:rPr>
          <w:rFonts w:ascii="Arial" w:cs="Arial" w:eastAsia="Arial" w:hAnsi="Arial"/>
          <w:sz w:val="18"/>
          <w:szCs w:val="18"/>
          <w:color w:val="auto"/>
        </w:rPr>
        <w:t>”).</w:t>
      </w:r>
    </w:p>
    <w:p>
      <w:pPr>
        <w:spacing w:after="0" w:line="190" w:lineRule="exact"/>
        <w:rPr>
          <w:sz w:val="20"/>
          <w:szCs w:val="20"/>
          <w:color w:val="auto"/>
        </w:rPr>
      </w:pPr>
    </w:p>
    <w:p>
      <w:pPr>
        <w:ind w:left="4" w:right="40" w:firstLine="440"/>
        <w:spacing w:after="0" w:line="271" w:lineRule="auto"/>
        <w:rPr>
          <w:sz w:val="20"/>
          <w:szCs w:val="20"/>
          <w:color w:val="auto"/>
        </w:rPr>
      </w:pPr>
      <w:r>
        <w:rPr>
          <w:rFonts w:ascii="Arial" w:cs="Arial" w:eastAsia="Arial" w:hAnsi="Arial"/>
          <w:sz w:val="17"/>
          <w:szCs w:val="17"/>
          <w:color w:val="auto"/>
        </w:rPr>
        <w:t>Notwithstanding the foregoing, if the Reduction Method or the Pro Rata Reduction Method would result in any portion of the Payment being subject to taxes pursuant to Section 409A of the Code that would not otherwise be subject to taxes pursuant to Section 409A of the Code, then the Reduction Method and/or the Pro Rata Reduction Method, as the case may be, shall be modified so as to avoid the imposition of taxes pursuant to Section 409A of the Code as follows: (A) as a first priority, the modification shall preserve to the greatest extent possible, the greatest economic benefit for you as determined on an after-tax basis; (B) as a second priority, Payments that are contingent on future events (e.g., being terminated without cause), shall be reduced (or eliminated) before Payments that are not contingent on future events; and (C) as a third priority, Payments that are “deferred compensation” within the meaning of Section 409A of the Code shall be reduced (or eliminated) before Payments that are not deferred compensation within the meaning of Section 409A of the Code.</w:t>
      </w:r>
    </w:p>
    <w:p>
      <w:pPr>
        <w:spacing w:after="0" w:line="178" w:lineRule="exact"/>
        <w:rPr>
          <w:sz w:val="20"/>
          <w:szCs w:val="20"/>
          <w:color w:val="auto"/>
        </w:rPr>
      </w:pPr>
    </w:p>
    <w:p>
      <w:pPr>
        <w:ind w:left="4" w:firstLine="440"/>
        <w:spacing w:after="0" w:line="290" w:lineRule="auto"/>
        <w:rPr>
          <w:sz w:val="20"/>
          <w:szCs w:val="20"/>
          <w:color w:val="auto"/>
        </w:rPr>
      </w:pPr>
      <w:r>
        <w:rPr>
          <w:rFonts w:ascii="Arial" w:cs="Arial" w:eastAsia="Arial" w:hAnsi="Arial"/>
          <w:sz w:val="16"/>
          <w:szCs w:val="16"/>
          <w:color w:val="auto"/>
        </w:rPr>
        <w:t>Unless you and the Company agree on an alternative accounting firm, the accounting firm engaged by the Company for general tax compliance purposes as of the day prior to the effective date of the change of control transaction triggering the Payment shall perform the foregoing calculations. If the accounting firm so engaged by the Company is serving as accountant or auditor for the individual, entity or group effecting the change of control transaction, the Company shall appoint a nationally recognized accounting firm to make the determinations required hereunder. The Company shall bear all expenses with respect to the determinations by such accounting firm required to be made hereunder. The Company shall use commercially reasonable efforts to cause the accounting firm engaged to make the determinations hereunder to provide its calculations, together with detailed supporting documentation, to you and the Company within fifteen (15) calendar days after the date on which your right to a 280G Payment becomes reasonably likely to occur (if requested at that time by you or the Company) or such other time as requested by you or the Company.</w:t>
      </w:r>
    </w:p>
    <w:p>
      <w:pPr>
        <w:spacing w:after="0" w:line="165" w:lineRule="exact"/>
        <w:rPr>
          <w:sz w:val="20"/>
          <w:szCs w:val="20"/>
          <w:color w:val="auto"/>
        </w:rPr>
      </w:pPr>
    </w:p>
    <w:p>
      <w:pPr>
        <w:ind w:left="4" w:right="40" w:firstLine="440"/>
        <w:spacing w:after="0" w:line="296" w:lineRule="auto"/>
        <w:rPr>
          <w:sz w:val="20"/>
          <w:szCs w:val="20"/>
          <w:color w:val="auto"/>
        </w:rPr>
      </w:pPr>
      <w:r>
        <w:rPr>
          <w:rFonts w:ascii="Arial" w:cs="Arial" w:eastAsia="Arial" w:hAnsi="Arial"/>
          <w:sz w:val="16"/>
          <w:szCs w:val="16"/>
          <w:color w:val="auto"/>
        </w:rPr>
        <w:t>If you receive a Payment for which the Reduced Amount was determined pursuant to clause (x) of the first paragraph of this Section 2(b) and the Internal Revenue Service determines thereafter that some portion of the Payment is subject to the Excise Tax, you shall promptly return to the Company a sufficient amount of the Payment (after reduction pursuant to clause (x) of the first paragraph of this Section 2(b) so that no portion of the remaining Payment is subject to the Excise Tax. For the avoidance of doubt, if the Reduced Amount was determined pursuant to clause (y) in the first paragraph of this Section 2(b), you shall have no obligation to return any portion of the Payment pursuant to the preceding sentence.</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420" w:name="page421"/>
    <w:bookmarkEnd w:id="420"/>
    <w:p>
      <w:pPr>
        <w:ind w:left="624" w:hanging="184"/>
        <w:spacing w:after="0"/>
        <w:tabs>
          <w:tab w:leader="none" w:pos="624" w:val="left"/>
        </w:tabs>
        <w:numPr>
          <w:ilvl w:val="0"/>
          <w:numId w:val="35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right="140" w:firstLine="987"/>
        <w:spacing w:after="0" w:line="279" w:lineRule="auto"/>
        <w:tabs>
          <w:tab w:leader="none" w:pos="1250" w:val="left"/>
        </w:tabs>
        <w:numPr>
          <w:ilvl w:val="1"/>
          <w:numId w:val="353"/>
        </w:numPr>
        <w:rPr>
          <w:rFonts w:ascii="Arial" w:cs="Arial" w:eastAsia="Arial" w:hAnsi="Arial"/>
          <w:sz w:val="17"/>
          <w:szCs w:val="17"/>
          <w:b w:val="1"/>
          <w:bCs w:val="1"/>
          <w:color w:val="auto"/>
        </w:rPr>
      </w:pPr>
      <w:r>
        <w:rPr>
          <w:rFonts w:ascii="Arial" w:cs="Arial" w:eastAsia="Arial" w:hAnsi="Arial"/>
          <w:sz w:val="17"/>
          <w:szCs w:val="17"/>
          <w:color w:val="auto"/>
        </w:rPr>
        <w:t>You may generally exercise the vested portion of your Option for whole shares of Common Stock at any time during its term by delivery of payment of the exercise price and applicable withholding taxes and other required documentation to the Plan Administrator in accordance with the exercise procedures established by the Plan Administrator, which may include an electronic submission. Please review Sections 4(i), 4(j) and 7(b)(v) of the Plan, which may restrict or prohibit your ability to exercise your Option during certain periods.</w:t>
      </w:r>
    </w:p>
    <w:p>
      <w:pPr>
        <w:spacing w:after="0" w:line="63" w:lineRule="exact"/>
        <w:rPr>
          <w:rFonts w:ascii="Arial" w:cs="Arial" w:eastAsia="Arial" w:hAnsi="Arial"/>
          <w:sz w:val="17"/>
          <w:szCs w:val="17"/>
          <w:b w:val="1"/>
          <w:bCs w:val="1"/>
          <w:color w:val="auto"/>
        </w:rPr>
      </w:pPr>
    </w:p>
    <w:p>
      <w:pPr>
        <w:ind w:left="1264" w:hanging="273"/>
        <w:spacing w:after="0"/>
        <w:tabs>
          <w:tab w:leader="none" w:pos="1264" w:val="left"/>
        </w:tabs>
        <w:numPr>
          <w:ilvl w:val="1"/>
          <w:numId w:val="353"/>
        </w:numPr>
        <w:rPr>
          <w:rFonts w:ascii="Arial" w:cs="Arial" w:eastAsia="Arial" w:hAnsi="Arial"/>
          <w:sz w:val="18"/>
          <w:szCs w:val="18"/>
          <w:b w:val="1"/>
          <w:bCs w:val="1"/>
          <w:color w:val="auto"/>
        </w:rPr>
      </w:pPr>
      <w:r>
        <w:rPr>
          <w:rFonts w:ascii="Arial" w:cs="Arial" w:eastAsia="Arial" w:hAnsi="Arial"/>
          <w:sz w:val="18"/>
          <w:szCs w:val="18"/>
          <w:color w:val="auto"/>
        </w:rPr>
        <w:t>To the extent permitted by Applicable Law, you may pay your Option exercise price as follows:</w:t>
      </w:r>
    </w:p>
    <w:p>
      <w:pPr>
        <w:spacing w:after="0" w:line="117" w:lineRule="exact"/>
        <w:rPr>
          <w:rFonts w:ascii="Arial" w:cs="Arial" w:eastAsia="Arial" w:hAnsi="Arial"/>
          <w:sz w:val="18"/>
          <w:szCs w:val="18"/>
          <w:b w:val="1"/>
          <w:bCs w:val="1"/>
          <w:color w:val="auto"/>
        </w:rPr>
      </w:pPr>
    </w:p>
    <w:p>
      <w:pPr>
        <w:ind w:left="1644" w:hanging="212"/>
        <w:spacing w:after="0"/>
        <w:tabs>
          <w:tab w:leader="none" w:pos="1644" w:val="left"/>
        </w:tabs>
        <w:numPr>
          <w:ilvl w:val="2"/>
          <w:numId w:val="353"/>
        </w:numPr>
        <w:rPr>
          <w:rFonts w:ascii="Arial" w:cs="Arial" w:eastAsia="Arial" w:hAnsi="Arial"/>
          <w:sz w:val="18"/>
          <w:szCs w:val="18"/>
          <w:b w:val="1"/>
          <w:bCs w:val="1"/>
          <w:color w:val="auto"/>
        </w:rPr>
      </w:pPr>
      <w:r>
        <w:rPr>
          <w:rFonts w:ascii="Arial" w:cs="Arial" w:eastAsia="Arial" w:hAnsi="Arial"/>
          <w:sz w:val="18"/>
          <w:szCs w:val="18"/>
          <w:color w:val="auto"/>
        </w:rPr>
        <w:t>cash, check, bank draft or money order;</w:t>
      </w:r>
    </w:p>
    <w:p>
      <w:pPr>
        <w:spacing w:after="0" w:line="117" w:lineRule="exact"/>
        <w:rPr>
          <w:rFonts w:ascii="Arial" w:cs="Arial" w:eastAsia="Arial" w:hAnsi="Arial"/>
          <w:sz w:val="18"/>
          <w:szCs w:val="18"/>
          <w:b w:val="1"/>
          <w:bCs w:val="1"/>
          <w:color w:val="auto"/>
        </w:rPr>
      </w:pPr>
    </w:p>
    <w:p>
      <w:pPr>
        <w:ind w:left="4" w:right="380" w:firstLine="1428"/>
        <w:spacing w:after="0" w:line="277" w:lineRule="auto"/>
        <w:tabs>
          <w:tab w:leader="none" w:pos="1701" w:val="left"/>
        </w:tabs>
        <w:numPr>
          <w:ilvl w:val="2"/>
          <w:numId w:val="353"/>
        </w:numPr>
        <w:rPr>
          <w:rFonts w:ascii="Arial" w:cs="Arial" w:eastAsia="Arial" w:hAnsi="Arial"/>
          <w:sz w:val="18"/>
          <w:szCs w:val="18"/>
          <w:b w:val="1"/>
          <w:bCs w:val="1"/>
          <w:color w:val="auto"/>
        </w:rPr>
      </w:pPr>
      <w:r>
        <w:rPr>
          <w:rFonts w:ascii="Arial" w:cs="Arial" w:eastAsia="Arial" w:hAnsi="Arial"/>
          <w:sz w:val="18"/>
          <w:szCs w:val="18"/>
          <w:color w:val="auto"/>
        </w:rPr>
        <w:t>subject to Company and/or Committee consent at the time of exercise, pursuant to a “cashless exercise” program as further described in Section 4(c)(ii) of the Plan if at the time of exercise the Common Stock is publicly traded;</w:t>
      </w:r>
    </w:p>
    <w:p>
      <w:pPr>
        <w:spacing w:after="0" w:line="62" w:lineRule="exact"/>
        <w:rPr>
          <w:rFonts w:ascii="Arial" w:cs="Arial" w:eastAsia="Arial" w:hAnsi="Arial"/>
          <w:sz w:val="18"/>
          <w:szCs w:val="18"/>
          <w:b w:val="1"/>
          <w:bCs w:val="1"/>
          <w:color w:val="auto"/>
        </w:rPr>
      </w:pPr>
    </w:p>
    <w:p>
      <w:pPr>
        <w:ind w:left="4" w:right="320" w:firstLine="1428"/>
        <w:spacing w:after="0" w:line="277" w:lineRule="auto"/>
        <w:tabs>
          <w:tab w:leader="none" w:pos="1751" w:val="left"/>
        </w:tabs>
        <w:numPr>
          <w:ilvl w:val="2"/>
          <w:numId w:val="353"/>
        </w:numPr>
        <w:rPr>
          <w:rFonts w:ascii="Arial" w:cs="Arial" w:eastAsia="Arial" w:hAnsi="Arial"/>
          <w:sz w:val="18"/>
          <w:szCs w:val="18"/>
          <w:b w:val="1"/>
          <w:bCs w:val="1"/>
          <w:color w:val="auto"/>
        </w:rPr>
      </w:pPr>
      <w:r>
        <w:rPr>
          <w:rFonts w:ascii="Arial" w:cs="Arial" w:eastAsia="Arial" w:hAnsi="Arial"/>
          <w:sz w:val="18"/>
          <w:szCs w:val="18"/>
          <w:color w:val="auto"/>
        </w:rPr>
        <w:t>subject to Company and/or Committee consent at the time of exercise, by delivery of previously owned shares of Common Stock as further described in Section 4(c)(iii) of the Plan; or</w:t>
      </w:r>
    </w:p>
    <w:p>
      <w:pPr>
        <w:spacing w:after="0" w:line="62" w:lineRule="exact"/>
        <w:rPr>
          <w:rFonts w:ascii="Arial" w:cs="Arial" w:eastAsia="Arial" w:hAnsi="Arial"/>
          <w:sz w:val="18"/>
          <w:szCs w:val="18"/>
          <w:b w:val="1"/>
          <w:bCs w:val="1"/>
          <w:color w:val="auto"/>
        </w:rPr>
      </w:pPr>
    </w:p>
    <w:p>
      <w:pPr>
        <w:ind w:left="4" w:right="140" w:firstLine="1428"/>
        <w:spacing w:after="0" w:line="277" w:lineRule="auto"/>
        <w:tabs>
          <w:tab w:leader="none" w:pos="1741" w:val="left"/>
        </w:tabs>
        <w:numPr>
          <w:ilvl w:val="2"/>
          <w:numId w:val="353"/>
        </w:numPr>
        <w:rPr>
          <w:rFonts w:ascii="Arial" w:cs="Arial" w:eastAsia="Arial" w:hAnsi="Arial"/>
          <w:sz w:val="18"/>
          <w:szCs w:val="18"/>
          <w:b w:val="1"/>
          <w:bCs w:val="1"/>
          <w:color w:val="auto"/>
        </w:rPr>
      </w:pPr>
      <w:r>
        <w:rPr>
          <w:rFonts w:ascii="Arial" w:cs="Arial" w:eastAsia="Arial" w:hAnsi="Arial"/>
          <w:sz w:val="18"/>
          <w:szCs w:val="18"/>
          <w:color w:val="auto"/>
        </w:rPr>
        <w:t>subject to Company and/or Committee consent at the time of exercise, if the Option is a Nonstatutory Stock Option, by a “net exercise” arrangement as further described in Section 4(c)(iv) of the Plan.</w:t>
      </w:r>
    </w:p>
    <w:p>
      <w:pPr>
        <w:spacing w:after="0" w:line="58" w:lineRule="exact"/>
        <w:rPr>
          <w:rFonts w:ascii="Arial" w:cs="Arial" w:eastAsia="Arial" w:hAnsi="Arial"/>
          <w:sz w:val="18"/>
          <w:szCs w:val="18"/>
          <w:b w:val="1"/>
          <w:bCs w:val="1"/>
          <w:color w:val="auto"/>
        </w:rPr>
      </w:pPr>
    </w:p>
    <w:p>
      <w:pPr>
        <w:ind w:left="624" w:hanging="184"/>
        <w:spacing w:after="0"/>
        <w:tabs>
          <w:tab w:leader="none" w:pos="624" w:val="left"/>
        </w:tabs>
        <w:numPr>
          <w:ilvl w:val="0"/>
          <w:numId w:val="353"/>
        </w:numPr>
        <w:rPr>
          <w:rFonts w:ascii="Arial" w:cs="Arial" w:eastAsia="Arial" w:hAnsi="Arial"/>
          <w:sz w:val="16"/>
          <w:szCs w:val="16"/>
          <w:b w:val="1"/>
          <w:bCs w:val="1"/>
          <w:color w:val="auto"/>
        </w:rPr>
      </w:pPr>
      <w:r>
        <w:rPr>
          <w:rFonts w:ascii="Arial" w:cs="Arial" w:eastAsia="Arial" w:hAnsi="Arial"/>
          <w:sz w:val="16"/>
          <w:szCs w:val="16"/>
          <w:b w:val="1"/>
          <w:bCs w:val="1"/>
          <w:color w:val="auto"/>
        </w:rPr>
        <w:t>T</w:t>
      </w:r>
      <w:r>
        <w:rPr>
          <w:rFonts w:ascii="Arial" w:cs="Arial" w:eastAsia="Arial" w:hAnsi="Arial"/>
          <w:sz w:val="12"/>
          <w:szCs w:val="12"/>
          <w:b w:val="1"/>
          <w:bCs w:val="1"/>
          <w:color w:val="auto"/>
        </w:rPr>
        <w:t>ERM</w:t>
      </w:r>
      <w:r>
        <w:rPr>
          <w:rFonts w:ascii="Arial" w:cs="Arial" w:eastAsia="Arial" w:hAnsi="Arial"/>
          <w:sz w:val="16"/>
          <w:szCs w:val="16"/>
          <w:color w:val="auto"/>
        </w:rPr>
        <w:t>. You may not exercise your Option before the commencement of its term or after its term expires. The term of your Option commences</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color w:val="auto"/>
        </w:rPr>
        <w:t>on the Date of Grant and expires upon the earliest of the following:</w:t>
      </w:r>
    </w:p>
    <w:p>
      <w:pPr>
        <w:spacing w:after="0" w:line="103" w:lineRule="exact"/>
        <w:rPr>
          <w:sz w:val="20"/>
          <w:szCs w:val="20"/>
          <w:color w:val="auto"/>
        </w:rPr>
      </w:pPr>
    </w:p>
    <w:p>
      <w:pPr>
        <w:ind w:left="1244" w:hanging="253"/>
        <w:spacing w:after="0"/>
        <w:tabs>
          <w:tab w:leader="none" w:pos="1244" w:val="left"/>
        </w:tabs>
        <w:numPr>
          <w:ilvl w:val="0"/>
          <w:numId w:val="354"/>
        </w:numPr>
        <w:rPr>
          <w:rFonts w:ascii="Arial" w:cs="Arial" w:eastAsia="Arial" w:hAnsi="Arial"/>
          <w:sz w:val="18"/>
          <w:szCs w:val="18"/>
          <w:b w:val="1"/>
          <w:bCs w:val="1"/>
          <w:color w:val="auto"/>
        </w:rPr>
      </w:pPr>
      <w:r>
        <w:rPr>
          <w:rFonts w:ascii="Arial" w:cs="Arial" w:eastAsia="Arial" w:hAnsi="Arial"/>
          <w:sz w:val="18"/>
          <w:szCs w:val="18"/>
          <w:color w:val="auto"/>
        </w:rPr>
        <w:t>immediately upon the termination of your Continuous Service for Cause;</w:t>
      </w:r>
    </w:p>
    <w:p>
      <w:pPr>
        <w:spacing w:after="0" w:line="117" w:lineRule="exact"/>
        <w:rPr>
          <w:rFonts w:ascii="Arial" w:cs="Arial" w:eastAsia="Arial" w:hAnsi="Arial"/>
          <w:sz w:val="18"/>
          <w:szCs w:val="18"/>
          <w:b w:val="1"/>
          <w:bCs w:val="1"/>
          <w:color w:val="auto"/>
        </w:rPr>
      </w:pPr>
    </w:p>
    <w:p>
      <w:pPr>
        <w:ind w:left="1264" w:hanging="273"/>
        <w:spacing w:after="0"/>
        <w:tabs>
          <w:tab w:leader="none" w:pos="1264" w:val="left"/>
        </w:tabs>
        <w:numPr>
          <w:ilvl w:val="0"/>
          <w:numId w:val="354"/>
        </w:numPr>
        <w:rPr>
          <w:rFonts w:ascii="Arial" w:cs="Arial" w:eastAsia="Arial" w:hAnsi="Arial"/>
          <w:sz w:val="18"/>
          <w:szCs w:val="18"/>
          <w:b w:val="1"/>
          <w:bCs w:val="1"/>
          <w:color w:val="auto"/>
        </w:rPr>
      </w:pPr>
      <w:r>
        <w:rPr>
          <w:rFonts w:ascii="Arial" w:cs="Arial" w:eastAsia="Arial" w:hAnsi="Arial"/>
          <w:sz w:val="18"/>
          <w:szCs w:val="18"/>
          <w:color w:val="auto"/>
        </w:rPr>
        <w:t>12 months after the termination of your Continuous Service;</w:t>
      </w:r>
    </w:p>
    <w:p>
      <w:pPr>
        <w:spacing w:after="0" w:line="117" w:lineRule="exact"/>
        <w:rPr>
          <w:rFonts w:ascii="Arial" w:cs="Arial" w:eastAsia="Arial" w:hAnsi="Arial"/>
          <w:sz w:val="18"/>
          <w:szCs w:val="18"/>
          <w:b w:val="1"/>
          <w:bCs w:val="1"/>
          <w:color w:val="auto"/>
        </w:rPr>
      </w:pPr>
    </w:p>
    <w:p>
      <w:pPr>
        <w:ind w:left="1244" w:hanging="253"/>
        <w:spacing w:after="0"/>
        <w:tabs>
          <w:tab w:leader="none" w:pos="1244" w:val="left"/>
        </w:tabs>
        <w:numPr>
          <w:ilvl w:val="0"/>
          <w:numId w:val="354"/>
        </w:numPr>
        <w:rPr>
          <w:rFonts w:ascii="Arial" w:cs="Arial" w:eastAsia="Arial" w:hAnsi="Arial"/>
          <w:sz w:val="16"/>
          <w:szCs w:val="16"/>
          <w:b w:val="1"/>
          <w:bCs w:val="1"/>
          <w:color w:val="auto"/>
        </w:rPr>
      </w:pPr>
      <w:r>
        <w:rPr>
          <w:rFonts w:ascii="Arial" w:cs="Arial" w:eastAsia="Arial" w:hAnsi="Arial"/>
          <w:sz w:val="16"/>
          <w:szCs w:val="16"/>
          <w:color w:val="auto"/>
        </w:rPr>
        <w:t>immediately upon a Corporate Transaction if the Board has determined that the Option will terminate in connection with a Corporate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Transaction,</w:t>
      </w:r>
    </w:p>
    <w:p>
      <w:pPr>
        <w:spacing w:after="0" w:line="103" w:lineRule="exact"/>
        <w:rPr>
          <w:sz w:val="20"/>
          <w:szCs w:val="20"/>
          <w:color w:val="auto"/>
        </w:rPr>
      </w:pPr>
    </w:p>
    <w:p>
      <w:pPr>
        <w:ind w:left="1264" w:hanging="273"/>
        <w:spacing w:after="0"/>
        <w:tabs>
          <w:tab w:leader="none" w:pos="1264" w:val="left"/>
        </w:tabs>
        <w:numPr>
          <w:ilvl w:val="0"/>
          <w:numId w:val="355"/>
        </w:numPr>
        <w:rPr>
          <w:rFonts w:ascii="Arial" w:cs="Arial" w:eastAsia="Arial" w:hAnsi="Arial"/>
          <w:sz w:val="18"/>
          <w:szCs w:val="18"/>
          <w:b w:val="1"/>
          <w:bCs w:val="1"/>
          <w:color w:val="auto"/>
        </w:rPr>
      </w:pPr>
      <w:r>
        <w:rPr>
          <w:rFonts w:ascii="Arial" w:cs="Arial" w:eastAsia="Arial" w:hAnsi="Arial"/>
          <w:sz w:val="18"/>
          <w:szCs w:val="18"/>
          <w:color w:val="auto"/>
        </w:rPr>
        <w:t>the Expiration Date indicated in your Grant Notice; or</w:t>
      </w:r>
    </w:p>
    <w:p>
      <w:pPr>
        <w:spacing w:after="0" w:line="117" w:lineRule="exact"/>
        <w:rPr>
          <w:rFonts w:ascii="Arial" w:cs="Arial" w:eastAsia="Arial" w:hAnsi="Arial"/>
          <w:sz w:val="18"/>
          <w:szCs w:val="18"/>
          <w:b w:val="1"/>
          <w:bCs w:val="1"/>
          <w:color w:val="auto"/>
        </w:rPr>
      </w:pPr>
    </w:p>
    <w:p>
      <w:pPr>
        <w:ind w:left="1244" w:hanging="253"/>
        <w:spacing w:after="0"/>
        <w:tabs>
          <w:tab w:leader="none" w:pos="1244" w:val="left"/>
        </w:tabs>
        <w:numPr>
          <w:ilvl w:val="0"/>
          <w:numId w:val="355"/>
        </w:numPr>
        <w:rPr>
          <w:rFonts w:ascii="Arial" w:cs="Arial" w:eastAsia="Arial" w:hAnsi="Arial"/>
          <w:sz w:val="18"/>
          <w:szCs w:val="18"/>
          <w:b w:val="1"/>
          <w:bCs w:val="1"/>
          <w:color w:val="auto"/>
        </w:rPr>
      </w:pPr>
      <w:r>
        <w:rPr>
          <w:rFonts w:ascii="Arial" w:cs="Arial" w:eastAsia="Arial" w:hAnsi="Arial"/>
          <w:sz w:val="18"/>
          <w:szCs w:val="18"/>
          <w:color w:val="auto"/>
        </w:rPr>
        <w:t>the day before the 10th anniversary of the Date of Grant.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color w:val="auto"/>
        </w:rPr>
        <w:t>Notwithstanding the foregoing, if you die during the period provided in Section 4(b) above, the term of your Option shall not expire until the earlier of</w:t>
      </w:r>
    </w:p>
    <w:p>
      <w:pPr>
        <w:spacing w:after="0" w:line="46" w:lineRule="exact"/>
        <w:rPr>
          <w:sz w:val="20"/>
          <w:szCs w:val="20"/>
          <w:color w:val="auto"/>
        </w:rPr>
      </w:pPr>
    </w:p>
    <w:p>
      <w:pPr>
        <w:jc w:val="both"/>
        <w:ind w:left="4" w:hanging="4"/>
        <w:spacing w:after="0" w:line="255" w:lineRule="auto"/>
        <w:tabs>
          <w:tab w:leader="none" w:pos="219" w:val="left"/>
        </w:tabs>
        <w:numPr>
          <w:ilvl w:val="0"/>
          <w:numId w:val="356"/>
        </w:numPr>
        <w:rPr>
          <w:rFonts w:ascii="Arial" w:cs="Arial" w:eastAsia="Arial" w:hAnsi="Arial"/>
          <w:sz w:val="18"/>
          <w:szCs w:val="18"/>
          <w:color w:val="auto"/>
        </w:rPr>
      </w:pPr>
      <w:r>
        <w:rPr>
          <w:rFonts w:ascii="Arial" w:cs="Arial" w:eastAsia="Arial" w:hAnsi="Arial"/>
          <w:sz w:val="18"/>
          <w:szCs w:val="18"/>
          <w:color w:val="auto"/>
        </w:rPr>
        <w:t>12 months after your death, (ii) upon any termination of the Option in connection with a Corporate Transaction, (iii) the Expiration Date indicated in your Grant Notice, or (iv) the day before the tenth anniversary of the Date of Grant. Additionally, the Post-Termination Exercise Period of your Option may be extended as provided in Section 4(i) of the Plan.</w:t>
      </w:r>
    </w:p>
    <w:p>
      <w:pPr>
        <w:spacing w:after="0" w:line="122"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4"/>
          </w:cols>
          <w:pgMar w:left="436" w:top="270" w:right="539" w:bottom="1440" w:gutter="0" w:footer="0" w:header="0"/>
        </w:sectPr>
      </w:pPr>
    </w:p>
    <w:bookmarkStart w:id="421" w:name="page422"/>
    <w:bookmarkEnd w:id="421"/>
    <w:p>
      <w:pPr>
        <w:ind w:right="140" w:firstLine="436"/>
        <w:spacing w:after="0" w:line="270" w:lineRule="auto"/>
        <w:tabs>
          <w:tab w:leader="none" w:pos="620" w:val="left"/>
        </w:tabs>
        <w:numPr>
          <w:ilvl w:val="0"/>
          <w:numId w:val="357"/>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w:t>
      </w:r>
      <w:r>
        <w:rPr>
          <w:rFonts w:ascii="Arial" w:cs="Arial" w:eastAsia="Arial" w:hAnsi="Arial"/>
          <w:sz w:val="13"/>
          <w:szCs w:val="13"/>
          <w:b w:val="1"/>
          <w:bCs w:val="1"/>
          <w:color w:val="auto"/>
        </w:rPr>
        <w:t>ITHHOLDING</w:t>
      </w:r>
      <w:r>
        <w:rPr>
          <w:rFonts w:ascii="Arial" w:cs="Arial" w:eastAsia="Arial" w:hAnsi="Arial"/>
          <w:sz w:val="17"/>
          <w:szCs w:val="17"/>
          <w:b w:val="1"/>
          <w:bCs w:val="1"/>
          <w:color w:val="auto"/>
        </w:rPr>
        <w:t xml:space="preserve"> O</w:t>
      </w:r>
      <w:r>
        <w:rPr>
          <w:rFonts w:ascii="Arial" w:cs="Arial" w:eastAsia="Arial" w:hAnsi="Arial"/>
          <w:sz w:val="13"/>
          <w:szCs w:val="13"/>
          <w:b w:val="1"/>
          <w:bCs w:val="1"/>
          <w:color w:val="auto"/>
        </w:rPr>
        <w:t>BLIGATIONS</w:t>
      </w:r>
      <w:r>
        <w:rPr>
          <w:rFonts w:ascii="Arial" w:cs="Arial" w:eastAsia="Arial" w:hAnsi="Arial"/>
          <w:sz w:val="17"/>
          <w:szCs w:val="17"/>
          <w:color w:val="auto"/>
        </w:rPr>
        <w:t>. As further provided in Section 8 of the Plan: (a) you may not exercise your Option unless the applicable tax</w:t>
      </w:r>
      <w:r>
        <w:rPr>
          <w:rFonts w:ascii="Arial" w:cs="Arial" w:eastAsia="Arial" w:hAnsi="Arial"/>
          <w:sz w:val="17"/>
          <w:szCs w:val="17"/>
          <w:b w:val="1"/>
          <w:bCs w:val="1"/>
          <w:color w:val="auto"/>
        </w:rPr>
        <w:t xml:space="preserve"> </w:t>
      </w:r>
      <w:r>
        <w:rPr>
          <w:rFonts w:ascii="Arial" w:cs="Arial" w:eastAsia="Arial" w:hAnsi="Arial"/>
          <w:sz w:val="17"/>
          <w:szCs w:val="17"/>
          <w:color w:val="auto"/>
        </w:rPr>
        <w:t>withholding obligations are satisfied, and (b) 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if any, which arise in connection with the exercise of your Option in accordance with the withholding procedures established by the Company. Accordingly, you may not be able to exercise your Option even though the Option is vested, and the Company shall have no obligation to issue shares of Common Stock subject to your Option, unless and until such obligations are satisfied. In the event that the amount of the Company’s withholding obligation in connection with your Option was greater than the amount actually withheld by the Company, you agree to indemnify and hold the Company harmless from any failure by the Company to withhold the proper amount.</w:t>
      </w:r>
    </w:p>
    <w:p>
      <w:pPr>
        <w:spacing w:after="0" w:line="176" w:lineRule="exact"/>
        <w:rPr>
          <w:rFonts w:ascii="Arial" w:cs="Arial" w:eastAsia="Arial" w:hAnsi="Arial"/>
          <w:sz w:val="17"/>
          <w:szCs w:val="17"/>
          <w:b w:val="1"/>
          <w:bCs w:val="1"/>
          <w:color w:val="auto"/>
        </w:rPr>
      </w:pPr>
    </w:p>
    <w:p>
      <w:pPr>
        <w:ind w:right="420" w:firstLine="436"/>
        <w:spacing w:after="0" w:line="282" w:lineRule="auto"/>
        <w:tabs>
          <w:tab w:leader="none" w:pos="620" w:val="left"/>
        </w:tabs>
        <w:numPr>
          <w:ilvl w:val="0"/>
          <w:numId w:val="357"/>
        </w:numPr>
        <w:rPr>
          <w:rFonts w:ascii="Arial" w:cs="Arial" w:eastAsia="Arial" w:hAnsi="Arial"/>
          <w:sz w:val="18"/>
          <w:szCs w:val="18"/>
          <w:b w:val="1"/>
          <w:bCs w:val="1"/>
          <w:color w:val="auto"/>
        </w:rPr>
      </w:pPr>
      <w:r>
        <w:rPr>
          <w:rFonts w:ascii="Arial" w:cs="Arial" w:eastAsia="Arial" w:hAnsi="Arial"/>
          <w:sz w:val="18"/>
          <w:szCs w:val="18"/>
          <w:b w:val="1"/>
          <w:bCs w:val="1"/>
          <w:color w:val="auto"/>
        </w:rPr>
        <w:t>TRANSFERABILITY</w:t>
      </w:r>
      <w:r>
        <w:rPr>
          <w:rFonts w:ascii="Arial" w:cs="Arial" w:eastAsia="Arial" w:hAnsi="Arial"/>
          <w:sz w:val="18"/>
          <w:szCs w:val="18"/>
          <w:color w:val="auto"/>
        </w:rPr>
        <w:t>. Except as otherwise provided in Section 4(e) of the Plan, your Option is not transferable, except by will or by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laws of descent and distribution, and is exercisable during your life only by you.</w:t>
      </w:r>
    </w:p>
    <w:p>
      <w:pPr>
        <w:spacing w:after="0" w:line="161" w:lineRule="exact"/>
        <w:rPr>
          <w:rFonts w:ascii="Arial" w:cs="Arial" w:eastAsia="Arial" w:hAnsi="Arial"/>
          <w:sz w:val="18"/>
          <w:szCs w:val="18"/>
          <w:b w:val="1"/>
          <w:bCs w:val="1"/>
          <w:color w:val="auto"/>
        </w:rPr>
      </w:pPr>
    </w:p>
    <w:p>
      <w:pPr>
        <w:ind w:right="360" w:firstLine="436"/>
        <w:spacing w:after="0" w:line="266" w:lineRule="auto"/>
        <w:tabs>
          <w:tab w:leader="none" w:pos="620" w:val="left"/>
        </w:tabs>
        <w:numPr>
          <w:ilvl w:val="0"/>
          <w:numId w:val="357"/>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TRANSACTION</w:t>
      </w:r>
      <w:r>
        <w:rPr>
          <w:rFonts w:ascii="Arial" w:cs="Arial" w:eastAsia="Arial" w:hAnsi="Arial"/>
          <w:sz w:val="18"/>
          <w:szCs w:val="18"/>
          <w:color w:val="auto"/>
        </w:rPr>
        <w:t>. Your Option is subject to the terms of any agreement governing a Corporate Transaction involving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including, without limitation, a provision for the appointment of a stockholder representative that is authorized to act on your behalf with respect to any escrow, indemnities and any contingent consideration.</w:t>
      </w:r>
    </w:p>
    <w:p>
      <w:pPr>
        <w:spacing w:after="0" w:line="175" w:lineRule="exact"/>
        <w:rPr>
          <w:rFonts w:ascii="Arial" w:cs="Arial" w:eastAsia="Arial" w:hAnsi="Arial"/>
          <w:sz w:val="18"/>
          <w:szCs w:val="18"/>
          <w:b w:val="1"/>
          <w:bCs w:val="1"/>
          <w:color w:val="auto"/>
        </w:rPr>
      </w:pPr>
    </w:p>
    <w:p>
      <w:pPr>
        <w:ind w:firstLine="436"/>
        <w:spacing w:after="0" w:line="291" w:lineRule="auto"/>
        <w:tabs>
          <w:tab w:leader="none" w:pos="620" w:val="left"/>
        </w:tabs>
        <w:numPr>
          <w:ilvl w:val="0"/>
          <w:numId w:val="357"/>
        </w:numPr>
        <w:rPr>
          <w:rFonts w:ascii="Arial" w:cs="Arial" w:eastAsia="Arial" w:hAnsi="Arial"/>
          <w:sz w:val="16"/>
          <w:szCs w:val="16"/>
          <w:b w:val="1"/>
          <w:bCs w:val="1"/>
          <w:color w:val="auto"/>
        </w:rPr>
      </w:pPr>
      <w:r>
        <w:rPr>
          <w:rFonts w:ascii="Arial" w:cs="Arial" w:eastAsia="Arial" w:hAnsi="Arial"/>
          <w:sz w:val="16"/>
          <w:szCs w:val="16"/>
          <w:b w:val="1"/>
          <w:bCs w:val="1"/>
          <w:color w:val="auto"/>
        </w:rPr>
        <w:t>N</w:t>
      </w:r>
      <w:r>
        <w:rPr>
          <w:rFonts w:ascii="Arial" w:cs="Arial" w:eastAsia="Arial" w:hAnsi="Arial"/>
          <w:sz w:val="12"/>
          <w:szCs w:val="12"/>
          <w:b w:val="1"/>
          <w:bCs w:val="1"/>
          <w:color w:val="auto"/>
        </w:rPr>
        <w:t>O</w:t>
      </w:r>
      <w:r>
        <w:rPr>
          <w:rFonts w:ascii="Arial" w:cs="Arial" w:eastAsia="Arial" w:hAnsi="Arial"/>
          <w:sz w:val="16"/>
          <w:szCs w:val="16"/>
          <w:b w:val="1"/>
          <w:bCs w:val="1"/>
          <w:color w:val="auto"/>
        </w:rPr>
        <w:t xml:space="preserve"> L</w:t>
      </w:r>
      <w:r>
        <w:rPr>
          <w:rFonts w:ascii="Arial" w:cs="Arial" w:eastAsia="Arial" w:hAnsi="Arial"/>
          <w:sz w:val="12"/>
          <w:szCs w:val="12"/>
          <w:b w:val="1"/>
          <w:bCs w:val="1"/>
          <w:color w:val="auto"/>
        </w:rPr>
        <w:t>IABILITY</w:t>
      </w:r>
      <w:r>
        <w:rPr>
          <w:rFonts w:ascii="Arial" w:cs="Arial" w:eastAsia="Arial" w:hAnsi="Arial"/>
          <w:sz w:val="16"/>
          <w:szCs w:val="16"/>
          <w:b w:val="1"/>
          <w:bCs w:val="1"/>
          <w:color w:val="auto"/>
        </w:rPr>
        <w:t xml:space="preserve"> F</w:t>
      </w:r>
      <w:r>
        <w:rPr>
          <w:rFonts w:ascii="Arial" w:cs="Arial" w:eastAsia="Arial" w:hAnsi="Arial"/>
          <w:sz w:val="12"/>
          <w:szCs w:val="12"/>
          <w:b w:val="1"/>
          <w:bCs w:val="1"/>
          <w:color w:val="auto"/>
        </w:rPr>
        <w:t>OR</w:t>
      </w:r>
      <w:r>
        <w:rPr>
          <w:rFonts w:ascii="Arial" w:cs="Arial" w:eastAsia="Arial" w:hAnsi="Arial"/>
          <w:sz w:val="16"/>
          <w:szCs w:val="16"/>
          <w:b w:val="1"/>
          <w:bCs w:val="1"/>
          <w:color w:val="auto"/>
        </w:rPr>
        <w:t xml:space="preserve"> T</w:t>
      </w:r>
      <w:r>
        <w:rPr>
          <w:rFonts w:ascii="Arial" w:cs="Arial" w:eastAsia="Arial" w:hAnsi="Arial"/>
          <w:sz w:val="12"/>
          <w:szCs w:val="12"/>
          <w:b w:val="1"/>
          <w:bCs w:val="1"/>
          <w:color w:val="auto"/>
        </w:rPr>
        <w:t>AXES</w:t>
      </w:r>
      <w:r>
        <w:rPr>
          <w:rFonts w:ascii="Arial" w:cs="Arial" w:eastAsia="Arial" w:hAnsi="Arial"/>
          <w:sz w:val="16"/>
          <w:szCs w:val="16"/>
          <w:color w:val="auto"/>
        </w:rPr>
        <w:t>. As a condition to accepting the Option, you hereby (a) agree to not make any claim against the Company,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of its Officers, Directors, Employees or Affiliates related to tax liabilities arising from the Option or other Company compensation and (b) acknowledge that you were advised to consult with your own personal tax, financial and other legal advisors regarding the tax consequences of the Option and have either done so or knowingly and voluntarily declined to do so. Additionally, you acknowledge that the Option is exempt from Section 409A only if the exercise price is at least equal to the “fair market value” of the Common Stock on the date of grant as determined by the Internal Revenue Service and there is no other impermissible deferral of compensation associated with the Option. Additionally, as a condition to accepting the Option, you agree not make any claim against the Company, or any of its Officers, Directors, Employees or Affiliates in the event that the Internal Revenue Service asserts that such exercise is less than the “fair market value” of the Common Stock on the date of grant as subsequently determined by the Internal Revenue Service.</w:t>
      </w:r>
    </w:p>
    <w:p>
      <w:pPr>
        <w:spacing w:after="0" w:line="159" w:lineRule="exact"/>
        <w:rPr>
          <w:rFonts w:ascii="Arial" w:cs="Arial" w:eastAsia="Arial" w:hAnsi="Arial"/>
          <w:sz w:val="16"/>
          <w:szCs w:val="16"/>
          <w:b w:val="1"/>
          <w:bCs w:val="1"/>
          <w:color w:val="auto"/>
        </w:rPr>
      </w:pPr>
    </w:p>
    <w:p>
      <w:pPr>
        <w:jc w:val="both"/>
        <w:ind w:right="80" w:firstLine="436"/>
        <w:spacing w:after="0" w:line="281" w:lineRule="auto"/>
        <w:tabs>
          <w:tab w:leader="none" w:pos="620" w:val="left"/>
        </w:tabs>
        <w:numPr>
          <w:ilvl w:val="0"/>
          <w:numId w:val="357"/>
        </w:numPr>
        <w:rPr>
          <w:rFonts w:ascii="Arial" w:cs="Arial" w:eastAsia="Arial" w:hAnsi="Arial"/>
          <w:sz w:val="17"/>
          <w:szCs w:val="17"/>
          <w:b w:val="1"/>
          <w:bCs w:val="1"/>
          <w:color w:val="auto"/>
        </w:rPr>
      </w:pPr>
      <w:r>
        <w:rPr>
          <w:rFonts w:ascii="Arial" w:cs="Arial" w:eastAsia="Arial" w:hAnsi="Arial"/>
          <w:sz w:val="17"/>
          <w:szCs w:val="17"/>
          <w:b w:val="1"/>
          <w:bCs w:val="1"/>
          <w:color w:val="auto"/>
        </w:rPr>
        <w:t>S</w:t>
      </w:r>
      <w:r>
        <w:rPr>
          <w:rFonts w:ascii="Arial" w:cs="Arial" w:eastAsia="Arial" w:hAnsi="Arial"/>
          <w:sz w:val="13"/>
          <w:szCs w:val="13"/>
          <w:b w:val="1"/>
          <w:bCs w:val="1"/>
          <w:color w:val="auto"/>
        </w:rPr>
        <w:t>EVERABILITY</w:t>
      </w:r>
      <w:r>
        <w:rPr>
          <w:rFonts w:ascii="Arial" w:cs="Arial" w:eastAsia="Arial" w:hAnsi="Arial"/>
          <w:sz w:val="17"/>
          <w:szCs w:val="17"/>
          <w:color w:val="auto"/>
        </w:rPr>
        <w:t>. If any part of this Option Agreement or the Plan is declared by any court or governmental authority to be unlawful or invalid,</w:t>
      </w:r>
      <w:r>
        <w:rPr>
          <w:rFonts w:ascii="Arial" w:cs="Arial" w:eastAsia="Arial" w:hAnsi="Arial"/>
          <w:sz w:val="17"/>
          <w:szCs w:val="17"/>
          <w:b w:val="1"/>
          <w:bCs w:val="1"/>
          <w:color w:val="auto"/>
        </w:rPr>
        <w:t xml:space="preserve"> </w:t>
      </w:r>
      <w:r>
        <w:rPr>
          <w:rFonts w:ascii="Arial" w:cs="Arial" w:eastAsia="Arial" w:hAnsi="Arial"/>
          <w:sz w:val="17"/>
          <w:szCs w:val="17"/>
          <w:color w:val="auto"/>
        </w:rPr>
        <w:t>such unlawfulness or invalidity will not invalidate any portion of this Option Agreement or the Plan not declared to be unlawful or invalid. Any Section of this Option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422" w:name="page423"/>
    <w:bookmarkEnd w:id="422"/>
    <w:p>
      <w:pPr>
        <w:ind w:left="-100" w:firstLine="436"/>
        <w:spacing w:after="0" w:line="347" w:lineRule="auto"/>
        <w:tabs>
          <w:tab w:leader="none" w:pos="610" w:val="left"/>
        </w:tabs>
        <w:numPr>
          <w:ilvl w:val="0"/>
          <w:numId w:val="358"/>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w:t>
      </w:r>
      <w:r>
        <w:rPr>
          <w:rFonts w:ascii="Arial" w:cs="Arial" w:eastAsia="Arial" w:hAnsi="Arial"/>
          <w:sz w:val="12"/>
          <w:szCs w:val="12"/>
          <w:b w:val="1"/>
          <w:bCs w:val="1"/>
          <w:color w:val="auto"/>
        </w:rPr>
        <w:t>THER</w:t>
      </w:r>
      <w:r>
        <w:rPr>
          <w:rFonts w:ascii="Arial" w:cs="Arial" w:eastAsia="Arial" w:hAnsi="Arial"/>
          <w:sz w:val="16"/>
          <w:szCs w:val="16"/>
          <w:b w:val="1"/>
          <w:bCs w:val="1"/>
          <w:color w:val="auto"/>
        </w:rPr>
        <w:t xml:space="preserve"> D</w:t>
      </w:r>
      <w:r>
        <w:rPr>
          <w:rFonts w:ascii="Arial" w:cs="Arial" w:eastAsia="Arial" w:hAnsi="Arial"/>
          <w:sz w:val="12"/>
          <w:szCs w:val="12"/>
          <w:b w:val="1"/>
          <w:bCs w:val="1"/>
          <w:color w:val="auto"/>
        </w:rPr>
        <w:t>OCUMENTS</w:t>
      </w:r>
      <w:r>
        <w:rPr>
          <w:rFonts w:ascii="Arial" w:cs="Arial" w:eastAsia="Arial" w:hAnsi="Arial"/>
          <w:sz w:val="16"/>
          <w:szCs w:val="16"/>
          <w:color w:val="auto"/>
        </w:rPr>
        <w:t>. You hereby acknowledge receipt of or the right to receive a document providing the information required by Rule</w:t>
      </w:r>
      <w:r>
        <w:rPr>
          <w:rFonts w:ascii="Arial" w:cs="Arial" w:eastAsia="Arial" w:hAnsi="Arial"/>
          <w:sz w:val="16"/>
          <w:szCs w:val="16"/>
          <w:b w:val="1"/>
          <w:bCs w:val="1"/>
          <w:color w:val="auto"/>
        </w:rPr>
        <w:t xml:space="preserve"> </w:t>
      </w:r>
      <w:r>
        <w:rPr>
          <w:rFonts w:ascii="Arial" w:cs="Arial" w:eastAsia="Arial" w:hAnsi="Arial"/>
          <w:sz w:val="16"/>
          <w:szCs w:val="16"/>
          <w:color w:val="auto"/>
        </w:rPr>
        <w:t>428(b)(1) promulgated under the Securities Act, which includes the Prospectus. In addition, you acknowledge receipt of the Company’s Trading Policy.</w:t>
      </w:r>
    </w:p>
    <w:p>
      <w:pPr>
        <w:spacing w:after="0" w:line="115" w:lineRule="exact"/>
        <w:rPr>
          <w:rFonts w:ascii="Arial" w:cs="Arial" w:eastAsia="Arial" w:hAnsi="Arial"/>
          <w:sz w:val="16"/>
          <w:szCs w:val="16"/>
          <w:b w:val="1"/>
          <w:bCs w:val="1"/>
          <w:color w:val="auto"/>
        </w:rPr>
      </w:pPr>
    </w:p>
    <w:p>
      <w:pPr>
        <w:ind w:left="-100" w:right="120" w:firstLine="436"/>
        <w:spacing w:after="0" w:line="282" w:lineRule="auto"/>
        <w:tabs>
          <w:tab w:leader="none" w:pos="600" w:val="left"/>
        </w:tabs>
        <w:numPr>
          <w:ilvl w:val="0"/>
          <w:numId w:val="358"/>
        </w:numPr>
        <w:rPr>
          <w:rFonts w:ascii="Arial" w:cs="Arial" w:eastAsia="Arial" w:hAnsi="Arial"/>
          <w:sz w:val="18"/>
          <w:szCs w:val="18"/>
          <w:b w:val="1"/>
          <w:bCs w:val="1"/>
          <w:color w:val="auto"/>
        </w:rPr>
      </w:pPr>
      <w:r>
        <w:rPr>
          <w:rFonts w:ascii="Arial" w:cs="Arial" w:eastAsia="Arial" w:hAnsi="Arial"/>
          <w:sz w:val="18"/>
          <w:szCs w:val="18"/>
          <w:b w:val="1"/>
          <w:bCs w:val="1"/>
          <w:color w:val="auto"/>
        </w:rPr>
        <w:t>Q</w:t>
      </w:r>
      <w:r>
        <w:rPr>
          <w:rFonts w:ascii="Arial" w:cs="Arial" w:eastAsia="Arial" w:hAnsi="Arial"/>
          <w:sz w:val="14"/>
          <w:szCs w:val="14"/>
          <w:b w:val="1"/>
          <w:bCs w:val="1"/>
          <w:color w:val="auto"/>
        </w:rPr>
        <w:t>UESTIONS</w:t>
      </w:r>
      <w:r>
        <w:rPr>
          <w:rFonts w:ascii="Arial" w:cs="Arial" w:eastAsia="Arial" w:hAnsi="Arial"/>
          <w:sz w:val="18"/>
          <w:szCs w:val="18"/>
          <w:color w:val="auto"/>
        </w:rPr>
        <w:t>. If you have questions regarding these or any other terms and conditions applicable to your Option, including a summary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federal income tax consequences please see the Prospectus.</w:t>
      </w:r>
    </w:p>
    <w:p>
      <w:pPr>
        <w:spacing w:after="0" w:line="165" w:lineRule="exact"/>
        <w:rPr>
          <w:rFonts w:ascii="Arial" w:cs="Arial" w:eastAsia="Arial" w:hAnsi="Arial"/>
          <w:sz w:val="18"/>
          <w:szCs w:val="18"/>
          <w:b w:val="1"/>
          <w:bCs w:val="1"/>
          <w:color w:val="auto"/>
        </w:rPr>
      </w:pPr>
    </w:p>
    <w:p>
      <w:pPr>
        <w:ind w:left="5160"/>
        <w:spacing w:after="0"/>
        <w:rPr>
          <w:rFonts w:ascii="Arial" w:cs="Arial" w:eastAsia="Arial" w:hAnsi="Arial"/>
          <w:sz w:val="18"/>
          <w:szCs w:val="18"/>
          <w:b w:val="1"/>
          <w:bCs w:val="1"/>
          <w:color w:val="auto"/>
        </w:rPr>
      </w:pPr>
      <w:r>
        <w:rPr>
          <w:rFonts w:ascii="Arial" w:cs="Arial" w:eastAsia="Arial" w:hAnsi="Arial"/>
          <w:sz w:val="18"/>
          <w:szCs w:val="18"/>
          <w:color w:val="auto"/>
        </w:rPr>
        <w:t>* * *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20"/>
          </w:cols>
          <w:pgMar w:left="540" w:top="270" w:right="539" w:bottom="1440" w:gutter="0" w:footer="0" w:header="0"/>
        </w:sectPr>
      </w:pPr>
    </w:p>
    <w:bookmarkStart w:id="423" w:name="page424"/>
    <w:bookmarkEnd w:id="423"/>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Non-Employee Director</w:t>
      </w:r>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TTACHMENT</w:t>
      </w:r>
      <w:r>
        <w:rPr>
          <w:rFonts w:ascii="Arial" w:cs="Arial" w:eastAsia="Arial" w:hAnsi="Arial"/>
          <w:sz w:val="18"/>
          <w:szCs w:val="18"/>
          <w:b w:val="1"/>
          <w:bCs w:val="1"/>
          <w:color w:val="auto"/>
        </w:rPr>
        <w:t xml:space="preserve"> II</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ectPr>
          <w:pgSz w:w="11900" w:h="16838" w:orient="portrait"/>
          <w:cols w:equalWidth="0" w:num="1">
            <w:col w:w="10020"/>
          </w:cols>
          <w:pgMar w:left="1440" w:top="274" w:right="439" w:bottom="1440" w:gutter="0" w:footer="0" w:header="0"/>
        </w:sectPr>
      </w:pPr>
    </w:p>
    <w:bookmarkStart w:id="424" w:name="page425"/>
    <w:bookmarkEnd w:id="424"/>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Non-Employee Director</w:t>
      </w:r>
    </w:p>
    <w:p>
      <w:pPr>
        <w:spacing w:after="0" w:line="22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TTACHMENT</w:t>
      </w:r>
      <w:r>
        <w:rPr>
          <w:rFonts w:ascii="Arial" w:cs="Arial" w:eastAsia="Arial" w:hAnsi="Arial"/>
          <w:sz w:val="18"/>
          <w:szCs w:val="18"/>
          <w:b w:val="1"/>
          <w:bCs w:val="1"/>
          <w:color w:val="auto"/>
        </w:rPr>
        <w:t xml:space="preserve"> III</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XERCISE</w:t>
      </w:r>
    </w:p>
    <w:p>
      <w:pPr>
        <w:sectPr>
          <w:pgSz w:w="11900" w:h="16838" w:orient="portrait"/>
          <w:cols w:equalWidth="0" w:num="1">
            <w:col w:w="10020"/>
          </w:cols>
          <w:pgMar w:left="1440" w:top="274" w:right="439" w:bottom="1440" w:gutter="0" w:footer="0" w:header="0"/>
        </w:sectPr>
      </w:pPr>
    </w:p>
    <w:bookmarkStart w:id="425" w:name="page426"/>
    <w:bookmarkEnd w:id="425"/>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Non-Employee Director</w:t>
      </w:r>
    </w:p>
    <w:p>
      <w:pPr>
        <w:spacing w:after="0" w:line="113"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DAGIO</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36"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XERCISE</w:t>
      </w:r>
    </w:p>
    <w:p>
      <w:pPr>
        <w:sectPr>
          <w:pgSz w:w="11900" w:h="16838" w:orient="portrait"/>
          <w:cols w:equalWidth="0" w:num="1">
            <w:col w:w="11020"/>
          </w:cols>
          <w:pgMar w:left="440" w:top="274" w:right="4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DAGIO</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303 W</w:t>
      </w:r>
      <w:r>
        <w:rPr>
          <w:rFonts w:ascii="Arial" w:cs="Arial" w:eastAsia="Arial" w:hAnsi="Arial"/>
          <w:sz w:val="13"/>
          <w:szCs w:val="13"/>
          <w:color w:val="auto"/>
        </w:rPr>
        <w:t>YMAN</w:t>
      </w:r>
      <w:r>
        <w:rPr>
          <w:rFonts w:ascii="Arial" w:cs="Arial" w:eastAsia="Arial" w:hAnsi="Arial"/>
          <w:sz w:val="17"/>
          <w:szCs w:val="17"/>
          <w:color w:val="auto"/>
        </w:rPr>
        <w:t xml:space="preserve"> S</w:t>
      </w:r>
      <w:r>
        <w:rPr>
          <w:rFonts w:ascii="Arial" w:cs="Arial" w:eastAsia="Arial" w:hAnsi="Arial"/>
          <w:sz w:val="13"/>
          <w:szCs w:val="13"/>
          <w:color w:val="auto"/>
        </w:rPr>
        <w:t>TREET</w:t>
      </w:r>
      <w:r>
        <w:rPr>
          <w:rFonts w:ascii="Arial" w:cs="Arial" w:eastAsia="Arial" w:hAnsi="Arial"/>
          <w:sz w:val="17"/>
          <w:szCs w:val="17"/>
          <w:color w:val="auto"/>
        </w:rPr>
        <w:t>, S</w:t>
      </w:r>
      <w:r>
        <w:rPr>
          <w:rFonts w:ascii="Arial" w:cs="Arial" w:eastAsia="Arial" w:hAnsi="Arial"/>
          <w:sz w:val="13"/>
          <w:szCs w:val="13"/>
          <w:color w:val="auto"/>
        </w:rPr>
        <w:t>UITE</w:t>
      </w:r>
      <w:r>
        <w:rPr>
          <w:rFonts w:ascii="Arial" w:cs="Arial" w:eastAsia="Arial" w:hAnsi="Arial"/>
          <w:sz w:val="17"/>
          <w:szCs w:val="17"/>
          <w:color w:val="auto"/>
        </w:rPr>
        <w:t xml:space="preserve"> 300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ALTHAM</w:t>
      </w:r>
      <w:r>
        <w:rPr>
          <w:rFonts w:ascii="Arial" w:cs="Arial" w:eastAsia="Arial" w:hAnsi="Arial"/>
          <w:sz w:val="18"/>
          <w:szCs w:val="18"/>
          <w:color w:val="auto"/>
        </w:rPr>
        <w:t>, MA 02451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Date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821055</wp:posOffset>
            </wp:positionH>
            <wp:positionV relativeFrom="paragraph">
              <wp:posOffset>3810</wp:posOffset>
            </wp:positionV>
            <wp:extent cx="91376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6">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7560" w:space="720"/>
            <w:col w:w="2740"/>
          </w:cols>
          <w:pgMar w:left="440" w:top="274" w:right="439" w:bottom="1440" w:gutter="0" w:footer="0" w:header="0"/>
          <w:type w:val="continuous"/>
        </w:sectPr>
      </w:pPr>
    </w:p>
    <w:p>
      <w:pPr>
        <w:spacing w:after="0" w:line="24"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This constitutes notice to Adagio Therapeutics,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that I elect to purchase the below number of shares of Common Stock of the Company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by exercising my Option for the price set forth below. Capitalized terms not explicitly defined in this Notice of Exercise but defined in the Stock Option Grant Notice, Stock Option Agreement or 2021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shall have the meanings set forth in the Stock Option Grant Notice, Stock Option Agreement or Plan, as applicable. Use of certain payment methods is subject to Company and/or Committee consent and certain additional requirements set forth in the Stock Option Agreement and the Plan.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Type of option:</w:t>
            </w:r>
          </w:p>
        </w:tc>
        <w:tc>
          <w:tcPr>
            <w:tcW w:w="2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Nonstatutory</w:t>
            </w:r>
          </w:p>
        </w:tc>
      </w:tr>
      <w:tr>
        <w:trPr>
          <w:trHeight w:val="216"/>
        </w:trPr>
        <w:tc>
          <w:tcPr>
            <w:tcW w:w="7420" w:type="dxa"/>
            <w:vAlign w:val="bottom"/>
            <w:gridSpan w:val="3"/>
          </w:tcPr>
          <w:p>
            <w:pPr>
              <w:ind w:left="360"/>
              <w:spacing w:after="0"/>
              <w:rPr>
                <w:sz w:val="20"/>
                <w:szCs w:val="20"/>
                <w:color w:val="auto"/>
              </w:rPr>
            </w:pPr>
            <w:r>
              <w:rPr>
                <w:rFonts w:ascii="Arial" w:cs="Arial" w:eastAsia="Arial" w:hAnsi="Arial"/>
                <w:sz w:val="18"/>
                <w:szCs w:val="18"/>
                <w:color w:val="auto"/>
              </w:rPr>
              <w:t>Date of Grant:</w:t>
            </w:r>
          </w:p>
        </w:tc>
        <w:tc>
          <w:tcPr>
            <w:tcW w:w="2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Number of Shares as to which Option is exercised:</w:t>
            </w:r>
          </w:p>
        </w:tc>
        <w:tc>
          <w:tcPr>
            <w:tcW w:w="2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20" w:type="dxa"/>
            <w:vAlign w:val="bottom"/>
            <w:gridSpan w:val="3"/>
          </w:tcPr>
          <w:p>
            <w:pPr>
              <w:ind w:left="360"/>
              <w:spacing w:after="0"/>
              <w:rPr>
                <w:sz w:val="20"/>
                <w:szCs w:val="20"/>
                <w:color w:val="auto"/>
              </w:rPr>
            </w:pPr>
            <w:r>
              <w:rPr>
                <w:rFonts w:ascii="Arial" w:cs="Arial" w:eastAsia="Arial" w:hAnsi="Arial"/>
                <w:sz w:val="18"/>
                <w:szCs w:val="18"/>
                <w:color w:val="auto"/>
              </w:rPr>
              <w:t>Certificates to be issued in name of:</w:t>
            </w:r>
          </w:p>
        </w:tc>
        <w:tc>
          <w:tcPr>
            <w:tcW w:w="2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7420" w:type="dxa"/>
            <w:vAlign w:val="bottom"/>
            <w:tcBorders>
              <w:bottom w:val="single" w:sz="8" w:color="CCEEFF"/>
            </w:tcBorders>
            <w:gridSpan w:val="3"/>
            <w:shd w:val="clear" w:color="auto" w:fill="CCEEFF"/>
          </w:tcPr>
          <w:p>
            <w:pPr>
              <w:ind w:left="360"/>
              <w:spacing w:after="0" w:line="176" w:lineRule="exact"/>
              <w:rPr>
                <w:sz w:val="20"/>
                <w:szCs w:val="20"/>
                <w:color w:val="auto"/>
              </w:rPr>
            </w:pPr>
            <w:r>
              <w:rPr>
                <w:rFonts w:ascii="Arial" w:cs="Arial" w:eastAsia="Arial" w:hAnsi="Arial"/>
                <w:sz w:val="18"/>
                <w:szCs w:val="18"/>
                <w:color w:val="auto"/>
              </w:rPr>
              <w:t>Total exercise price:</w:t>
            </w:r>
          </w:p>
        </w:tc>
        <w:tc>
          <w:tcPr>
            <w:tcW w:w="25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175"/>
        </w:trPr>
        <w:tc>
          <w:tcPr>
            <w:tcW w:w="7420" w:type="dxa"/>
            <w:vAlign w:val="bottom"/>
            <w:tcBorders>
              <w:top w:val="single" w:sz="8" w:color="CCEEFF"/>
            </w:tcBorders>
            <w:gridSpan w:val="3"/>
          </w:tcPr>
          <w:p>
            <w:pPr>
              <w:ind w:left="720"/>
              <w:spacing w:after="0" w:line="176" w:lineRule="exact"/>
              <w:rPr>
                <w:sz w:val="20"/>
                <w:szCs w:val="20"/>
                <w:color w:val="auto"/>
              </w:rPr>
            </w:pPr>
            <w:r>
              <w:rPr>
                <w:rFonts w:ascii="Arial" w:cs="Arial" w:eastAsia="Arial" w:hAnsi="Arial"/>
                <w:sz w:val="18"/>
                <w:szCs w:val="18"/>
                <w:color w:val="auto"/>
              </w:rPr>
              <w:t>Cash, check, bank draft or money order delivered herewith:</w:t>
            </w:r>
          </w:p>
        </w:tc>
        <w:tc>
          <w:tcPr>
            <w:tcW w:w="25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1"/>
        </w:trPr>
        <w:tc>
          <w:tcPr>
            <w:tcW w:w="1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1360" w:type="dxa"/>
            <w:vAlign w:val="bottom"/>
            <w:tcBorders>
              <w:bottom w:val="single" w:sz="8" w:color="CCEEFF"/>
            </w:tcBorders>
            <w:shd w:val="clear" w:color="auto" w:fill="CCEEFF"/>
          </w:tcPr>
          <w:p>
            <w:pPr>
              <w:ind w:left="720"/>
              <w:spacing w:after="0" w:line="176" w:lineRule="exact"/>
              <w:rPr>
                <w:sz w:val="20"/>
                <w:szCs w:val="20"/>
                <w:color w:val="auto"/>
              </w:rPr>
            </w:pPr>
            <w:r>
              <w:rPr>
                <w:rFonts w:ascii="Arial" w:cs="Arial" w:eastAsia="Arial" w:hAnsi="Arial"/>
                <w:sz w:val="18"/>
                <w:szCs w:val="18"/>
                <w:color w:val="auto"/>
                <w:w w:val="93"/>
              </w:rPr>
              <w:t>Value of</w:t>
            </w:r>
          </w:p>
        </w:tc>
        <w:tc>
          <w:tcPr>
            <w:tcW w:w="2020" w:type="dxa"/>
            <w:vAlign w:val="bottom"/>
            <w:tcBorders>
              <w:bottom w:val="single" w:sz="8" w:color="auto"/>
            </w:tcBorders>
            <w:shd w:val="clear" w:color="auto" w:fill="CCEEFF"/>
          </w:tcPr>
          <w:p>
            <w:pPr>
              <w:spacing w:after="0"/>
              <w:rPr>
                <w:sz w:val="15"/>
                <w:szCs w:val="15"/>
                <w:color w:val="auto"/>
              </w:rPr>
            </w:pPr>
          </w:p>
        </w:tc>
        <w:tc>
          <w:tcPr>
            <w:tcW w:w="4040" w:type="dxa"/>
            <w:vAlign w:val="bottom"/>
            <w:tcBorders>
              <w:bottom w:val="single" w:sz="8" w:color="CCEEFF"/>
            </w:tcBorders>
            <w:shd w:val="clear" w:color="auto" w:fill="CCEEFF"/>
          </w:tcPr>
          <w:p>
            <w:pPr>
              <w:spacing w:after="0"/>
              <w:rPr>
                <w:sz w:val="15"/>
                <w:szCs w:val="15"/>
                <w:color w:val="auto"/>
              </w:rPr>
            </w:pPr>
          </w:p>
        </w:tc>
        <w:tc>
          <w:tcPr>
            <w:tcW w:w="25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235"/>
        </w:trPr>
        <w:tc>
          <w:tcPr>
            <w:tcW w:w="742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Shares delivered herewith:</w:t>
            </w: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175"/>
        </w:trPr>
        <w:tc>
          <w:tcPr>
            <w:tcW w:w="7420" w:type="dxa"/>
            <w:vAlign w:val="bottom"/>
            <w:tcBorders>
              <w:top w:val="single" w:sz="8" w:color="CCEEFF"/>
            </w:tcBorders>
            <w:gridSpan w:val="3"/>
          </w:tcPr>
          <w:p>
            <w:pPr>
              <w:ind w:left="720"/>
              <w:spacing w:after="0" w:line="176" w:lineRule="exact"/>
              <w:rPr>
                <w:sz w:val="20"/>
                <w:szCs w:val="20"/>
                <w:color w:val="auto"/>
              </w:rPr>
            </w:pPr>
            <w:r>
              <w:rPr>
                <w:rFonts w:ascii="Arial" w:cs="Arial" w:eastAsia="Arial" w:hAnsi="Arial"/>
                <w:sz w:val="18"/>
                <w:szCs w:val="18"/>
                <w:color w:val="auto"/>
              </w:rPr>
              <w:t>Regulation T Program (cashless exercise)</w:t>
            </w:r>
          </w:p>
        </w:tc>
        <w:tc>
          <w:tcPr>
            <w:tcW w:w="25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1"/>
        </w:trPr>
        <w:tc>
          <w:tcPr>
            <w:tcW w:w="1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1360" w:type="dxa"/>
            <w:vAlign w:val="bottom"/>
            <w:tcBorders>
              <w:bottom w:val="single" w:sz="8" w:color="CCEEFF"/>
            </w:tcBorders>
            <w:shd w:val="clear" w:color="auto" w:fill="CCEEFF"/>
          </w:tcPr>
          <w:p>
            <w:pPr>
              <w:ind w:left="720"/>
              <w:spacing w:after="0" w:line="176" w:lineRule="exact"/>
              <w:rPr>
                <w:sz w:val="20"/>
                <w:szCs w:val="20"/>
                <w:color w:val="auto"/>
              </w:rPr>
            </w:pPr>
            <w:r>
              <w:rPr>
                <w:rFonts w:ascii="Arial" w:cs="Arial" w:eastAsia="Arial" w:hAnsi="Arial"/>
                <w:sz w:val="18"/>
                <w:szCs w:val="18"/>
                <w:color w:val="auto"/>
                <w:w w:val="93"/>
              </w:rPr>
              <w:t>Value of</w:t>
            </w:r>
          </w:p>
        </w:tc>
        <w:tc>
          <w:tcPr>
            <w:tcW w:w="2020" w:type="dxa"/>
            <w:vAlign w:val="bottom"/>
            <w:tcBorders>
              <w:bottom w:val="single" w:sz="8" w:color="auto"/>
            </w:tcBorders>
            <w:shd w:val="clear" w:color="auto" w:fill="CCEEFF"/>
          </w:tcPr>
          <w:p>
            <w:pPr>
              <w:spacing w:after="0"/>
              <w:rPr>
                <w:sz w:val="15"/>
                <w:szCs w:val="15"/>
                <w:color w:val="auto"/>
              </w:rPr>
            </w:pPr>
          </w:p>
        </w:tc>
        <w:tc>
          <w:tcPr>
            <w:tcW w:w="4040" w:type="dxa"/>
            <w:vAlign w:val="bottom"/>
            <w:tcBorders>
              <w:bottom w:val="single" w:sz="8" w:color="CCEEFF"/>
            </w:tcBorders>
            <w:shd w:val="clear" w:color="auto" w:fill="CCEEFF"/>
          </w:tcPr>
          <w:p>
            <w:pPr>
              <w:spacing w:after="0"/>
              <w:rPr>
                <w:sz w:val="15"/>
                <w:szCs w:val="15"/>
                <w:color w:val="auto"/>
              </w:rPr>
            </w:pPr>
          </w:p>
        </w:tc>
        <w:tc>
          <w:tcPr>
            <w:tcW w:w="25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210"/>
        </w:trPr>
        <w:tc>
          <w:tcPr>
            <w:tcW w:w="742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Shares pursuant to net exercise:</w:t>
            </w: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136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404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ectPr>
          <w:pgSz w:w="11900" w:h="16838" w:orient="portrait"/>
          <w:cols w:equalWidth="0" w:num="1">
            <w:col w:w="11020"/>
          </w:cols>
          <w:pgMar w:left="440" w:top="274" w:right="439" w:bottom="1440" w:gutter="0" w:footer="0" w:header="0"/>
          <w:type w:val="continuous"/>
        </w:sectPr>
      </w:pPr>
    </w:p>
    <w:bookmarkStart w:id="426" w:name="page427"/>
    <w:bookmarkEnd w:id="426"/>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this exercise, I agree (i) to provide such additional documents as you may require pursuant to the terms of the Plan and (ii) to satisfy the tax withholding obligations, if any, relating to the exercise of this Option as set forth in the Stock Option Agreement.</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288925</wp:posOffset>
            </wp:positionV>
            <wp:extent cx="279463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10720"/>
          </w:cols>
          <w:pgMar w:left="440" w:top="274" w:right="739" w:bottom="1440" w:gutter="0" w:footer="0" w:header="0"/>
        </w:sectPr>
      </w:pPr>
    </w:p>
    <w:bookmarkStart w:id="427" w:name="page428"/>
    <w:bookmarkEnd w:id="42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t>
      </w:r>
      <w:r>
        <w:rPr>
          <w:rFonts w:ascii="Arial" w:cs="Arial" w:eastAsia="Arial" w:hAnsi="Arial"/>
          <w:sz w:val="14"/>
          <w:szCs w:val="14"/>
          <w:b w:val="1"/>
          <w:bCs w:val="1"/>
          <w:color w:val="auto"/>
        </w:rPr>
        <w:t>DAGIO</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SU</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RANT</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OTICE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Adagio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awarded to you (the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the number of restricted stock units specified and on the terms set forth below in consideration of your services (the “</w:t>
      </w:r>
      <w:r>
        <w:rPr>
          <w:rFonts w:ascii="Arial" w:cs="Arial" w:eastAsia="Arial" w:hAnsi="Arial"/>
          <w:sz w:val="18"/>
          <w:szCs w:val="18"/>
          <w:b w:val="1"/>
          <w:bCs w:val="1"/>
          <w:i w:val="1"/>
          <w:iCs w:val="1"/>
          <w:color w:val="auto"/>
        </w:rPr>
        <w:t>RSU Award</w:t>
      </w:r>
      <w:r>
        <w:rPr>
          <w:rFonts w:ascii="Arial" w:cs="Arial" w:eastAsia="Arial" w:hAnsi="Arial"/>
          <w:sz w:val="18"/>
          <w:szCs w:val="18"/>
          <w:color w:val="auto"/>
        </w:rPr>
        <w:t>”). Your RSU Award is subject to all of the terms and conditions as set forth herein and in the Adagio Therapeutics, Inc. 2021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the Award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which are attached hereto and incorporated herein in their entirety. Capitalized terms not explicitly defined herein but defined in the Plan or the Agreement shall have the meanings set forth in the Plan or the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2491740</wp:posOffset>
            </wp:positionH>
            <wp:positionV relativeFrom="paragraph">
              <wp:posOffset>14605</wp:posOffset>
            </wp:positionV>
            <wp:extent cx="219456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0">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2491740</wp:posOffset>
            </wp:positionH>
            <wp:positionV relativeFrom="paragraph">
              <wp:posOffset>14605</wp:posOffset>
            </wp:positionV>
            <wp:extent cx="219456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1">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2491740</wp:posOffset>
            </wp:positionH>
            <wp:positionV relativeFrom="paragraph">
              <wp:posOffset>14605</wp:posOffset>
            </wp:positionV>
            <wp:extent cx="219456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14605</wp:posOffset>
            </wp:positionV>
            <wp:extent cx="230568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3">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34" w:lineRule="exact"/>
        <w:rPr>
          <w:sz w:val="20"/>
          <w:szCs w:val="20"/>
          <w:color w:val="auto"/>
        </w:rPr>
      </w:pPr>
    </w:p>
    <w:p>
      <w:pPr>
        <w:spacing w:after="0"/>
        <w:tabs>
          <w:tab w:leader="none" w:pos="1740" w:val="left"/>
          <w:tab w:leader="none" w:pos="6260" w:val="left"/>
        </w:tabs>
        <w:rPr>
          <w:sz w:val="20"/>
          <w:szCs w:val="20"/>
          <w:color w:val="auto"/>
        </w:rPr>
      </w:pPr>
      <w:r>
        <w:rPr>
          <w:rFonts w:ascii="Arial" w:cs="Arial" w:eastAsia="Arial" w:hAnsi="Arial"/>
          <w:sz w:val="18"/>
          <w:szCs w:val="18"/>
          <w:b w:val="1"/>
          <w:bCs w:val="1"/>
          <w:color w:val="auto"/>
        </w:rPr>
        <w:t>Vesting Schedule: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1158240</wp:posOffset>
            </wp:positionH>
            <wp:positionV relativeFrom="paragraph">
              <wp:posOffset>-7620</wp:posOffset>
            </wp:positionV>
            <wp:extent cx="2827655"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4">
                      <a:extLst>
                        <a:ext uri="{28A0092B-C50C-407E-A947-70E740481C1C}"/>
                      </a:extLst>
                    </a:blip>
                    <a:srcRect/>
                    <a:stretch>
                      <a:fillRect/>
                    </a:stretch>
                  </pic:blipFill>
                  <pic:spPr bwMode="auto">
                    <a:xfrm>
                      <a:off x="0" y="0"/>
                      <a:ext cx="2827655" cy="8890"/>
                    </a:xfrm>
                    <a:prstGeom prst="rect">
                      <a:avLst/>
                    </a:prstGeom>
                    <a:noFill/>
                  </pic:spPr>
                </pic:pic>
              </a:graphicData>
            </a:graphic>
          </wp:anchor>
        </w:drawing>
      </w:r>
    </w:p>
    <w:p>
      <w:pPr>
        <w:spacing w:after="0" w:line="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Notwithstanding the foregoing, vesting shall terminate upon the Participant’s termination of Continuous Service.</w:t>
      </w:r>
    </w:p>
    <w:p>
      <w:pPr>
        <w:spacing w:after="0" w:line="99" w:lineRule="exact"/>
        <w:rPr>
          <w:sz w:val="20"/>
          <w:szCs w:val="20"/>
          <w:color w:val="auto"/>
        </w:rPr>
      </w:pPr>
    </w:p>
    <w:p>
      <w:pPr>
        <w:ind w:left="1760" w:right="360" w:hanging="1767"/>
        <w:spacing w:after="0" w:line="277" w:lineRule="auto"/>
        <w:tabs>
          <w:tab w:leader="none" w:pos="1740" w:val="left"/>
        </w:tabs>
        <w:rPr>
          <w:sz w:val="20"/>
          <w:szCs w:val="20"/>
          <w:color w:val="auto"/>
        </w:rPr>
      </w:pPr>
      <w:r>
        <w:rPr>
          <w:rFonts w:ascii="Arial" w:cs="Arial" w:eastAsia="Arial" w:hAnsi="Arial"/>
          <w:sz w:val="18"/>
          <w:szCs w:val="18"/>
          <w:b w:val="1"/>
          <w:bCs w:val="1"/>
          <w:color w:val="auto"/>
        </w:rPr>
        <w:t>Issuance Schedule:</w:t>
      </w:r>
      <w:r>
        <w:rPr>
          <w:sz w:val="20"/>
          <w:szCs w:val="20"/>
          <w:color w:val="auto"/>
        </w:rPr>
        <w:tab/>
      </w:r>
      <w:r>
        <w:rPr>
          <w:rFonts w:ascii="Arial" w:cs="Arial" w:eastAsia="Arial" w:hAnsi="Arial"/>
          <w:sz w:val="18"/>
          <w:szCs w:val="18"/>
          <w:color w:val="auto"/>
        </w:rPr>
        <w:t>One share of Common Stock will be issued at the time set forth in Section 5 of the Agreement for each restricted stock unit which vests.</w:t>
      </w:r>
    </w:p>
    <w:p>
      <w:pPr>
        <w:spacing w:after="0" w:line="170"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 xml:space="preserve">Participant Acknowledgements: </w:t>
      </w:r>
      <w:r>
        <w:rPr>
          <w:rFonts w:ascii="Arial" w:cs="Arial" w:eastAsia="Arial" w:hAnsi="Arial"/>
          <w:sz w:val="18"/>
          <w:szCs w:val="18"/>
          <w:color w:val="auto"/>
        </w:rPr>
        <w:t>By your signature below or by electronic acceptance or authentication in a form authorized by the Company, you</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 and agree that:</w:t>
      </w:r>
    </w:p>
    <w:p>
      <w:pPr>
        <w:spacing w:after="0" w:line="71" w:lineRule="exact"/>
        <w:rPr>
          <w:sz w:val="20"/>
          <w:szCs w:val="20"/>
          <w:color w:val="auto"/>
        </w:rPr>
      </w:pPr>
    </w:p>
    <w:p>
      <w:pPr>
        <w:ind w:left="960" w:right="20" w:hanging="424"/>
        <w:spacing w:after="0" w:line="259" w:lineRule="auto"/>
        <w:tabs>
          <w:tab w:leader="none" w:pos="96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RSU Award is governed by this RSU Award Grant Notice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and the provisions of the Plan and the Agreement, all of which are made a part of this document. Unless otherwise provided in the Plan, this Grant Notice and the Agreement (together, the “</w:t>
      </w:r>
      <w:r>
        <w:rPr>
          <w:rFonts w:ascii="Arial" w:cs="Arial" w:eastAsia="Arial" w:hAnsi="Arial"/>
          <w:sz w:val="18"/>
          <w:szCs w:val="18"/>
          <w:b w:val="1"/>
          <w:bCs w:val="1"/>
          <w:i w:val="1"/>
          <w:iCs w:val="1"/>
          <w:color w:val="auto"/>
        </w:rPr>
        <w:t>RSU Award Agreement</w:t>
      </w:r>
      <w:r>
        <w:rPr>
          <w:rFonts w:ascii="Arial" w:cs="Arial" w:eastAsia="Arial" w:hAnsi="Arial"/>
          <w:sz w:val="18"/>
          <w:szCs w:val="18"/>
          <w:color w:val="auto"/>
        </w:rPr>
        <w:t>”) may not be modified, amended or revised except in a writing signed by you and a duly authorized officer of the Company.</w:t>
      </w:r>
    </w:p>
    <w:p>
      <w:pPr>
        <w:spacing w:after="0" w:line="92" w:lineRule="exact"/>
        <w:rPr>
          <w:rFonts w:ascii="Arial" w:cs="Arial" w:eastAsia="Arial" w:hAnsi="Arial"/>
          <w:sz w:val="18"/>
          <w:szCs w:val="18"/>
          <w:color w:val="auto"/>
        </w:rPr>
      </w:pPr>
    </w:p>
    <w:p>
      <w:pPr>
        <w:ind w:left="960" w:right="80" w:hanging="424"/>
        <w:spacing w:after="0" w:line="342" w:lineRule="auto"/>
        <w:tabs>
          <w:tab w:leader="none" w:pos="96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You have read and are familiar with the provisions of the Plan, the RSU Award Agreement and the Prospectus. In the event of any conflict between the provisions in the RSU Award Agreement, or the Prospectus and the terms of the Plan, the terms of the Plan shall control.</w:t>
      </w:r>
    </w:p>
    <w:p>
      <w:pPr>
        <w:spacing w:after="0" w:line="29" w:lineRule="exact"/>
        <w:rPr>
          <w:rFonts w:ascii="Arial" w:cs="Arial" w:eastAsia="Arial" w:hAnsi="Arial"/>
          <w:sz w:val="16"/>
          <w:szCs w:val="16"/>
          <w:color w:val="auto"/>
        </w:rPr>
      </w:pPr>
    </w:p>
    <w:p>
      <w:pPr>
        <w:jc w:val="both"/>
        <w:ind w:left="960" w:right="20" w:hanging="424"/>
        <w:spacing w:after="0" w:line="301" w:lineRule="auto"/>
        <w:tabs>
          <w:tab w:leader="none" w:pos="96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w:t>
      </w:r>
    </w:p>
    <w:p>
      <w:pPr>
        <w:sectPr>
          <w:pgSz w:w="11900" w:h="16838" w:orient="portrait"/>
          <w:cols w:equalWidth="0" w:num="1">
            <w:col w:w="11000"/>
          </w:cols>
          <w:pgMar w:left="440" w:top="270" w:right="459" w:bottom="1440" w:gutter="0" w:footer="0" w:header="0"/>
        </w:sectPr>
      </w:pPr>
    </w:p>
    <w:bookmarkStart w:id="428" w:name="page429"/>
    <w:bookmarkEnd w:id="428"/>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DAGIO</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c>
          <w:tcPr>
            <w:tcW w:w="70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ARTICIPANT</w:t>
            </w:r>
            <w:r>
              <w:rPr>
                <w:rFonts w:ascii="Arial" w:cs="Arial" w:eastAsia="Arial" w:hAnsi="Arial"/>
                <w:sz w:val="18"/>
                <w:szCs w:val="18"/>
                <w:b w:val="1"/>
                <w:bCs w:val="1"/>
                <w:color w:val="auto"/>
              </w:rPr>
              <w:t>:</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By:</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24"/>
        </w:trPr>
        <w:tc>
          <w:tcPr>
            <w:tcW w:w="540" w:type="dxa"/>
            <w:vAlign w:val="bottom"/>
          </w:tcPr>
          <w:p>
            <w:pPr>
              <w:spacing w:after="0"/>
              <w:rPr>
                <w:sz w:val="19"/>
                <w:szCs w:val="19"/>
                <w:color w:val="auto"/>
              </w:rPr>
            </w:pPr>
          </w:p>
        </w:tc>
        <w:tc>
          <w:tcPr>
            <w:tcW w:w="4620" w:type="dxa"/>
            <w:vAlign w:val="bottom"/>
            <w:tcBorders>
              <w:top w:val="single" w:sz="8" w:color="auto"/>
            </w:tcBorders>
          </w:tcPr>
          <w:p>
            <w:pPr>
              <w:ind w:left="1960"/>
              <w:spacing w:after="0"/>
              <w:rPr>
                <w:sz w:val="20"/>
                <w:szCs w:val="20"/>
                <w:color w:val="auto"/>
              </w:rPr>
            </w:pPr>
            <w:r>
              <w:rPr>
                <w:rFonts w:ascii="Arial" w:cs="Arial" w:eastAsia="Arial" w:hAnsi="Arial"/>
                <w:sz w:val="18"/>
                <w:szCs w:val="18"/>
                <w:color w:val="auto"/>
              </w:rPr>
              <w:t>Signature</w:t>
            </w:r>
          </w:p>
        </w:tc>
        <w:tc>
          <w:tcPr>
            <w:tcW w:w="7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620" w:type="dxa"/>
            <w:vAlign w:val="bottom"/>
            <w:tcBorders>
              <w:top w:val="single" w:sz="8" w:color="auto"/>
            </w:tcBorders>
          </w:tcPr>
          <w:p>
            <w:pPr>
              <w:ind w:left="1960"/>
              <w:spacing w:after="0"/>
              <w:rPr>
                <w:sz w:val="20"/>
                <w:szCs w:val="20"/>
                <w:color w:val="auto"/>
              </w:rPr>
            </w:pPr>
            <w:r>
              <w:rPr>
                <w:rFonts w:ascii="Arial" w:cs="Arial" w:eastAsia="Arial" w:hAnsi="Arial"/>
                <w:sz w:val="18"/>
                <w:szCs w:val="18"/>
                <w:color w:val="auto"/>
              </w:rPr>
              <w:t>Signature</w:t>
            </w:r>
          </w:p>
        </w:tc>
      </w:tr>
      <w:tr>
        <w:trPr>
          <w:trHeight w:val="431"/>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620" w:type="dxa"/>
            <w:vAlign w:val="bottom"/>
            <w:tcBorders>
              <w:bottom w:val="single" w:sz="8" w:color="auto"/>
            </w:tcBorders>
          </w:tcPr>
          <w:p>
            <w:pPr>
              <w:spacing w:after="0"/>
              <w:rPr>
                <w:sz w:val="24"/>
                <w:szCs w:val="24"/>
                <w:color w:val="auto"/>
              </w:rPr>
            </w:pP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62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439"/>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TTACHMENTS</w:t>
            </w:r>
            <w:r>
              <w:rPr>
                <w:rFonts w:ascii="Arial" w:cs="Arial" w:eastAsia="Arial" w:hAnsi="Arial"/>
                <w:sz w:val="18"/>
                <w:szCs w:val="18"/>
                <w:color w:val="auto"/>
              </w:rPr>
              <w:t>: Award Agreement, 2021 Equity Incentive Plan</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29" w:name="page430"/>
    <w:bookmarkEnd w:id="42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t>
      </w:r>
      <w:r>
        <w:rPr>
          <w:rFonts w:ascii="Arial" w:cs="Arial" w:eastAsia="Arial" w:hAnsi="Arial"/>
          <w:sz w:val="14"/>
          <w:szCs w:val="14"/>
          <w:b w:val="1"/>
          <w:bCs w:val="1"/>
          <w:color w:val="auto"/>
        </w:rPr>
        <w:t>TTACHMENT</w:t>
      </w:r>
      <w:r>
        <w:rPr>
          <w:rFonts w:ascii="Arial" w:cs="Arial" w:eastAsia="Arial" w:hAnsi="Arial"/>
          <w:sz w:val="18"/>
          <w:szCs w:val="18"/>
          <w:b w:val="1"/>
          <w:bCs w:val="1"/>
          <w:color w:val="auto"/>
        </w:rPr>
        <w:t xml:space="preserv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WARD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019"/>
          </w:cols>
          <w:pgMar w:left="1440" w:top="270" w:right="1440" w:bottom="1440" w:gutter="0" w:footer="0" w:header="0"/>
        </w:sectPr>
      </w:pPr>
    </w:p>
    <w:bookmarkStart w:id="430" w:name="page431"/>
    <w:bookmarkEnd w:id="43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ADAGIO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AWARD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(2021 EQUITY INCENTIVE PLAN)</w:t>
      </w:r>
    </w:p>
    <w:p>
      <w:pPr>
        <w:spacing w:after="0" w:line="21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As reflected by your RSU Award Grant Notice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Adagio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you a RSU Award under the Adagio Therapeutics, Inc. 2021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for the number of restricted stock units as indicated in your Grant Notice (the “</w:t>
      </w:r>
      <w:r>
        <w:rPr>
          <w:rFonts w:ascii="Arial" w:cs="Arial" w:eastAsia="Arial" w:hAnsi="Arial"/>
          <w:sz w:val="18"/>
          <w:szCs w:val="18"/>
          <w:b w:val="1"/>
          <w:bCs w:val="1"/>
          <w:i w:val="1"/>
          <w:iCs w:val="1"/>
          <w:color w:val="auto"/>
        </w:rPr>
        <w:t>RSU Award</w:t>
      </w:r>
      <w:r>
        <w:rPr>
          <w:rFonts w:ascii="Arial" w:cs="Arial" w:eastAsia="Arial" w:hAnsi="Arial"/>
          <w:sz w:val="18"/>
          <w:szCs w:val="18"/>
          <w:color w:val="auto"/>
        </w:rPr>
        <w:t>”). The terms of your RSU Award as specified in this Award Agreement for your RSU Award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and the Grant Notice constitute your “</w:t>
      </w:r>
      <w:r>
        <w:rPr>
          <w:rFonts w:ascii="Arial" w:cs="Arial" w:eastAsia="Arial" w:hAnsi="Arial"/>
          <w:sz w:val="18"/>
          <w:szCs w:val="18"/>
          <w:b w:val="1"/>
          <w:bCs w:val="1"/>
          <w:i w:val="1"/>
          <w:iCs w:val="1"/>
          <w:color w:val="auto"/>
        </w:rPr>
        <w:t>RSU Award Agreement</w:t>
      </w:r>
      <w:r>
        <w:rPr>
          <w:rFonts w:ascii="Arial" w:cs="Arial" w:eastAsia="Arial" w:hAnsi="Arial"/>
          <w:sz w:val="18"/>
          <w:szCs w:val="18"/>
          <w:color w:val="auto"/>
        </w:rPr>
        <w:t>”. Defined terms not explicitly defined in this Agreement but defined in the Grant Notice or the Plan shall have the same definitions as in the Grant Notice or Plan, as applicable.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general terms applicable to your RSU Award are as follows:</w:t>
      </w:r>
    </w:p>
    <w:p>
      <w:pPr>
        <w:spacing w:after="0" w:line="113" w:lineRule="exact"/>
        <w:rPr>
          <w:sz w:val="20"/>
          <w:szCs w:val="20"/>
          <w:color w:val="auto"/>
        </w:rPr>
      </w:pPr>
    </w:p>
    <w:p>
      <w:pPr>
        <w:ind w:left="620" w:hanging="184"/>
        <w:spacing w:after="0"/>
        <w:tabs>
          <w:tab w:leader="none" w:pos="620" w:val="left"/>
        </w:tabs>
        <w:numPr>
          <w:ilvl w:val="0"/>
          <w:numId w:val="360"/>
        </w:numPr>
        <w:rPr>
          <w:rFonts w:ascii="Arial" w:cs="Arial" w:eastAsia="Arial" w:hAnsi="Arial"/>
          <w:sz w:val="17"/>
          <w:szCs w:val="17"/>
          <w:b w:val="1"/>
          <w:bCs w:val="1"/>
          <w:color w:val="auto"/>
        </w:rPr>
      </w:pPr>
      <w:r>
        <w:rPr>
          <w:rFonts w:ascii="Arial" w:cs="Arial" w:eastAsia="Arial" w:hAnsi="Arial"/>
          <w:sz w:val="17"/>
          <w:szCs w:val="17"/>
          <w:b w:val="1"/>
          <w:bCs w:val="1"/>
          <w:color w:val="auto"/>
        </w:rPr>
        <w:t>G</w:t>
      </w:r>
      <w:r>
        <w:rPr>
          <w:rFonts w:ascii="Arial" w:cs="Arial" w:eastAsia="Arial" w:hAnsi="Arial"/>
          <w:sz w:val="13"/>
          <w:szCs w:val="13"/>
          <w:b w:val="1"/>
          <w:bCs w:val="1"/>
          <w:color w:val="auto"/>
        </w:rPr>
        <w:t>OVERNING</w:t>
      </w:r>
      <w:r>
        <w:rPr>
          <w:rFonts w:ascii="Arial" w:cs="Arial" w:eastAsia="Arial" w:hAnsi="Arial"/>
          <w:sz w:val="17"/>
          <w:szCs w:val="17"/>
          <w:b w:val="1"/>
          <w:bCs w:val="1"/>
          <w:color w:val="auto"/>
        </w:rPr>
        <w:t xml:space="preserve"> P</w:t>
      </w:r>
      <w:r>
        <w:rPr>
          <w:rFonts w:ascii="Arial" w:cs="Arial" w:eastAsia="Arial" w:hAnsi="Arial"/>
          <w:sz w:val="13"/>
          <w:szCs w:val="13"/>
          <w:b w:val="1"/>
          <w:bCs w:val="1"/>
          <w:color w:val="auto"/>
        </w:rPr>
        <w:t>LAN</w:t>
      </w:r>
      <w:r>
        <w:rPr>
          <w:rFonts w:ascii="Arial" w:cs="Arial" w:eastAsia="Arial" w:hAnsi="Arial"/>
          <w:sz w:val="17"/>
          <w:szCs w:val="17"/>
          <w:b w:val="1"/>
          <w:bCs w:val="1"/>
          <w:color w:val="auto"/>
        </w:rPr>
        <w:t xml:space="preserve"> D</w:t>
      </w:r>
      <w:r>
        <w:rPr>
          <w:rFonts w:ascii="Arial" w:cs="Arial" w:eastAsia="Arial" w:hAnsi="Arial"/>
          <w:sz w:val="13"/>
          <w:szCs w:val="13"/>
          <w:b w:val="1"/>
          <w:bCs w:val="1"/>
          <w:color w:val="auto"/>
        </w:rPr>
        <w:t>OCUMENT</w:t>
      </w:r>
      <w:r>
        <w:rPr>
          <w:rFonts w:ascii="Arial" w:cs="Arial" w:eastAsia="Arial" w:hAnsi="Arial"/>
          <w:sz w:val="17"/>
          <w:szCs w:val="17"/>
          <w:b w:val="1"/>
          <w:bCs w:val="1"/>
          <w:color w:val="auto"/>
        </w:rPr>
        <w:t xml:space="preserve">. </w:t>
      </w:r>
      <w:r>
        <w:rPr>
          <w:rFonts w:ascii="Arial" w:cs="Arial" w:eastAsia="Arial" w:hAnsi="Arial"/>
          <w:sz w:val="17"/>
          <w:szCs w:val="17"/>
          <w:color w:val="auto"/>
        </w:rPr>
        <w:t>Your RSU Award is subject to all the provisions of the Plan, including but not limited to the provisions in:</w:t>
      </w:r>
    </w:p>
    <w:p>
      <w:pPr>
        <w:spacing w:after="0" w:line="132" w:lineRule="exact"/>
        <w:rPr>
          <w:rFonts w:ascii="Arial" w:cs="Arial" w:eastAsia="Arial" w:hAnsi="Arial"/>
          <w:sz w:val="17"/>
          <w:szCs w:val="17"/>
          <w:b w:val="1"/>
          <w:bCs w:val="1"/>
          <w:color w:val="auto"/>
        </w:rPr>
      </w:pPr>
    </w:p>
    <w:p>
      <w:pPr>
        <w:ind w:left="1240" w:hanging="253"/>
        <w:spacing w:after="0"/>
        <w:tabs>
          <w:tab w:leader="none" w:pos="1240" w:val="left"/>
        </w:tabs>
        <w:numPr>
          <w:ilvl w:val="1"/>
          <w:numId w:val="360"/>
        </w:numPr>
        <w:rPr>
          <w:rFonts w:ascii="Arial" w:cs="Arial" w:eastAsia="Arial" w:hAnsi="Arial"/>
          <w:sz w:val="16"/>
          <w:szCs w:val="16"/>
          <w:b w:val="1"/>
          <w:bCs w:val="1"/>
          <w:color w:val="auto"/>
        </w:rPr>
      </w:pPr>
      <w:r>
        <w:rPr>
          <w:rFonts w:ascii="Arial" w:cs="Arial" w:eastAsia="Arial" w:hAnsi="Arial"/>
          <w:sz w:val="16"/>
          <w:szCs w:val="16"/>
          <w:color w:val="auto"/>
        </w:rPr>
        <w:t>Section 6 of the Plan regarding the impact of a Capitalization Adjustment, dissolution, liquidation, or Corporate Transaction on your</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RSU Award;</w:t>
      </w:r>
    </w:p>
    <w:p>
      <w:pPr>
        <w:spacing w:after="0" w:line="102" w:lineRule="exact"/>
        <w:rPr>
          <w:rFonts w:ascii="Arial" w:cs="Arial" w:eastAsia="Arial" w:hAnsi="Arial"/>
          <w:sz w:val="16"/>
          <w:szCs w:val="16"/>
          <w:b w:val="1"/>
          <w:bCs w:val="1"/>
          <w:color w:val="auto"/>
        </w:rPr>
      </w:pPr>
    </w:p>
    <w:p>
      <w:pPr>
        <w:ind w:left="1260" w:hanging="273"/>
        <w:spacing w:after="0"/>
        <w:tabs>
          <w:tab w:leader="none" w:pos="1260" w:val="left"/>
        </w:tabs>
        <w:numPr>
          <w:ilvl w:val="1"/>
          <w:numId w:val="360"/>
        </w:numPr>
        <w:rPr>
          <w:rFonts w:ascii="Arial" w:cs="Arial" w:eastAsia="Arial" w:hAnsi="Arial"/>
          <w:sz w:val="16"/>
          <w:szCs w:val="16"/>
          <w:b w:val="1"/>
          <w:bCs w:val="1"/>
          <w:color w:val="auto"/>
        </w:rPr>
      </w:pPr>
      <w:r>
        <w:rPr>
          <w:rFonts w:ascii="Arial" w:cs="Arial" w:eastAsia="Arial" w:hAnsi="Arial"/>
          <w:sz w:val="16"/>
          <w:szCs w:val="16"/>
          <w:color w:val="auto"/>
        </w:rPr>
        <w:t>Section 9(e) of the Plan regarding the Company’s retained rights to terminate your Continuous Service notwithstanding the grant of the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RSU Award; and</w:t>
      </w:r>
    </w:p>
    <w:p>
      <w:pPr>
        <w:spacing w:after="0" w:line="102" w:lineRule="exact"/>
        <w:rPr>
          <w:rFonts w:ascii="Arial" w:cs="Arial" w:eastAsia="Arial" w:hAnsi="Arial"/>
          <w:sz w:val="16"/>
          <w:szCs w:val="16"/>
          <w:b w:val="1"/>
          <w:bCs w:val="1"/>
          <w:color w:val="auto"/>
        </w:rPr>
      </w:pPr>
    </w:p>
    <w:p>
      <w:pPr>
        <w:ind w:left="1240" w:hanging="253"/>
        <w:spacing w:after="0"/>
        <w:tabs>
          <w:tab w:leader="none" w:pos="1240" w:val="left"/>
        </w:tabs>
        <w:numPr>
          <w:ilvl w:val="1"/>
          <w:numId w:val="360"/>
        </w:numPr>
        <w:rPr>
          <w:rFonts w:ascii="Arial" w:cs="Arial" w:eastAsia="Arial" w:hAnsi="Arial"/>
          <w:sz w:val="18"/>
          <w:szCs w:val="18"/>
          <w:b w:val="1"/>
          <w:bCs w:val="1"/>
          <w:color w:val="auto"/>
        </w:rPr>
      </w:pPr>
      <w:r>
        <w:rPr>
          <w:rFonts w:ascii="Arial" w:cs="Arial" w:eastAsia="Arial" w:hAnsi="Arial"/>
          <w:sz w:val="18"/>
          <w:szCs w:val="18"/>
          <w:color w:val="auto"/>
        </w:rPr>
        <w:t>Section 8 of the Plan regarding the tax consequences of your RSU Award.</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w:t>
      </w:r>
    </w:p>
    <w:p>
      <w:pPr>
        <w:spacing w:after="0" w:line="180" w:lineRule="exact"/>
        <w:rPr>
          <w:sz w:val="20"/>
          <w:szCs w:val="20"/>
          <w:color w:val="auto"/>
        </w:rPr>
      </w:pPr>
    </w:p>
    <w:p>
      <w:pPr>
        <w:ind w:right="100" w:firstLine="436"/>
        <w:spacing w:after="0" w:line="274" w:lineRule="auto"/>
        <w:tabs>
          <w:tab w:leader="none" w:pos="620" w:val="left"/>
        </w:tabs>
        <w:numPr>
          <w:ilvl w:val="0"/>
          <w:numId w:val="361"/>
        </w:numPr>
        <w:rPr>
          <w:rFonts w:ascii="Arial" w:cs="Arial" w:eastAsia="Arial" w:hAnsi="Arial"/>
          <w:sz w:val="17"/>
          <w:szCs w:val="17"/>
          <w:b w:val="1"/>
          <w:bCs w:val="1"/>
          <w:color w:val="auto"/>
        </w:rPr>
      </w:pPr>
      <w:r>
        <w:rPr>
          <w:rFonts w:ascii="Arial" w:cs="Arial" w:eastAsia="Arial" w:hAnsi="Arial"/>
          <w:sz w:val="17"/>
          <w:szCs w:val="17"/>
          <w:b w:val="1"/>
          <w:bCs w:val="1"/>
          <w:color w:val="auto"/>
        </w:rPr>
        <w:t>G</w:t>
      </w:r>
      <w:r>
        <w:rPr>
          <w:rFonts w:ascii="Arial" w:cs="Arial" w:eastAsia="Arial" w:hAnsi="Arial"/>
          <w:sz w:val="13"/>
          <w:szCs w:val="13"/>
          <w:b w:val="1"/>
          <w:bCs w:val="1"/>
          <w:color w:val="auto"/>
        </w:rPr>
        <w:t>RANT</w:t>
      </w:r>
      <w:r>
        <w:rPr>
          <w:rFonts w:ascii="Arial" w:cs="Arial" w:eastAsia="Arial" w:hAnsi="Arial"/>
          <w:sz w:val="17"/>
          <w:szCs w:val="17"/>
          <w:b w:val="1"/>
          <w:bCs w:val="1"/>
          <w:color w:val="auto"/>
        </w:rPr>
        <w:t xml:space="preserve"> O</w:t>
      </w:r>
      <w:r>
        <w:rPr>
          <w:rFonts w:ascii="Arial" w:cs="Arial" w:eastAsia="Arial" w:hAnsi="Arial"/>
          <w:sz w:val="13"/>
          <w:szCs w:val="13"/>
          <w:b w:val="1"/>
          <w:bCs w:val="1"/>
          <w:color w:val="auto"/>
        </w:rPr>
        <w:t>F</w:t>
      </w:r>
      <w:r>
        <w:rPr>
          <w:rFonts w:ascii="Arial" w:cs="Arial" w:eastAsia="Arial" w:hAnsi="Arial"/>
          <w:sz w:val="17"/>
          <w:szCs w:val="17"/>
          <w:b w:val="1"/>
          <w:bCs w:val="1"/>
          <w:color w:val="auto"/>
        </w:rPr>
        <w:t xml:space="preserve"> T</w:t>
      </w:r>
      <w:r>
        <w:rPr>
          <w:rFonts w:ascii="Arial" w:cs="Arial" w:eastAsia="Arial" w:hAnsi="Arial"/>
          <w:sz w:val="13"/>
          <w:szCs w:val="13"/>
          <w:b w:val="1"/>
          <w:bCs w:val="1"/>
          <w:color w:val="auto"/>
        </w:rPr>
        <w:t>HE</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SU</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WARD</w:t>
      </w:r>
      <w:r>
        <w:rPr>
          <w:rFonts w:ascii="Arial" w:cs="Arial" w:eastAsia="Arial" w:hAnsi="Arial"/>
          <w:sz w:val="17"/>
          <w:szCs w:val="17"/>
          <w:b w:val="1"/>
          <w:bCs w:val="1"/>
          <w:color w:val="auto"/>
        </w:rPr>
        <w:t xml:space="preserve">. </w:t>
      </w:r>
      <w:r>
        <w:rPr>
          <w:rFonts w:ascii="Arial" w:cs="Arial" w:eastAsia="Arial" w:hAnsi="Arial"/>
          <w:sz w:val="17"/>
          <w:szCs w:val="17"/>
          <w:color w:val="auto"/>
        </w:rPr>
        <w:t>This RSU Award represents your right to be issued on a future date the number of shares of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that is equal to the number of restricted stock units indicated in the Grant Notice as modified to reflect any Capitalization Adjustment and subject to your satisfaction of the vesting conditions set forth therein (the “</w:t>
      </w:r>
      <w:r>
        <w:rPr>
          <w:rFonts w:ascii="Arial" w:cs="Arial" w:eastAsia="Arial" w:hAnsi="Arial"/>
          <w:sz w:val="17"/>
          <w:szCs w:val="17"/>
          <w:b w:val="1"/>
          <w:bCs w:val="1"/>
          <w:i w:val="1"/>
          <w:iCs w:val="1"/>
          <w:color w:val="auto"/>
        </w:rPr>
        <w:t>Restricted Stock Units</w:t>
      </w:r>
      <w:r>
        <w:rPr>
          <w:rFonts w:ascii="Arial" w:cs="Arial" w:eastAsia="Arial" w:hAnsi="Arial"/>
          <w:sz w:val="17"/>
          <w:szCs w:val="17"/>
          <w:color w:val="auto"/>
        </w:rPr>
        <w:t>”). Any additional Restricted Stock Units that become subject to the RSU Award pursuant to Capitalization Adjustments as set forth in the Plan and the provisions of Section 3 below, if any, shall be subject, in a manner determined by the Board, to the same forfeiture restrictions, restrictions on transferability, and time and manner of delivery as applicable to the other Restricted Stock Units covered by your RSU Award.</w:t>
      </w:r>
    </w:p>
    <w:p>
      <w:pPr>
        <w:spacing w:after="0" w:line="173" w:lineRule="exact"/>
        <w:rPr>
          <w:rFonts w:ascii="Arial" w:cs="Arial" w:eastAsia="Arial" w:hAnsi="Arial"/>
          <w:sz w:val="17"/>
          <w:szCs w:val="17"/>
          <w:b w:val="1"/>
          <w:bCs w:val="1"/>
          <w:color w:val="auto"/>
        </w:rPr>
      </w:pPr>
    </w:p>
    <w:p>
      <w:pPr>
        <w:ind w:right="380" w:firstLine="436"/>
        <w:spacing w:after="0" w:line="289" w:lineRule="auto"/>
        <w:tabs>
          <w:tab w:leader="none" w:pos="620" w:val="left"/>
        </w:tabs>
        <w:numPr>
          <w:ilvl w:val="0"/>
          <w:numId w:val="361"/>
        </w:numPr>
        <w:rPr>
          <w:rFonts w:ascii="Arial" w:cs="Arial" w:eastAsia="Arial" w:hAnsi="Arial"/>
          <w:sz w:val="17"/>
          <w:szCs w:val="17"/>
          <w:b w:val="1"/>
          <w:bCs w:val="1"/>
          <w:color w:val="auto"/>
        </w:rPr>
      </w:pPr>
      <w:r>
        <w:rPr>
          <w:rFonts w:ascii="Arial" w:cs="Arial" w:eastAsia="Arial" w:hAnsi="Arial"/>
          <w:sz w:val="17"/>
          <w:szCs w:val="17"/>
          <w:b w:val="1"/>
          <w:bCs w:val="1"/>
          <w:color w:val="auto"/>
        </w:rPr>
        <w:t>D</w:t>
      </w:r>
      <w:r>
        <w:rPr>
          <w:rFonts w:ascii="Arial" w:cs="Arial" w:eastAsia="Arial" w:hAnsi="Arial"/>
          <w:sz w:val="13"/>
          <w:szCs w:val="13"/>
          <w:b w:val="1"/>
          <w:bCs w:val="1"/>
          <w:color w:val="auto"/>
        </w:rPr>
        <w:t>IVIDENDS</w:t>
      </w:r>
      <w:r>
        <w:rPr>
          <w:rFonts w:ascii="Arial" w:cs="Arial" w:eastAsia="Arial" w:hAnsi="Arial"/>
          <w:sz w:val="17"/>
          <w:szCs w:val="17"/>
          <w:b w:val="1"/>
          <w:bCs w:val="1"/>
          <w:color w:val="auto"/>
        </w:rPr>
        <w:t xml:space="preserve">. </w:t>
      </w:r>
      <w:r>
        <w:rPr>
          <w:rFonts w:ascii="Arial" w:cs="Arial" w:eastAsia="Arial" w:hAnsi="Arial"/>
          <w:sz w:val="17"/>
          <w:szCs w:val="17"/>
          <w:color w:val="auto"/>
        </w:rPr>
        <w:t>You shall receive no benefit or adjustment to this RSU Award with respect to any cash dividend, stock dividend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distribution that does not result from a Capitalization Adjustment; provided, however, that this sentence will not apply with respect to any shares of Common Stock that are delivered to you in connection with your RSU Award after such shares have been delivered to you.</w:t>
      </w:r>
    </w:p>
    <w:p>
      <w:pPr>
        <w:spacing w:after="0" w:line="157" w:lineRule="exact"/>
        <w:rPr>
          <w:rFonts w:ascii="Arial" w:cs="Arial" w:eastAsia="Arial" w:hAnsi="Arial"/>
          <w:sz w:val="17"/>
          <w:szCs w:val="17"/>
          <w:b w:val="1"/>
          <w:bCs w:val="1"/>
          <w:color w:val="auto"/>
        </w:rPr>
      </w:pPr>
    </w:p>
    <w:p>
      <w:pPr>
        <w:ind w:right="240" w:firstLine="436"/>
        <w:spacing w:after="0" w:line="292" w:lineRule="auto"/>
        <w:tabs>
          <w:tab w:leader="none" w:pos="620" w:val="left"/>
        </w:tabs>
        <w:numPr>
          <w:ilvl w:val="0"/>
          <w:numId w:val="361"/>
        </w:numPr>
        <w:rPr>
          <w:rFonts w:ascii="Arial" w:cs="Arial" w:eastAsia="Arial" w:hAnsi="Arial"/>
          <w:sz w:val="16"/>
          <w:szCs w:val="16"/>
          <w:b w:val="1"/>
          <w:bCs w:val="1"/>
          <w:color w:val="auto"/>
        </w:rPr>
      </w:pPr>
      <w:r>
        <w:rPr>
          <w:rFonts w:ascii="Arial" w:cs="Arial" w:eastAsia="Arial" w:hAnsi="Arial"/>
          <w:sz w:val="16"/>
          <w:szCs w:val="16"/>
          <w:b w:val="1"/>
          <w:bCs w:val="1"/>
          <w:color w:val="auto"/>
        </w:rPr>
        <w:t>W</w:t>
      </w:r>
      <w:r>
        <w:rPr>
          <w:rFonts w:ascii="Arial" w:cs="Arial" w:eastAsia="Arial" w:hAnsi="Arial"/>
          <w:sz w:val="12"/>
          <w:szCs w:val="12"/>
          <w:b w:val="1"/>
          <w:bCs w:val="1"/>
          <w:color w:val="auto"/>
        </w:rPr>
        <w:t>ITHHOLDING</w:t>
      </w:r>
      <w:r>
        <w:rPr>
          <w:rFonts w:ascii="Arial" w:cs="Arial" w:eastAsia="Arial" w:hAnsi="Arial"/>
          <w:sz w:val="16"/>
          <w:szCs w:val="16"/>
          <w:b w:val="1"/>
          <w:bCs w:val="1"/>
          <w:color w:val="auto"/>
        </w:rPr>
        <w:t xml:space="preserve"> O</w:t>
      </w:r>
      <w:r>
        <w:rPr>
          <w:rFonts w:ascii="Arial" w:cs="Arial" w:eastAsia="Arial" w:hAnsi="Arial"/>
          <w:sz w:val="12"/>
          <w:szCs w:val="12"/>
          <w:b w:val="1"/>
          <w:bCs w:val="1"/>
          <w:color w:val="auto"/>
        </w:rPr>
        <w:t>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As further provided in Section 8 of the Plan, you hereby authorize withholding from payroll and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amounts payable to you, and otherwise agree to make adequate provision for, any sums required to satisfy the federal, state, local and foreign tax withholding obligations, if any, which arise in connection with your RSU Award (the “</w:t>
      </w:r>
      <w:r>
        <w:rPr>
          <w:rFonts w:ascii="Arial" w:cs="Arial" w:eastAsia="Arial" w:hAnsi="Arial"/>
          <w:sz w:val="16"/>
          <w:szCs w:val="16"/>
          <w:b w:val="1"/>
          <w:bCs w:val="1"/>
          <w:i w:val="1"/>
          <w:iCs w:val="1"/>
          <w:color w:val="auto"/>
        </w:rPr>
        <w:t>Withholding Obligation</w:t>
      </w:r>
      <w:r>
        <w:rPr>
          <w:rFonts w:ascii="Arial" w:cs="Arial" w:eastAsia="Arial" w:hAnsi="Arial"/>
          <w:sz w:val="16"/>
          <w:szCs w:val="16"/>
          <w:color w:val="auto"/>
        </w:rPr>
        <w:t>”) in accordance with the withholding procedures established by the Company. Unless the Withholding Obligation is satisfied, the Company shall have no obligation to deliver to you any Common Stock in respect of the RSU Award. In the event the Withholding Obligation of the Company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sectPr>
      </w:pPr>
    </w:p>
    <w:bookmarkStart w:id="431" w:name="page432"/>
    <w:bookmarkEnd w:id="431"/>
    <w:p>
      <w:pPr>
        <w:ind w:left="624" w:hanging="184"/>
        <w:spacing w:after="0"/>
        <w:tabs>
          <w:tab w:leader="none" w:pos="624" w:val="left"/>
        </w:tabs>
        <w:numPr>
          <w:ilvl w:val="0"/>
          <w:numId w:val="36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w:t>
      </w:r>
      <w:r>
        <w:rPr>
          <w:rFonts w:ascii="Arial" w:cs="Arial" w:eastAsia="Arial" w:hAnsi="Arial"/>
          <w:sz w:val="14"/>
          <w:szCs w:val="14"/>
          <w:b w:val="1"/>
          <w:bCs w:val="1"/>
          <w:color w:val="auto"/>
        </w:rPr>
        <w:t>ATE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SSUANCE</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firstLine="987"/>
        <w:spacing w:after="0" w:line="257" w:lineRule="auto"/>
        <w:tabs>
          <w:tab w:leader="none" w:pos="1250" w:val="left"/>
        </w:tabs>
        <w:numPr>
          <w:ilvl w:val="1"/>
          <w:numId w:val="362"/>
        </w:numPr>
        <w:rPr>
          <w:rFonts w:ascii="Arial" w:cs="Arial" w:eastAsia="Arial" w:hAnsi="Arial"/>
          <w:sz w:val="18"/>
          <w:szCs w:val="18"/>
          <w:b w:val="1"/>
          <w:bCs w:val="1"/>
          <w:color w:val="auto"/>
        </w:rPr>
      </w:pPr>
      <w:r>
        <w:rPr>
          <w:rFonts w:ascii="Arial" w:cs="Arial" w:eastAsia="Arial" w:hAnsi="Arial"/>
          <w:sz w:val="18"/>
          <w:szCs w:val="18"/>
          <w:color w:val="auto"/>
        </w:rPr>
        <w:t>The issuance of shares in respect of the Restricted Stock Units is intended to comply with Treasury Regulations Section 1.409A-1(b)(4) and will be construed and administered in such a manner. Subject to the satisfaction of the Withholding Obligation, if any, in the event one or more Restricted Stock Units vests, the Company shall issue to you one (1) share of Common Stock for each Restricted Stock Unit that vests on the applicable vesting date(s) (subject to any adjustment under Section 3 above, and subject to any different provisions in the Grant Notice). Each issuance date determined by this paragraph is referred to as an “</w:t>
      </w:r>
      <w:r>
        <w:rPr>
          <w:rFonts w:ascii="Arial" w:cs="Arial" w:eastAsia="Arial" w:hAnsi="Arial"/>
          <w:sz w:val="18"/>
          <w:szCs w:val="18"/>
          <w:b w:val="1"/>
          <w:bCs w:val="1"/>
          <w:i w:val="1"/>
          <w:iCs w:val="1"/>
          <w:color w:val="auto"/>
        </w:rPr>
        <w:t>Original Issuance Date</w:t>
      </w:r>
      <w:r>
        <w:rPr>
          <w:rFonts w:ascii="Arial" w:cs="Arial" w:eastAsia="Arial" w:hAnsi="Arial"/>
          <w:sz w:val="18"/>
          <w:szCs w:val="18"/>
          <w:color w:val="auto"/>
        </w:rPr>
        <w:t>.”</w:t>
      </w:r>
    </w:p>
    <w:p>
      <w:pPr>
        <w:spacing w:after="0" w:line="79" w:lineRule="exact"/>
        <w:rPr>
          <w:rFonts w:ascii="Arial" w:cs="Arial" w:eastAsia="Arial" w:hAnsi="Arial"/>
          <w:sz w:val="18"/>
          <w:szCs w:val="18"/>
          <w:b w:val="1"/>
          <w:bCs w:val="1"/>
          <w:color w:val="auto"/>
        </w:rPr>
      </w:pPr>
    </w:p>
    <w:p>
      <w:pPr>
        <w:ind w:left="1264" w:hanging="273"/>
        <w:spacing w:after="0"/>
        <w:tabs>
          <w:tab w:leader="none" w:pos="1264" w:val="left"/>
        </w:tabs>
        <w:numPr>
          <w:ilvl w:val="1"/>
          <w:numId w:val="362"/>
        </w:numPr>
        <w:rPr>
          <w:rFonts w:ascii="Arial" w:cs="Arial" w:eastAsia="Arial" w:hAnsi="Arial"/>
          <w:sz w:val="16"/>
          <w:szCs w:val="16"/>
          <w:b w:val="1"/>
          <w:bCs w:val="1"/>
          <w:color w:val="auto"/>
        </w:rPr>
      </w:pPr>
      <w:r>
        <w:rPr>
          <w:rFonts w:ascii="Arial" w:cs="Arial" w:eastAsia="Arial" w:hAnsi="Arial"/>
          <w:sz w:val="16"/>
          <w:szCs w:val="16"/>
          <w:color w:val="auto"/>
        </w:rPr>
        <w:t>If the Original Issuance Date falls on a date that is not a business day, delivery shall instead occur on the next following business day.</w:t>
      </w:r>
    </w:p>
    <w:p>
      <w:pPr>
        <w:spacing w:after="0" w:line="46"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8"/>
          <w:szCs w:val="18"/>
          <w:color w:val="auto"/>
        </w:rPr>
        <w:t xml:space="preserve">In addition, </w:t>
      </w:r>
      <w:r>
        <w:rPr>
          <w:rFonts w:ascii="Arial" w:cs="Arial" w:eastAsia="Arial" w:hAnsi="Arial"/>
          <w:sz w:val="18"/>
          <w:szCs w:val="18"/>
          <w:u w:val="single" w:color="auto"/>
          <w:color w:val="auto"/>
        </w:rPr>
        <w:t>if</w:t>
      </w:r>
      <w:r>
        <w:rPr>
          <w:rFonts w:ascii="Arial" w:cs="Arial" w:eastAsia="Arial" w:hAnsi="Arial"/>
          <w:sz w:val="18"/>
          <w:szCs w:val="18"/>
          <w:color w:val="auto"/>
        </w:rPr>
        <w:t>:</w:t>
      </w:r>
    </w:p>
    <w:p>
      <w:pPr>
        <w:spacing w:after="0" w:line="102" w:lineRule="exact"/>
        <w:rPr>
          <w:rFonts w:ascii="Arial" w:cs="Arial" w:eastAsia="Arial" w:hAnsi="Arial"/>
          <w:sz w:val="16"/>
          <w:szCs w:val="16"/>
          <w:b w:val="1"/>
          <w:bCs w:val="1"/>
          <w:color w:val="auto"/>
        </w:rPr>
      </w:pPr>
    </w:p>
    <w:p>
      <w:pPr>
        <w:ind w:left="4" w:right="60" w:firstLine="1428"/>
        <w:spacing w:after="0" w:line="257" w:lineRule="auto"/>
        <w:tabs>
          <w:tab w:leader="none" w:pos="1651" w:val="left"/>
        </w:tabs>
        <w:numPr>
          <w:ilvl w:val="2"/>
          <w:numId w:val="362"/>
        </w:numPr>
        <w:rPr>
          <w:rFonts w:ascii="Arial" w:cs="Arial" w:eastAsia="Arial" w:hAnsi="Arial"/>
          <w:sz w:val="18"/>
          <w:szCs w:val="18"/>
          <w:b w:val="1"/>
          <w:bCs w:val="1"/>
          <w:color w:val="auto"/>
        </w:rPr>
      </w:pPr>
      <w:r>
        <w:rPr>
          <w:rFonts w:ascii="Arial" w:cs="Arial" w:eastAsia="Arial" w:hAnsi="Arial"/>
          <w:sz w:val="18"/>
          <w:szCs w:val="18"/>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Arial" w:cs="Arial" w:eastAsia="Arial" w:hAnsi="Arial"/>
          <w:sz w:val="18"/>
          <w:szCs w:val="18"/>
          <w:b w:val="1"/>
          <w:bCs w:val="1"/>
          <w:i w:val="1"/>
          <w:iCs w:val="1"/>
          <w:color w:val="auto"/>
        </w:rPr>
        <w:t>10b5-1</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Arrangement</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and</w:t>
      </w:r>
    </w:p>
    <w:p>
      <w:pPr>
        <w:spacing w:after="0" w:line="79" w:lineRule="exact"/>
        <w:rPr>
          <w:rFonts w:ascii="Arial" w:cs="Arial" w:eastAsia="Arial" w:hAnsi="Arial"/>
          <w:sz w:val="18"/>
          <w:szCs w:val="18"/>
          <w:b w:val="1"/>
          <w:bCs w:val="1"/>
          <w:color w:val="auto"/>
        </w:rPr>
      </w:pPr>
    </w:p>
    <w:p>
      <w:pPr>
        <w:ind w:left="4" w:firstLine="1428"/>
        <w:spacing w:after="0" w:line="279" w:lineRule="auto"/>
        <w:tabs>
          <w:tab w:leader="none" w:pos="1701" w:val="left"/>
        </w:tabs>
        <w:numPr>
          <w:ilvl w:val="2"/>
          <w:numId w:val="362"/>
        </w:numPr>
        <w:rPr>
          <w:rFonts w:ascii="Arial" w:cs="Arial" w:eastAsia="Arial" w:hAnsi="Arial"/>
          <w:sz w:val="17"/>
          <w:szCs w:val="17"/>
          <w:b w:val="1"/>
          <w:bCs w:val="1"/>
          <w:color w:val="auto"/>
        </w:rPr>
      </w:pPr>
      <w:r>
        <w:rPr>
          <w:rFonts w:ascii="Arial" w:cs="Arial" w:eastAsia="Arial" w:hAnsi="Arial"/>
          <w:sz w:val="17"/>
          <w:szCs w:val="17"/>
          <w:color w:val="auto"/>
        </w:rPr>
        <w:t>either (1) a Withholding Obligation does not apply, or (2) the Company decides, prior to the Original Issuance Date, (A) not to satisfy the Withholding Obligation by withholding shares of Common Stock from the shares otherwise due, on the Original Issuance Date, to you under this Award, and (B) not to permit you to enter into a “same day sale” commitment with a broker-dealer (including but not limited to a commitment under a 10b5-1 Arrangement) and (C) not to permit you to pay your Withholding Obligation in cash,</w:t>
      </w:r>
    </w:p>
    <w:p>
      <w:pPr>
        <w:spacing w:after="0" w:line="171" w:lineRule="exact"/>
        <w:rPr>
          <w:sz w:val="20"/>
          <w:szCs w:val="20"/>
          <w:color w:val="auto"/>
        </w:rPr>
      </w:pPr>
    </w:p>
    <w:p>
      <w:pPr>
        <w:ind w:left="4"/>
        <w:spacing w:after="0" w:line="293" w:lineRule="auto"/>
        <w:rPr>
          <w:sz w:val="20"/>
          <w:szCs w:val="20"/>
          <w:color w:val="auto"/>
        </w:rPr>
      </w:pPr>
      <w:r>
        <w:rPr>
          <w:rFonts w:ascii="Arial" w:cs="Arial" w:eastAsia="Arial" w:hAnsi="Arial"/>
          <w:sz w:val="16"/>
          <w:szCs w:val="16"/>
          <w:u w:val="single" w:color="auto"/>
          <w:color w:val="auto"/>
        </w:rPr>
        <w:t>then</w:t>
      </w:r>
      <w:r>
        <w:rPr>
          <w:rFonts w:ascii="Arial" w:cs="Arial" w:eastAsia="Arial" w:hAnsi="Arial"/>
          <w:sz w:val="16"/>
          <w:szCs w:val="16"/>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w:t>
      </w:r>
      <w:r>
        <w:rPr>
          <w:rFonts w:ascii="Arial" w:cs="Arial" w:eastAsia="Arial" w:hAnsi="Arial"/>
          <w:sz w:val="16"/>
          <w:szCs w:val="16"/>
          <w:u w:val="single" w:color="auto"/>
          <w:color w:val="auto"/>
        </w:rPr>
        <w:t>if and only if</w:t>
      </w:r>
      <w:r>
        <w:rPr>
          <w:rFonts w:ascii="Arial" w:cs="Arial" w:eastAsia="Arial" w:hAnsi="Arial"/>
          <w:sz w:val="16"/>
          <w:szCs w:val="16"/>
          <w:color w:val="auto"/>
        </w:rPr>
        <w:t xml:space="preserve"> 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w:t>
      </w:r>
    </w:p>
    <w:p>
      <w:pPr>
        <w:spacing w:after="0" w:line="56" w:lineRule="exact"/>
        <w:rPr>
          <w:sz w:val="20"/>
          <w:szCs w:val="20"/>
          <w:color w:val="auto"/>
        </w:rPr>
      </w:pPr>
    </w:p>
    <w:p>
      <w:pPr>
        <w:ind w:left="1244" w:hanging="253"/>
        <w:spacing w:after="0"/>
        <w:tabs>
          <w:tab w:leader="none" w:pos="1244" w:val="left"/>
        </w:tabs>
        <w:numPr>
          <w:ilvl w:val="2"/>
          <w:numId w:val="363"/>
        </w:numPr>
        <w:rPr>
          <w:rFonts w:ascii="Arial" w:cs="Arial" w:eastAsia="Arial" w:hAnsi="Arial"/>
          <w:sz w:val="18"/>
          <w:szCs w:val="18"/>
          <w:b w:val="1"/>
          <w:bCs w:val="1"/>
          <w:color w:val="auto"/>
        </w:rPr>
      </w:pPr>
      <w:r>
        <w:rPr>
          <w:rFonts w:ascii="Arial" w:cs="Arial" w:eastAsia="Arial" w:hAnsi="Arial"/>
          <w:sz w:val="18"/>
          <w:szCs w:val="18"/>
          <w:color w:val="auto"/>
        </w:rPr>
        <w:t>To the extent the RSU Award is a Non-Exempt RSU Award, the provisions of Section 11 of the Plan shall apply.</w:t>
      </w:r>
    </w:p>
    <w:p>
      <w:pPr>
        <w:spacing w:after="0" w:line="221" w:lineRule="exact"/>
        <w:rPr>
          <w:rFonts w:ascii="Arial" w:cs="Arial" w:eastAsia="Arial" w:hAnsi="Arial"/>
          <w:sz w:val="18"/>
          <w:szCs w:val="18"/>
          <w:b w:val="1"/>
          <w:bCs w:val="1"/>
          <w:color w:val="auto"/>
        </w:rPr>
      </w:pPr>
    </w:p>
    <w:p>
      <w:pPr>
        <w:ind w:left="4" w:right="80" w:firstLine="436"/>
        <w:spacing w:after="0" w:line="282" w:lineRule="auto"/>
        <w:tabs>
          <w:tab w:leader="none" w:pos="624" w:val="left"/>
        </w:tabs>
        <w:numPr>
          <w:ilvl w:val="1"/>
          <w:numId w:val="364"/>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RANSFERABILITY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in the Plan, your RSU Award is not transferable, except by will or by the applicable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descent and distribution.</w:t>
      </w:r>
    </w:p>
    <w:p>
      <w:pPr>
        <w:spacing w:after="0" w:line="161" w:lineRule="exact"/>
        <w:rPr>
          <w:rFonts w:ascii="Arial" w:cs="Arial" w:eastAsia="Arial" w:hAnsi="Arial"/>
          <w:sz w:val="18"/>
          <w:szCs w:val="18"/>
          <w:b w:val="1"/>
          <w:bCs w:val="1"/>
          <w:color w:val="auto"/>
        </w:rPr>
      </w:pPr>
    </w:p>
    <w:p>
      <w:pPr>
        <w:ind w:left="4" w:right="360" w:firstLine="436"/>
        <w:spacing w:after="0" w:line="266" w:lineRule="auto"/>
        <w:tabs>
          <w:tab w:leader="none" w:pos="624" w:val="left"/>
        </w:tabs>
        <w:numPr>
          <w:ilvl w:val="1"/>
          <w:numId w:val="364"/>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Your RSU Award is subject to the terms of any agreement governing a Corporate Transaction involving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including, without limitation, a provision for the appointment of a stockholder representative that is authorized to act on your behalf with respect to any escrow, indemnities and any contingent consideration.</w:t>
      </w:r>
    </w:p>
    <w:p>
      <w:pPr>
        <w:spacing w:after="0" w:line="175" w:lineRule="exact"/>
        <w:rPr>
          <w:rFonts w:ascii="Arial" w:cs="Arial" w:eastAsia="Arial" w:hAnsi="Arial"/>
          <w:sz w:val="18"/>
          <w:szCs w:val="18"/>
          <w:b w:val="1"/>
          <w:bCs w:val="1"/>
          <w:color w:val="auto"/>
        </w:rPr>
      </w:pPr>
    </w:p>
    <w:p>
      <w:pPr>
        <w:ind w:left="4" w:right="100" w:firstLine="436"/>
        <w:spacing w:after="0" w:line="276" w:lineRule="auto"/>
        <w:tabs>
          <w:tab w:leader="none" w:pos="624" w:val="left"/>
        </w:tabs>
        <w:numPr>
          <w:ilvl w:val="1"/>
          <w:numId w:val="364"/>
        </w:numPr>
        <w:rPr>
          <w:rFonts w:ascii="Arial" w:cs="Arial" w:eastAsia="Arial" w:hAnsi="Arial"/>
          <w:sz w:val="17"/>
          <w:szCs w:val="17"/>
          <w:b w:val="1"/>
          <w:bCs w:val="1"/>
          <w:color w:val="auto"/>
        </w:rPr>
      </w:pPr>
      <w:r>
        <w:rPr>
          <w:rFonts w:ascii="Arial" w:cs="Arial" w:eastAsia="Arial" w:hAnsi="Arial"/>
          <w:sz w:val="17"/>
          <w:szCs w:val="17"/>
          <w:b w:val="1"/>
          <w:bCs w:val="1"/>
          <w:color w:val="auto"/>
        </w:rPr>
        <w:t>N</w:t>
      </w:r>
      <w:r>
        <w:rPr>
          <w:rFonts w:ascii="Arial" w:cs="Arial" w:eastAsia="Arial" w:hAnsi="Arial"/>
          <w:sz w:val="13"/>
          <w:szCs w:val="13"/>
          <w:b w:val="1"/>
          <w:bCs w:val="1"/>
          <w:color w:val="auto"/>
        </w:rPr>
        <w:t>O</w:t>
      </w:r>
      <w:r>
        <w:rPr>
          <w:rFonts w:ascii="Arial" w:cs="Arial" w:eastAsia="Arial" w:hAnsi="Arial"/>
          <w:sz w:val="17"/>
          <w:szCs w:val="17"/>
          <w:b w:val="1"/>
          <w:bCs w:val="1"/>
          <w:color w:val="auto"/>
        </w:rPr>
        <w:t xml:space="preserve"> L</w:t>
      </w:r>
      <w:r>
        <w:rPr>
          <w:rFonts w:ascii="Arial" w:cs="Arial" w:eastAsia="Arial" w:hAnsi="Arial"/>
          <w:sz w:val="13"/>
          <w:szCs w:val="13"/>
          <w:b w:val="1"/>
          <w:bCs w:val="1"/>
          <w:color w:val="auto"/>
        </w:rPr>
        <w:t>IABILITY FOR</w:t>
      </w:r>
      <w:r>
        <w:rPr>
          <w:rFonts w:ascii="Arial" w:cs="Arial" w:eastAsia="Arial" w:hAnsi="Arial"/>
          <w:sz w:val="17"/>
          <w:szCs w:val="17"/>
          <w:b w:val="1"/>
          <w:bCs w:val="1"/>
          <w:color w:val="auto"/>
        </w:rPr>
        <w:t xml:space="preserve"> T</w:t>
      </w:r>
      <w:r>
        <w:rPr>
          <w:rFonts w:ascii="Arial" w:cs="Arial" w:eastAsia="Arial" w:hAnsi="Arial"/>
          <w:sz w:val="13"/>
          <w:szCs w:val="13"/>
          <w:b w:val="1"/>
          <w:bCs w:val="1"/>
          <w:color w:val="auto"/>
        </w:rPr>
        <w:t>AXES</w:t>
      </w:r>
      <w:r>
        <w:rPr>
          <w:rFonts w:ascii="Arial" w:cs="Arial" w:eastAsia="Arial" w:hAnsi="Arial"/>
          <w:sz w:val="17"/>
          <w:szCs w:val="17"/>
          <w:color w:val="auto"/>
        </w:rPr>
        <w:t>. As a condition to accepting the RSU Award, you hereby (a) agree to not make any claim against the Company, or</w:t>
      </w:r>
      <w:r>
        <w:rPr>
          <w:rFonts w:ascii="Arial" w:cs="Arial" w:eastAsia="Arial" w:hAnsi="Arial"/>
          <w:sz w:val="17"/>
          <w:szCs w:val="17"/>
          <w:b w:val="1"/>
          <w:bCs w:val="1"/>
          <w:color w:val="auto"/>
        </w:rPr>
        <w:t xml:space="preserve"> </w:t>
      </w:r>
      <w:r>
        <w:rPr>
          <w:rFonts w:ascii="Arial" w:cs="Arial" w:eastAsia="Arial" w:hAnsi="Arial"/>
          <w:sz w:val="17"/>
          <w:szCs w:val="17"/>
          <w:color w:val="auto"/>
        </w:rPr>
        <w:t>any of its Officers, Directors, Employees or Affiliates related to tax liabilities arising from the RSU Award or other Company compensation and</w:t>
      </w:r>
    </w:p>
    <w:p>
      <w:pPr>
        <w:ind w:left="4" w:right="180" w:hanging="4"/>
        <w:spacing w:after="0" w:line="260" w:lineRule="auto"/>
        <w:tabs>
          <w:tab w:leader="none" w:pos="259" w:val="left"/>
        </w:tabs>
        <w:numPr>
          <w:ilvl w:val="0"/>
          <w:numId w:val="365"/>
        </w:numPr>
        <w:rPr>
          <w:rFonts w:ascii="Arial" w:cs="Arial" w:eastAsia="Arial" w:hAnsi="Arial"/>
          <w:sz w:val="18"/>
          <w:szCs w:val="18"/>
          <w:color w:val="auto"/>
        </w:rPr>
      </w:pPr>
      <w:r>
        <w:rPr>
          <w:rFonts w:ascii="Arial" w:cs="Arial" w:eastAsia="Arial" w:hAnsi="Arial"/>
          <w:sz w:val="18"/>
          <w:szCs w:val="18"/>
          <w:color w:val="auto"/>
        </w:rPr>
        <w:t>acknowledge that you were advised to consult with your own personal tax, financial and other legal advisors regarding the tax consequences of the RSU Award and have either done so or knowingly and voluntarily declined to do so.</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0" w:right="459" w:bottom="1440" w:gutter="0" w:footer="0" w:header="0"/>
        </w:sectPr>
      </w:pPr>
    </w:p>
    <w:bookmarkStart w:id="432" w:name="page433"/>
    <w:bookmarkEnd w:id="432"/>
    <w:p>
      <w:pPr>
        <w:ind w:left="-40" w:firstLine="436"/>
        <w:spacing w:after="0" w:line="261" w:lineRule="auto"/>
        <w:tabs>
          <w:tab w:leader="none" w:pos="580" w:val="left"/>
        </w:tabs>
        <w:numPr>
          <w:ilvl w:val="0"/>
          <w:numId w:val="36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w:t>
      </w:r>
      <w:r>
        <w:rPr>
          <w:rFonts w:ascii="Arial" w:cs="Arial" w:eastAsia="Arial" w:hAnsi="Arial"/>
          <w:sz w:val="14"/>
          <w:szCs w:val="14"/>
          <w:b w:val="1"/>
          <w:bCs w:val="1"/>
          <w:color w:val="auto"/>
        </w:rPr>
        <w:t>EVERABILITY</w:t>
      </w:r>
      <w:r>
        <w:rPr>
          <w:rFonts w:ascii="Arial" w:cs="Arial" w:eastAsia="Arial" w:hAnsi="Arial"/>
          <w:sz w:val="18"/>
          <w:szCs w:val="18"/>
          <w:color w:val="auto"/>
        </w:rPr>
        <w:t>. If any part of this Agreement or the Plan is declared by any court or governmental authority to be unlawful or invalid, such</w:t>
      </w:r>
      <w:r>
        <w:rPr>
          <w:rFonts w:ascii="Arial" w:cs="Arial" w:eastAsia="Arial" w:hAnsi="Arial"/>
          <w:sz w:val="18"/>
          <w:szCs w:val="18"/>
          <w:b w:val="1"/>
          <w:bCs w:val="1"/>
          <w:color w:val="auto"/>
        </w:rPr>
        <w:t xml:space="preserve"> </w:t>
      </w:r>
      <w:r>
        <w:rPr>
          <w:rFonts w:ascii="Arial" w:cs="Arial" w:eastAsia="Arial" w:hAnsi="Arial"/>
          <w:sz w:val="18"/>
          <w:szCs w:val="18"/>
          <w:color w:val="auto"/>
        </w:rPr>
        <w:t>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79" w:lineRule="exact"/>
        <w:rPr>
          <w:rFonts w:ascii="Arial" w:cs="Arial" w:eastAsia="Arial" w:hAnsi="Arial"/>
          <w:sz w:val="18"/>
          <w:szCs w:val="18"/>
          <w:b w:val="1"/>
          <w:bCs w:val="1"/>
          <w:color w:val="auto"/>
        </w:rPr>
      </w:pPr>
    </w:p>
    <w:p>
      <w:pPr>
        <w:ind w:left="-40" w:right="40" w:firstLine="436"/>
        <w:spacing w:after="0" w:line="347" w:lineRule="auto"/>
        <w:tabs>
          <w:tab w:leader="none" w:pos="670" w:val="left"/>
        </w:tabs>
        <w:numPr>
          <w:ilvl w:val="0"/>
          <w:numId w:val="366"/>
        </w:numPr>
        <w:rPr>
          <w:rFonts w:ascii="Arial" w:cs="Arial" w:eastAsia="Arial" w:hAnsi="Arial"/>
          <w:sz w:val="16"/>
          <w:szCs w:val="16"/>
          <w:b w:val="1"/>
          <w:bCs w:val="1"/>
          <w:color w:val="auto"/>
        </w:rPr>
      </w:pPr>
      <w:r>
        <w:rPr>
          <w:rFonts w:ascii="Arial" w:cs="Arial" w:eastAsia="Arial" w:hAnsi="Arial"/>
          <w:sz w:val="16"/>
          <w:szCs w:val="16"/>
          <w:b w:val="1"/>
          <w:bCs w:val="1"/>
          <w:color w:val="auto"/>
        </w:rPr>
        <w:t>O</w:t>
      </w:r>
      <w:r>
        <w:rPr>
          <w:rFonts w:ascii="Arial" w:cs="Arial" w:eastAsia="Arial" w:hAnsi="Arial"/>
          <w:sz w:val="12"/>
          <w:szCs w:val="12"/>
          <w:b w:val="1"/>
          <w:bCs w:val="1"/>
          <w:color w:val="auto"/>
        </w:rPr>
        <w:t>THER</w:t>
      </w:r>
      <w:r>
        <w:rPr>
          <w:rFonts w:ascii="Arial" w:cs="Arial" w:eastAsia="Arial" w:hAnsi="Arial"/>
          <w:sz w:val="16"/>
          <w:szCs w:val="16"/>
          <w:b w:val="1"/>
          <w:bCs w:val="1"/>
          <w:color w:val="auto"/>
        </w:rPr>
        <w:t xml:space="preserve"> D</w:t>
      </w:r>
      <w:r>
        <w:rPr>
          <w:rFonts w:ascii="Arial" w:cs="Arial" w:eastAsia="Arial" w:hAnsi="Arial"/>
          <w:sz w:val="12"/>
          <w:szCs w:val="12"/>
          <w:b w:val="1"/>
          <w:bCs w:val="1"/>
          <w:color w:val="auto"/>
        </w:rPr>
        <w:t>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You hereby acknowledge receipt of or the right to receive a document providing the information required by Rule</w:t>
      </w:r>
      <w:r>
        <w:rPr>
          <w:rFonts w:ascii="Arial" w:cs="Arial" w:eastAsia="Arial" w:hAnsi="Arial"/>
          <w:sz w:val="16"/>
          <w:szCs w:val="16"/>
          <w:b w:val="1"/>
          <w:bCs w:val="1"/>
          <w:color w:val="auto"/>
        </w:rPr>
        <w:t xml:space="preserve"> </w:t>
      </w:r>
      <w:r>
        <w:rPr>
          <w:rFonts w:ascii="Arial" w:cs="Arial" w:eastAsia="Arial" w:hAnsi="Arial"/>
          <w:sz w:val="16"/>
          <w:szCs w:val="16"/>
          <w:color w:val="auto"/>
        </w:rPr>
        <w:t>428(b)(1) promulgated under the Securities Act, which includes the Prospectus. In addition, you acknowledge receipt of the Company’s Trading Policy.</w:t>
      </w:r>
    </w:p>
    <w:p>
      <w:pPr>
        <w:spacing w:after="0" w:line="115" w:lineRule="exact"/>
        <w:rPr>
          <w:rFonts w:ascii="Arial" w:cs="Arial" w:eastAsia="Arial" w:hAnsi="Arial"/>
          <w:sz w:val="16"/>
          <w:szCs w:val="16"/>
          <w:b w:val="1"/>
          <w:bCs w:val="1"/>
          <w:color w:val="auto"/>
        </w:rPr>
      </w:pPr>
    </w:p>
    <w:p>
      <w:pPr>
        <w:ind w:left="-40" w:right="60" w:firstLine="436"/>
        <w:spacing w:after="0" w:line="282" w:lineRule="auto"/>
        <w:tabs>
          <w:tab w:leader="none" w:pos="660" w:val="left"/>
        </w:tabs>
        <w:numPr>
          <w:ilvl w:val="0"/>
          <w:numId w:val="366"/>
        </w:numPr>
        <w:rPr>
          <w:rFonts w:ascii="Arial" w:cs="Arial" w:eastAsia="Arial" w:hAnsi="Arial"/>
          <w:sz w:val="18"/>
          <w:szCs w:val="18"/>
          <w:b w:val="1"/>
          <w:bCs w:val="1"/>
          <w:color w:val="auto"/>
        </w:rPr>
      </w:pPr>
      <w:r>
        <w:rPr>
          <w:rFonts w:ascii="Arial" w:cs="Arial" w:eastAsia="Arial" w:hAnsi="Arial"/>
          <w:sz w:val="18"/>
          <w:szCs w:val="18"/>
          <w:b w:val="1"/>
          <w:bCs w:val="1"/>
          <w:color w:val="auto"/>
        </w:rPr>
        <w:t>Q</w:t>
      </w:r>
      <w:r>
        <w:rPr>
          <w:rFonts w:ascii="Arial" w:cs="Arial" w:eastAsia="Arial" w:hAnsi="Arial"/>
          <w:sz w:val="14"/>
          <w:szCs w:val="14"/>
          <w:b w:val="1"/>
          <w:bCs w:val="1"/>
          <w:color w:val="auto"/>
        </w:rPr>
        <w:t>UESTIONS</w:t>
      </w:r>
      <w:r>
        <w:rPr>
          <w:rFonts w:ascii="Arial" w:cs="Arial" w:eastAsia="Arial" w:hAnsi="Arial"/>
          <w:sz w:val="18"/>
          <w:szCs w:val="18"/>
          <w:b w:val="1"/>
          <w:bCs w:val="1"/>
          <w:color w:val="auto"/>
        </w:rPr>
        <w:t xml:space="preserve">. </w:t>
      </w:r>
      <w:r>
        <w:rPr>
          <w:rFonts w:ascii="Arial" w:cs="Arial" w:eastAsia="Arial" w:hAnsi="Arial"/>
          <w:sz w:val="18"/>
          <w:szCs w:val="18"/>
          <w:color w:val="auto"/>
        </w:rPr>
        <w:t>If you have questions regarding these or any other terms and conditions applicable to your RSU Award, including a summary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applicable federal income tax consequences please see the Prospectus.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80" w:top="270" w:right="499" w:bottom="1440" w:gutter="0" w:footer="0" w:header="0"/>
        </w:sectPr>
      </w:pPr>
    </w:p>
    <w:bookmarkStart w:id="433" w:name="page434"/>
    <w:bookmarkEnd w:id="43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ectPr>
          <w:pgSz w:w="11900" w:h="16838" w:orient="portrait"/>
          <w:cols w:equalWidth="0" w:num="1">
            <w:col w:w="9019"/>
          </w:cols>
          <w:pgMar w:left="1440" w:top="270" w:right="1440" w:bottom="1440" w:gutter="0" w:footer="0" w:header="0"/>
        </w:sectPr>
      </w:pPr>
    </w:p>
    <w:bookmarkStart w:id="434" w:name="page435"/>
    <w:bookmarkEnd w:id="434"/>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ind w:left="4364"/>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DAGIO</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17" w:lineRule="exact"/>
        <w:rPr>
          <w:sz w:val="20"/>
          <w:szCs w:val="20"/>
          <w:color w:val="auto"/>
        </w:rPr>
      </w:pPr>
    </w:p>
    <w:p>
      <w:pPr>
        <w:ind w:left="3904"/>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4"/>
          <w:szCs w:val="14"/>
          <w:b w:val="1"/>
          <w:bCs w:val="1"/>
          <w:color w:val="auto"/>
        </w:rPr>
        <w:t>MPLOYEE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117" w:lineRule="exact"/>
        <w:rPr>
          <w:sz w:val="20"/>
          <w:szCs w:val="20"/>
          <w:color w:val="auto"/>
        </w:rPr>
      </w:pPr>
    </w:p>
    <w:p>
      <w:pPr>
        <w:ind w:left="3324"/>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DOPTED BY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J</w:t>
      </w:r>
      <w:r>
        <w:rPr>
          <w:rFonts w:ascii="Arial" w:cs="Arial" w:eastAsia="Arial" w:hAnsi="Arial"/>
          <w:sz w:val="14"/>
          <w:szCs w:val="14"/>
          <w:b w:val="1"/>
          <w:bCs w:val="1"/>
          <w:color w:val="auto"/>
        </w:rPr>
        <w:t>ULY</w:t>
      </w:r>
      <w:r>
        <w:rPr>
          <w:rFonts w:ascii="Arial" w:cs="Arial" w:eastAsia="Arial" w:hAnsi="Arial"/>
          <w:sz w:val="18"/>
          <w:szCs w:val="18"/>
          <w:b w:val="1"/>
          <w:bCs w:val="1"/>
          <w:color w:val="auto"/>
        </w:rPr>
        <w:t xml:space="preserve"> 27, 2021</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PPROVED BY THE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18"/>
          <w:szCs w:val="18"/>
          <w:b w:val="1"/>
          <w:bCs w:val="1"/>
          <w:color w:val="auto"/>
        </w:rPr>
        <w:t>: J</w:t>
      </w:r>
      <w:r>
        <w:rPr>
          <w:rFonts w:ascii="Arial" w:cs="Arial" w:eastAsia="Arial" w:hAnsi="Arial"/>
          <w:sz w:val="14"/>
          <w:szCs w:val="14"/>
          <w:b w:val="1"/>
          <w:bCs w:val="1"/>
          <w:color w:val="auto"/>
        </w:rPr>
        <w:t>ULY</w:t>
      </w:r>
      <w:r>
        <w:rPr>
          <w:rFonts w:ascii="Arial" w:cs="Arial" w:eastAsia="Arial" w:hAnsi="Arial"/>
          <w:sz w:val="18"/>
          <w:szCs w:val="18"/>
          <w:b w:val="1"/>
          <w:bCs w:val="1"/>
          <w:color w:val="auto"/>
        </w:rPr>
        <w:t xml:space="preserve"> 29, 2021</w:t>
      </w:r>
    </w:p>
    <w:p>
      <w:pPr>
        <w:spacing w:after="0" w:line="234" w:lineRule="exact"/>
        <w:rPr>
          <w:sz w:val="20"/>
          <w:szCs w:val="20"/>
          <w:color w:val="auto"/>
        </w:rPr>
      </w:pPr>
    </w:p>
    <w:p>
      <w:pPr>
        <w:ind w:left="424" w:hanging="424"/>
        <w:spacing w:after="0"/>
        <w:tabs>
          <w:tab w:leader="none" w:pos="424" w:val="left"/>
        </w:tabs>
        <w:numPr>
          <w:ilvl w:val="0"/>
          <w:numId w:val="367"/>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 P</w:t>
      </w:r>
      <w:r>
        <w:rPr>
          <w:rFonts w:ascii="Arial" w:cs="Arial" w:eastAsia="Arial" w:hAnsi="Arial"/>
          <w:sz w:val="14"/>
          <w:szCs w:val="14"/>
          <w:b w:val="1"/>
          <w:bCs w:val="1"/>
          <w:color w:val="auto"/>
        </w:rPr>
        <w:t>URPOSE</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right="80" w:firstLine="436"/>
        <w:spacing w:after="0" w:line="259" w:lineRule="auto"/>
        <w:tabs>
          <w:tab w:leader="none" w:pos="699" w:val="left"/>
        </w:tabs>
        <w:numPr>
          <w:ilvl w:val="1"/>
          <w:numId w:val="367"/>
        </w:numPr>
        <w:rPr>
          <w:rFonts w:ascii="Arial" w:cs="Arial" w:eastAsia="Arial" w:hAnsi="Arial"/>
          <w:sz w:val="18"/>
          <w:szCs w:val="18"/>
          <w:b w:val="1"/>
          <w:bCs w:val="1"/>
          <w:color w:val="auto"/>
        </w:rPr>
      </w:pPr>
      <w:r>
        <w:rPr>
          <w:rFonts w:ascii="Arial" w:cs="Arial" w:eastAsia="Arial" w:hAnsi="Arial"/>
          <w:sz w:val="18"/>
          <w:szCs w:val="18"/>
          <w:color w:val="auto"/>
        </w:rPr>
        <w:t>The Plan provides a means by which Eligible Employees of the Company and certain Designated Companies may be given an opportunity to purchase shares of Common Stock. The Plan permits the Company to grant a series of Purchase Rights to Eligible Employees under an Employee Stock Purchase Plan. In addition, the Plan permits the Company to grant a series of Purchase Rights to Eligible Employees that do not meet the requirements of an Employee Stock Purchase Plan.</w:t>
      </w:r>
    </w:p>
    <w:p>
      <w:pPr>
        <w:spacing w:after="0" w:line="186" w:lineRule="exact"/>
        <w:rPr>
          <w:rFonts w:ascii="Arial" w:cs="Arial" w:eastAsia="Arial" w:hAnsi="Arial"/>
          <w:sz w:val="18"/>
          <w:szCs w:val="18"/>
          <w:b w:val="1"/>
          <w:bCs w:val="1"/>
          <w:color w:val="auto"/>
        </w:rPr>
      </w:pPr>
    </w:p>
    <w:p>
      <w:pPr>
        <w:ind w:left="4" w:right="60" w:firstLine="436"/>
        <w:spacing w:after="0" w:line="271" w:lineRule="auto"/>
        <w:tabs>
          <w:tab w:leader="none" w:pos="709" w:val="left"/>
        </w:tabs>
        <w:numPr>
          <w:ilvl w:val="1"/>
          <w:numId w:val="367"/>
        </w:numPr>
        <w:rPr>
          <w:rFonts w:ascii="Arial" w:cs="Arial" w:eastAsia="Arial" w:hAnsi="Arial"/>
          <w:sz w:val="17"/>
          <w:szCs w:val="17"/>
          <w:b w:val="1"/>
          <w:bCs w:val="1"/>
          <w:color w:val="auto"/>
        </w:rPr>
      </w:pPr>
      <w:r>
        <w:rPr>
          <w:rFonts w:ascii="Arial" w:cs="Arial" w:eastAsia="Arial" w:hAnsi="Arial"/>
          <w:sz w:val="17"/>
          <w:szCs w:val="17"/>
          <w:color w:val="auto"/>
        </w:rPr>
        <w:t>The Plan includes two components: a 423 Component and a Non-423 Component. The Company intends (but makes no undertaking or representation to maintain) the 423 Component to qualify as an Employee Stock Purchase Plan. The provisions of the 423 Component, accordingly, will be construed in a manner that is consistent with the requirements of Section 423 of the Code. In addition, this Plan authorizes grants of Purchase Rights under the Non-423 Component that do not meet the requirements of an Employee Stock Purchase Plan. Except as otherwise provided in the Plan or determined by the Board, the Non-423 Component will operate and be administered in the same manner as the 423 Component. In addition, the Company may make separate Offerings which vary in terms (provided that such terms are not inconsistent with the provisions of the Plan or the requirements of an Employee Stock Purchase Plan to the extent the Offering is made under the 423 Component), and the Company will designate which Designated Company is participating in each separate Offering.</w:t>
      </w:r>
    </w:p>
    <w:p>
      <w:pPr>
        <w:spacing w:after="0" w:line="178" w:lineRule="exact"/>
        <w:rPr>
          <w:rFonts w:ascii="Arial" w:cs="Arial" w:eastAsia="Arial" w:hAnsi="Arial"/>
          <w:sz w:val="17"/>
          <w:szCs w:val="17"/>
          <w:b w:val="1"/>
          <w:bCs w:val="1"/>
          <w:color w:val="auto"/>
        </w:rPr>
      </w:pPr>
    </w:p>
    <w:p>
      <w:pPr>
        <w:ind w:left="4" w:right="300" w:firstLine="436"/>
        <w:spacing w:after="0" w:line="308" w:lineRule="auto"/>
        <w:tabs>
          <w:tab w:leader="none" w:pos="689" w:val="left"/>
        </w:tabs>
        <w:numPr>
          <w:ilvl w:val="1"/>
          <w:numId w:val="367"/>
        </w:numPr>
        <w:rPr>
          <w:rFonts w:ascii="Arial" w:cs="Arial" w:eastAsia="Arial" w:hAnsi="Arial"/>
          <w:sz w:val="17"/>
          <w:szCs w:val="17"/>
          <w:b w:val="1"/>
          <w:bCs w:val="1"/>
          <w:color w:val="auto"/>
        </w:rPr>
      </w:pPr>
      <w:r>
        <w:rPr>
          <w:rFonts w:ascii="Arial" w:cs="Arial" w:eastAsia="Arial" w:hAnsi="Arial"/>
          <w:sz w:val="17"/>
          <w:szCs w:val="17"/>
          <w:color w:val="auto"/>
        </w:rPr>
        <w:t>The Company, by means of the Plan, seeks to retain the services of Eligible Employees, to secure and retain the services of new Employees and to provide incentives for such persons to exert maximum efforts for the success of the Company and its Related Corporations.</w:t>
      </w:r>
    </w:p>
    <w:p>
      <w:pPr>
        <w:spacing w:after="0" w:line="290" w:lineRule="exact"/>
        <w:rPr>
          <w:rFonts w:ascii="Arial" w:cs="Arial" w:eastAsia="Arial" w:hAnsi="Arial"/>
          <w:sz w:val="17"/>
          <w:szCs w:val="17"/>
          <w:b w:val="1"/>
          <w:bCs w:val="1"/>
          <w:color w:val="auto"/>
        </w:rPr>
      </w:pPr>
    </w:p>
    <w:p>
      <w:pPr>
        <w:ind w:left="424" w:hanging="424"/>
        <w:spacing w:after="0"/>
        <w:tabs>
          <w:tab w:leader="none" w:pos="424" w:val="left"/>
        </w:tabs>
        <w:numPr>
          <w:ilvl w:val="0"/>
          <w:numId w:val="367"/>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DMINISTRATION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right="60" w:firstLine="436"/>
        <w:spacing w:after="0" w:line="277" w:lineRule="auto"/>
        <w:tabs>
          <w:tab w:leader="none" w:pos="699" w:val="left"/>
        </w:tabs>
        <w:numPr>
          <w:ilvl w:val="1"/>
          <w:numId w:val="367"/>
        </w:numPr>
        <w:rPr>
          <w:rFonts w:ascii="Arial" w:cs="Arial" w:eastAsia="Arial" w:hAnsi="Arial"/>
          <w:sz w:val="18"/>
          <w:szCs w:val="18"/>
          <w:b w:val="1"/>
          <w:bCs w:val="1"/>
          <w:color w:val="auto"/>
        </w:rPr>
      </w:pPr>
      <w:r>
        <w:rPr>
          <w:rFonts w:ascii="Arial" w:cs="Arial" w:eastAsia="Arial" w:hAnsi="Arial"/>
          <w:sz w:val="18"/>
          <w:szCs w:val="18"/>
          <w:color w:val="auto"/>
        </w:rPr>
        <w:t>The Board will administer the Plan unless and until the Board delegates administration of the Plan to a Committee or Committees, as provided in Section 2(c).</w:t>
      </w:r>
    </w:p>
    <w:p>
      <w:pPr>
        <w:spacing w:after="0" w:line="170" w:lineRule="exact"/>
        <w:rPr>
          <w:rFonts w:ascii="Arial" w:cs="Arial" w:eastAsia="Arial" w:hAnsi="Arial"/>
          <w:sz w:val="18"/>
          <w:szCs w:val="18"/>
          <w:b w:val="1"/>
          <w:bCs w:val="1"/>
          <w:color w:val="auto"/>
        </w:rPr>
      </w:pPr>
    </w:p>
    <w:p>
      <w:pPr>
        <w:ind w:left="704" w:hanging="264"/>
        <w:spacing w:after="0"/>
        <w:tabs>
          <w:tab w:leader="none" w:pos="704" w:val="left"/>
        </w:tabs>
        <w:numPr>
          <w:ilvl w:val="1"/>
          <w:numId w:val="367"/>
        </w:numPr>
        <w:rPr>
          <w:rFonts w:ascii="Arial" w:cs="Arial" w:eastAsia="Arial" w:hAnsi="Arial"/>
          <w:sz w:val="18"/>
          <w:szCs w:val="18"/>
          <w:b w:val="1"/>
          <w:bCs w:val="1"/>
          <w:color w:val="auto"/>
        </w:rPr>
      </w:pPr>
      <w:r>
        <w:rPr>
          <w:rFonts w:ascii="Arial" w:cs="Arial" w:eastAsia="Arial" w:hAnsi="Arial"/>
          <w:sz w:val="18"/>
          <w:szCs w:val="18"/>
          <w:color w:val="auto"/>
        </w:rPr>
        <w:t>The Board will have the power, subject to, and within the limitations of, the express provisions of the Plan:</w:t>
      </w:r>
    </w:p>
    <w:p>
      <w:pPr>
        <w:spacing w:after="0" w:line="117" w:lineRule="exact"/>
        <w:rPr>
          <w:rFonts w:ascii="Arial" w:cs="Arial" w:eastAsia="Arial" w:hAnsi="Arial"/>
          <w:sz w:val="18"/>
          <w:szCs w:val="18"/>
          <w:b w:val="1"/>
          <w:bCs w:val="1"/>
          <w:color w:val="auto"/>
        </w:rPr>
      </w:pPr>
    </w:p>
    <w:p>
      <w:pPr>
        <w:ind w:left="1204" w:hanging="213"/>
        <w:spacing w:after="0"/>
        <w:tabs>
          <w:tab w:leader="none" w:pos="1204" w:val="left"/>
        </w:tabs>
        <w:numPr>
          <w:ilvl w:val="2"/>
          <w:numId w:val="367"/>
        </w:numPr>
        <w:rPr>
          <w:rFonts w:ascii="Arial" w:cs="Arial" w:eastAsia="Arial" w:hAnsi="Arial"/>
          <w:sz w:val="17"/>
          <w:szCs w:val="17"/>
          <w:b w:val="1"/>
          <w:bCs w:val="1"/>
          <w:color w:val="auto"/>
        </w:rPr>
      </w:pPr>
      <w:r>
        <w:rPr>
          <w:rFonts w:ascii="Arial" w:cs="Arial" w:eastAsia="Arial" w:hAnsi="Arial"/>
          <w:sz w:val="17"/>
          <w:szCs w:val="17"/>
          <w:color w:val="auto"/>
        </w:rPr>
        <w:t>To determine how and when Purchase Rights will be granted and the provisions of each Offering (which need not be identical).</w:t>
      </w:r>
    </w:p>
    <w:p>
      <w:pPr>
        <w:spacing w:after="0" w:line="236" w:lineRule="exact"/>
        <w:rPr>
          <w:rFonts w:ascii="Arial" w:cs="Arial" w:eastAsia="Arial" w:hAnsi="Arial"/>
          <w:sz w:val="17"/>
          <w:szCs w:val="17"/>
          <w:b w:val="1"/>
          <w:bCs w:val="1"/>
          <w:color w:val="auto"/>
        </w:rPr>
      </w:pPr>
    </w:p>
    <w:p>
      <w:pPr>
        <w:ind w:left="4" w:right="180" w:firstLine="987"/>
        <w:spacing w:after="0" w:line="291" w:lineRule="auto"/>
        <w:tabs>
          <w:tab w:leader="none" w:pos="1260" w:val="left"/>
        </w:tabs>
        <w:numPr>
          <w:ilvl w:val="2"/>
          <w:numId w:val="367"/>
        </w:numPr>
        <w:rPr>
          <w:rFonts w:ascii="Arial" w:cs="Arial" w:eastAsia="Arial" w:hAnsi="Arial"/>
          <w:sz w:val="16"/>
          <w:szCs w:val="16"/>
          <w:b w:val="1"/>
          <w:bCs w:val="1"/>
          <w:color w:val="auto"/>
        </w:rPr>
      </w:pPr>
      <w:r>
        <w:rPr>
          <w:rFonts w:ascii="Arial" w:cs="Arial" w:eastAsia="Arial" w:hAnsi="Arial"/>
          <w:sz w:val="16"/>
          <w:szCs w:val="16"/>
          <w:color w:val="auto"/>
        </w:rPr>
        <w:t>To designate from time to time (A) which Related Corporations of the Company will be eligible to participate in the Plan as Designated 423 Companies, (B) which Related Corporations or Affiliates will be eligible to participate in the Plan as Designated Non-423 Companies,</w:t>
      </w:r>
    </w:p>
    <w:p>
      <w:pPr>
        <w:ind w:left="4" w:right="220"/>
        <w:spacing w:after="0" w:line="260" w:lineRule="auto"/>
        <w:rPr>
          <w:rFonts w:ascii="Arial" w:cs="Arial" w:eastAsia="Arial" w:hAnsi="Arial"/>
          <w:sz w:val="16"/>
          <w:szCs w:val="16"/>
          <w:b w:val="1"/>
          <w:bCs w:val="1"/>
          <w:color w:val="auto"/>
        </w:rPr>
      </w:pPr>
      <w:r>
        <w:rPr>
          <w:rFonts w:ascii="Arial" w:cs="Arial" w:eastAsia="Arial" w:hAnsi="Arial"/>
          <w:sz w:val="18"/>
          <w:szCs w:val="18"/>
          <w:color w:val="auto"/>
        </w:rPr>
        <w:t>(C) which Affiliates or Related Corporations may be excluded from participation in the Plan, and (D) which Designated Companies will participate in each separate Offering (to the extent that the Company makes separate Offerings).</w:t>
      </w:r>
    </w:p>
    <w:p>
      <w:pPr>
        <w:spacing w:after="0" w:line="185" w:lineRule="exact"/>
        <w:rPr>
          <w:rFonts w:ascii="Arial" w:cs="Arial" w:eastAsia="Arial" w:hAnsi="Arial"/>
          <w:sz w:val="16"/>
          <w:szCs w:val="16"/>
          <w:b w:val="1"/>
          <w:bCs w:val="1"/>
          <w:color w:val="auto"/>
        </w:rPr>
      </w:pPr>
    </w:p>
    <w:p>
      <w:pPr>
        <w:jc w:val="both"/>
        <w:ind w:left="4" w:right="20" w:firstLine="987"/>
        <w:spacing w:after="0" w:line="263" w:lineRule="auto"/>
        <w:tabs>
          <w:tab w:leader="none" w:pos="1310" w:val="left"/>
        </w:tabs>
        <w:numPr>
          <w:ilvl w:val="2"/>
          <w:numId w:val="367"/>
        </w:numPr>
        <w:rPr>
          <w:rFonts w:ascii="Arial" w:cs="Arial" w:eastAsia="Arial" w:hAnsi="Arial"/>
          <w:sz w:val="18"/>
          <w:szCs w:val="18"/>
          <w:b w:val="1"/>
          <w:bCs w:val="1"/>
          <w:color w:val="auto"/>
        </w:rPr>
      </w:pPr>
      <w:r>
        <w:rPr>
          <w:rFonts w:ascii="Arial" w:cs="Arial" w:eastAsia="Arial" w:hAnsi="Arial"/>
          <w:sz w:val="18"/>
          <w:szCs w:val="18"/>
          <w:color w:val="auto"/>
        </w:rPr>
        <w:t>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435" w:name="page436"/>
    <w:bookmarkEnd w:id="435"/>
    <w:p>
      <w:pPr>
        <w:ind w:left="1304" w:hanging="313"/>
        <w:spacing w:after="0"/>
        <w:tabs>
          <w:tab w:leader="none" w:pos="1304" w:val="left"/>
        </w:tabs>
        <w:numPr>
          <w:ilvl w:val="2"/>
          <w:numId w:val="36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settle all controversies regarding the Plan and Purchase Rights granted under the Plan.</w:t>
      </w:r>
    </w:p>
    <w:p>
      <w:pPr>
        <w:spacing w:after="0" w:line="225" w:lineRule="exact"/>
        <w:rPr>
          <w:rFonts w:ascii="Arial" w:cs="Arial" w:eastAsia="Arial" w:hAnsi="Arial"/>
          <w:sz w:val="18"/>
          <w:szCs w:val="18"/>
          <w:b w:val="1"/>
          <w:bCs w:val="1"/>
          <w:color w:val="auto"/>
        </w:rPr>
      </w:pPr>
    </w:p>
    <w:p>
      <w:pPr>
        <w:ind w:left="1244" w:hanging="253"/>
        <w:spacing w:after="0"/>
        <w:tabs>
          <w:tab w:leader="none" w:pos="1244" w:val="left"/>
        </w:tabs>
        <w:numPr>
          <w:ilvl w:val="2"/>
          <w:numId w:val="368"/>
        </w:numPr>
        <w:rPr>
          <w:rFonts w:ascii="Arial" w:cs="Arial" w:eastAsia="Arial" w:hAnsi="Arial"/>
          <w:sz w:val="18"/>
          <w:szCs w:val="18"/>
          <w:b w:val="1"/>
          <w:bCs w:val="1"/>
          <w:color w:val="auto"/>
        </w:rPr>
      </w:pPr>
      <w:r>
        <w:rPr>
          <w:rFonts w:ascii="Arial" w:cs="Arial" w:eastAsia="Arial" w:hAnsi="Arial"/>
          <w:sz w:val="18"/>
          <w:szCs w:val="18"/>
          <w:color w:val="auto"/>
        </w:rPr>
        <w:t>To suspend or terminate the Plan at any time as provided in Section 12.</w:t>
      </w:r>
    </w:p>
    <w:p>
      <w:pPr>
        <w:spacing w:after="0" w:line="225" w:lineRule="exact"/>
        <w:rPr>
          <w:rFonts w:ascii="Arial" w:cs="Arial" w:eastAsia="Arial" w:hAnsi="Arial"/>
          <w:sz w:val="18"/>
          <w:szCs w:val="18"/>
          <w:b w:val="1"/>
          <w:bCs w:val="1"/>
          <w:color w:val="auto"/>
        </w:rPr>
      </w:pPr>
    </w:p>
    <w:p>
      <w:pPr>
        <w:ind w:left="1304" w:hanging="313"/>
        <w:spacing w:after="0"/>
        <w:tabs>
          <w:tab w:leader="none" w:pos="1304" w:val="left"/>
        </w:tabs>
        <w:numPr>
          <w:ilvl w:val="2"/>
          <w:numId w:val="368"/>
        </w:numPr>
        <w:rPr>
          <w:rFonts w:ascii="Arial" w:cs="Arial" w:eastAsia="Arial" w:hAnsi="Arial"/>
          <w:sz w:val="18"/>
          <w:szCs w:val="18"/>
          <w:b w:val="1"/>
          <w:bCs w:val="1"/>
          <w:color w:val="auto"/>
        </w:rPr>
      </w:pPr>
      <w:r>
        <w:rPr>
          <w:rFonts w:ascii="Arial" w:cs="Arial" w:eastAsia="Arial" w:hAnsi="Arial"/>
          <w:sz w:val="18"/>
          <w:szCs w:val="18"/>
          <w:color w:val="auto"/>
        </w:rPr>
        <w:t>To amend the Plan at any time as provided in Section 12.</w:t>
      </w:r>
    </w:p>
    <w:p>
      <w:pPr>
        <w:spacing w:after="0" w:line="225" w:lineRule="exact"/>
        <w:rPr>
          <w:rFonts w:ascii="Arial" w:cs="Arial" w:eastAsia="Arial" w:hAnsi="Arial"/>
          <w:sz w:val="18"/>
          <w:szCs w:val="18"/>
          <w:b w:val="1"/>
          <w:bCs w:val="1"/>
          <w:color w:val="auto"/>
        </w:rPr>
      </w:pPr>
    </w:p>
    <w:p>
      <w:pPr>
        <w:jc w:val="both"/>
        <w:ind w:left="4" w:right="240" w:firstLine="987"/>
        <w:spacing w:after="0" w:line="263" w:lineRule="auto"/>
        <w:tabs>
          <w:tab w:leader="none" w:pos="1350" w:val="left"/>
        </w:tabs>
        <w:numPr>
          <w:ilvl w:val="2"/>
          <w:numId w:val="368"/>
        </w:numPr>
        <w:rPr>
          <w:rFonts w:ascii="Arial" w:cs="Arial" w:eastAsia="Arial" w:hAnsi="Arial"/>
          <w:sz w:val="18"/>
          <w:szCs w:val="18"/>
          <w:b w:val="1"/>
          <w:bCs w:val="1"/>
          <w:color w:val="auto"/>
        </w:rPr>
      </w:pPr>
      <w:r>
        <w:rPr>
          <w:rFonts w:ascii="Arial" w:cs="Arial" w:eastAsia="Arial" w:hAnsi="Arial"/>
          <w:sz w:val="18"/>
          <w:szCs w:val="18"/>
          <w:color w:val="auto"/>
        </w:rPr>
        <w:t>Generally, to exercise such powers and to perform such acts as it deems necessary or expedient to promote the best interests of the Company and its Related Corporations and to carry out the intent that the Plan be treated as an Employee Stock Purchase Plan with respect to the 423 Component.</w:t>
      </w:r>
    </w:p>
    <w:p>
      <w:pPr>
        <w:spacing w:after="0" w:line="183" w:lineRule="exact"/>
        <w:rPr>
          <w:rFonts w:ascii="Arial" w:cs="Arial" w:eastAsia="Arial" w:hAnsi="Arial"/>
          <w:sz w:val="18"/>
          <w:szCs w:val="18"/>
          <w:b w:val="1"/>
          <w:bCs w:val="1"/>
          <w:color w:val="auto"/>
        </w:rPr>
      </w:pPr>
    </w:p>
    <w:p>
      <w:pPr>
        <w:ind w:left="4" w:firstLine="987"/>
        <w:spacing w:after="0" w:line="272" w:lineRule="auto"/>
        <w:tabs>
          <w:tab w:leader="none" w:pos="1400" w:val="left"/>
        </w:tabs>
        <w:numPr>
          <w:ilvl w:val="2"/>
          <w:numId w:val="368"/>
        </w:numPr>
        <w:rPr>
          <w:rFonts w:ascii="Arial" w:cs="Arial" w:eastAsia="Arial" w:hAnsi="Arial"/>
          <w:sz w:val="17"/>
          <w:szCs w:val="17"/>
          <w:b w:val="1"/>
          <w:bCs w:val="1"/>
          <w:color w:val="auto"/>
        </w:rPr>
      </w:pPr>
      <w:r>
        <w:rPr>
          <w:rFonts w:ascii="Arial" w:cs="Arial" w:eastAsia="Arial" w:hAnsi="Arial"/>
          <w:sz w:val="17"/>
          <w:szCs w:val="17"/>
          <w:color w:val="auto"/>
        </w:rPr>
        <w:t>To adopt such rules, procedures and sub-plans as are necessary or appropriate to permit or facilitate participation in the Plan by Employees who are foreign nationals or employed or located outside the United States. Without limiting the generality of, and consistent with, the foregoing, the Board specifically is authorized to adopt rules, procedures, and sub-plans regarding, without limitation, eligibility to participate in the Plan, the definition of eligible “earnings,” handling and making of Contributions, establishment of bank or trust accounts to hold Contributions, payment of interest, conversion of local currency, obligations to pay payroll tax, determination of beneficiary designation requirements, withholding procedures and handling of share issuances, any of which may vary according to applicable requirements, and which, if applicable to a Designated Non-423 Company, do not have to comply with the requirements of Section 423 of the Code.</w:t>
      </w:r>
    </w:p>
    <w:p>
      <w:pPr>
        <w:spacing w:after="0" w:line="177" w:lineRule="exact"/>
        <w:rPr>
          <w:rFonts w:ascii="Arial" w:cs="Arial" w:eastAsia="Arial" w:hAnsi="Arial"/>
          <w:sz w:val="17"/>
          <w:szCs w:val="17"/>
          <w:b w:val="1"/>
          <w:bCs w:val="1"/>
          <w:color w:val="auto"/>
        </w:rPr>
      </w:pPr>
    </w:p>
    <w:p>
      <w:pPr>
        <w:ind w:left="4" w:firstLine="436"/>
        <w:spacing w:after="0" w:line="288" w:lineRule="auto"/>
        <w:tabs>
          <w:tab w:leader="none" w:pos="689" w:val="left"/>
        </w:tabs>
        <w:numPr>
          <w:ilvl w:val="1"/>
          <w:numId w:val="369"/>
        </w:numPr>
        <w:rPr>
          <w:rFonts w:ascii="Arial" w:cs="Arial" w:eastAsia="Arial" w:hAnsi="Arial"/>
          <w:sz w:val="16"/>
          <w:szCs w:val="16"/>
          <w:b w:val="1"/>
          <w:bCs w:val="1"/>
          <w:color w:val="auto"/>
        </w:rPr>
      </w:pPr>
      <w:r>
        <w:rPr>
          <w:rFonts w:ascii="Arial" w:cs="Arial" w:eastAsia="Arial" w:hAnsi="Arial"/>
          <w:sz w:val="16"/>
          <w:szCs w:val="16"/>
          <w:color w:val="auto"/>
        </w:rPr>
        <w:t>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and any applicable Offering Document to the Board will thereafter be to the Committee or subcommittee), subject, however, to such resolutions, not inconsistent with the provisions of the Plan, as may be adopted from time to time by the Board. Further, to the extent not prohibited by Applicable Law, the Board or Committee may, from time to time, delegate some or all of its authority under the Plan to one or more officers of the Company or other persons or groups of persons as it deems necessary, appropriate or advisable under conditions or limitations that it may set at or after the time of the delegation. The Board may retain the authority to concurrently administer the Plan with the Committee and may, at any time, revest in the Board some or all of the powers previously delegated. Whether or not the Board has delegated administration of the Plan to a Committee, the Board will have the final power to determine all questions of policy and expediency that may arise in the administration of the Plan.</w:t>
      </w:r>
    </w:p>
    <w:p>
      <w:pPr>
        <w:spacing w:after="0" w:line="168" w:lineRule="exact"/>
        <w:rPr>
          <w:rFonts w:ascii="Arial" w:cs="Arial" w:eastAsia="Arial" w:hAnsi="Arial"/>
          <w:sz w:val="16"/>
          <w:szCs w:val="16"/>
          <w:b w:val="1"/>
          <w:bCs w:val="1"/>
          <w:color w:val="auto"/>
        </w:rPr>
      </w:pPr>
    </w:p>
    <w:p>
      <w:pPr>
        <w:ind w:left="4" w:right="160" w:firstLine="436"/>
        <w:spacing w:after="0" w:line="277" w:lineRule="auto"/>
        <w:tabs>
          <w:tab w:leader="none" w:pos="709" w:val="left"/>
        </w:tabs>
        <w:numPr>
          <w:ilvl w:val="1"/>
          <w:numId w:val="369"/>
        </w:numPr>
        <w:rPr>
          <w:rFonts w:ascii="Arial" w:cs="Arial" w:eastAsia="Arial" w:hAnsi="Arial"/>
          <w:sz w:val="18"/>
          <w:szCs w:val="18"/>
          <w:b w:val="1"/>
          <w:bCs w:val="1"/>
          <w:color w:val="auto"/>
        </w:rPr>
      </w:pPr>
      <w:r>
        <w:rPr>
          <w:rFonts w:ascii="Arial" w:cs="Arial" w:eastAsia="Arial" w:hAnsi="Arial"/>
          <w:sz w:val="18"/>
          <w:szCs w:val="18"/>
          <w:color w:val="auto"/>
        </w:rPr>
        <w:t>All determinations, interpretations and constructions made by the Board in good faith will not be subject to review by any person and will be final, binding and conclusive on all persons.</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370"/>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HARES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jc w:val="both"/>
        <w:ind w:left="4" w:firstLine="436"/>
        <w:spacing w:after="0" w:line="259" w:lineRule="auto"/>
        <w:tabs>
          <w:tab w:leader="none" w:pos="699" w:val="left"/>
        </w:tabs>
        <w:numPr>
          <w:ilvl w:val="1"/>
          <w:numId w:val="370"/>
        </w:numPr>
        <w:rPr>
          <w:rFonts w:ascii="Arial" w:cs="Arial" w:eastAsia="Arial" w:hAnsi="Arial"/>
          <w:sz w:val="18"/>
          <w:szCs w:val="18"/>
          <w:b w:val="1"/>
          <w:bCs w:val="1"/>
          <w:color w:val="auto"/>
        </w:rPr>
      </w:pPr>
      <w:r>
        <w:rPr>
          <w:rFonts w:ascii="Arial" w:cs="Arial" w:eastAsia="Arial" w:hAnsi="Arial"/>
          <w:sz w:val="18"/>
          <w:szCs w:val="18"/>
          <w:color w:val="auto"/>
        </w:rPr>
        <w:t>Subject to the provisions of Section 11(a) relating to Capitalization Adjustments, the maximum number of shares of Common Stock that may be issued under the Plan will not exceed 1,342,773 shares of Common Stock, plus the number of shares of Common Stock that are automatically added on January 1st of each year for a period of up to ten years, commencing on January 1, 2022 and ending on (and including) January 1, 2031, in an amount equal to the lesser of (x) one percent (1%) of the total number of</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436" w:name="page437"/>
    <w:bookmarkEnd w:id="436"/>
    <w:p>
      <w:pPr>
        <w:ind w:left="4"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of Common Stock outstanding on December 31st of the preceding calendar year, and (y) 2,685,546 shares of Common Stock. Notwithstanding the foregoing, the Board may act prior to the first day of any calendar year to provide that there will be no January 1</w:t>
      </w:r>
      <w:r>
        <w:rPr>
          <w:rFonts w:ascii="Arial" w:cs="Arial" w:eastAsia="Arial" w:hAnsi="Arial"/>
          <w:sz w:val="14"/>
          <w:szCs w:val="14"/>
          <w:color w:val="auto"/>
        </w:rPr>
        <w:t>st</w:t>
      </w:r>
      <w:r>
        <w:rPr>
          <w:rFonts w:ascii="Arial" w:cs="Arial" w:eastAsia="Arial" w:hAnsi="Arial"/>
          <w:sz w:val="17"/>
          <w:szCs w:val="17"/>
          <w:color w:val="auto"/>
        </w:rPr>
        <w:t xml:space="preserve"> increase in the share reserve for such calendar year or that the increase in the share reserve for such calendar year will be a lesser number of shares of Common Stock than would otherwise occur pursuant to the preceding sentence. For the avoidance of doubt, up to the maximum number of shares of Common Stock reserved under this Section 3(a) may be used to satisfy purchases of Common Stock under the 423 Component and any remaining portion of such maximum number of shares may be used to satisfy purchases of Common Stock under the Non-423 Component.</w:t>
      </w:r>
    </w:p>
    <w:p>
      <w:pPr>
        <w:spacing w:after="0" w:line="178" w:lineRule="exact"/>
        <w:rPr>
          <w:sz w:val="20"/>
          <w:szCs w:val="20"/>
          <w:color w:val="auto"/>
        </w:rPr>
      </w:pPr>
    </w:p>
    <w:p>
      <w:pPr>
        <w:ind w:left="4" w:right="340" w:firstLine="436"/>
        <w:spacing w:after="0" w:line="277" w:lineRule="auto"/>
        <w:tabs>
          <w:tab w:leader="none" w:pos="709" w:val="left"/>
        </w:tabs>
        <w:numPr>
          <w:ilvl w:val="1"/>
          <w:numId w:val="371"/>
        </w:numPr>
        <w:rPr>
          <w:rFonts w:ascii="Arial" w:cs="Arial" w:eastAsia="Arial" w:hAnsi="Arial"/>
          <w:sz w:val="18"/>
          <w:szCs w:val="18"/>
          <w:b w:val="1"/>
          <w:bCs w:val="1"/>
          <w:color w:val="auto"/>
        </w:rPr>
      </w:pPr>
      <w:r>
        <w:rPr>
          <w:rFonts w:ascii="Arial" w:cs="Arial" w:eastAsia="Arial" w:hAnsi="Arial"/>
          <w:sz w:val="18"/>
          <w:szCs w:val="18"/>
          <w:color w:val="auto"/>
        </w:rPr>
        <w:t>If any Purchase Right granted under the Plan terminates without having been exercised in full, the shares of Common Stock not purchased under such Purchase Right will again become available for issuance under the Plan.</w:t>
      </w:r>
    </w:p>
    <w:p>
      <w:pPr>
        <w:spacing w:after="0" w:line="170" w:lineRule="exact"/>
        <w:rPr>
          <w:rFonts w:ascii="Arial" w:cs="Arial" w:eastAsia="Arial" w:hAnsi="Arial"/>
          <w:sz w:val="18"/>
          <w:szCs w:val="18"/>
          <w:b w:val="1"/>
          <w:bCs w:val="1"/>
          <w:color w:val="auto"/>
        </w:rPr>
      </w:pPr>
    </w:p>
    <w:p>
      <w:pPr>
        <w:ind w:left="4" w:right="80" w:firstLine="436"/>
        <w:spacing w:after="0" w:line="277" w:lineRule="auto"/>
        <w:tabs>
          <w:tab w:leader="none" w:pos="689" w:val="left"/>
        </w:tabs>
        <w:numPr>
          <w:ilvl w:val="1"/>
          <w:numId w:val="371"/>
        </w:numPr>
        <w:rPr>
          <w:rFonts w:ascii="Arial" w:cs="Arial" w:eastAsia="Arial" w:hAnsi="Arial"/>
          <w:sz w:val="18"/>
          <w:szCs w:val="18"/>
          <w:b w:val="1"/>
          <w:bCs w:val="1"/>
          <w:color w:val="auto"/>
        </w:rPr>
      </w:pPr>
      <w:r>
        <w:rPr>
          <w:rFonts w:ascii="Arial" w:cs="Arial" w:eastAsia="Arial" w:hAnsi="Arial"/>
          <w:sz w:val="18"/>
          <w:szCs w:val="18"/>
          <w:color w:val="auto"/>
        </w:rPr>
        <w:t>The stock purchasable under the Plan will be shares of authorized but unissued or reacquired Common Stock, including shares repurchased by the Company on the open market.</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372"/>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RANT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O</w:t>
      </w:r>
      <w:r>
        <w:rPr>
          <w:rFonts w:ascii="Arial" w:cs="Arial" w:eastAsia="Arial" w:hAnsi="Arial"/>
          <w:sz w:val="14"/>
          <w:szCs w:val="14"/>
          <w:b w:val="1"/>
          <w:bCs w:val="1"/>
          <w:color w:val="auto"/>
        </w:rPr>
        <w:t>FFERING</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firstLine="436"/>
        <w:spacing w:after="0" w:line="254" w:lineRule="auto"/>
        <w:tabs>
          <w:tab w:leader="none" w:pos="699" w:val="left"/>
        </w:tabs>
        <w:numPr>
          <w:ilvl w:val="1"/>
          <w:numId w:val="372"/>
        </w:numPr>
        <w:rPr>
          <w:rFonts w:ascii="Arial" w:cs="Arial" w:eastAsia="Arial" w:hAnsi="Arial"/>
          <w:sz w:val="18"/>
          <w:szCs w:val="18"/>
          <w:b w:val="1"/>
          <w:bCs w:val="1"/>
          <w:color w:val="auto"/>
        </w:rPr>
      </w:pPr>
      <w:r>
        <w:rPr>
          <w:rFonts w:ascii="Arial" w:cs="Arial" w:eastAsia="Arial" w:hAnsi="Arial"/>
          <w:sz w:val="18"/>
          <w:szCs w:val="18"/>
          <w:color w:val="auto"/>
        </w:rPr>
        <w:t>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with respect to the 423 Component, will comply with the requirement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w:t>
      </w:r>
    </w:p>
    <w:p>
      <w:pPr>
        <w:spacing w:after="0" w:line="191" w:lineRule="exact"/>
        <w:rPr>
          <w:rFonts w:ascii="Arial" w:cs="Arial" w:eastAsia="Arial" w:hAnsi="Arial"/>
          <w:sz w:val="18"/>
          <w:szCs w:val="18"/>
          <w:b w:val="1"/>
          <w:bCs w:val="1"/>
          <w:color w:val="auto"/>
        </w:rPr>
      </w:pPr>
    </w:p>
    <w:p>
      <w:pPr>
        <w:ind w:left="4" w:right="40" w:firstLine="436"/>
        <w:spacing w:after="0" w:line="257" w:lineRule="auto"/>
        <w:tabs>
          <w:tab w:leader="none" w:pos="709" w:val="left"/>
        </w:tabs>
        <w:numPr>
          <w:ilvl w:val="1"/>
          <w:numId w:val="372"/>
        </w:numPr>
        <w:rPr>
          <w:rFonts w:ascii="Arial" w:cs="Arial" w:eastAsia="Arial" w:hAnsi="Arial"/>
          <w:sz w:val="18"/>
          <w:szCs w:val="18"/>
          <w:b w:val="1"/>
          <w:bCs w:val="1"/>
          <w:color w:val="auto"/>
        </w:rPr>
      </w:pPr>
      <w:r>
        <w:rPr>
          <w:rFonts w:ascii="Arial" w:cs="Arial" w:eastAsia="Arial" w:hAnsi="Arial"/>
          <w:sz w:val="18"/>
          <w:szCs w:val="18"/>
          <w:color w:val="auto"/>
        </w:rPr>
        <w:t>If a Participant has more than one Purchase Right outstanding under the Plan, unless he or she otherwise indicates in forms delivered to the Company or a third party designated by the Company (each, a “</w:t>
      </w:r>
      <w:r>
        <w:rPr>
          <w:rFonts w:ascii="Arial" w:cs="Arial" w:eastAsia="Arial" w:hAnsi="Arial"/>
          <w:sz w:val="18"/>
          <w:szCs w:val="18"/>
          <w:b w:val="1"/>
          <w:bCs w:val="1"/>
          <w:i w:val="1"/>
          <w:iCs w:val="1"/>
          <w:color w:val="auto"/>
        </w:rPr>
        <w:t>Company Designee</w:t>
      </w:r>
      <w:r>
        <w:rPr>
          <w:rFonts w:ascii="Arial" w:cs="Arial" w:eastAsia="Arial" w:hAnsi="Arial"/>
          <w:sz w:val="18"/>
          <w:szCs w:val="18"/>
          <w:color w:val="auto"/>
        </w:rPr>
        <w:t>”): (i) each form will apply to all of his or her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w:t>
      </w:r>
    </w:p>
    <w:p>
      <w:pPr>
        <w:spacing w:after="0" w:line="187" w:lineRule="exact"/>
        <w:rPr>
          <w:rFonts w:ascii="Arial" w:cs="Arial" w:eastAsia="Arial" w:hAnsi="Arial"/>
          <w:sz w:val="18"/>
          <w:szCs w:val="18"/>
          <w:b w:val="1"/>
          <w:bCs w:val="1"/>
          <w:color w:val="auto"/>
        </w:rPr>
      </w:pPr>
    </w:p>
    <w:p>
      <w:pPr>
        <w:ind w:left="4" w:right="160" w:firstLine="436"/>
        <w:spacing w:after="0" w:line="279" w:lineRule="auto"/>
        <w:tabs>
          <w:tab w:leader="none" w:pos="689" w:val="left"/>
        </w:tabs>
        <w:numPr>
          <w:ilvl w:val="1"/>
          <w:numId w:val="372"/>
        </w:numPr>
        <w:rPr>
          <w:rFonts w:ascii="Arial" w:cs="Arial" w:eastAsia="Arial" w:hAnsi="Arial"/>
          <w:sz w:val="17"/>
          <w:szCs w:val="17"/>
          <w:b w:val="1"/>
          <w:bCs w:val="1"/>
          <w:color w:val="auto"/>
        </w:rPr>
      </w:pPr>
      <w:r>
        <w:rPr>
          <w:rFonts w:ascii="Arial" w:cs="Arial" w:eastAsia="Arial" w:hAnsi="Arial"/>
          <w:sz w:val="17"/>
          <w:szCs w:val="17"/>
          <w:color w:val="auto"/>
        </w:rPr>
        <w:t>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w:t>
      </w:r>
    </w:p>
    <w:p>
      <w:pPr>
        <w:spacing w:after="0" w:line="315" w:lineRule="exact"/>
        <w:rPr>
          <w:rFonts w:ascii="Arial" w:cs="Arial" w:eastAsia="Arial" w:hAnsi="Arial"/>
          <w:sz w:val="17"/>
          <w:szCs w:val="17"/>
          <w:b w:val="1"/>
          <w:bCs w:val="1"/>
          <w:color w:val="auto"/>
        </w:rPr>
      </w:pPr>
    </w:p>
    <w:p>
      <w:pPr>
        <w:ind w:left="424" w:hanging="424"/>
        <w:spacing w:after="0"/>
        <w:tabs>
          <w:tab w:leader="none" w:pos="424" w:val="left"/>
        </w:tabs>
        <w:numPr>
          <w:ilvl w:val="0"/>
          <w:numId w:val="372"/>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LIGIBILITY</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right="440" w:firstLine="436"/>
        <w:spacing w:after="0" w:line="311" w:lineRule="auto"/>
        <w:tabs>
          <w:tab w:leader="none" w:pos="699" w:val="left"/>
        </w:tabs>
        <w:numPr>
          <w:ilvl w:val="1"/>
          <w:numId w:val="372"/>
        </w:numPr>
        <w:rPr>
          <w:rFonts w:ascii="Arial" w:cs="Arial" w:eastAsia="Arial" w:hAnsi="Arial"/>
          <w:sz w:val="16"/>
          <w:szCs w:val="16"/>
          <w:b w:val="1"/>
          <w:bCs w:val="1"/>
          <w:color w:val="auto"/>
        </w:rPr>
      </w:pPr>
      <w:r>
        <w:rPr>
          <w:rFonts w:ascii="Arial" w:cs="Arial" w:eastAsia="Arial" w:hAnsi="Arial"/>
          <w:sz w:val="16"/>
          <w:szCs w:val="16"/>
          <w:color w:val="auto"/>
        </w:rPr>
        <w:t>Purchase Rights may be granted only to Employees of the Company or, as the Board may designate in accordance with Section 2(b), to Employees of a Related Corporation or an Affiliate. Except as provided in Section 5(b) or as required by Applicable Law, an Employee will not be eligible to be granted Purchase Rights unless, on the Offering Date, the Employee has been in the employ of the Company, the</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437" w:name="page438"/>
    <w:bookmarkEnd w:id="437"/>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Related Corporation or the Affiliate, as the case may be, for such continuous period preceding such Offering Date as the Board may (unless prohibited by Applicable Law) require, but in no event will the required period of continuous employment be equal to or greater than two years. In addition, the Board may provide that no Employee will be eligible to be granted Purchase Rights under the Plan unless, on the Offering Date, such Employee’s customary employment with the Company, the Related Corporation or the Affiliate is more than 20 hours per week and more than five months per calendar year or such other criteria as the Board may determine consistent with Section 423 of the Code with respect to the 423 Component. The Board may also exclude from participation in the Plan or any Offering Employees who are “highly compensated employees” (within the meaning of Section 423(b)(4)(D) of the Code) of the Company or a Related Corporation or a subset of such highly compensated employees.</w:t>
      </w:r>
    </w:p>
    <w:p>
      <w:pPr>
        <w:spacing w:after="0" w:line="166" w:lineRule="exact"/>
        <w:rPr>
          <w:sz w:val="20"/>
          <w:szCs w:val="20"/>
          <w:color w:val="auto"/>
        </w:rPr>
      </w:pPr>
    </w:p>
    <w:p>
      <w:pPr>
        <w:ind w:right="220" w:firstLine="436"/>
        <w:spacing w:after="0" w:line="279" w:lineRule="auto"/>
        <w:tabs>
          <w:tab w:leader="none" w:pos="705" w:val="left"/>
        </w:tabs>
        <w:numPr>
          <w:ilvl w:val="0"/>
          <w:numId w:val="373"/>
        </w:numPr>
        <w:rPr>
          <w:rFonts w:ascii="Arial" w:cs="Arial" w:eastAsia="Arial" w:hAnsi="Arial"/>
          <w:sz w:val="17"/>
          <w:szCs w:val="17"/>
          <w:b w:val="1"/>
          <w:bCs w:val="1"/>
          <w:color w:val="auto"/>
        </w:rPr>
      </w:pPr>
      <w:r>
        <w:rPr>
          <w:rFonts w:ascii="Arial" w:cs="Arial" w:eastAsia="Arial" w:hAnsi="Arial"/>
          <w:sz w:val="17"/>
          <w:szCs w:val="17"/>
          <w:color w:val="auto"/>
        </w:rPr>
        <w:t>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w:t>
      </w:r>
    </w:p>
    <w:p>
      <w:pPr>
        <w:spacing w:after="0" w:line="63" w:lineRule="exact"/>
        <w:rPr>
          <w:rFonts w:ascii="Arial" w:cs="Arial" w:eastAsia="Arial" w:hAnsi="Arial"/>
          <w:sz w:val="17"/>
          <w:szCs w:val="17"/>
          <w:b w:val="1"/>
          <w:bCs w:val="1"/>
          <w:color w:val="auto"/>
        </w:rPr>
      </w:pPr>
    </w:p>
    <w:p>
      <w:pPr>
        <w:ind w:right="540" w:firstLine="987"/>
        <w:spacing w:after="0" w:line="277" w:lineRule="auto"/>
        <w:tabs>
          <w:tab w:leader="none" w:pos="1206" w:val="left"/>
        </w:tabs>
        <w:numPr>
          <w:ilvl w:val="1"/>
          <w:numId w:val="373"/>
        </w:numPr>
        <w:rPr>
          <w:rFonts w:ascii="Arial" w:cs="Arial" w:eastAsia="Arial" w:hAnsi="Arial"/>
          <w:sz w:val="18"/>
          <w:szCs w:val="18"/>
          <w:b w:val="1"/>
          <w:bCs w:val="1"/>
          <w:color w:val="auto"/>
        </w:rPr>
      </w:pPr>
      <w:r>
        <w:rPr>
          <w:rFonts w:ascii="Arial" w:cs="Arial" w:eastAsia="Arial" w:hAnsi="Arial"/>
          <w:sz w:val="18"/>
          <w:szCs w:val="18"/>
          <w:color w:val="auto"/>
        </w:rPr>
        <w:t>the date on which such Purchase Right is granted will be the “Offering Date” of such Purchase Right for all purposes, including determination of the exercise price of such Purchase Right;</w:t>
      </w:r>
    </w:p>
    <w:p>
      <w:pPr>
        <w:spacing w:after="0" w:line="170" w:lineRule="exact"/>
        <w:rPr>
          <w:rFonts w:ascii="Arial" w:cs="Arial" w:eastAsia="Arial" w:hAnsi="Arial"/>
          <w:sz w:val="18"/>
          <w:szCs w:val="18"/>
          <w:b w:val="1"/>
          <w:bCs w:val="1"/>
          <w:color w:val="auto"/>
        </w:rPr>
      </w:pPr>
    </w:p>
    <w:p>
      <w:pPr>
        <w:ind w:left="1260" w:hanging="273"/>
        <w:spacing w:after="0"/>
        <w:tabs>
          <w:tab w:leader="none" w:pos="1260" w:val="left"/>
        </w:tabs>
        <w:numPr>
          <w:ilvl w:val="1"/>
          <w:numId w:val="373"/>
        </w:numPr>
        <w:rPr>
          <w:rFonts w:ascii="Arial" w:cs="Arial" w:eastAsia="Arial" w:hAnsi="Arial"/>
          <w:sz w:val="16"/>
          <w:szCs w:val="16"/>
          <w:b w:val="1"/>
          <w:bCs w:val="1"/>
          <w:color w:val="auto"/>
        </w:rPr>
      </w:pPr>
      <w:r>
        <w:rPr>
          <w:rFonts w:ascii="Arial" w:cs="Arial" w:eastAsia="Arial" w:hAnsi="Arial"/>
          <w:sz w:val="16"/>
          <w:szCs w:val="16"/>
          <w:color w:val="auto"/>
        </w:rPr>
        <w:t>the period of the Offering with respect to such Purchase Right will begin on its Offering Date and end coincident with the end of such</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Offering; and</w:t>
      </w:r>
    </w:p>
    <w:p>
      <w:pPr>
        <w:spacing w:after="0" w:line="210" w:lineRule="exact"/>
        <w:rPr>
          <w:rFonts w:ascii="Arial" w:cs="Arial" w:eastAsia="Arial" w:hAnsi="Arial"/>
          <w:sz w:val="16"/>
          <w:szCs w:val="16"/>
          <w:b w:val="1"/>
          <w:bCs w:val="1"/>
          <w:color w:val="auto"/>
        </w:rPr>
      </w:pPr>
    </w:p>
    <w:p>
      <w:pPr>
        <w:ind w:right="80" w:firstLine="987"/>
        <w:spacing w:after="0" w:line="277" w:lineRule="auto"/>
        <w:tabs>
          <w:tab w:leader="none" w:pos="1306" w:val="left"/>
        </w:tabs>
        <w:numPr>
          <w:ilvl w:val="1"/>
          <w:numId w:val="373"/>
        </w:numPr>
        <w:rPr>
          <w:rFonts w:ascii="Arial" w:cs="Arial" w:eastAsia="Arial" w:hAnsi="Arial"/>
          <w:sz w:val="18"/>
          <w:szCs w:val="18"/>
          <w:b w:val="1"/>
          <w:bCs w:val="1"/>
          <w:color w:val="auto"/>
        </w:rPr>
      </w:pPr>
      <w:r>
        <w:rPr>
          <w:rFonts w:ascii="Arial" w:cs="Arial" w:eastAsia="Arial" w:hAnsi="Arial"/>
          <w:sz w:val="18"/>
          <w:szCs w:val="18"/>
          <w:color w:val="auto"/>
        </w:rPr>
        <w:t>the Board may provide that if such person first becomes an Eligible Employee within a specified period of time before the end of the Offering, he or she will not receive any Purchase Right under that Offering.</w:t>
      </w:r>
    </w:p>
    <w:p>
      <w:pPr>
        <w:spacing w:after="0" w:line="170" w:lineRule="exact"/>
        <w:rPr>
          <w:rFonts w:ascii="Arial" w:cs="Arial" w:eastAsia="Arial" w:hAnsi="Arial"/>
          <w:sz w:val="18"/>
          <w:szCs w:val="18"/>
          <w:b w:val="1"/>
          <w:bCs w:val="1"/>
          <w:color w:val="auto"/>
        </w:rPr>
      </w:pPr>
    </w:p>
    <w:p>
      <w:pPr>
        <w:ind w:right="120" w:firstLine="436"/>
        <w:spacing w:after="0" w:line="257" w:lineRule="auto"/>
        <w:tabs>
          <w:tab w:leader="none" w:pos="685" w:val="left"/>
        </w:tabs>
        <w:numPr>
          <w:ilvl w:val="0"/>
          <w:numId w:val="373"/>
        </w:numPr>
        <w:rPr>
          <w:rFonts w:ascii="Arial" w:cs="Arial" w:eastAsia="Arial" w:hAnsi="Arial"/>
          <w:sz w:val="18"/>
          <w:szCs w:val="18"/>
          <w:b w:val="1"/>
          <w:bCs w:val="1"/>
          <w:color w:val="auto"/>
        </w:rPr>
      </w:pPr>
      <w:r>
        <w:rPr>
          <w:rFonts w:ascii="Arial" w:cs="Arial" w:eastAsia="Arial" w:hAnsi="Arial"/>
          <w:sz w:val="18"/>
          <w:szCs w:val="18"/>
          <w:color w:val="auto"/>
        </w:rPr>
        <w:t>No Employee will be eligible for the grant of any Purchase Rights under the 423 Component if, immediately after any such Purchase Rights are granted, such Employee owns stock possessing five percent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w:t>
      </w:r>
    </w:p>
    <w:p>
      <w:pPr>
        <w:spacing w:after="0" w:line="187" w:lineRule="exact"/>
        <w:rPr>
          <w:rFonts w:ascii="Arial" w:cs="Arial" w:eastAsia="Arial" w:hAnsi="Arial"/>
          <w:sz w:val="18"/>
          <w:szCs w:val="18"/>
          <w:b w:val="1"/>
          <w:bCs w:val="1"/>
          <w:color w:val="auto"/>
        </w:rPr>
      </w:pPr>
    </w:p>
    <w:p>
      <w:pPr>
        <w:ind w:firstLine="436"/>
        <w:spacing w:after="0" w:line="296" w:lineRule="auto"/>
        <w:tabs>
          <w:tab w:leader="none" w:pos="705" w:val="left"/>
        </w:tabs>
        <w:numPr>
          <w:ilvl w:val="0"/>
          <w:numId w:val="373"/>
        </w:numPr>
        <w:rPr>
          <w:rFonts w:ascii="Arial" w:cs="Arial" w:eastAsia="Arial" w:hAnsi="Arial"/>
          <w:sz w:val="16"/>
          <w:szCs w:val="16"/>
          <w:b w:val="1"/>
          <w:bCs w:val="1"/>
          <w:color w:val="auto"/>
        </w:rPr>
      </w:pPr>
      <w:r>
        <w:rPr>
          <w:rFonts w:ascii="Arial" w:cs="Arial" w:eastAsia="Arial" w:hAnsi="Arial"/>
          <w:sz w:val="16"/>
          <w:szCs w:val="16"/>
          <w:color w:val="auto"/>
        </w:rPr>
        <w:t>As specified by Section 423(b)(8) of the Code, an Eligible Employee may be granted Purchase Rights under the 423 Component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$25,000 of Fair Market Value of such stock (determined at the time such rights are granted, and which, with respect to the Plan, will be determined as of their respective Offering Dates) for each calendar year in which such rights are outstanding at any time.</w:t>
      </w:r>
    </w:p>
    <w:p>
      <w:pPr>
        <w:spacing w:after="0" w:line="161" w:lineRule="exact"/>
        <w:rPr>
          <w:rFonts w:ascii="Arial" w:cs="Arial" w:eastAsia="Arial" w:hAnsi="Arial"/>
          <w:sz w:val="16"/>
          <w:szCs w:val="16"/>
          <w:b w:val="1"/>
          <w:bCs w:val="1"/>
          <w:color w:val="auto"/>
        </w:rPr>
      </w:pPr>
    </w:p>
    <w:p>
      <w:pPr>
        <w:jc w:val="both"/>
        <w:ind w:right="180" w:firstLine="436"/>
        <w:spacing w:after="0" w:line="286" w:lineRule="auto"/>
        <w:tabs>
          <w:tab w:leader="none" w:pos="685" w:val="left"/>
        </w:tabs>
        <w:numPr>
          <w:ilvl w:val="0"/>
          <w:numId w:val="373"/>
        </w:numPr>
        <w:rPr>
          <w:rFonts w:ascii="Arial" w:cs="Arial" w:eastAsia="Arial" w:hAnsi="Arial"/>
          <w:sz w:val="17"/>
          <w:szCs w:val="17"/>
          <w:b w:val="1"/>
          <w:bCs w:val="1"/>
          <w:color w:val="auto"/>
        </w:rPr>
      </w:pPr>
      <w:r>
        <w:rPr>
          <w:rFonts w:ascii="Arial" w:cs="Arial" w:eastAsia="Arial" w:hAnsi="Arial"/>
          <w:sz w:val="17"/>
          <w:szCs w:val="17"/>
          <w:color w:val="auto"/>
        </w:rPr>
        <w:t>Officers of the Company and any Designated Company, if they are otherwise Eligible Employees, will be eligible to participate in Offerings under the Plan. Notwithstanding the foregoing, the Board may (unless prohibited by Applicable Law) provide in an Offering that Employees who are highly compensated Employees within the meaning of Section 423(b)(4)(D) of the Code will not be eligible to participate.</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440" w:top="274" w:right="519" w:bottom="1440" w:gutter="0" w:footer="0" w:header="0"/>
        </w:sectPr>
      </w:pPr>
    </w:p>
    <w:bookmarkStart w:id="438" w:name="page439"/>
    <w:bookmarkEnd w:id="438"/>
    <w:p>
      <w:pPr>
        <w:ind w:left="4" w:right="20" w:firstLine="436"/>
        <w:spacing w:after="0" w:line="263" w:lineRule="auto"/>
        <w:tabs>
          <w:tab w:leader="none" w:pos="669" w:val="left"/>
        </w:tabs>
        <w:numPr>
          <w:ilvl w:val="1"/>
          <w:numId w:val="37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in this Section 5 to the contrary, in the case of an Offering under the Non-423 Component, an Eligible Employee (or group of Eligible Employees) may be excluded from participation in the Plan or an Offering if the Board has determined, in its sole discretion, that participation of such Eligible Employee(s) is not advisable or practical for any reason.</w:t>
      </w:r>
    </w:p>
    <w:p>
      <w:pPr>
        <w:spacing w:after="0" w:line="328" w:lineRule="exact"/>
        <w:rPr>
          <w:rFonts w:ascii="Arial" w:cs="Arial" w:eastAsia="Arial" w:hAnsi="Arial"/>
          <w:sz w:val="18"/>
          <w:szCs w:val="18"/>
          <w:b w:val="1"/>
          <w:bCs w:val="1"/>
          <w:color w:val="auto"/>
        </w:rPr>
      </w:pPr>
    </w:p>
    <w:p>
      <w:pPr>
        <w:ind w:left="424" w:hanging="424"/>
        <w:spacing w:after="0"/>
        <w:tabs>
          <w:tab w:leader="none" w:pos="424" w:val="left"/>
        </w:tabs>
        <w:numPr>
          <w:ilvl w:val="0"/>
          <w:numId w:val="375"/>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RICE</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firstLine="436"/>
        <w:spacing w:after="0" w:line="259" w:lineRule="auto"/>
        <w:tabs>
          <w:tab w:leader="none" w:pos="699" w:val="left"/>
        </w:tabs>
        <w:numPr>
          <w:ilvl w:val="1"/>
          <w:numId w:val="375"/>
        </w:numPr>
        <w:rPr>
          <w:rFonts w:ascii="Arial" w:cs="Arial" w:eastAsia="Arial" w:hAnsi="Arial"/>
          <w:sz w:val="18"/>
          <w:szCs w:val="18"/>
          <w:b w:val="1"/>
          <w:bCs w:val="1"/>
          <w:color w:val="auto"/>
        </w:rPr>
      </w:pPr>
      <w:r>
        <w:rPr>
          <w:rFonts w:ascii="Arial" w:cs="Arial" w:eastAsia="Arial" w:hAnsi="Arial"/>
          <w:sz w:val="18"/>
          <w:szCs w:val="18"/>
          <w:color w:val="auto"/>
        </w:rPr>
        <w:t>On each Offering Date, each Eligible Employee, pursuant to an Offering made under the Plan, will be granted a Purchase Right to purchase up to that number of shares of Common Stock purchasable either with a percentage of earnings or with a maximum dollar amount, as designated by the Board during the period that begins on the Offering Date (or such later date as the Board determines for a particular Offering) and ends on the date stated in the Offering, which date will be no later than the end of the Offering.</w:t>
      </w:r>
    </w:p>
    <w:p>
      <w:pPr>
        <w:spacing w:after="0" w:line="186" w:lineRule="exact"/>
        <w:rPr>
          <w:rFonts w:ascii="Arial" w:cs="Arial" w:eastAsia="Arial" w:hAnsi="Arial"/>
          <w:sz w:val="18"/>
          <w:szCs w:val="18"/>
          <w:b w:val="1"/>
          <w:bCs w:val="1"/>
          <w:color w:val="auto"/>
        </w:rPr>
      </w:pPr>
    </w:p>
    <w:p>
      <w:pPr>
        <w:ind w:left="4" w:right="40" w:firstLine="436"/>
        <w:spacing w:after="0" w:line="277" w:lineRule="auto"/>
        <w:tabs>
          <w:tab w:leader="none" w:pos="709" w:val="left"/>
        </w:tabs>
        <w:numPr>
          <w:ilvl w:val="1"/>
          <w:numId w:val="375"/>
        </w:numPr>
        <w:rPr>
          <w:rFonts w:ascii="Arial" w:cs="Arial" w:eastAsia="Arial" w:hAnsi="Arial"/>
          <w:sz w:val="18"/>
          <w:szCs w:val="18"/>
          <w:b w:val="1"/>
          <w:bCs w:val="1"/>
          <w:color w:val="auto"/>
        </w:rPr>
      </w:pPr>
      <w:r>
        <w:rPr>
          <w:rFonts w:ascii="Arial" w:cs="Arial" w:eastAsia="Arial" w:hAnsi="Arial"/>
          <w:sz w:val="18"/>
          <w:szCs w:val="18"/>
          <w:color w:val="auto"/>
        </w:rPr>
        <w:t>The Board will establish one or more Purchase Dates during an Offering on which Purchase Rights granted for that Offering will be exercised and shares of Common Stock will be purchased in accordance with such Offering.</w:t>
      </w:r>
    </w:p>
    <w:p>
      <w:pPr>
        <w:spacing w:after="0" w:line="170" w:lineRule="exact"/>
        <w:rPr>
          <w:rFonts w:ascii="Arial" w:cs="Arial" w:eastAsia="Arial" w:hAnsi="Arial"/>
          <w:sz w:val="18"/>
          <w:szCs w:val="18"/>
          <w:b w:val="1"/>
          <w:bCs w:val="1"/>
          <w:color w:val="auto"/>
        </w:rPr>
      </w:pPr>
    </w:p>
    <w:p>
      <w:pPr>
        <w:ind w:left="4" w:firstLine="436"/>
        <w:spacing w:after="0" w:line="272" w:lineRule="auto"/>
        <w:tabs>
          <w:tab w:leader="none" w:pos="689" w:val="left"/>
        </w:tabs>
        <w:numPr>
          <w:ilvl w:val="1"/>
          <w:numId w:val="375"/>
        </w:numPr>
        <w:rPr>
          <w:rFonts w:ascii="Arial" w:cs="Arial" w:eastAsia="Arial" w:hAnsi="Arial"/>
          <w:sz w:val="17"/>
          <w:szCs w:val="17"/>
          <w:b w:val="1"/>
          <w:bCs w:val="1"/>
          <w:color w:val="auto"/>
        </w:rPr>
      </w:pPr>
      <w:r>
        <w:rPr>
          <w:rFonts w:ascii="Arial" w:cs="Arial" w:eastAsia="Arial" w:hAnsi="Arial"/>
          <w:sz w:val="17"/>
          <w:szCs w:val="17"/>
          <w:color w:val="auto"/>
        </w:rPr>
        <w:t>In connection with each Offering made under the Plan, the Board may specify (i) a maximum number of shares of Common Stock that 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Contributions) allocation of the shares of Common Stock (rounded down to the nearest whole share) available will be made in as nearly a uniform manner as will be practicable and equitable.</w:t>
      </w:r>
    </w:p>
    <w:p>
      <w:pPr>
        <w:spacing w:after="0" w:line="177" w:lineRule="exact"/>
        <w:rPr>
          <w:rFonts w:ascii="Arial" w:cs="Arial" w:eastAsia="Arial" w:hAnsi="Arial"/>
          <w:sz w:val="17"/>
          <w:szCs w:val="17"/>
          <w:b w:val="1"/>
          <w:bCs w:val="1"/>
          <w:color w:val="auto"/>
        </w:rPr>
      </w:pPr>
    </w:p>
    <w:p>
      <w:pPr>
        <w:ind w:left="4" w:right="140" w:firstLine="436"/>
        <w:spacing w:after="0" w:line="277" w:lineRule="auto"/>
        <w:tabs>
          <w:tab w:leader="none" w:pos="709" w:val="left"/>
        </w:tabs>
        <w:numPr>
          <w:ilvl w:val="1"/>
          <w:numId w:val="375"/>
        </w:numPr>
        <w:rPr>
          <w:rFonts w:ascii="Arial" w:cs="Arial" w:eastAsia="Arial" w:hAnsi="Arial"/>
          <w:sz w:val="18"/>
          <w:szCs w:val="18"/>
          <w:b w:val="1"/>
          <w:bCs w:val="1"/>
          <w:color w:val="auto"/>
        </w:rPr>
      </w:pPr>
      <w:r>
        <w:rPr>
          <w:rFonts w:ascii="Arial" w:cs="Arial" w:eastAsia="Arial" w:hAnsi="Arial"/>
          <w:sz w:val="18"/>
          <w:szCs w:val="18"/>
          <w:color w:val="auto"/>
        </w:rPr>
        <w:t>The purchase price of shares of Common Stock acquired pursuant to Purchase Rights will be specified by the Board prior to commencement of an Offering and will not be less than the lesser of:</w:t>
      </w:r>
    </w:p>
    <w:p>
      <w:pPr>
        <w:spacing w:after="0" w:line="62" w:lineRule="exact"/>
        <w:rPr>
          <w:rFonts w:ascii="Arial" w:cs="Arial" w:eastAsia="Arial" w:hAnsi="Arial"/>
          <w:sz w:val="18"/>
          <w:szCs w:val="18"/>
          <w:b w:val="1"/>
          <w:bCs w:val="1"/>
          <w:color w:val="auto"/>
        </w:rPr>
      </w:pPr>
    </w:p>
    <w:p>
      <w:pPr>
        <w:ind w:left="1204" w:hanging="213"/>
        <w:spacing w:after="0"/>
        <w:tabs>
          <w:tab w:leader="none" w:pos="1204" w:val="left"/>
        </w:tabs>
        <w:numPr>
          <w:ilvl w:val="2"/>
          <w:numId w:val="375"/>
        </w:numPr>
        <w:rPr>
          <w:rFonts w:ascii="Arial" w:cs="Arial" w:eastAsia="Arial" w:hAnsi="Arial"/>
          <w:sz w:val="18"/>
          <w:szCs w:val="18"/>
          <w:b w:val="1"/>
          <w:bCs w:val="1"/>
          <w:color w:val="auto"/>
        </w:rPr>
      </w:pPr>
      <w:r>
        <w:rPr>
          <w:rFonts w:ascii="Arial" w:cs="Arial" w:eastAsia="Arial" w:hAnsi="Arial"/>
          <w:sz w:val="18"/>
          <w:szCs w:val="18"/>
          <w:color w:val="auto"/>
        </w:rPr>
        <w:t>an amount equal to 85% of the Fair Market Value of the shares of Common Stock on the Offering Date; or</w:t>
      </w:r>
    </w:p>
    <w:p>
      <w:pPr>
        <w:spacing w:after="0" w:line="225" w:lineRule="exact"/>
        <w:rPr>
          <w:rFonts w:ascii="Arial" w:cs="Arial" w:eastAsia="Arial" w:hAnsi="Arial"/>
          <w:sz w:val="18"/>
          <w:szCs w:val="18"/>
          <w:b w:val="1"/>
          <w:bCs w:val="1"/>
          <w:color w:val="auto"/>
        </w:rPr>
      </w:pPr>
    </w:p>
    <w:p>
      <w:pPr>
        <w:ind w:left="1264" w:hanging="273"/>
        <w:spacing w:after="0"/>
        <w:tabs>
          <w:tab w:leader="none" w:pos="1264" w:val="left"/>
        </w:tabs>
        <w:numPr>
          <w:ilvl w:val="2"/>
          <w:numId w:val="375"/>
        </w:numPr>
        <w:rPr>
          <w:rFonts w:ascii="Arial" w:cs="Arial" w:eastAsia="Arial" w:hAnsi="Arial"/>
          <w:sz w:val="18"/>
          <w:szCs w:val="18"/>
          <w:b w:val="1"/>
          <w:bCs w:val="1"/>
          <w:color w:val="auto"/>
        </w:rPr>
      </w:pPr>
      <w:r>
        <w:rPr>
          <w:rFonts w:ascii="Arial" w:cs="Arial" w:eastAsia="Arial" w:hAnsi="Arial"/>
          <w:sz w:val="18"/>
          <w:szCs w:val="18"/>
          <w:color w:val="auto"/>
        </w:rPr>
        <w:t>an amount equal to 85% of the Fair Market Value of the shares of Common Stock on the applicable Purchase Date.</w:t>
      </w:r>
    </w:p>
    <w:p>
      <w:pPr>
        <w:spacing w:after="0" w:line="369" w:lineRule="exact"/>
        <w:rPr>
          <w:rFonts w:ascii="Arial" w:cs="Arial" w:eastAsia="Arial" w:hAnsi="Arial"/>
          <w:sz w:val="18"/>
          <w:szCs w:val="18"/>
          <w:b w:val="1"/>
          <w:bCs w:val="1"/>
          <w:color w:val="auto"/>
        </w:rPr>
      </w:pPr>
    </w:p>
    <w:p>
      <w:pPr>
        <w:ind w:left="424" w:hanging="424"/>
        <w:spacing w:after="0"/>
        <w:tabs>
          <w:tab w:leader="none" w:pos="424" w:val="left"/>
        </w:tabs>
        <w:numPr>
          <w:ilvl w:val="0"/>
          <w:numId w:val="375"/>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ARTICIPATION</w:t>
      </w:r>
      <w:r>
        <w:rPr>
          <w:rFonts w:ascii="Arial" w:cs="Arial" w:eastAsia="Arial" w:hAnsi="Arial"/>
          <w:sz w:val="18"/>
          <w:szCs w:val="18"/>
          <w:b w:val="1"/>
          <w:bCs w:val="1"/>
          <w:color w:val="auto"/>
        </w:rPr>
        <w:t>; W</w:t>
      </w:r>
      <w:r>
        <w:rPr>
          <w:rFonts w:ascii="Arial" w:cs="Arial" w:eastAsia="Arial" w:hAnsi="Arial"/>
          <w:sz w:val="14"/>
          <w:szCs w:val="14"/>
          <w:b w:val="1"/>
          <w:bCs w:val="1"/>
          <w:color w:val="auto"/>
        </w:rPr>
        <w:t>ITHDRAWAL</w:t>
      </w:r>
      <w:r>
        <w:rPr>
          <w:rFonts w:ascii="Arial" w:cs="Arial" w:eastAsia="Arial" w:hAnsi="Arial"/>
          <w:sz w:val="18"/>
          <w:szCs w:val="18"/>
          <w:b w:val="1"/>
          <w:bCs w:val="1"/>
          <w:color w:val="auto"/>
        </w:rPr>
        <w:t>; T</w:t>
      </w:r>
      <w:r>
        <w:rPr>
          <w:rFonts w:ascii="Arial" w:cs="Arial" w:eastAsia="Arial" w:hAnsi="Arial"/>
          <w:sz w:val="14"/>
          <w:szCs w:val="14"/>
          <w:b w:val="1"/>
          <w:bCs w:val="1"/>
          <w:color w:val="auto"/>
        </w:rPr>
        <w:t>ERMINATION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right="100" w:firstLine="436"/>
        <w:spacing w:after="0" w:line="271" w:lineRule="auto"/>
        <w:tabs>
          <w:tab w:leader="none" w:pos="699" w:val="left"/>
        </w:tabs>
        <w:numPr>
          <w:ilvl w:val="1"/>
          <w:numId w:val="375"/>
        </w:numPr>
        <w:rPr>
          <w:rFonts w:ascii="Arial" w:cs="Arial" w:eastAsia="Arial" w:hAnsi="Arial"/>
          <w:sz w:val="17"/>
          <w:szCs w:val="17"/>
          <w:b w:val="1"/>
          <w:bCs w:val="1"/>
          <w:color w:val="auto"/>
        </w:rPr>
      </w:pPr>
      <w:r>
        <w:rPr>
          <w:rFonts w:ascii="Arial" w:cs="Arial" w:eastAsia="Arial" w:hAnsi="Arial"/>
          <w:sz w:val="17"/>
          <w:szCs w:val="17"/>
          <w:color w:val="auto"/>
        </w:rPr>
        <w:t>An Eligible Employee may elect to participate in an Offering and authorize payroll deductions as the means of making Contributions by completing and delivering to the Company or a Company Designee, within the time specified in the Offering, an enrollment form provided by the Company or Company Designee.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deposited with a third party. If permitted in the Offering, a Participant may begin such Contributions with the first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w:t>
      </w:r>
    </w:p>
    <w:p>
      <w:pPr>
        <w:spacing w:after="0" w:line="111"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4"/>
          </w:cols>
          <w:pgMar w:left="436" w:top="274" w:right="499" w:bottom="1440" w:gutter="0" w:footer="0" w:header="0"/>
        </w:sectPr>
      </w:pPr>
    </w:p>
    <w:bookmarkStart w:id="439" w:name="page440"/>
    <w:bookmarkEnd w:id="439"/>
    <w:p>
      <w:pPr>
        <w:ind w:left="4"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increase his or her Contributions. If required under Applicable Law or if specifically provided in the Offering and to the extent permitted by Section 423 of the Code with respect to the 423 Component, in addition to or instead of making Contributions by payroll deductions, a Participant may make Contributions through payment by cash, check or wire transfer prior to a Purchase Date.</w:t>
      </w:r>
    </w:p>
    <w:p>
      <w:pPr>
        <w:spacing w:after="0" w:line="184" w:lineRule="exact"/>
        <w:rPr>
          <w:sz w:val="20"/>
          <w:szCs w:val="20"/>
          <w:color w:val="auto"/>
        </w:rPr>
      </w:pPr>
    </w:p>
    <w:p>
      <w:pPr>
        <w:ind w:left="4" w:firstLine="436"/>
        <w:spacing w:after="0" w:line="273" w:lineRule="auto"/>
        <w:tabs>
          <w:tab w:leader="none" w:pos="709" w:val="left"/>
        </w:tabs>
        <w:numPr>
          <w:ilvl w:val="1"/>
          <w:numId w:val="376"/>
        </w:numPr>
        <w:rPr>
          <w:rFonts w:ascii="Arial" w:cs="Arial" w:eastAsia="Arial" w:hAnsi="Arial"/>
          <w:sz w:val="17"/>
          <w:szCs w:val="17"/>
          <w:b w:val="1"/>
          <w:bCs w:val="1"/>
          <w:color w:val="auto"/>
        </w:rPr>
      </w:pPr>
      <w:r>
        <w:rPr>
          <w:rFonts w:ascii="Arial" w:cs="Arial" w:eastAsia="Arial" w:hAnsi="Arial"/>
          <w:sz w:val="17"/>
          <w:szCs w:val="17"/>
          <w:color w:val="auto"/>
        </w:rPr>
        <w:t>During an Offering, a Participant may cease making Contributions and withdraw from the Offering by delivering to the Company or a Company Designee a withdrawal form provided by the Company. The Company may impose a deadline before a Purchase Date for withdrawing. Upon such withdrawal, such Participant’s Purchase Right in that Offering will immediately terminate and the Company will distribute as soon as practicable to such Participant all of his or her accumulated but unused Contributions and such Participant’s Purchase Right in that Offering shall thereupon terminate. A Participant’s withdrawal from that Offering will have no effect upon his or her eligibility to participate in any other Offerings under the Plan, but such Participant will be required to deliver a new enrollment form to participate in subsequent Offerings.</w:t>
      </w:r>
    </w:p>
    <w:p>
      <w:pPr>
        <w:spacing w:after="0" w:line="177" w:lineRule="exact"/>
        <w:rPr>
          <w:rFonts w:ascii="Arial" w:cs="Arial" w:eastAsia="Arial" w:hAnsi="Arial"/>
          <w:sz w:val="17"/>
          <w:szCs w:val="17"/>
          <w:b w:val="1"/>
          <w:bCs w:val="1"/>
          <w:color w:val="auto"/>
        </w:rPr>
      </w:pPr>
    </w:p>
    <w:p>
      <w:pPr>
        <w:ind w:left="4" w:right="140" w:firstLine="436"/>
        <w:spacing w:after="0" w:line="259" w:lineRule="auto"/>
        <w:tabs>
          <w:tab w:leader="none" w:pos="689" w:val="left"/>
        </w:tabs>
        <w:numPr>
          <w:ilvl w:val="1"/>
          <w:numId w:val="376"/>
        </w:numPr>
        <w:rPr>
          <w:rFonts w:ascii="Arial" w:cs="Arial" w:eastAsia="Arial" w:hAnsi="Arial"/>
          <w:sz w:val="18"/>
          <w:szCs w:val="18"/>
          <w:b w:val="1"/>
          <w:bCs w:val="1"/>
          <w:color w:val="auto"/>
        </w:rPr>
      </w:pPr>
      <w:r>
        <w:rPr>
          <w:rFonts w:ascii="Arial" w:cs="Arial" w:eastAsia="Arial" w:hAnsi="Arial"/>
          <w:sz w:val="18"/>
          <w:szCs w:val="18"/>
          <w:color w:val="auto"/>
        </w:rPr>
        <w:t>Unless otherwise required by Applicable Law, Purchase Rights granted pursuant to any Offering under the Plan will terminate immediately if the Participant either (i) is no longer an Employee for any reason or for no reason (subject to any post-employment participation period required by Applicable Law) or (ii) is otherwise no longer eligible to participate. The Company will distribute as soon as practicable to such individual all of his or her accumulated but unused Contributions.</w:t>
      </w:r>
    </w:p>
    <w:p>
      <w:pPr>
        <w:spacing w:after="0" w:line="186" w:lineRule="exact"/>
        <w:rPr>
          <w:rFonts w:ascii="Arial" w:cs="Arial" w:eastAsia="Arial" w:hAnsi="Arial"/>
          <w:sz w:val="18"/>
          <w:szCs w:val="18"/>
          <w:b w:val="1"/>
          <w:bCs w:val="1"/>
          <w:color w:val="auto"/>
        </w:rPr>
      </w:pPr>
    </w:p>
    <w:p>
      <w:pPr>
        <w:ind w:left="4" w:right="280" w:firstLine="436"/>
        <w:spacing w:after="0" w:line="287" w:lineRule="auto"/>
        <w:tabs>
          <w:tab w:leader="none" w:pos="709" w:val="left"/>
        </w:tabs>
        <w:numPr>
          <w:ilvl w:val="1"/>
          <w:numId w:val="376"/>
        </w:numPr>
        <w:rPr>
          <w:rFonts w:ascii="Arial" w:cs="Arial" w:eastAsia="Arial" w:hAnsi="Arial"/>
          <w:sz w:val="16"/>
          <w:szCs w:val="16"/>
          <w:b w:val="1"/>
          <w:bCs w:val="1"/>
          <w:color w:val="auto"/>
        </w:rPr>
      </w:pPr>
      <w:r>
        <w:rPr>
          <w:rFonts w:ascii="Arial" w:cs="Arial" w:eastAsia="Arial" w:hAnsi="Arial"/>
          <w:sz w:val="16"/>
          <w:szCs w:val="16"/>
          <w:color w:val="auto"/>
        </w:rPr>
        <w:t>Unless otherwise determined by the Board, a Participant whose employment transfers or whose employment terminates with an immediate rehire (with no break in service) by or between the Company and a Designated Company or between Designated Companies will not be treated as having terminated employment for purposes of participating in the Plan or an Offering; however, if a Participant transfers from an Offering under the</w:t>
      </w:r>
    </w:p>
    <w:p>
      <w:pPr>
        <w:spacing w:after="0" w:line="2" w:lineRule="exact"/>
        <w:rPr>
          <w:rFonts w:ascii="Arial" w:cs="Arial" w:eastAsia="Arial" w:hAnsi="Arial"/>
          <w:sz w:val="16"/>
          <w:szCs w:val="16"/>
          <w:b w:val="1"/>
          <w:bCs w:val="1"/>
          <w:color w:val="auto"/>
        </w:rPr>
      </w:pPr>
    </w:p>
    <w:p>
      <w:pPr>
        <w:ind w:left="4" w:right="100" w:hanging="4"/>
        <w:spacing w:after="0" w:line="253" w:lineRule="auto"/>
        <w:tabs>
          <w:tab w:leader="none" w:pos="319" w:val="left"/>
        </w:tabs>
        <w:numPr>
          <w:ilvl w:val="0"/>
          <w:numId w:val="377"/>
        </w:numPr>
        <w:rPr>
          <w:rFonts w:ascii="Arial" w:cs="Arial" w:eastAsia="Arial" w:hAnsi="Arial"/>
          <w:sz w:val="18"/>
          <w:szCs w:val="18"/>
          <w:color w:val="auto"/>
        </w:rPr>
      </w:pPr>
      <w:r>
        <w:rPr>
          <w:rFonts w:ascii="Arial" w:cs="Arial" w:eastAsia="Arial" w:hAnsi="Arial"/>
          <w:sz w:val="18"/>
          <w:szCs w:val="18"/>
          <w:color w:val="auto"/>
        </w:rPr>
        <w:t>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The Board may establish different and additional rules governing transfers between separate Offerings within the 423 Component and between Offerings under the 423 Component and Offerings under the Non-423 Component.</w:t>
      </w:r>
    </w:p>
    <w:p>
      <w:pPr>
        <w:spacing w:after="0" w:line="190" w:lineRule="exact"/>
        <w:rPr>
          <w:rFonts w:ascii="Arial" w:cs="Arial" w:eastAsia="Arial" w:hAnsi="Arial"/>
          <w:sz w:val="18"/>
          <w:szCs w:val="18"/>
          <w:color w:val="auto"/>
        </w:rPr>
      </w:pPr>
    </w:p>
    <w:p>
      <w:pPr>
        <w:jc w:val="both"/>
        <w:ind w:left="4" w:right="620" w:firstLine="436"/>
        <w:spacing w:after="0" w:line="263" w:lineRule="auto"/>
        <w:tabs>
          <w:tab w:leader="none" w:pos="689" w:val="left"/>
        </w:tabs>
        <w:numPr>
          <w:ilvl w:val="1"/>
          <w:numId w:val="377"/>
        </w:numPr>
        <w:rPr>
          <w:rFonts w:ascii="Arial" w:cs="Arial" w:eastAsia="Arial" w:hAnsi="Arial"/>
          <w:sz w:val="18"/>
          <w:szCs w:val="18"/>
          <w:b w:val="1"/>
          <w:bCs w:val="1"/>
          <w:color w:val="auto"/>
        </w:rPr>
      </w:pPr>
      <w:r>
        <w:rPr>
          <w:rFonts w:ascii="Arial" w:cs="Arial" w:eastAsia="Arial" w:hAnsi="Arial"/>
          <w:sz w:val="18"/>
          <w:szCs w:val="18"/>
          <w:color w:val="auto"/>
        </w:rPr>
        <w:t>During a Participant’s lifetime, Purchase Rights will be exercisable only by such Participant. Purchase Rights are not transferable by a Participant, except by will, by the laws of descent and distribution, or, if permitted by the Company, by a beneficiary designation as described in Section 10.</w:t>
      </w:r>
    </w:p>
    <w:p>
      <w:pPr>
        <w:spacing w:after="0" w:line="183" w:lineRule="exact"/>
        <w:rPr>
          <w:rFonts w:ascii="Arial" w:cs="Arial" w:eastAsia="Arial" w:hAnsi="Arial"/>
          <w:sz w:val="18"/>
          <w:szCs w:val="18"/>
          <w:b w:val="1"/>
          <w:bCs w:val="1"/>
          <w:color w:val="auto"/>
        </w:rPr>
      </w:pPr>
    </w:p>
    <w:p>
      <w:pPr>
        <w:ind w:left="4" w:right="800" w:firstLine="436"/>
        <w:spacing w:after="0" w:line="277" w:lineRule="auto"/>
        <w:tabs>
          <w:tab w:leader="none" w:pos="669" w:val="left"/>
        </w:tabs>
        <w:numPr>
          <w:ilvl w:val="1"/>
          <w:numId w:val="377"/>
        </w:numPr>
        <w:rPr>
          <w:rFonts w:ascii="Arial" w:cs="Arial" w:eastAsia="Arial" w:hAnsi="Arial"/>
          <w:sz w:val="18"/>
          <w:szCs w:val="18"/>
          <w:b w:val="1"/>
          <w:bCs w:val="1"/>
          <w:color w:val="auto"/>
        </w:rPr>
      </w:pPr>
      <w:r>
        <w:rPr>
          <w:rFonts w:ascii="Arial" w:cs="Arial" w:eastAsia="Arial" w:hAnsi="Arial"/>
          <w:sz w:val="18"/>
          <w:szCs w:val="18"/>
          <w:color w:val="auto"/>
        </w:rPr>
        <w:t>Unless otherwise specified in the Offering or as required by Applicable Law, the Company will have no obligation to pay interest on Contributions.</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378"/>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XERCISE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right="260" w:firstLine="436"/>
        <w:spacing w:after="0" w:line="263" w:lineRule="auto"/>
        <w:tabs>
          <w:tab w:leader="none" w:pos="699" w:val="left"/>
        </w:tabs>
        <w:numPr>
          <w:ilvl w:val="1"/>
          <w:numId w:val="378"/>
        </w:numPr>
        <w:rPr>
          <w:rFonts w:ascii="Arial" w:cs="Arial" w:eastAsia="Arial" w:hAnsi="Arial"/>
          <w:sz w:val="18"/>
          <w:szCs w:val="18"/>
          <w:b w:val="1"/>
          <w:bCs w:val="1"/>
          <w:color w:val="auto"/>
        </w:rPr>
      </w:pPr>
      <w:r>
        <w:rPr>
          <w:rFonts w:ascii="Arial" w:cs="Arial" w:eastAsia="Arial" w:hAnsi="Arial"/>
          <w:sz w:val="18"/>
          <w:szCs w:val="18"/>
          <w:color w:val="auto"/>
        </w:rPr>
        <w:t>On each Purchase Date, each Participant’s accumulated Contributions will be applied to the purchase of shares of Common Stock, up to the maximum number of shares of Common Stock permitted by the Plan and the applicable Offering, at the purchase price specified in the Offering. No fractional shares will be issued unless specifically provided for in the Offering.</w:t>
      </w:r>
    </w:p>
    <w:p>
      <w:pPr>
        <w:spacing w:after="0" w:line="183" w:lineRule="exact"/>
        <w:rPr>
          <w:rFonts w:ascii="Arial" w:cs="Arial" w:eastAsia="Arial" w:hAnsi="Arial"/>
          <w:sz w:val="18"/>
          <w:szCs w:val="18"/>
          <w:b w:val="1"/>
          <w:bCs w:val="1"/>
          <w:color w:val="auto"/>
        </w:rPr>
      </w:pPr>
    </w:p>
    <w:p>
      <w:pPr>
        <w:ind w:left="4" w:firstLine="436"/>
        <w:spacing w:after="0" w:line="286" w:lineRule="auto"/>
        <w:tabs>
          <w:tab w:leader="none" w:pos="709" w:val="left"/>
        </w:tabs>
        <w:numPr>
          <w:ilvl w:val="1"/>
          <w:numId w:val="378"/>
        </w:numPr>
        <w:rPr>
          <w:rFonts w:ascii="Arial" w:cs="Arial" w:eastAsia="Arial" w:hAnsi="Arial"/>
          <w:sz w:val="17"/>
          <w:szCs w:val="17"/>
          <w:b w:val="1"/>
          <w:bCs w:val="1"/>
          <w:color w:val="auto"/>
        </w:rPr>
      </w:pPr>
      <w:r>
        <w:rPr>
          <w:rFonts w:ascii="Arial" w:cs="Arial" w:eastAsia="Arial" w:hAnsi="Arial"/>
          <w:sz w:val="17"/>
          <w:szCs w:val="17"/>
          <w:color w:val="auto"/>
        </w:rPr>
        <w:t>Unless otherwise provided in the Offering, if any amount of accumulated Contributions remains in a Participant’s account after the purchase of shares of Common Stock and such remaining amount is less than the amount required to purchase one share of Common Stock on the final Purchase Date of an Offering, then such remaining amount will be held in such Participant’s account for the purchase of</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440" w:name="page441"/>
    <w:bookmarkEnd w:id="440"/>
    <w:p>
      <w:pPr>
        <w:ind w:left="4"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of Common Stock under the next Offering under the Plan, unless such Participant withdraws from or is not eligible to participate in such next Offering, in which case such amount will be distributed to such Participant after the final Purchase Date without interest (unless the payment of interest is otherwise required by Applicable Law). If the amount of Contributions remaining in a Participant’s account after the purchase of shares of Common Stock is at least equal to the amount required to purchase one (1) whole share of Common Stock on the final Purchase Date of an Offering, then such remaining amount will be distributed in full to such Participant after the final Purchase Date of such Offering without interest (unless otherwise required by Applicable Law).</w:t>
      </w:r>
    </w:p>
    <w:p>
      <w:pPr>
        <w:spacing w:after="0" w:line="192" w:lineRule="exact"/>
        <w:rPr>
          <w:sz w:val="20"/>
          <w:szCs w:val="20"/>
          <w:color w:val="auto"/>
        </w:rPr>
      </w:pPr>
    </w:p>
    <w:p>
      <w:pPr>
        <w:ind w:left="4" w:firstLine="436"/>
        <w:spacing w:after="0" w:line="289" w:lineRule="auto"/>
        <w:tabs>
          <w:tab w:leader="none" w:pos="689" w:val="left"/>
        </w:tabs>
        <w:numPr>
          <w:ilvl w:val="1"/>
          <w:numId w:val="379"/>
        </w:numPr>
        <w:rPr>
          <w:rFonts w:ascii="Arial" w:cs="Arial" w:eastAsia="Arial" w:hAnsi="Arial"/>
          <w:sz w:val="16"/>
          <w:szCs w:val="16"/>
          <w:b w:val="1"/>
          <w:bCs w:val="1"/>
          <w:color w:val="auto"/>
        </w:rPr>
      </w:pPr>
      <w:r>
        <w:rPr>
          <w:rFonts w:ascii="Arial" w:cs="Arial" w:eastAsia="Arial" w:hAnsi="Arial"/>
          <w:sz w:val="16"/>
          <w:szCs w:val="16"/>
          <w:color w:val="auto"/>
        </w:rPr>
        <w:t>No Purchase Rights may be exercised to any extent unless the shares of Common Stock to be issued upon such exercise under the Plan are covered by an effective registration statement pursuant to the Securities Act and the Plan is in material compliance with all applicable U.S. federal and state, foreign and other securities, exchange control and other laws applicable to the Plan. If on a Purchase Date the shares of Common Stock are not so registered or the Plan is not in such compliance, no Purchase Rights will be exercised on such Purchase Date, and, subject to Section 423 of the Code with respect to the 423 Component, the Purchase Date will be delayed until the shares of Common Stock are subject to such an effective registration statement and the Plan is in material compliance, except that the Purchase Date will in no event be more than 27 months from the Offering Date. If, on the Purchase Date, as delayed to the maximum extent permissible, the shares of Common Stock are not registered and the Plan is not in material compliance with all Applicable Laws, as determined by the Company in its sole discretion, no Purchase Rights will be exercised and all accumulated but unused Contributions will be distributed to the Participants without interest (unless the payment of interest is otherwise required by Applicable Law).</w:t>
      </w:r>
    </w:p>
    <w:p>
      <w:pPr>
        <w:spacing w:after="0" w:line="310" w:lineRule="exact"/>
        <w:rPr>
          <w:rFonts w:ascii="Arial" w:cs="Arial" w:eastAsia="Arial" w:hAnsi="Arial"/>
          <w:sz w:val="16"/>
          <w:szCs w:val="16"/>
          <w:b w:val="1"/>
          <w:bCs w:val="1"/>
          <w:color w:val="auto"/>
        </w:rPr>
      </w:pPr>
    </w:p>
    <w:p>
      <w:pPr>
        <w:ind w:left="424" w:hanging="424"/>
        <w:spacing w:after="0"/>
        <w:tabs>
          <w:tab w:leader="none" w:pos="424" w:val="left"/>
        </w:tabs>
        <w:numPr>
          <w:ilvl w:val="0"/>
          <w:numId w:val="380"/>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p>
    <w:p>
      <w:pPr>
        <w:spacing w:after="0" w:line="121" w:lineRule="exact"/>
        <w:rPr>
          <w:sz w:val="20"/>
          <w:szCs w:val="20"/>
          <w:color w:val="auto"/>
        </w:rPr>
      </w:pPr>
    </w:p>
    <w:p>
      <w:pPr>
        <w:ind w:left="4" w:right="80" w:firstLine="440"/>
        <w:spacing w:after="0" w:line="293" w:lineRule="auto"/>
        <w:rPr>
          <w:sz w:val="20"/>
          <w:szCs w:val="20"/>
          <w:color w:val="auto"/>
        </w:rPr>
      </w:pPr>
      <w:r>
        <w:rPr>
          <w:rFonts w:ascii="Arial" w:cs="Arial" w:eastAsia="Arial" w:hAnsi="Arial"/>
          <w:sz w:val="16"/>
          <w:szCs w:val="16"/>
          <w:color w:val="auto"/>
        </w:rPr>
        <w:t>The Company will seek to obtain from each U.S. federal or state, foreign or other regulatory commission, agency or other Governmental Body having jurisdiction over the Plan such authority as may be required to grant Purchase Rights and issue and sell shares of Common Stock thereunder unless the Company determines, in its sole discretion, that doing so is not practical or would cause the Company to incur costs that are unreasonable.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and/or to issue and sell Common Stock upon exercise of such Purchase Rights.</w:t>
      </w:r>
    </w:p>
    <w:p>
      <w:pPr>
        <w:spacing w:after="0" w:line="309" w:lineRule="exact"/>
        <w:rPr>
          <w:sz w:val="20"/>
          <w:szCs w:val="20"/>
          <w:color w:val="auto"/>
        </w:rPr>
      </w:pPr>
    </w:p>
    <w:p>
      <w:pPr>
        <w:ind w:left="424" w:hanging="424"/>
        <w:spacing w:after="0"/>
        <w:tabs>
          <w:tab w:leader="none" w:pos="424" w:val="left"/>
        </w:tabs>
        <w:numPr>
          <w:ilvl w:val="0"/>
          <w:numId w:val="381"/>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ESIGNATION OF</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ENEFICIARY</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right="300" w:firstLine="436"/>
        <w:spacing w:after="0" w:line="259" w:lineRule="auto"/>
        <w:tabs>
          <w:tab w:leader="none" w:pos="699" w:val="left"/>
        </w:tabs>
        <w:numPr>
          <w:ilvl w:val="1"/>
          <w:numId w:val="381"/>
        </w:numPr>
        <w:rPr>
          <w:rFonts w:ascii="Arial" w:cs="Arial" w:eastAsia="Arial" w:hAnsi="Arial"/>
          <w:sz w:val="18"/>
          <w:szCs w:val="18"/>
          <w:b w:val="1"/>
          <w:bCs w:val="1"/>
          <w:color w:val="auto"/>
        </w:rPr>
      </w:pPr>
      <w:r>
        <w:rPr>
          <w:rFonts w:ascii="Arial" w:cs="Arial" w:eastAsia="Arial" w:hAnsi="Arial"/>
          <w:sz w:val="18"/>
          <w:szCs w:val="18"/>
          <w:color w:val="auto"/>
        </w:rPr>
        <w:t>The Company may, but is not obligated to, permit a Participant to submit a form designating a beneficiary who will receive any shares of 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w:t>
      </w:r>
    </w:p>
    <w:p>
      <w:pPr>
        <w:spacing w:after="0" w:line="186" w:lineRule="exact"/>
        <w:rPr>
          <w:rFonts w:ascii="Arial" w:cs="Arial" w:eastAsia="Arial" w:hAnsi="Arial"/>
          <w:sz w:val="18"/>
          <w:szCs w:val="18"/>
          <w:b w:val="1"/>
          <w:bCs w:val="1"/>
          <w:color w:val="auto"/>
        </w:rPr>
      </w:pPr>
    </w:p>
    <w:p>
      <w:pPr>
        <w:ind w:left="4" w:right="100" w:firstLine="436"/>
        <w:spacing w:after="0" w:line="275" w:lineRule="auto"/>
        <w:tabs>
          <w:tab w:leader="none" w:pos="709" w:val="left"/>
        </w:tabs>
        <w:numPr>
          <w:ilvl w:val="1"/>
          <w:numId w:val="381"/>
        </w:numPr>
        <w:rPr>
          <w:rFonts w:ascii="Arial" w:cs="Arial" w:eastAsia="Arial" w:hAnsi="Arial"/>
          <w:sz w:val="17"/>
          <w:szCs w:val="17"/>
          <w:b w:val="1"/>
          <w:bCs w:val="1"/>
          <w:color w:val="auto"/>
        </w:rPr>
      </w:pPr>
      <w:r>
        <w:rPr>
          <w:rFonts w:ascii="Arial" w:cs="Arial" w:eastAsia="Arial" w:hAnsi="Arial"/>
          <w:sz w:val="17"/>
          <w:szCs w:val="17"/>
          <w:color w:val="auto"/>
        </w:rPr>
        <w:t>If a Participant dies, and in the absence of a valid beneficiary designation,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(unless the payment of interest is otherwise required by Applicable Law), to the Participant’s spouse, dependents or relatives, or if no spouse, dependent or relative is known to the Company, then to such other person as the Company may designate.</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441" w:name="page442"/>
    <w:bookmarkEnd w:id="441"/>
    <w:p>
      <w:pPr>
        <w:ind w:left="424" w:hanging="424"/>
        <w:spacing w:after="0"/>
        <w:tabs>
          <w:tab w:leader="none" w:pos="424"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t>
      </w:r>
      <w:r>
        <w:rPr>
          <w:rFonts w:ascii="Arial" w:cs="Arial" w:eastAsia="Arial" w:hAnsi="Arial"/>
          <w:sz w:val="14"/>
          <w:szCs w:val="14"/>
          <w:b w:val="1"/>
          <w:bCs w:val="1"/>
          <w:color w:val="auto"/>
        </w:rPr>
        <w:t>DJUSTMENTS UPON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HANGES 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right="80" w:firstLine="436"/>
        <w:spacing w:after="0" w:line="275" w:lineRule="auto"/>
        <w:tabs>
          <w:tab w:leader="none" w:pos="699" w:val="left"/>
        </w:tabs>
        <w:numPr>
          <w:ilvl w:val="1"/>
          <w:numId w:val="382"/>
        </w:numPr>
        <w:rPr>
          <w:rFonts w:ascii="Arial" w:cs="Arial" w:eastAsia="Arial" w:hAnsi="Arial"/>
          <w:sz w:val="17"/>
          <w:szCs w:val="17"/>
          <w:b w:val="1"/>
          <w:bCs w:val="1"/>
          <w:color w:val="auto"/>
        </w:rPr>
      </w:pPr>
      <w:r>
        <w:rPr>
          <w:rFonts w:ascii="Arial" w:cs="Arial" w:eastAsia="Arial" w:hAnsi="Arial"/>
          <w:sz w:val="17"/>
          <w:szCs w:val="17"/>
          <w:color w:val="auto"/>
        </w:rPr>
        <w:t>In the event of a Capitalization Adjustment, the Board will appropriately and proportionately adjust: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 The Board will make these adjustments, and its determination will be final, binding and conclusive.</w:t>
      </w:r>
    </w:p>
    <w:p>
      <w:pPr>
        <w:spacing w:after="0" w:line="176" w:lineRule="exact"/>
        <w:rPr>
          <w:rFonts w:ascii="Arial" w:cs="Arial" w:eastAsia="Arial" w:hAnsi="Arial"/>
          <w:sz w:val="17"/>
          <w:szCs w:val="17"/>
          <w:b w:val="1"/>
          <w:bCs w:val="1"/>
          <w:color w:val="auto"/>
        </w:rPr>
      </w:pPr>
    </w:p>
    <w:p>
      <w:pPr>
        <w:ind w:left="4" w:right="220" w:firstLine="436"/>
        <w:spacing w:after="0" w:line="272" w:lineRule="auto"/>
        <w:tabs>
          <w:tab w:leader="none" w:pos="709" w:val="left"/>
        </w:tabs>
        <w:numPr>
          <w:ilvl w:val="1"/>
          <w:numId w:val="382"/>
        </w:numPr>
        <w:rPr>
          <w:rFonts w:ascii="Arial" w:cs="Arial" w:eastAsia="Arial" w:hAnsi="Arial"/>
          <w:sz w:val="17"/>
          <w:szCs w:val="17"/>
          <w:b w:val="1"/>
          <w:bCs w:val="1"/>
          <w:color w:val="auto"/>
        </w:rPr>
      </w:pPr>
      <w:r>
        <w:rPr>
          <w:rFonts w:ascii="Arial" w:cs="Arial" w:eastAsia="Arial" w:hAnsi="Arial"/>
          <w:sz w:val="17"/>
          <w:szCs w:val="17"/>
          <w:color w:val="auto"/>
        </w:rPr>
        <w:t>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(rounded down to the nearest whole share) within ten business days (or such other period specified by the Board) prior to the Corporate Transaction under the outstanding Purchase Rights, and the Purchase Rights will terminate immediately after such purchase.</w:t>
      </w:r>
    </w:p>
    <w:p>
      <w:pPr>
        <w:spacing w:after="0" w:line="321" w:lineRule="exact"/>
        <w:rPr>
          <w:rFonts w:ascii="Arial" w:cs="Arial" w:eastAsia="Arial" w:hAnsi="Arial"/>
          <w:sz w:val="17"/>
          <w:szCs w:val="17"/>
          <w:b w:val="1"/>
          <w:bCs w:val="1"/>
          <w:color w:val="auto"/>
        </w:rPr>
      </w:pPr>
    </w:p>
    <w:p>
      <w:pPr>
        <w:ind w:left="424" w:hanging="424"/>
        <w:spacing w:after="0"/>
        <w:tabs>
          <w:tab w:leader="none" w:pos="424"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MENDMENT</w:t>
      </w:r>
      <w:r>
        <w:rPr>
          <w:rFonts w:ascii="Arial" w:cs="Arial" w:eastAsia="Arial" w:hAnsi="Arial"/>
          <w:sz w:val="18"/>
          <w:szCs w:val="18"/>
          <w:b w:val="1"/>
          <w:bCs w:val="1"/>
          <w:color w:val="auto"/>
        </w:rPr>
        <w:t>, T</w:t>
      </w:r>
      <w:r>
        <w:rPr>
          <w:rFonts w:ascii="Arial" w:cs="Arial" w:eastAsia="Arial" w:hAnsi="Arial"/>
          <w:sz w:val="14"/>
          <w:szCs w:val="14"/>
          <w:b w:val="1"/>
          <w:bCs w:val="1"/>
          <w:color w:val="auto"/>
        </w:rPr>
        <w:t>ERMINATION OR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USPENSION OF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704" w:hanging="264"/>
        <w:spacing w:after="0"/>
        <w:tabs>
          <w:tab w:leader="none" w:pos="704" w:val="left"/>
        </w:tabs>
        <w:numPr>
          <w:ilvl w:val="1"/>
          <w:numId w:val="382"/>
        </w:numPr>
        <w:rPr>
          <w:rFonts w:ascii="Arial" w:cs="Arial" w:eastAsia="Arial" w:hAnsi="Arial"/>
          <w:sz w:val="17"/>
          <w:szCs w:val="17"/>
          <w:b w:val="1"/>
          <w:bCs w:val="1"/>
          <w:color w:val="auto"/>
        </w:rPr>
      </w:pPr>
      <w:r>
        <w:rPr>
          <w:rFonts w:ascii="Arial" w:cs="Arial" w:eastAsia="Arial" w:hAnsi="Arial"/>
          <w:sz w:val="17"/>
          <w:szCs w:val="17"/>
          <w:color w:val="auto"/>
        </w:rPr>
        <w:t>The Board may amend the Plan at any time in any respect the Board deems necessary or advisable. However, except as provided in</w:t>
      </w:r>
    </w:p>
    <w:p>
      <w:pPr>
        <w:spacing w:after="0" w:line="35" w:lineRule="exact"/>
        <w:rPr>
          <w:sz w:val="20"/>
          <w:szCs w:val="20"/>
          <w:color w:val="auto"/>
        </w:rPr>
      </w:pPr>
    </w:p>
    <w:p>
      <w:pPr>
        <w:ind w:left="4" w:right="580"/>
        <w:spacing w:after="0" w:line="260" w:lineRule="auto"/>
        <w:rPr>
          <w:sz w:val="20"/>
          <w:szCs w:val="20"/>
          <w:color w:val="auto"/>
        </w:rPr>
      </w:pPr>
      <w:r>
        <w:rPr>
          <w:rFonts w:ascii="Arial" w:cs="Arial" w:eastAsia="Arial" w:hAnsi="Arial"/>
          <w:sz w:val="18"/>
          <w:szCs w:val="18"/>
          <w:color w:val="auto"/>
        </w:rPr>
        <w:t>Section 11(a) relating to Capitalization Adjustments, stockholder approval will be required for any amendment of the Plan for which stockholder approval is required by Applicable Law.</w:t>
      </w:r>
    </w:p>
    <w:p>
      <w:pPr>
        <w:spacing w:after="0" w:line="185" w:lineRule="exact"/>
        <w:rPr>
          <w:sz w:val="20"/>
          <w:szCs w:val="20"/>
          <w:color w:val="auto"/>
        </w:rPr>
      </w:pPr>
    </w:p>
    <w:p>
      <w:pPr>
        <w:ind w:left="4" w:right="180" w:firstLine="436"/>
        <w:spacing w:after="0" w:line="277" w:lineRule="auto"/>
        <w:tabs>
          <w:tab w:leader="none" w:pos="709" w:val="left"/>
        </w:tabs>
        <w:numPr>
          <w:ilvl w:val="0"/>
          <w:numId w:val="383"/>
        </w:numPr>
        <w:rPr>
          <w:rFonts w:ascii="Arial" w:cs="Arial" w:eastAsia="Arial" w:hAnsi="Arial"/>
          <w:sz w:val="18"/>
          <w:szCs w:val="18"/>
          <w:b w:val="1"/>
          <w:bCs w:val="1"/>
          <w:color w:val="auto"/>
        </w:rPr>
      </w:pPr>
      <w:r>
        <w:rPr>
          <w:rFonts w:ascii="Arial" w:cs="Arial" w:eastAsia="Arial" w:hAnsi="Arial"/>
          <w:sz w:val="18"/>
          <w:szCs w:val="18"/>
          <w:color w:val="auto"/>
        </w:rPr>
        <w:t>The Board may suspend or terminate the Plan at any time. No Purchase Rights may be granted under the Plan while the Plan is suspended or after it is terminated.</w:t>
      </w:r>
    </w:p>
    <w:p>
      <w:pPr>
        <w:spacing w:after="0" w:line="170" w:lineRule="exact"/>
        <w:rPr>
          <w:rFonts w:ascii="Arial" w:cs="Arial" w:eastAsia="Arial" w:hAnsi="Arial"/>
          <w:sz w:val="18"/>
          <w:szCs w:val="18"/>
          <w:b w:val="1"/>
          <w:bCs w:val="1"/>
          <w:color w:val="auto"/>
        </w:rPr>
      </w:pPr>
    </w:p>
    <w:p>
      <w:pPr>
        <w:ind w:left="4" w:firstLine="436"/>
        <w:spacing w:after="0" w:line="286" w:lineRule="auto"/>
        <w:tabs>
          <w:tab w:leader="none" w:pos="689" w:val="left"/>
        </w:tabs>
        <w:numPr>
          <w:ilvl w:val="0"/>
          <w:numId w:val="383"/>
        </w:numPr>
        <w:rPr>
          <w:rFonts w:ascii="Arial" w:cs="Arial" w:eastAsia="Arial" w:hAnsi="Arial"/>
          <w:sz w:val="16"/>
          <w:szCs w:val="16"/>
          <w:b w:val="1"/>
          <w:bCs w:val="1"/>
          <w:color w:val="auto"/>
        </w:rPr>
      </w:pPr>
      <w:r>
        <w:rPr>
          <w:rFonts w:ascii="Arial" w:cs="Arial" w:eastAsia="Arial" w:hAnsi="Arial"/>
          <w:sz w:val="16"/>
          <w:szCs w:val="16"/>
          <w:color w:val="auto"/>
        </w:rPr>
        <w:t>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facilitate compliance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favorable tax, listing, or regulatory treatment. To be clear, the Board may amend outstanding Purchase Rights without a Participant’s consent if such amendment is necessary to ensure that the Purchase Right and/or the Plan complies with the requirements of Section 423 of the Code with respect to the 423 Component or with respect to other Applicable Laws. Notwithstanding anything in the Plan or any Offering Document to the contrary, the Board will be entitled to: (i) establish the exchange ratio applicable to amounts withheld in a 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 that amounts applied toward the purchase of Common Stock for each Participant properly correspond with amounts withheld from the Participant’s Contributions; (iv) amend any outstanding Purchase Rights or clarify any ambiguities regarding the terms of any Offering to enable the Purchase Rights to qualify under and/or comply with Section 423 of the Code with respect to the 423</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0" w:right="459" w:bottom="1440" w:gutter="0" w:footer="0" w:header="0"/>
        </w:sectPr>
      </w:pPr>
    </w:p>
    <w:bookmarkStart w:id="442" w:name="page443"/>
    <w:bookmarkEnd w:id="442"/>
    <w:p>
      <w:pPr>
        <w:jc w:val="both"/>
        <w:ind w:left="4"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Component; and (v) establish other limitations or procedures as the Board determines in its sole discretion advisable that are consistent with the Plan. The actions of the Board pursuant to this paragraph will not be considered to alter or impair any Purchase Rights granted under an Offering as they are part of the initial terms of each Offering and the Purchase Rights granted under each Offering.</w:t>
      </w:r>
    </w:p>
    <w:p>
      <w:pPr>
        <w:spacing w:after="0" w:line="328" w:lineRule="exact"/>
        <w:rPr>
          <w:sz w:val="20"/>
          <w:szCs w:val="20"/>
          <w:color w:val="auto"/>
        </w:rPr>
      </w:pPr>
    </w:p>
    <w:p>
      <w:pPr>
        <w:ind w:left="424" w:hanging="424"/>
        <w:spacing w:after="0"/>
        <w:tabs>
          <w:tab w:leader="none" w:pos="424" w:val="left"/>
        </w:tabs>
        <w:numPr>
          <w:ilvl w:val="0"/>
          <w:numId w:val="384"/>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AX</w:t>
      </w:r>
      <w:r>
        <w:rPr>
          <w:rFonts w:ascii="Arial" w:cs="Arial" w:eastAsia="Arial" w:hAnsi="Arial"/>
          <w:sz w:val="18"/>
          <w:szCs w:val="18"/>
          <w:b w:val="1"/>
          <w:bCs w:val="1"/>
          <w:color w:val="auto"/>
        </w:rPr>
        <w:t xml:space="preserve"> Q</w:t>
      </w:r>
      <w:r>
        <w:rPr>
          <w:rFonts w:ascii="Arial" w:cs="Arial" w:eastAsia="Arial" w:hAnsi="Arial"/>
          <w:sz w:val="14"/>
          <w:szCs w:val="14"/>
          <w:b w:val="1"/>
          <w:bCs w:val="1"/>
          <w:color w:val="auto"/>
        </w:rPr>
        <w:t>UALIFICATION</w:t>
      </w:r>
      <w:r>
        <w:rPr>
          <w:rFonts w:ascii="Arial" w:cs="Arial" w:eastAsia="Arial" w:hAnsi="Arial"/>
          <w:sz w:val="18"/>
          <w:szCs w:val="18"/>
          <w:b w:val="1"/>
          <w:bCs w:val="1"/>
          <w:color w:val="auto"/>
        </w:rPr>
        <w:t>; T</w:t>
      </w:r>
      <w:r>
        <w:rPr>
          <w:rFonts w:ascii="Arial" w:cs="Arial" w:eastAsia="Arial" w:hAnsi="Arial"/>
          <w:sz w:val="14"/>
          <w:szCs w:val="14"/>
          <w:b w:val="1"/>
          <w:bCs w:val="1"/>
          <w:color w:val="auto"/>
        </w:rPr>
        <w:t>AX</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ITHHOLDING</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right="40" w:firstLine="436"/>
        <w:spacing w:after="0" w:line="259" w:lineRule="auto"/>
        <w:tabs>
          <w:tab w:leader="none" w:pos="699" w:val="left"/>
        </w:tabs>
        <w:numPr>
          <w:ilvl w:val="1"/>
          <w:numId w:val="384"/>
        </w:numPr>
        <w:rPr>
          <w:rFonts w:ascii="Arial" w:cs="Arial" w:eastAsia="Arial" w:hAnsi="Arial"/>
          <w:sz w:val="18"/>
          <w:szCs w:val="18"/>
          <w:b w:val="1"/>
          <w:bCs w:val="1"/>
          <w:color w:val="auto"/>
        </w:rPr>
      </w:pPr>
      <w:r>
        <w:rPr>
          <w:rFonts w:ascii="Arial" w:cs="Arial" w:eastAsia="Arial" w:hAnsi="Arial"/>
          <w:sz w:val="18"/>
          <w:szCs w:val="18"/>
          <w:color w:val="auto"/>
        </w:rPr>
        <w:t>Although the Company may endeavor to (i) qualify a Purchase Right for special tax treatment under the laws of the United States or jurisdictions outside of the United States or (ii) avoid adverse tax treatment, the Company makes no representation to that effect and expressly disavows any covenant to maintain special or to avoid unfavorable tax treatment, notwithstanding anything to the contrary in this Plan. The Company will be unconstrained in its corporate activities without regard to the potential negative tax impact on Participants.</w:t>
      </w:r>
    </w:p>
    <w:p>
      <w:pPr>
        <w:spacing w:after="0" w:line="186" w:lineRule="exact"/>
        <w:rPr>
          <w:rFonts w:ascii="Arial" w:cs="Arial" w:eastAsia="Arial" w:hAnsi="Arial"/>
          <w:sz w:val="18"/>
          <w:szCs w:val="18"/>
          <w:b w:val="1"/>
          <w:bCs w:val="1"/>
          <w:color w:val="auto"/>
        </w:rPr>
      </w:pPr>
    </w:p>
    <w:p>
      <w:pPr>
        <w:ind w:left="4" w:firstLine="436"/>
        <w:spacing w:after="0" w:line="293" w:lineRule="auto"/>
        <w:tabs>
          <w:tab w:leader="none" w:pos="709" w:val="left"/>
        </w:tabs>
        <w:numPr>
          <w:ilvl w:val="1"/>
          <w:numId w:val="384"/>
        </w:numPr>
        <w:rPr>
          <w:rFonts w:ascii="Arial" w:cs="Arial" w:eastAsia="Arial" w:hAnsi="Arial"/>
          <w:sz w:val="16"/>
          <w:szCs w:val="16"/>
          <w:b w:val="1"/>
          <w:bCs w:val="1"/>
          <w:color w:val="auto"/>
        </w:rPr>
      </w:pPr>
      <w:r>
        <w:rPr>
          <w:rFonts w:ascii="Arial" w:cs="Arial" w:eastAsia="Arial" w:hAnsi="Arial"/>
          <w:sz w:val="16"/>
          <w:szCs w:val="16"/>
          <w:color w:val="auto"/>
        </w:rPr>
        <w:t>Each Participant will make arrangements, satisfactory to the Company and any applicable Related Corporation, to enable the Company or the Related Corporation to fulfill any withholding obligation for Tax-Related Items. Without limitation to the foregoing, in the Company’s sole discretion and subject to Applicable Law, such withholding obligation may be satisfied in whole or in part by (i) withholding from the Participant’s salary or any other cash payment due to the Participant from the Company or a Related Corporation; (ii) withholding from the proceeds of the sale of shares of Common Stock acquired under the Plan, either through a voluntary sale or a mandatory sale arranged by the Company; or (iii) any other method deemed acceptable by the Board. The Company shall not be required to issue any shares of Common Stock under the Plan until such obligations are satisfied.</w:t>
      </w:r>
    </w:p>
    <w:p>
      <w:pPr>
        <w:spacing w:after="0" w:line="164" w:lineRule="exact"/>
        <w:rPr>
          <w:rFonts w:ascii="Arial" w:cs="Arial" w:eastAsia="Arial" w:hAnsi="Arial"/>
          <w:sz w:val="16"/>
          <w:szCs w:val="16"/>
          <w:b w:val="1"/>
          <w:bCs w:val="1"/>
          <w:color w:val="auto"/>
        </w:rPr>
      </w:pPr>
    </w:p>
    <w:p>
      <w:pPr>
        <w:ind w:left="4" w:firstLine="436"/>
        <w:spacing w:after="0" w:line="269" w:lineRule="auto"/>
        <w:tabs>
          <w:tab w:leader="none" w:pos="689" w:val="left"/>
        </w:tabs>
        <w:numPr>
          <w:ilvl w:val="1"/>
          <w:numId w:val="384"/>
        </w:numPr>
        <w:rPr>
          <w:rFonts w:ascii="Arial" w:cs="Arial" w:eastAsia="Arial" w:hAnsi="Arial"/>
          <w:sz w:val="17"/>
          <w:szCs w:val="17"/>
          <w:b w:val="1"/>
          <w:bCs w:val="1"/>
          <w:color w:val="auto"/>
        </w:rPr>
      </w:pPr>
      <w:r>
        <w:rPr>
          <w:rFonts w:ascii="Arial" w:cs="Arial" w:eastAsia="Arial" w:hAnsi="Arial"/>
          <w:sz w:val="17"/>
          <w:szCs w:val="17"/>
          <w:color w:val="auto"/>
        </w:rPr>
        <w:t>The 423 Component is exempt from the application of Section 409A of the Code, and any ambiguities herein shall be interpreted to so be exempt from Section 409A of the Code. The Non-423 Component is intended to be exempt from the application of Section 409A of the Code under the short-term deferral exception and any ambiguities shall be construed and interpreted in accordance with such intent. In furtherance of the foregoing and notwithstanding any provision in the Plan to the contrary, if the Committee determines that an option granted under the Plan may be subject to Section 409A of the Code or that any provision in the Plan would cause an option under the Plan to be subject to Section 409A, the Committee may amend the terms of the Plan and/or of an outstanding option granted under the Plan, or take such other action the Committee determines is necessary or appropriate, in each case, without the participant’s consent, to exempt any outstanding option or future option that may be granted under the Plan from or to allow any such options to comply with Section 409A of the Code, but only to the extent any such amendments or action by the Committee would not violate Section 409A of the Code. Notwithstanding the foregoing, the Company shall have no liability to a participant or any other party if the option under the Plan that is intended to be exempt from or compliant with Section 409A of the Code is not so exempt or compliant or for any action taken by the Committee with respect thereto.</w:t>
      </w:r>
    </w:p>
    <w:p>
      <w:pPr>
        <w:spacing w:after="0" w:line="326" w:lineRule="exact"/>
        <w:rPr>
          <w:rFonts w:ascii="Arial" w:cs="Arial" w:eastAsia="Arial" w:hAnsi="Arial"/>
          <w:sz w:val="17"/>
          <w:szCs w:val="17"/>
          <w:b w:val="1"/>
          <w:bCs w:val="1"/>
          <w:color w:val="auto"/>
        </w:rPr>
      </w:pPr>
    </w:p>
    <w:p>
      <w:pPr>
        <w:ind w:left="424" w:hanging="424"/>
        <w:spacing w:after="0"/>
        <w:tabs>
          <w:tab w:leader="none" w:pos="424" w:val="left"/>
        </w:tabs>
        <w:numPr>
          <w:ilvl w:val="0"/>
          <w:numId w:val="384"/>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4" w:right="40" w:firstLine="440"/>
        <w:spacing w:after="0" w:line="263" w:lineRule="auto"/>
        <w:rPr>
          <w:sz w:val="20"/>
          <w:szCs w:val="20"/>
          <w:color w:val="auto"/>
        </w:rPr>
      </w:pPr>
      <w:r>
        <w:rPr>
          <w:rFonts w:ascii="Arial" w:cs="Arial" w:eastAsia="Arial" w:hAnsi="Arial"/>
          <w:sz w:val="18"/>
          <w:szCs w:val="18"/>
          <w:color w:val="auto"/>
        </w:rPr>
        <w:t>The Plan will become effective immediately prior to and contingent upon the IPO Date. No Purchase Rights will be exercised unless and until the Plan has been approved by the stockholders of the Company, which approval must be within 12 months before or after the date the Plan is adopted (or if required under Section 12(a) above, materially amended) by the Board.</w:t>
      </w:r>
    </w:p>
    <w:p>
      <w:pPr>
        <w:spacing w:after="0" w:line="328" w:lineRule="exact"/>
        <w:rPr>
          <w:sz w:val="20"/>
          <w:szCs w:val="20"/>
          <w:color w:val="auto"/>
        </w:rPr>
      </w:pPr>
    </w:p>
    <w:p>
      <w:pPr>
        <w:ind w:left="424" w:hanging="424"/>
        <w:spacing w:after="0"/>
        <w:tabs>
          <w:tab w:leader="none" w:pos="424" w:val="left"/>
        </w:tabs>
        <w:numPr>
          <w:ilvl w:val="0"/>
          <w:numId w:val="385"/>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ROVISIONS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5464" w:right="1240" w:hanging="5024"/>
        <w:spacing w:after="0" w:line="449" w:lineRule="auto"/>
        <w:tabs>
          <w:tab w:leader="none" w:pos="696" w:val="left"/>
        </w:tabs>
        <w:numPr>
          <w:ilvl w:val="1"/>
          <w:numId w:val="385"/>
        </w:numPr>
        <w:rPr>
          <w:rFonts w:ascii="Arial" w:cs="Arial" w:eastAsia="Arial" w:hAnsi="Arial"/>
          <w:sz w:val="18"/>
          <w:szCs w:val="18"/>
          <w:b w:val="1"/>
          <w:bCs w:val="1"/>
          <w:color w:val="auto"/>
        </w:rPr>
      </w:pPr>
      <w:r>
        <w:rPr>
          <w:rFonts w:ascii="Arial" w:cs="Arial" w:eastAsia="Arial" w:hAnsi="Arial"/>
          <w:sz w:val="18"/>
          <w:szCs w:val="18"/>
          <w:color w:val="auto"/>
        </w:rPr>
        <w:t>Proceeds from the sale of shares of Common Stock pursuant to Purchase Rights will constitute general funds of the Company. 9</w:t>
      </w:r>
    </w:p>
    <w:p>
      <w:pPr>
        <w:sectPr>
          <w:pgSz w:w="11900" w:h="16838" w:orient="portrait"/>
          <w:cols w:equalWidth="0" w:num="1">
            <w:col w:w="11004"/>
          </w:cols>
          <w:pgMar w:left="436" w:top="274" w:right="459" w:bottom="1440" w:gutter="0" w:footer="0" w:header="0"/>
        </w:sectPr>
      </w:pPr>
    </w:p>
    <w:bookmarkStart w:id="443" w:name="page444"/>
    <w:bookmarkEnd w:id="443"/>
    <w:p>
      <w:pPr>
        <w:ind w:left="4" w:right="140" w:firstLine="436"/>
        <w:spacing w:after="0" w:line="263" w:lineRule="auto"/>
        <w:tabs>
          <w:tab w:leader="none" w:pos="709" w:val="left"/>
        </w:tabs>
        <w:numPr>
          <w:ilvl w:val="0"/>
          <w:numId w:val="38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w:t>
      </w:r>
    </w:p>
    <w:p>
      <w:pPr>
        <w:spacing w:after="0" w:line="183" w:lineRule="exact"/>
        <w:rPr>
          <w:rFonts w:ascii="Arial" w:cs="Arial" w:eastAsia="Arial" w:hAnsi="Arial"/>
          <w:sz w:val="18"/>
          <w:szCs w:val="18"/>
          <w:b w:val="1"/>
          <w:bCs w:val="1"/>
          <w:color w:val="auto"/>
        </w:rPr>
      </w:pPr>
    </w:p>
    <w:p>
      <w:pPr>
        <w:ind w:left="4" w:firstLine="436"/>
        <w:spacing w:after="0" w:line="259" w:lineRule="auto"/>
        <w:tabs>
          <w:tab w:leader="none" w:pos="689" w:val="left"/>
        </w:tabs>
        <w:numPr>
          <w:ilvl w:val="0"/>
          <w:numId w:val="386"/>
        </w:numPr>
        <w:rPr>
          <w:rFonts w:ascii="Arial" w:cs="Arial" w:eastAsia="Arial" w:hAnsi="Arial"/>
          <w:sz w:val="18"/>
          <w:szCs w:val="18"/>
          <w:b w:val="1"/>
          <w:bCs w:val="1"/>
          <w:color w:val="auto"/>
        </w:rPr>
      </w:pPr>
      <w:r>
        <w:rPr>
          <w:rFonts w:ascii="Arial" w:cs="Arial" w:eastAsia="Arial" w:hAnsi="Arial"/>
          <w:sz w:val="18"/>
          <w:szCs w:val="18"/>
          <w:color w:val="auto"/>
        </w:rPr>
        <w:t>The Plan and Offering do not constitute an employment contract. Nothing in the Plan or in the Offering will in any way alter the at will nature of a Participant’s employment or amend a Participant’s employment contract, if applicable, or be deemed to create in any way whatsoever any obligation on the part of any Participant to continue in the employ of the Company or a Related Corporation or an Affiliate, or on the part of the Company, a Related Corporation or an Affiliate to continue the employment of a Participant.</w:t>
      </w:r>
    </w:p>
    <w:p>
      <w:pPr>
        <w:spacing w:after="0" w:line="186" w:lineRule="exact"/>
        <w:rPr>
          <w:rFonts w:ascii="Arial" w:cs="Arial" w:eastAsia="Arial" w:hAnsi="Arial"/>
          <w:sz w:val="18"/>
          <w:szCs w:val="18"/>
          <w:b w:val="1"/>
          <w:bCs w:val="1"/>
          <w:color w:val="auto"/>
        </w:rPr>
      </w:pPr>
    </w:p>
    <w:p>
      <w:pPr>
        <w:ind w:left="704" w:hanging="264"/>
        <w:spacing w:after="0"/>
        <w:tabs>
          <w:tab w:leader="none" w:pos="704" w:val="left"/>
        </w:tabs>
        <w:numPr>
          <w:ilvl w:val="0"/>
          <w:numId w:val="386"/>
        </w:numPr>
        <w:rPr>
          <w:rFonts w:ascii="Arial" w:cs="Arial" w:eastAsia="Arial" w:hAnsi="Arial"/>
          <w:sz w:val="17"/>
          <w:szCs w:val="17"/>
          <w:b w:val="1"/>
          <w:bCs w:val="1"/>
          <w:color w:val="auto"/>
        </w:rPr>
      </w:pPr>
      <w:r>
        <w:rPr>
          <w:rFonts w:ascii="Arial" w:cs="Arial" w:eastAsia="Arial" w:hAnsi="Arial"/>
          <w:sz w:val="17"/>
          <w:szCs w:val="17"/>
          <w:color w:val="auto"/>
        </w:rPr>
        <w:t>The provisions of the Plan will be governed by the laws of the State of Delaware without resort to that state’s conflicts of laws rules.</w:t>
      </w:r>
    </w:p>
    <w:p>
      <w:pPr>
        <w:spacing w:after="0" w:line="236" w:lineRule="exact"/>
        <w:rPr>
          <w:rFonts w:ascii="Arial" w:cs="Arial" w:eastAsia="Arial" w:hAnsi="Arial"/>
          <w:sz w:val="17"/>
          <w:szCs w:val="17"/>
          <w:b w:val="1"/>
          <w:bCs w:val="1"/>
          <w:color w:val="auto"/>
        </w:rPr>
      </w:pPr>
    </w:p>
    <w:p>
      <w:pPr>
        <w:ind w:left="4" w:right="160" w:firstLine="436"/>
        <w:spacing w:after="0" w:line="277" w:lineRule="auto"/>
        <w:tabs>
          <w:tab w:leader="none" w:pos="689" w:val="left"/>
        </w:tabs>
        <w:numPr>
          <w:ilvl w:val="0"/>
          <w:numId w:val="386"/>
        </w:numPr>
        <w:rPr>
          <w:rFonts w:ascii="Arial" w:cs="Arial" w:eastAsia="Arial" w:hAnsi="Arial"/>
          <w:sz w:val="18"/>
          <w:szCs w:val="18"/>
          <w:b w:val="1"/>
          <w:bCs w:val="1"/>
          <w:color w:val="auto"/>
        </w:rPr>
      </w:pPr>
      <w:r>
        <w:rPr>
          <w:rFonts w:ascii="Arial" w:cs="Arial" w:eastAsia="Arial" w:hAnsi="Arial"/>
          <w:sz w:val="18"/>
          <w:szCs w:val="18"/>
          <w:color w:val="auto"/>
        </w:rPr>
        <w:t>If any particular provision of the Plan is found to be invalid or otherwise unenforceable, such provision will not affect the other provisions of the Plan, but the Plan will be construed in all respects as if such invalid provision were omitted.</w:t>
      </w:r>
    </w:p>
    <w:p>
      <w:pPr>
        <w:spacing w:after="0" w:line="170" w:lineRule="exact"/>
        <w:rPr>
          <w:rFonts w:ascii="Arial" w:cs="Arial" w:eastAsia="Arial" w:hAnsi="Arial"/>
          <w:sz w:val="18"/>
          <w:szCs w:val="18"/>
          <w:b w:val="1"/>
          <w:bCs w:val="1"/>
          <w:color w:val="auto"/>
        </w:rPr>
      </w:pPr>
    </w:p>
    <w:p>
      <w:pPr>
        <w:ind w:left="4" w:right="500" w:firstLine="436"/>
        <w:spacing w:after="0" w:line="277" w:lineRule="auto"/>
        <w:tabs>
          <w:tab w:leader="none" w:pos="669" w:val="left"/>
        </w:tabs>
        <w:numPr>
          <w:ilvl w:val="0"/>
          <w:numId w:val="386"/>
        </w:numPr>
        <w:rPr>
          <w:rFonts w:ascii="Arial" w:cs="Arial" w:eastAsia="Arial" w:hAnsi="Arial"/>
          <w:sz w:val="18"/>
          <w:szCs w:val="18"/>
          <w:b w:val="1"/>
          <w:bCs w:val="1"/>
          <w:color w:val="auto"/>
        </w:rPr>
      </w:pPr>
      <w:r>
        <w:rPr>
          <w:rFonts w:ascii="Arial" w:cs="Arial" w:eastAsia="Arial" w:hAnsi="Arial"/>
          <w:sz w:val="18"/>
          <w:szCs w:val="18"/>
          <w:color w:val="auto"/>
        </w:rPr>
        <w:t>If any provision of the Plan does not comply with Applicable Law, such provision shall be construed in such a manner as to comply with Applicable Law.</w:t>
      </w:r>
    </w:p>
    <w:p>
      <w:pPr>
        <w:spacing w:after="0" w:line="315" w:lineRule="exact"/>
        <w:rPr>
          <w:sz w:val="20"/>
          <w:szCs w:val="20"/>
          <w:color w:val="auto"/>
        </w:rPr>
      </w:pPr>
    </w:p>
    <w:p>
      <w:pPr>
        <w:ind w:left="424" w:hanging="424"/>
        <w:spacing w:after="0"/>
        <w:tabs>
          <w:tab w:leader="none" w:pos="424" w:val="left"/>
        </w:tabs>
        <w:numPr>
          <w:ilvl w:val="0"/>
          <w:numId w:val="387"/>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EFINITIONS</w:t>
      </w:r>
      <w:r>
        <w:rPr>
          <w:rFonts w:ascii="Arial" w:cs="Arial" w:eastAsia="Arial" w:hAnsi="Arial"/>
          <w:sz w:val="18"/>
          <w:szCs w:val="18"/>
          <w:b w:val="1"/>
          <w:bCs w:val="1"/>
          <w:color w:val="auto"/>
        </w:rPr>
        <w: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As used in the Plan, the following definitions will apply to the capitalized terms indicated below:</w:t>
      </w:r>
    </w:p>
    <w:p>
      <w:pPr>
        <w:spacing w:after="0" w:line="117" w:lineRule="exact"/>
        <w:rPr>
          <w:sz w:val="20"/>
          <w:szCs w:val="20"/>
          <w:color w:val="auto"/>
        </w:rPr>
      </w:pPr>
    </w:p>
    <w:p>
      <w:pPr>
        <w:ind w:left="4" w:right="340" w:firstLine="436"/>
        <w:spacing w:after="0" w:line="277" w:lineRule="auto"/>
        <w:tabs>
          <w:tab w:leader="none" w:pos="699" w:val="left"/>
        </w:tabs>
        <w:numPr>
          <w:ilvl w:val="0"/>
          <w:numId w:val="38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423 Component</w:t>
      </w:r>
      <w:r>
        <w:rPr>
          <w:rFonts w:ascii="Arial" w:cs="Arial" w:eastAsia="Arial" w:hAnsi="Arial"/>
          <w:sz w:val="18"/>
          <w:szCs w:val="18"/>
          <w:color w:val="auto"/>
        </w:rPr>
        <w:t>” means the part of the Plan, which excludes the Non-423 Component, pursuant to which Purchase Rights that satisfy the requirements for an Employee Stock Purchase Plan may be granted to Eligible Employees.</w:t>
      </w:r>
    </w:p>
    <w:p>
      <w:pPr>
        <w:spacing w:after="0" w:line="170" w:lineRule="exact"/>
        <w:rPr>
          <w:rFonts w:ascii="Arial" w:cs="Arial" w:eastAsia="Arial" w:hAnsi="Arial"/>
          <w:sz w:val="18"/>
          <w:szCs w:val="18"/>
          <w:b w:val="1"/>
          <w:bCs w:val="1"/>
          <w:color w:val="auto"/>
        </w:rPr>
      </w:pPr>
    </w:p>
    <w:p>
      <w:pPr>
        <w:ind w:left="4" w:firstLine="436"/>
        <w:spacing w:after="0" w:line="263" w:lineRule="auto"/>
        <w:tabs>
          <w:tab w:leader="none" w:pos="709" w:val="left"/>
        </w:tabs>
        <w:numPr>
          <w:ilvl w:val="0"/>
          <w:numId w:val="38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other than a Related Corporation, whether now or subsequently established, which is at the time of determination, a “parent” or “subsidiary” of the Company as such terms are defined in Rule 405 promulgated under the Securities Act. The Board may determine the time or times at which “parent” or “subsidiary” status is determined within the foregoing definition.</w:t>
      </w:r>
    </w:p>
    <w:p>
      <w:pPr>
        <w:spacing w:after="0" w:line="183" w:lineRule="exact"/>
        <w:rPr>
          <w:rFonts w:ascii="Arial" w:cs="Arial" w:eastAsia="Arial" w:hAnsi="Arial"/>
          <w:sz w:val="18"/>
          <w:szCs w:val="18"/>
          <w:b w:val="1"/>
          <w:bCs w:val="1"/>
          <w:color w:val="auto"/>
        </w:rPr>
      </w:pPr>
    </w:p>
    <w:p>
      <w:pPr>
        <w:ind w:left="4" w:right="220" w:firstLine="436"/>
        <w:spacing w:after="0" w:line="301" w:lineRule="auto"/>
        <w:tabs>
          <w:tab w:leader="none" w:pos="689" w:val="left"/>
        </w:tabs>
        <w:numPr>
          <w:ilvl w:val="0"/>
          <w:numId w:val="38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Applicable Law</w:t>
      </w:r>
      <w:r>
        <w:rPr>
          <w:rFonts w:ascii="Arial" w:cs="Arial" w:eastAsia="Arial" w:hAnsi="Arial"/>
          <w:sz w:val="16"/>
          <w:szCs w:val="16"/>
          <w:color w:val="auto"/>
        </w:rPr>
        <w:t>” means shall mean the Code and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(or under the authority of the New York Stock Exchange, NASDAQ Stock Market or the Financial Industry Regulatory Authority).</w:t>
      </w:r>
    </w:p>
    <w:p>
      <w:pPr>
        <w:spacing w:after="0" w:line="157" w:lineRule="exact"/>
        <w:rPr>
          <w:rFonts w:ascii="Arial" w:cs="Arial" w:eastAsia="Arial" w:hAnsi="Arial"/>
          <w:sz w:val="16"/>
          <w:szCs w:val="16"/>
          <w:b w:val="1"/>
          <w:bCs w:val="1"/>
          <w:color w:val="auto"/>
        </w:rPr>
      </w:pPr>
    </w:p>
    <w:p>
      <w:pPr>
        <w:ind w:left="704" w:hanging="264"/>
        <w:spacing w:after="0"/>
        <w:tabs>
          <w:tab w:leader="none" w:pos="704" w:val="left"/>
        </w:tabs>
        <w:numPr>
          <w:ilvl w:val="0"/>
          <w:numId w:val="38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b w:val="1"/>
          <w:bCs w:val="1"/>
          <w:color w:val="auto"/>
        </w:rPr>
      </w:pPr>
    </w:p>
    <w:p>
      <w:pPr>
        <w:ind w:left="4" w:right="80" w:firstLine="436"/>
        <w:spacing w:after="0" w:line="293" w:lineRule="auto"/>
        <w:tabs>
          <w:tab w:leader="none" w:pos="689" w:val="left"/>
        </w:tabs>
        <w:numPr>
          <w:ilvl w:val="0"/>
          <w:numId w:val="38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Capitalization Adjustment</w:t>
      </w:r>
      <w:r>
        <w:rPr>
          <w:rFonts w:ascii="Arial" w:cs="Arial" w:eastAsia="Arial" w:hAnsi="Arial"/>
          <w:sz w:val="16"/>
          <w:szCs w:val="16"/>
          <w:color w:val="auto"/>
        </w:rPr>
        <w:t>” means any change that is made in, or other events that occur with respect to, the Common Stock subject to the 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444" w:name="page445"/>
    <w:bookmarkEnd w:id="444"/>
    <w:p>
      <w:pPr>
        <w:ind w:left="660" w:hanging="224"/>
        <w:spacing w:after="0"/>
        <w:tabs>
          <w:tab w:leader="none" w:pos="660" w:val="left"/>
        </w:tabs>
        <w:numPr>
          <w:ilvl w:val="0"/>
          <w:numId w:val="389"/>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U.S. Internal Revenue Code of 1986, as amended, including any applicable regulations and guidance thereunder.</w:t>
      </w:r>
    </w:p>
    <w:p>
      <w:pPr>
        <w:spacing w:after="0" w:line="236" w:lineRule="exact"/>
        <w:rPr>
          <w:rFonts w:ascii="Arial" w:cs="Arial" w:eastAsia="Arial" w:hAnsi="Arial"/>
          <w:sz w:val="17"/>
          <w:szCs w:val="17"/>
          <w:b w:val="1"/>
          <w:bCs w:val="1"/>
          <w:color w:val="auto"/>
        </w:rPr>
      </w:pPr>
    </w:p>
    <w:p>
      <w:pPr>
        <w:ind w:firstLine="436"/>
        <w:spacing w:after="0" w:line="277" w:lineRule="auto"/>
        <w:tabs>
          <w:tab w:leader="none" w:pos="695" w:val="left"/>
        </w:tabs>
        <w:numPr>
          <w:ilvl w:val="0"/>
          <w:numId w:val="38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a committee of one or more members of the Board to whom authority has been delegated by the Board in accordance with Section 2(c).</w:t>
      </w:r>
    </w:p>
    <w:p>
      <w:pPr>
        <w:spacing w:after="0" w:line="170" w:lineRule="exact"/>
        <w:rPr>
          <w:rFonts w:ascii="Arial" w:cs="Arial" w:eastAsia="Arial" w:hAnsi="Arial"/>
          <w:sz w:val="18"/>
          <w:szCs w:val="18"/>
          <w:b w:val="1"/>
          <w:bCs w:val="1"/>
          <w:color w:val="auto"/>
        </w:rPr>
      </w:pPr>
    </w:p>
    <w:p>
      <w:pPr>
        <w:ind w:left="700" w:hanging="264"/>
        <w:spacing w:after="0"/>
        <w:tabs>
          <w:tab w:leader="none" w:pos="700" w:val="left"/>
        </w:tabs>
        <w:numPr>
          <w:ilvl w:val="0"/>
          <w:numId w:val="38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w:t>
      </w:r>
    </w:p>
    <w:p>
      <w:pPr>
        <w:spacing w:after="0" w:line="225" w:lineRule="exact"/>
        <w:rPr>
          <w:rFonts w:ascii="Arial" w:cs="Arial" w:eastAsia="Arial" w:hAnsi="Arial"/>
          <w:sz w:val="18"/>
          <w:szCs w:val="18"/>
          <w:b w:val="1"/>
          <w:bCs w:val="1"/>
          <w:color w:val="auto"/>
        </w:rPr>
      </w:pPr>
    </w:p>
    <w:p>
      <w:pPr>
        <w:ind w:left="660" w:hanging="224"/>
        <w:spacing w:after="0"/>
        <w:tabs>
          <w:tab w:leader="none" w:pos="660" w:val="left"/>
        </w:tabs>
        <w:numPr>
          <w:ilvl w:val="0"/>
          <w:numId w:val="38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Adagio Therapeutics, Inc., a Delaware corporation.</w:t>
      </w:r>
    </w:p>
    <w:p>
      <w:pPr>
        <w:spacing w:after="0" w:line="225" w:lineRule="exact"/>
        <w:rPr>
          <w:rFonts w:ascii="Arial" w:cs="Arial" w:eastAsia="Arial" w:hAnsi="Arial"/>
          <w:sz w:val="18"/>
          <w:szCs w:val="18"/>
          <w:b w:val="1"/>
          <w:bCs w:val="1"/>
          <w:color w:val="auto"/>
        </w:rPr>
      </w:pPr>
    </w:p>
    <w:p>
      <w:pPr>
        <w:ind w:right="140" w:firstLine="436"/>
        <w:spacing w:after="0" w:line="259" w:lineRule="auto"/>
        <w:tabs>
          <w:tab w:leader="none" w:pos="665" w:val="left"/>
        </w:tabs>
        <w:numPr>
          <w:ilvl w:val="0"/>
          <w:numId w:val="38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“Contributions</w:t>
      </w:r>
      <w:r>
        <w:rPr>
          <w:rFonts w:ascii="Arial" w:cs="Arial" w:eastAsia="Arial" w:hAnsi="Arial"/>
          <w:sz w:val="18"/>
          <w:szCs w:val="18"/>
          <w:color w:val="auto"/>
        </w:rPr>
        <w:t>” means the payroll deductions and other additional payments specifically provided for in the Offering that a Participant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contributes to fund the exercise of a Purchase Right. A Participant may make additional payments into his or her account if specifically provided for in the Offering, and then only if the Participant has not already had the maximum permitted amount withheld during the Offering through payroll deductions and, with respect to the 423 Component, to the extent permitted by Section 423.</w:t>
      </w:r>
    </w:p>
    <w:p>
      <w:pPr>
        <w:spacing w:after="0" w:line="186" w:lineRule="exact"/>
        <w:rPr>
          <w:rFonts w:ascii="Arial" w:cs="Arial" w:eastAsia="Arial" w:hAnsi="Arial"/>
          <w:sz w:val="18"/>
          <w:szCs w:val="18"/>
          <w:b w:val="1"/>
          <w:bCs w:val="1"/>
          <w:color w:val="auto"/>
        </w:rPr>
      </w:pPr>
    </w:p>
    <w:p>
      <w:pPr>
        <w:ind w:right="400" w:firstLine="436"/>
        <w:spacing w:after="0" w:line="277" w:lineRule="auto"/>
        <w:tabs>
          <w:tab w:leader="none" w:pos="705" w:val="left"/>
        </w:tabs>
        <w:numPr>
          <w:ilvl w:val="0"/>
          <w:numId w:val="38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consummation, in a single transaction or in a series of related transactions, of any one or more of the following events:</w:t>
      </w:r>
    </w:p>
    <w:p>
      <w:pPr>
        <w:spacing w:after="0" w:line="62" w:lineRule="exact"/>
        <w:rPr>
          <w:rFonts w:ascii="Arial" w:cs="Arial" w:eastAsia="Arial" w:hAnsi="Arial"/>
          <w:sz w:val="18"/>
          <w:szCs w:val="18"/>
          <w:b w:val="1"/>
          <w:bCs w:val="1"/>
          <w:color w:val="auto"/>
        </w:rPr>
      </w:pPr>
    </w:p>
    <w:p>
      <w:pPr>
        <w:ind w:right="220" w:firstLine="987"/>
        <w:spacing w:after="0" w:line="277" w:lineRule="auto"/>
        <w:tabs>
          <w:tab w:leader="none" w:pos="1206" w:val="left"/>
        </w:tabs>
        <w:numPr>
          <w:ilvl w:val="1"/>
          <w:numId w:val="389"/>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all or substantially all, as determined by the Board in its sole discretion, of the consolidated assets of the Company and its subsidiaries;</w:t>
      </w:r>
    </w:p>
    <w:p>
      <w:pPr>
        <w:spacing w:after="0" w:line="170" w:lineRule="exact"/>
        <w:rPr>
          <w:rFonts w:ascii="Arial" w:cs="Arial" w:eastAsia="Arial" w:hAnsi="Arial"/>
          <w:sz w:val="18"/>
          <w:szCs w:val="18"/>
          <w:b w:val="1"/>
          <w:bCs w:val="1"/>
          <w:color w:val="auto"/>
        </w:rPr>
      </w:pPr>
    </w:p>
    <w:p>
      <w:pPr>
        <w:ind w:left="1260" w:hanging="273"/>
        <w:spacing w:after="0"/>
        <w:tabs>
          <w:tab w:leader="none" w:pos="1260" w:val="left"/>
        </w:tabs>
        <w:numPr>
          <w:ilvl w:val="1"/>
          <w:numId w:val="389"/>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more than 50% of the outstanding securities of the Company;</w:t>
      </w:r>
    </w:p>
    <w:p>
      <w:pPr>
        <w:spacing w:after="0" w:line="225" w:lineRule="exact"/>
        <w:rPr>
          <w:rFonts w:ascii="Arial" w:cs="Arial" w:eastAsia="Arial" w:hAnsi="Arial"/>
          <w:sz w:val="18"/>
          <w:szCs w:val="18"/>
          <w:b w:val="1"/>
          <w:bCs w:val="1"/>
          <w:color w:val="auto"/>
        </w:rPr>
      </w:pPr>
    </w:p>
    <w:p>
      <w:pPr>
        <w:ind w:left="1300" w:hanging="313"/>
        <w:spacing w:after="0"/>
        <w:tabs>
          <w:tab w:leader="none" w:pos="1300" w:val="left"/>
        </w:tabs>
        <w:numPr>
          <w:ilvl w:val="1"/>
          <w:numId w:val="389"/>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not the surviving corporation; or</w:t>
      </w:r>
    </w:p>
    <w:p>
      <w:pPr>
        <w:spacing w:after="0" w:line="225" w:lineRule="exact"/>
        <w:rPr>
          <w:rFonts w:ascii="Arial" w:cs="Arial" w:eastAsia="Arial" w:hAnsi="Arial"/>
          <w:sz w:val="18"/>
          <w:szCs w:val="18"/>
          <w:b w:val="1"/>
          <w:bCs w:val="1"/>
          <w:color w:val="auto"/>
        </w:rPr>
      </w:pPr>
    </w:p>
    <w:p>
      <w:pPr>
        <w:ind w:right="240" w:firstLine="987"/>
        <w:spacing w:after="0" w:line="263" w:lineRule="auto"/>
        <w:tabs>
          <w:tab w:leader="none" w:pos="1296" w:val="left"/>
        </w:tabs>
        <w:numPr>
          <w:ilvl w:val="1"/>
          <w:numId w:val="389"/>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83" w:lineRule="exact"/>
        <w:rPr>
          <w:rFonts w:ascii="Arial" w:cs="Arial" w:eastAsia="Arial" w:hAnsi="Arial"/>
          <w:sz w:val="18"/>
          <w:szCs w:val="18"/>
          <w:b w:val="1"/>
          <w:bCs w:val="1"/>
          <w:color w:val="auto"/>
        </w:rPr>
      </w:pPr>
    </w:p>
    <w:p>
      <w:pPr>
        <w:ind w:left="660" w:hanging="224"/>
        <w:spacing w:after="0"/>
        <w:tabs>
          <w:tab w:leader="none" w:pos="660" w:val="left"/>
        </w:tabs>
        <w:numPr>
          <w:ilvl w:val="0"/>
          <w:numId w:val="38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Designated 423 Company</w:t>
      </w:r>
      <w:r>
        <w:rPr>
          <w:rFonts w:ascii="Arial" w:cs="Arial" w:eastAsia="Arial" w:hAnsi="Arial"/>
          <w:sz w:val="18"/>
          <w:szCs w:val="18"/>
          <w:color w:val="auto"/>
        </w:rPr>
        <w:t>” means any Related Corporation selected by the Board as participating in the 423 Component.</w:t>
      </w:r>
    </w:p>
    <w:p>
      <w:pPr>
        <w:spacing w:after="0" w:line="225" w:lineRule="exact"/>
        <w:rPr>
          <w:rFonts w:ascii="Arial" w:cs="Arial" w:eastAsia="Arial" w:hAnsi="Arial"/>
          <w:sz w:val="18"/>
          <w:szCs w:val="18"/>
          <w:b w:val="1"/>
          <w:bCs w:val="1"/>
          <w:color w:val="auto"/>
        </w:rPr>
      </w:pPr>
    </w:p>
    <w:p>
      <w:pPr>
        <w:ind w:right="20" w:firstLine="436"/>
        <w:spacing w:after="0" w:line="308" w:lineRule="auto"/>
        <w:tabs>
          <w:tab w:leader="none" w:pos="755" w:val="left"/>
        </w:tabs>
        <w:numPr>
          <w:ilvl w:val="0"/>
          <w:numId w:val="38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Designated Company</w:t>
      </w:r>
      <w:r>
        <w:rPr>
          <w:rFonts w:ascii="Arial" w:cs="Arial" w:eastAsia="Arial" w:hAnsi="Arial"/>
          <w:sz w:val="17"/>
          <w:szCs w:val="17"/>
          <w:color w:val="auto"/>
        </w:rPr>
        <w:t>” means any Designated Non-423 Corporation or Designated 423 Company, provided, however, that at any given time, a Related Corporation participating in the 423 Component shall not be a Related Corporation participating in the Non-423 Component.</w:t>
      </w:r>
    </w:p>
    <w:p>
      <w:pPr>
        <w:spacing w:after="0" w:line="146" w:lineRule="exact"/>
        <w:rPr>
          <w:rFonts w:ascii="Arial" w:cs="Arial" w:eastAsia="Arial" w:hAnsi="Arial"/>
          <w:sz w:val="17"/>
          <w:szCs w:val="17"/>
          <w:b w:val="1"/>
          <w:bCs w:val="1"/>
          <w:color w:val="auto"/>
        </w:rPr>
      </w:pPr>
    </w:p>
    <w:p>
      <w:pPr>
        <w:ind w:right="820" w:firstLine="436"/>
        <w:spacing w:after="0" w:line="277" w:lineRule="auto"/>
        <w:tabs>
          <w:tab w:leader="none" w:pos="705" w:val="left"/>
        </w:tabs>
        <w:numPr>
          <w:ilvl w:val="0"/>
          <w:numId w:val="38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Designated Non-423 Company</w:t>
      </w:r>
      <w:r>
        <w:rPr>
          <w:rFonts w:ascii="Arial" w:cs="Arial" w:eastAsia="Arial" w:hAnsi="Arial"/>
          <w:sz w:val="18"/>
          <w:szCs w:val="18"/>
          <w:color w:val="auto"/>
        </w:rPr>
        <w:t>” means any Related Corporation or Affiliate selected by the Board as participating in the Non-423 Component.</w:t>
      </w:r>
    </w:p>
    <w:p>
      <w:pPr>
        <w:spacing w:after="0" w:line="170" w:lineRule="exact"/>
        <w:rPr>
          <w:rFonts w:ascii="Arial" w:cs="Arial" w:eastAsia="Arial" w:hAnsi="Arial"/>
          <w:sz w:val="18"/>
          <w:szCs w:val="18"/>
          <w:b w:val="1"/>
          <w:bCs w:val="1"/>
          <w:color w:val="auto"/>
        </w:rPr>
      </w:pPr>
    </w:p>
    <w:p>
      <w:pPr>
        <w:ind w:left="700" w:hanging="264"/>
        <w:spacing w:after="0"/>
        <w:tabs>
          <w:tab w:leader="none" w:pos="700" w:val="left"/>
        </w:tabs>
        <w:numPr>
          <w:ilvl w:val="0"/>
          <w:numId w:val="38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445" w:name="page446"/>
    <w:bookmarkEnd w:id="445"/>
    <w:p>
      <w:pPr>
        <w:ind w:left="-20" w:right="300" w:firstLine="436"/>
        <w:spacing w:after="0" w:line="342" w:lineRule="auto"/>
        <w:tabs>
          <w:tab w:leader="none" w:pos="685" w:val="left"/>
        </w:tabs>
        <w:numPr>
          <w:ilvl w:val="0"/>
          <w:numId w:val="390"/>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i w:val="1"/>
          <w:iCs w:val="1"/>
          <w:color w:val="auto"/>
        </w:rPr>
        <w:t>Eligible Employee</w:t>
      </w:r>
      <w:r>
        <w:rPr>
          <w:rFonts w:ascii="Arial" w:cs="Arial" w:eastAsia="Arial" w:hAnsi="Arial"/>
          <w:sz w:val="16"/>
          <w:szCs w:val="16"/>
          <w:color w:val="auto"/>
        </w:rPr>
        <w:t>” means an Employee who meets the requirements set forth in the document(s) governing the Offering for eligibility to participate in the Offering, provided that such Employee also meets the requirements for eligibility to participate set forth in the Plan.</w:t>
      </w:r>
    </w:p>
    <w:p>
      <w:pPr>
        <w:spacing w:after="0" w:line="123" w:lineRule="exact"/>
        <w:rPr>
          <w:rFonts w:ascii="Arial" w:cs="Arial" w:eastAsia="Arial" w:hAnsi="Arial"/>
          <w:sz w:val="16"/>
          <w:szCs w:val="16"/>
          <w:b w:val="1"/>
          <w:bCs w:val="1"/>
          <w:color w:val="auto"/>
        </w:rPr>
      </w:pPr>
    </w:p>
    <w:p>
      <w:pPr>
        <w:ind w:left="-20" w:right="80" w:firstLine="436"/>
        <w:spacing w:after="0" w:line="263" w:lineRule="auto"/>
        <w:tabs>
          <w:tab w:leader="none" w:pos="685" w:val="left"/>
        </w:tabs>
        <w:numPr>
          <w:ilvl w:val="0"/>
          <w:numId w:val="39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an Officer or Director, who is “employed” for purposes of Section 423(b)(4) of the Code by the Company or a Related Corporation or solely with respect to the Non-423 Component, an Affiliate. However, service solely as a Director, or payment of a fee for such services, will not cause a Director to be considered an “Employee” for purposes of the Plan.</w:t>
      </w:r>
    </w:p>
    <w:p>
      <w:pPr>
        <w:spacing w:after="0" w:line="183" w:lineRule="exact"/>
        <w:rPr>
          <w:rFonts w:ascii="Arial" w:cs="Arial" w:eastAsia="Arial" w:hAnsi="Arial"/>
          <w:sz w:val="18"/>
          <w:szCs w:val="18"/>
          <w:b w:val="1"/>
          <w:bCs w:val="1"/>
          <w:color w:val="auto"/>
        </w:rPr>
      </w:pPr>
    </w:p>
    <w:p>
      <w:pPr>
        <w:ind w:left="-20" w:right="100" w:firstLine="436"/>
        <w:spacing w:after="0" w:line="277" w:lineRule="auto"/>
        <w:tabs>
          <w:tab w:leader="none" w:pos="665" w:val="left"/>
        </w:tabs>
        <w:numPr>
          <w:ilvl w:val="0"/>
          <w:numId w:val="39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 Stock Purchase Plan</w:t>
      </w:r>
      <w:r>
        <w:rPr>
          <w:rFonts w:ascii="Arial" w:cs="Arial" w:eastAsia="Arial" w:hAnsi="Arial"/>
          <w:sz w:val="18"/>
          <w:szCs w:val="18"/>
          <w:color w:val="auto"/>
        </w:rPr>
        <w:t>” means a plan that grants Purchase Rights intended to be options issued under an “employee stock purchase plan,” as that term is defined in Section 423(b) of the Code.</w:t>
      </w:r>
    </w:p>
    <w:p>
      <w:pPr>
        <w:spacing w:after="0" w:line="170" w:lineRule="exact"/>
        <w:rPr>
          <w:rFonts w:ascii="Arial" w:cs="Arial" w:eastAsia="Arial" w:hAnsi="Arial"/>
          <w:sz w:val="18"/>
          <w:szCs w:val="18"/>
          <w:b w:val="1"/>
          <w:bCs w:val="1"/>
          <w:color w:val="auto"/>
        </w:rPr>
      </w:pPr>
    </w:p>
    <w:p>
      <w:pPr>
        <w:ind w:left="660" w:hanging="244"/>
        <w:spacing w:after="0"/>
        <w:tabs>
          <w:tab w:leader="none" w:pos="660" w:val="left"/>
        </w:tabs>
        <w:numPr>
          <w:ilvl w:val="0"/>
          <w:numId w:val="390"/>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U.S. Securities Exchange Act of 1934, as amended and the rules and regulations promulgated thereunder.</w:t>
      </w:r>
    </w:p>
    <w:p>
      <w:pPr>
        <w:spacing w:after="0" w:line="236" w:lineRule="exact"/>
        <w:rPr>
          <w:rFonts w:ascii="Arial" w:cs="Arial" w:eastAsia="Arial" w:hAnsi="Arial"/>
          <w:sz w:val="17"/>
          <w:szCs w:val="17"/>
          <w:b w:val="1"/>
          <w:bCs w:val="1"/>
          <w:color w:val="auto"/>
        </w:rPr>
      </w:pPr>
    </w:p>
    <w:p>
      <w:pPr>
        <w:ind w:left="640" w:hanging="224"/>
        <w:spacing w:after="0"/>
        <w:tabs>
          <w:tab w:leader="none" w:pos="640" w:val="left"/>
        </w:tabs>
        <w:numPr>
          <w:ilvl w:val="0"/>
          <w:numId w:val="39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the Common Stock determined as follows:</w:t>
      </w:r>
    </w:p>
    <w:p>
      <w:pPr>
        <w:spacing w:after="0" w:line="117" w:lineRule="exact"/>
        <w:rPr>
          <w:rFonts w:ascii="Arial" w:cs="Arial" w:eastAsia="Arial" w:hAnsi="Arial"/>
          <w:sz w:val="18"/>
          <w:szCs w:val="18"/>
          <w:b w:val="1"/>
          <w:bCs w:val="1"/>
          <w:color w:val="auto"/>
        </w:rPr>
      </w:pPr>
    </w:p>
    <w:p>
      <w:pPr>
        <w:ind w:left="-20" w:right="100" w:firstLine="987"/>
        <w:spacing w:after="0" w:line="296" w:lineRule="auto"/>
        <w:tabs>
          <w:tab w:leader="none" w:pos="1186" w:val="left"/>
        </w:tabs>
        <w:numPr>
          <w:ilvl w:val="1"/>
          <w:numId w:val="390"/>
        </w:numPr>
        <w:rPr>
          <w:rFonts w:ascii="Arial" w:cs="Arial" w:eastAsia="Arial" w:hAnsi="Arial"/>
          <w:sz w:val="16"/>
          <w:szCs w:val="16"/>
          <w:b w:val="1"/>
          <w:bCs w:val="1"/>
          <w:color w:val="auto"/>
        </w:rPr>
      </w:pPr>
      <w:r>
        <w:rPr>
          <w:rFonts w:ascii="Arial" w:cs="Arial" w:eastAsia="Arial" w:hAnsi="Arial"/>
          <w:sz w:val="16"/>
          <w:szCs w:val="16"/>
          <w:color w:val="auto"/>
        </w:rPr>
        <w:t xml:space="preserve">If the Common Stock is listed on any established stock exchange or traded on any established market, the Fair Market Value of a share of Common Stock will be, unless otherwise determined by the Board, the </w:t>
      </w:r>
      <w:r>
        <w:rPr>
          <w:rFonts w:ascii="Arial" w:cs="Arial" w:eastAsia="Arial" w:hAnsi="Arial"/>
          <w:sz w:val="16"/>
          <w:szCs w:val="16"/>
          <w:b w:val="1"/>
          <w:bCs w:val="1"/>
          <w:u w:val="single" w:color="auto"/>
          <w:color w:val="auto"/>
        </w:rPr>
        <w:t>closing sales price</w:t>
      </w:r>
      <w:r>
        <w:rPr>
          <w:rFonts w:ascii="Arial" w:cs="Arial" w:eastAsia="Arial" w:hAnsi="Arial"/>
          <w:sz w:val="16"/>
          <w:szCs w:val="16"/>
          <w:color w:val="auto"/>
        </w:rPr>
        <w:t xml:space="preserve"> for such stock as quoted on such exchange or market (or the exchange or market with the greatest volume of trading in the Common Stock) </w:t>
      </w:r>
      <w:r>
        <w:rPr>
          <w:rFonts w:ascii="Arial" w:cs="Arial" w:eastAsia="Arial" w:hAnsi="Arial"/>
          <w:sz w:val="16"/>
          <w:szCs w:val="16"/>
          <w:b w:val="1"/>
          <w:bCs w:val="1"/>
          <w:u w:val="single" w:color="auto"/>
          <w:color w:val="auto"/>
        </w:rPr>
        <w:t>on the date of determination</w:t>
      </w:r>
      <w:r>
        <w:rPr>
          <w:rFonts w:ascii="Arial" w:cs="Arial" w:eastAsia="Arial" w:hAnsi="Arial"/>
          <w:sz w:val="16"/>
          <w:szCs w:val="16"/>
          <w:color w:val="auto"/>
        </w:rPr>
        <w:t>, as reported in such source as the Board deems reliable. Unless otherwise provided by the Board, if there is no closing sales price for the Common Stock on the date of determination, then the Fair Market Value will be the closing sales price on the last preceding date for which such quotation exists.</w:t>
      </w:r>
    </w:p>
    <w:p>
      <w:pPr>
        <w:spacing w:after="0" w:line="161" w:lineRule="exact"/>
        <w:rPr>
          <w:rFonts w:ascii="Arial" w:cs="Arial" w:eastAsia="Arial" w:hAnsi="Arial"/>
          <w:sz w:val="16"/>
          <w:szCs w:val="16"/>
          <w:b w:val="1"/>
          <w:bCs w:val="1"/>
          <w:color w:val="auto"/>
        </w:rPr>
      </w:pPr>
    </w:p>
    <w:p>
      <w:pPr>
        <w:ind w:left="-20" w:right="540" w:firstLine="987"/>
        <w:spacing w:after="0" w:line="263" w:lineRule="auto"/>
        <w:tabs>
          <w:tab w:leader="none" w:pos="1236" w:val="left"/>
        </w:tabs>
        <w:numPr>
          <w:ilvl w:val="1"/>
          <w:numId w:val="390"/>
        </w:numPr>
        <w:rPr>
          <w:rFonts w:ascii="Arial" w:cs="Arial" w:eastAsia="Arial" w:hAnsi="Arial"/>
          <w:sz w:val="18"/>
          <w:szCs w:val="18"/>
          <w:b w:val="1"/>
          <w:bCs w:val="1"/>
          <w:color w:val="auto"/>
        </w:rPr>
      </w:pPr>
      <w:r>
        <w:rPr>
          <w:rFonts w:ascii="Arial" w:cs="Arial" w:eastAsia="Arial" w:hAnsi="Arial"/>
          <w:sz w:val="18"/>
          <w:szCs w:val="18"/>
          <w:color w:val="auto"/>
        </w:rPr>
        <w:t>In the absence of such markets for the Common Stock, the Fair Market Value will be determined by the Board in good faith in compliance with Applicable Laws and regulations and, to the extent applicable as determined in the sole discretion of the Board, in a manner that complies with Sections 409A of the Code</w:t>
      </w:r>
    </w:p>
    <w:p>
      <w:pPr>
        <w:spacing w:after="0" w:line="183" w:lineRule="exact"/>
        <w:rPr>
          <w:rFonts w:ascii="Arial" w:cs="Arial" w:eastAsia="Arial" w:hAnsi="Arial"/>
          <w:sz w:val="18"/>
          <w:szCs w:val="18"/>
          <w:b w:val="1"/>
          <w:bCs w:val="1"/>
          <w:color w:val="auto"/>
        </w:rPr>
      </w:pPr>
    </w:p>
    <w:p>
      <w:pPr>
        <w:ind w:left="-20" w:right="140" w:firstLine="987"/>
        <w:spacing w:after="0" w:line="263" w:lineRule="auto"/>
        <w:tabs>
          <w:tab w:leader="none" w:pos="1286" w:val="left"/>
        </w:tabs>
        <w:numPr>
          <w:ilvl w:val="1"/>
          <w:numId w:val="390"/>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for any Offering that commences on the IPO Date, the Fair Market Value of the shares of Common Stock on the Offering Date will be the price per share at which shares are first sold to the public in the Company’s initial public offering as specified in the final prospectus for that initial public offering.</w:t>
      </w:r>
    </w:p>
    <w:p>
      <w:pPr>
        <w:spacing w:after="0" w:line="183" w:lineRule="exact"/>
        <w:rPr>
          <w:rFonts w:ascii="Arial" w:cs="Arial" w:eastAsia="Arial" w:hAnsi="Arial"/>
          <w:sz w:val="18"/>
          <w:szCs w:val="18"/>
          <w:b w:val="1"/>
          <w:bCs w:val="1"/>
          <w:color w:val="auto"/>
        </w:rPr>
      </w:pPr>
    </w:p>
    <w:p>
      <w:pPr>
        <w:ind w:left="-20" w:right="160" w:firstLine="436"/>
        <w:spacing w:after="0" w:line="255" w:lineRule="auto"/>
        <w:tabs>
          <w:tab w:leader="none" w:pos="685" w:val="left"/>
        </w:tabs>
        <w:numPr>
          <w:ilvl w:val="0"/>
          <w:numId w:val="39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Body</w:t>
      </w:r>
      <w:r>
        <w:rPr>
          <w:rFonts w:ascii="Arial" w:cs="Arial" w:eastAsia="Arial" w:hAnsi="Arial"/>
          <w:sz w:val="18"/>
          <w:szCs w:val="18"/>
          <w:color w:val="auto"/>
        </w:rPr>
        <w:t>”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New York Stock Exchange, the NASDAQ Stock Market and the Financial Industry Regulatory Authority).</w:t>
      </w:r>
    </w:p>
    <w:p>
      <w:pPr>
        <w:spacing w:after="0" w:line="192" w:lineRule="exact"/>
        <w:rPr>
          <w:rFonts w:ascii="Arial" w:cs="Arial" w:eastAsia="Arial" w:hAnsi="Arial"/>
          <w:sz w:val="18"/>
          <w:szCs w:val="18"/>
          <w:b w:val="1"/>
          <w:bCs w:val="1"/>
          <w:color w:val="auto"/>
        </w:rPr>
      </w:pPr>
    </w:p>
    <w:p>
      <w:pPr>
        <w:ind w:left="-20" w:firstLine="436"/>
        <w:spacing w:after="0" w:line="277" w:lineRule="auto"/>
        <w:tabs>
          <w:tab w:leader="none" w:pos="675" w:val="left"/>
        </w:tabs>
        <w:numPr>
          <w:ilvl w:val="0"/>
          <w:numId w:val="39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 Date</w:t>
      </w:r>
      <w:r>
        <w:rPr>
          <w:rFonts w:ascii="Arial" w:cs="Arial" w:eastAsia="Arial" w:hAnsi="Arial"/>
          <w:sz w:val="18"/>
          <w:szCs w:val="18"/>
          <w:color w:val="auto"/>
        </w:rPr>
        <w:t>” means the date of the underwriting agreement between the Company and the underwriter(s) managing the initial public offering of the Common Stock, pursuant to which the Common Stock is priced for the initial public offering.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60" w:top="274" w:right="459" w:bottom="1440" w:gutter="0" w:footer="0" w:header="0"/>
        </w:sectPr>
      </w:pPr>
    </w:p>
    <w:bookmarkStart w:id="446" w:name="page447"/>
    <w:bookmarkEnd w:id="446"/>
    <w:p>
      <w:pPr>
        <w:ind w:right="560" w:firstLine="436"/>
        <w:spacing w:after="0" w:line="308" w:lineRule="auto"/>
        <w:tabs>
          <w:tab w:leader="none" w:pos="735" w:val="left"/>
        </w:tabs>
        <w:numPr>
          <w:ilvl w:val="0"/>
          <w:numId w:val="391"/>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“Non-423 Component” means the part of the Plan, which excludes the 423 Component, pursuant to which Purchase Rights that are not intended to satisfy the requirements for an Employee Stock Purchase Plan may be granted to Eligible Employees.</w:t>
      </w:r>
    </w:p>
    <w:p>
      <w:pPr>
        <w:spacing w:after="0" w:line="146" w:lineRule="exact"/>
        <w:rPr>
          <w:rFonts w:ascii="Arial" w:cs="Arial" w:eastAsia="Arial" w:hAnsi="Arial"/>
          <w:sz w:val="17"/>
          <w:szCs w:val="17"/>
          <w:b w:val="1"/>
          <w:bCs w:val="1"/>
          <w:color w:val="auto"/>
        </w:rPr>
      </w:pPr>
    </w:p>
    <w:p>
      <w:pPr>
        <w:jc w:val="both"/>
        <w:ind w:right="160" w:firstLine="436"/>
        <w:spacing w:after="0" w:line="263" w:lineRule="auto"/>
        <w:tabs>
          <w:tab w:leader="none" w:pos="695" w:val="left"/>
        </w:tabs>
        <w:numPr>
          <w:ilvl w:val="0"/>
          <w:numId w:val="39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means the grant to Eligible Employees of Purchase Rights, with the exercise of those Purchase Rights automatically occurring at the end of one or more Purchase Periods. The terms and conditions of an Offering will generally be set forth in the “</w:t>
      </w:r>
      <w:r>
        <w:rPr>
          <w:rFonts w:ascii="Arial" w:cs="Arial" w:eastAsia="Arial" w:hAnsi="Arial"/>
          <w:sz w:val="18"/>
          <w:szCs w:val="18"/>
          <w:b w:val="1"/>
          <w:bCs w:val="1"/>
          <w:i w:val="1"/>
          <w:iCs w:val="1"/>
          <w:color w:val="auto"/>
        </w:rPr>
        <w:t>Offering Document</w:t>
      </w:r>
      <w:r>
        <w:rPr>
          <w:rFonts w:ascii="Arial" w:cs="Arial" w:eastAsia="Arial" w:hAnsi="Arial"/>
          <w:sz w:val="18"/>
          <w:szCs w:val="18"/>
          <w:color w:val="auto"/>
        </w:rPr>
        <w:t>” approved by the Board for that Offering.</w:t>
      </w:r>
    </w:p>
    <w:p>
      <w:pPr>
        <w:spacing w:after="0" w:line="183" w:lineRule="exact"/>
        <w:rPr>
          <w:rFonts w:ascii="Arial" w:cs="Arial" w:eastAsia="Arial" w:hAnsi="Arial"/>
          <w:sz w:val="18"/>
          <w:szCs w:val="18"/>
          <w:b w:val="1"/>
          <w:bCs w:val="1"/>
          <w:color w:val="auto"/>
        </w:rPr>
      </w:pPr>
    </w:p>
    <w:p>
      <w:pPr>
        <w:ind w:left="700" w:hanging="264"/>
        <w:spacing w:after="0"/>
        <w:tabs>
          <w:tab w:leader="none" w:pos="700" w:val="left"/>
        </w:tabs>
        <w:numPr>
          <w:ilvl w:val="0"/>
          <w:numId w:val="39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 Date</w:t>
      </w:r>
      <w:r>
        <w:rPr>
          <w:rFonts w:ascii="Arial" w:cs="Arial" w:eastAsia="Arial" w:hAnsi="Arial"/>
          <w:sz w:val="18"/>
          <w:szCs w:val="18"/>
          <w:color w:val="auto"/>
        </w:rPr>
        <w:t>” means a date selected by the Board for an Offering to commence.</w:t>
      </w:r>
    </w:p>
    <w:p>
      <w:pPr>
        <w:spacing w:after="0" w:line="225" w:lineRule="exact"/>
        <w:rPr>
          <w:rFonts w:ascii="Arial" w:cs="Arial" w:eastAsia="Arial" w:hAnsi="Arial"/>
          <w:sz w:val="18"/>
          <w:szCs w:val="18"/>
          <w:b w:val="1"/>
          <w:bCs w:val="1"/>
          <w:color w:val="auto"/>
        </w:rPr>
      </w:pPr>
    </w:p>
    <w:p>
      <w:pPr>
        <w:ind w:left="680" w:hanging="244"/>
        <w:spacing w:after="0"/>
        <w:tabs>
          <w:tab w:leader="none" w:pos="680" w:val="left"/>
        </w:tabs>
        <w:numPr>
          <w:ilvl w:val="0"/>
          <w:numId w:val="39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Officer</w:t>
      </w:r>
      <w:r>
        <w:rPr>
          <w:rFonts w:ascii="Arial" w:cs="Arial" w:eastAsia="Arial" w:hAnsi="Arial"/>
          <w:sz w:val="16"/>
          <w:szCs w:val="16"/>
          <w:color w:val="auto"/>
        </w:rPr>
        <w:t>” means a person who is an officer of the Company or a Related Corporation within the meaning of Section 16 of the Exchange Act.</w:t>
      </w:r>
    </w:p>
    <w:p>
      <w:pPr>
        <w:spacing w:after="0" w:line="248" w:lineRule="exact"/>
        <w:rPr>
          <w:sz w:val="20"/>
          <w:szCs w:val="20"/>
          <w:color w:val="auto"/>
        </w:rPr>
      </w:pPr>
    </w:p>
    <w:p>
      <w:pPr>
        <w:ind w:left="780" w:hanging="344"/>
        <w:spacing w:after="0"/>
        <w:tabs>
          <w:tab w:leader="none" w:pos="780" w:val="left"/>
        </w:tabs>
        <w:numPr>
          <w:ilvl w:val="0"/>
          <w:numId w:val="39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 Eligible Employee who holds an outstanding Purchase Right.</w:t>
      </w:r>
    </w:p>
    <w:p>
      <w:pPr>
        <w:spacing w:after="0" w:line="225" w:lineRule="exact"/>
        <w:rPr>
          <w:rFonts w:ascii="Arial" w:cs="Arial" w:eastAsia="Arial" w:hAnsi="Arial"/>
          <w:sz w:val="18"/>
          <w:szCs w:val="18"/>
          <w:b w:val="1"/>
          <w:bCs w:val="1"/>
          <w:color w:val="auto"/>
        </w:rPr>
      </w:pPr>
    </w:p>
    <w:p>
      <w:pPr>
        <w:ind w:right="320" w:firstLine="436"/>
        <w:spacing w:after="0" w:line="277" w:lineRule="auto"/>
        <w:tabs>
          <w:tab w:leader="none" w:pos="805" w:val="left"/>
        </w:tabs>
        <w:numPr>
          <w:ilvl w:val="0"/>
          <w:numId w:val="39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Adagio Therapeutics, Inc. 2021 Employee Stock Purchase Plan, as amended from time to time, including both the 423 Component and the Non-423 Component.</w:t>
      </w:r>
    </w:p>
    <w:p>
      <w:pPr>
        <w:spacing w:after="0" w:line="170" w:lineRule="exact"/>
        <w:rPr>
          <w:rFonts w:ascii="Arial" w:cs="Arial" w:eastAsia="Arial" w:hAnsi="Arial"/>
          <w:sz w:val="18"/>
          <w:szCs w:val="18"/>
          <w:b w:val="1"/>
          <w:bCs w:val="1"/>
          <w:color w:val="auto"/>
        </w:rPr>
      </w:pPr>
    </w:p>
    <w:p>
      <w:pPr>
        <w:ind w:right="440" w:firstLine="436"/>
        <w:spacing w:after="0" w:line="277" w:lineRule="auto"/>
        <w:tabs>
          <w:tab w:leader="none" w:pos="765" w:val="left"/>
        </w:tabs>
        <w:numPr>
          <w:ilvl w:val="0"/>
          <w:numId w:val="39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Date</w:t>
      </w:r>
      <w:r>
        <w:rPr>
          <w:rFonts w:ascii="Arial" w:cs="Arial" w:eastAsia="Arial" w:hAnsi="Arial"/>
          <w:sz w:val="18"/>
          <w:szCs w:val="18"/>
          <w:color w:val="auto"/>
        </w:rPr>
        <w:t>” means one or more dates during an Offering selected by the Board on which Purchase Rights will be exercised and on which purchases of shares of Common Stock will be carried out in accordance with such Offering.</w:t>
      </w:r>
    </w:p>
    <w:p>
      <w:pPr>
        <w:spacing w:after="0" w:line="170" w:lineRule="exact"/>
        <w:rPr>
          <w:rFonts w:ascii="Arial" w:cs="Arial" w:eastAsia="Arial" w:hAnsi="Arial"/>
          <w:sz w:val="18"/>
          <w:szCs w:val="18"/>
          <w:b w:val="1"/>
          <w:bCs w:val="1"/>
          <w:color w:val="auto"/>
        </w:rPr>
      </w:pPr>
    </w:p>
    <w:p>
      <w:pPr>
        <w:ind w:firstLine="436"/>
        <w:spacing w:after="0" w:line="277" w:lineRule="auto"/>
        <w:tabs>
          <w:tab w:leader="none" w:pos="805" w:val="left"/>
        </w:tabs>
        <w:numPr>
          <w:ilvl w:val="0"/>
          <w:numId w:val="39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Period</w:t>
      </w:r>
      <w:r>
        <w:rPr>
          <w:rFonts w:ascii="Arial" w:cs="Arial" w:eastAsia="Arial" w:hAnsi="Arial"/>
          <w:sz w:val="18"/>
          <w:szCs w:val="18"/>
          <w:color w:val="auto"/>
        </w:rPr>
        <w:t>” means a period of time specified within an Offering, generally beginning on the Offering Date or on the first Trading Day following a Purchase Date, and ending on a Purchase Date. An Offering may consist of one or more Purchase Periods.</w:t>
      </w:r>
    </w:p>
    <w:p>
      <w:pPr>
        <w:spacing w:after="0" w:line="170" w:lineRule="exact"/>
        <w:rPr>
          <w:rFonts w:ascii="Arial" w:cs="Arial" w:eastAsia="Arial" w:hAnsi="Arial"/>
          <w:sz w:val="18"/>
          <w:szCs w:val="18"/>
          <w:b w:val="1"/>
          <w:bCs w:val="1"/>
          <w:color w:val="auto"/>
        </w:rPr>
      </w:pPr>
    </w:p>
    <w:p>
      <w:pPr>
        <w:ind w:left="760" w:hanging="324"/>
        <w:spacing w:after="0"/>
        <w:tabs>
          <w:tab w:leader="none" w:pos="760" w:val="left"/>
        </w:tabs>
        <w:numPr>
          <w:ilvl w:val="0"/>
          <w:numId w:val="39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Right</w:t>
      </w:r>
      <w:r>
        <w:rPr>
          <w:rFonts w:ascii="Arial" w:cs="Arial" w:eastAsia="Arial" w:hAnsi="Arial"/>
          <w:sz w:val="18"/>
          <w:szCs w:val="18"/>
          <w:color w:val="auto"/>
        </w:rPr>
        <w:t>” means an option to purchase shares of Common Stock granted pursuant to the Plan.</w:t>
      </w:r>
    </w:p>
    <w:p>
      <w:pPr>
        <w:spacing w:after="0" w:line="225" w:lineRule="exact"/>
        <w:rPr>
          <w:rFonts w:ascii="Arial" w:cs="Arial" w:eastAsia="Arial" w:hAnsi="Arial"/>
          <w:sz w:val="18"/>
          <w:szCs w:val="18"/>
          <w:b w:val="1"/>
          <w:bCs w:val="1"/>
          <w:color w:val="auto"/>
        </w:rPr>
      </w:pPr>
    </w:p>
    <w:p>
      <w:pPr>
        <w:ind w:firstLine="436"/>
        <w:spacing w:after="0" w:line="277" w:lineRule="auto"/>
        <w:tabs>
          <w:tab w:leader="none" w:pos="725" w:val="left"/>
        </w:tabs>
        <w:numPr>
          <w:ilvl w:val="0"/>
          <w:numId w:val="39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Corporation</w:t>
      </w:r>
      <w:r>
        <w:rPr>
          <w:rFonts w:ascii="Arial" w:cs="Arial" w:eastAsia="Arial" w:hAnsi="Arial"/>
          <w:sz w:val="18"/>
          <w:szCs w:val="18"/>
          <w:color w:val="auto"/>
        </w:rPr>
        <w:t>” means any “parent corporation” or “subsidiary corporation” of the Company whether now or subsequently established, as those terms are defined in Sections 424(e) and (f), respectively, of the Code.</w:t>
      </w:r>
    </w:p>
    <w:p>
      <w:pPr>
        <w:spacing w:after="0" w:line="170" w:lineRule="exact"/>
        <w:rPr>
          <w:rFonts w:ascii="Arial" w:cs="Arial" w:eastAsia="Arial" w:hAnsi="Arial"/>
          <w:sz w:val="18"/>
          <w:szCs w:val="18"/>
          <w:b w:val="1"/>
          <w:bCs w:val="1"/>
          <w:color w:val="auto"/>
        </w:rPr>
      </w:pPr>
    </w:p>
    <w:p>
      <w:pPr>
        <w:ind w:left="780" w:hanging="344"/>
        <w:spacing w:after="0"/>
        <w:tabs>
          <w:tab w:leader="none" w:pos="780" w:val="left"/>
        </w:tabs>
        <w:numPr>
          <w:ilvl w:val="0"/>
          <w:numId w:val="39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U.S. Securities Act of 1933, as amended.</w:t>
      </w:r>
    </w:p>
    <w:p>
      <w:pPr>
        <w:spacing w:after="0" w:line="225" w:lineRule="exact"/>
        <w:rPr>
          <w:rFonts w:ascii="Arial" w:cs="Arial" w:eastAsia="Arial" w:hAnsi="Arial"/>
          <w:sz w:val="18"/>
          <w:szCs w:val="18"/>
          <w:b w:val="1"/>
          <w:bCs w:val="1"/>
          <w:color w:val="auto"/>
        </w:rPr>
      </w:pPr>
    </w:p>
    <w:p>
      <w:pPr>
        <w:jc w:val="both"/>
        <w:ind w:right="200" w:firstLine="436"/>
        <w:spacing w:after="0" w:line="286" w:lineRule="auto"/>
        <w:tabs>
          <w:tab w:leader="none" w:pos="805" w:val="left"/>
        </w:tabs>
        <w:numPr>
          <w:ilvl w:val="0"/>
          <w:numId w:val="39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Tax-Related Items</w:t>
      </w:r>
      <w:r>
        <w:rPr>
          <w:rFonts w:ascii="Arial" w:cs="Arial" w:eastAsia="Arial" w:hAnsi="Arial"/>
          <w:sz w:val="17"/>
          <w:szCs w:val="17"/>
          <w:color w:val="auto"/>
        </w:rPr>
        <w:t>” means any income tax, social insurance, payroll tax, fringe benefit tax, payment on account or other tax-related items arising out of or in relation to a Participant’s participation in the Plan, including, but not limited to, the exercise of a Purchase Right and the receipt of shares of Common Stock or the sale or other disposition of shares of Common Stock acquired under the Plan.</w:t>
      </w:r>
    </w:p>
    <w:p>
      <w:pPr>
        <w:spacing w:after="0" w:line="165" w:lineRule="exact"/>
        <w:rPr>
          <w:rFonts w:ascii="Arial" w:cs="Arial" w:eastAsia="Arial" w:hAnsi="Arial"/>
          <w:sz w:val="17"/>
          <w:szCs w:val="17"/>
          <w:b w:val="1"/>
          <w:bCs w:val="1"/>
          <w:color w:val="auto"/>
        </w:rPr>
      </w:pPr>
    </w:p>
    <w:p>
      <w:pPr>
        <w:ind w:right="120" w:firstLine="436"/>
        <w:spacing w:after="0" w:line="263" w:lineRule="auto"/>
        <w:tabs>
          <w:tab w:leader="none" w:pos="705" w:val="left"/>
        </w:tabs>
        <w:numPr>
          <w:ilvl w:val="0"/>
          <w:numId w:val="39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means any day on which the exchange(s) or market(s) on which shares of Common Stock are listed, including but not limited to the New York Stock Exchange, Nasdaq Global Select Market, the Nasdaq Global Market, the Nasdaq Capital Market or any successors thereto, is open for trading.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447" w:name="page448"/>
    <w:bookmarkEnd w:id="447"/>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INDEMNIFICATION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Indemnification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dated as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 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 and is between Adagio Therapeutics, Inc., a Delaware</w:t>
      </w:r>
    </w:p>
    <w:p>
      <w:pPr>
        <w:spacing w:after="0" w:line="46" w:lineRule="exact"/>
        <w:rPr>
          <w:sz w:val="20"/>
          <w:szCs w:val="20"/>
          <w:color w:val="auto"/>
        </w:rPr>
      </w:pPr>
    </w:p>
    <w:p>
      <w:pPr>
        <w:sectPr>
          <w:pgSz w:w="11900" w:h="16838" w:orient="portrait"/>
          <w:cols w:equalWidth="0" w:num="3">
            <w:col w:w="5220" w:space="720"/>
            <w:col w:w="280" w:space="180"/>
            <w:col w:w="462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color w:val="auto"/>
        </w:rPr>
        <w:t>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w:t>
      </w:r>
    </w:p>
    <w:p>
      <w:pPr>
        <w:sectPr>
          <w:pgSz w:w="11900" w:h="16838" w:orient="portrait"/>
          <w:cols w:equalWidth="0" w:num="1">
            <w:col w:w="11020"/>
          </w:cols>
          <w:pgMar w:left="440" w:top="121" w:right="439" w:bottom="1440" w:gutter="0" w:footer="0" w:header="0"/>
          <w:type w:val="continuous"/>
        </w:sectPr>
      </w:pPr>
    </w:p>
    <w:p>
      <w:pPr>
        <w:spacing w:after="0" w:line="200" w:lineRule="exact"/>
        <w:rPr>
          <w:sz w:val="20"/>
          <w:szCs w:val="20"/>
          <w:color w:val="auto"/>
        </w:rPr>
      </w:pPr>
    </w:p>
    <w:p>
      <w:pPr>
        <w:spacing w:after="0" w:line="24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Indemnitee’s service to the Company substantially benefits the Company.</w:t>
      </w:r>
    </w:p>
    <w:p>
      <w:pPr>
        <w:spacing w:after="0" w:line="117" w:lineRule="exact"/>
        <w:rPr>
          <w:sz w:val="20"/>
          <w:szCs w:val="20"/>
          <w:color w:val="auto"/>
        </w:rPr>
      </w:pPr>
    </w:p>
    <w:p>
      <w:pPr>
        <w:ind w:right="280" w:firstLine="440"/>
        <w:spacing w:after="0" w:line="312" w:lineRule="auto"/>
        <w:rPr>
          <w:sz w:val="20"/>
          <w:szCs w:val="20"/>
          <w:color w:val="auto"/>
        </w:rPr>
      </w:pPr>
      <w:r>
        <w:rPr>
          <w:rFonts w:ascii="Arial" w:cs="Arial" w:eastAsia="Arial" w:hAnsi="Arial"/>
          <w:sz w:val="17"/>
          <w:szCs w:val="17"/>
          <w:b w:val="1"/>
          <w:bCs w:val="1"/>
          <w:color w:val="auto"/>
        </w:rPr>
        <w:t xml:space="preserve">B. </w:t>
      </w:r>
      <w:r>
        <w:rPr>
          <w:rFonts w:ascii="Arial" w:cs="Arial" w:eastAsia="Arial" w:hAnsi="Arial"/>
          <w:sz w:val="17"/>
          <w:szCs w:val="17"/>
          <w:color w:val="auto"/>
        </w:rPr>
        <w:t>Individuals are reluctant to serve as directors or officers of corporations or in certain other capacities unless they are provided with adequate</w:t>
      </w:r>
      <w:r>
        <w:rPr>
          <w:rFonts w:ascii="Arial" w:cs="Arial" w:eastAsia="Arial" w:hAnsi="Arial"/>
          <w:sz w:val="17"/>
          <w:szCs w:val="17"/>
          <w:b w:val="1"/>
          <w:bCs w:val="1"/>
          <w:color w:val="auto"/>
        </w:rPr>
        <w:t xml:space="preserve"> </w:t>
      </w:r>
      <w:r>
        <w:rPr>
          <w:rFonts w:ascii="Arial" w:cs="Arial" w:eastAsia="Arial" w:hAnsi="Arial"/>
          <w:sz w:val="17"/>
          <w:szCs w:val="17"/>
          <w:color w:val="auto"/>
        </w:rPr>
        <w:t>protection through insurance or indemnification against the risks of claims and actions against them arising out of such service.</w:t>
      </w:r>
    </w:p>
    <w:p>
      <w:pPr>
        <w:spacing w:after="0" w:line="32" w:lineRule="exact"/>
        <w:rPr>
          <w:sz w:val="20"/>
          <w:szCs w:val="20"/>
          <w:color w:val="auto"/>
        </w:rPr>
      </w:pPr>
    </w:p>
    <w:p>
      <w:pPr>
        <w:ind w:right="360" w:firstLine="440"/>
        <w:spacing w:after="0" w:line="347" w:lineRule="auto"/>
        <w:rPr>
          <w:sz w:val="20"/>
          <w:szCs w:val="20"/>
          <w:color w:val="auto"/>
        </w:rPr>
      </w:pPr>
      <w:r>
        <w:rPr>
          <w:rFonts w:ascii="Arial" w:cs="Arial" w:eastAsia="Arial" w:hAnsi="Arial"/>
          <w:sz w:val="16"/>
          <w:szCs w:val="16"/>
          <w:b w:val="1"/>
          <w:bCs w:val="1"/>
          <w:color w:val="auto"/>
        </w:rPr>
        <w:t xml:space="preserve">C. </w:t>
      </w:r>
      <w:r>
        <w:rPr>
          <w:rFonts w:ascii="Arial" w:cs="Arial" w:eastAsia="Arial" w:hAnsi="Arial"/>
          <w:sz w:val="16"/>
          <w:szCs w:val="16"/>
          <w:color w:val="auto"/>
        </w:rPr>
        <w:t>Indemnitee does not regard the protection currently provided by applicable law, the Company’s governing documents and any insurance as</w:t>
      </w:r>
      <w:r>
        <w:rPr>
          <w:rFonts w:ascii="Arial" w:cs="Arial" w:eastAsia="Arial" w:hAnsi="Arial"/>
          <w:sz w:val="16"/>
          <w:szCs w:val="16"/>
          <w:b w:val="1"/>
          <w:bCs w:val="1"/>
          <w:color w:val="auto"/>
        </w:rPr>
        <w:t xml:space="preserve"> </w:t>
      </w:r>
      <w:r>
        <w:rPr>
          <w:rFonts w:ascii="Arial" w:cs="Arial" w:eastAsia="Arial" w:hAnsi="Arial"/>
          <w:sz w:val="16"/>
          <w:szCs w:val="16"/>
          <w:color w:val="auto"/>
        </w:rPr>
        <w:t>adequate under the present circumstances, and Indemnitee may not be willing to serve as a director or officer without additional protection.</w:t>
      </w:r>
    </w:p>
    <w:p>
      <w:pPr>
        <w:spacing w:after="0" w:line="8" w:lineRule="exact"/>
        <w:rPr>
          <w:sz w:val="20"/>
          <w:szCs w:val="20"/>
          <w:color w:val="auto"/>
        </w:rPr>
      </w:pPr>
    </w:p>
    <w:p>
      <w:pPr>
        <w:ind w:right="480" w:firstLine="440"/>
        <w:spacing w:after="0" w:line="312" w:lineRule="auto"/>
        <w:rPr>
          <w:sz w:val="20"/>
          <w:szCs w:val="20"/>
          <w:color w:val="auto"/>
        </w:rPr>
      </w:pPr>
      <w:r>
        <w:rPr>
          <w:rFonts w:ascii="Arial" w:cs="Arial" w:eastAsia="Arial" w:hAnsi="Arial"/>
          <w:sz w:val="17"/>
          <w:szCs w:val="17"/>
          <w:b w:val="1"/>
          <w:bCs w:val="1"/>
          <w:color w:val="auto"/>
        </w:rPr>
        <w:t xml:space="preserve">D. </w:t>
      </w:r>
      <w:r>
        <w:rPr>
          <w:rFonts w:ascii="Arial" w:cs="Arial" w:eastAsia="Arial" w:hAnsi="Arial"/>
          <w:sz w:val="17"/>
          <w:szCs w:val="17"/>
          <w:color w:val="auto"/>
        </w:rPr>
        <w:t>In order to induce Indemnitee to continue to provide services to the Company, it is reasonable, prudent and necessary for the Company to</w:t>
      </w:r>
      <w:r>
        <w:rPr>
          <w:rFonts w:ascii="Arial" w:cs="Arial" w:eastAsia="Arial" w:hAnsi="Arial"/>
          <w:sz w:val="17"/>
          <w:szCs w:val="17"/>
          <w:b w:val="1"/>
          <w:bCs w:val="1"/>
          <w:color w:val="auto"/>
        </w:rPr>
        <w:t xml:space="preserve"> </w:t>
      </w:r>
      <w:r>
        <w:rPr>
          <w:rFonts w:ascii="Arial" w:cs="Arial" w:eastAsia="Arial" w:hAnsi="Arial"/>
          <w:sz w:val="17"/>
          <w:szCs w:val="17"/>
          <w:color w:val="auto"/>
        </w:rPr>
        <w:t>contractually obligate itself to indemnify, and to advance expenses on behalf of, Indemnitee as permitted by applicable law.</w:t>
      </w:r>
    </w:p>
    <w:p>
      <w:pPr>
        <w:spacing w:after="0" w:line="140"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b w:val="1"/>
          <w:bCs w:val="1"/>
          <w:color w:val="auto"/>
        </w:rPr>
        <w:t xml:space="preserve">E. </w:t>
      </w:r>
      <w:r>
        <w:rPr>
          <w:rFonts w:ascii="Arial" w:cs="Arial" w:eastAsia="Arial" w:hAnsi="Arial"/>
          <w:sz w:val="18"/>
          <w:szCs w:val="18"/>
          <w:color w:val="auto"/>
        </w:rPr>
        <w:t>This Agreement is a supplement to and in furtherance of the indemnification provided in the Company’s certificate of incorporation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bylaws, and any resolutions adopted pursuant thereto, and this Agreement shall not be deemed a substitute therefor, nor shall this Agreement be deemed to limit, diminish or abrogate any rights of Indemnitee thereunder.</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parties therefore agree as follows:</w:t>
      </w:r>
    </w:p>
    <w:p>
      <w:pPr>
        <w:spacing w:after="0" w:line="329" w:lineRule="exact"/>
        <w:rPr>
          <w:sz w:val="20"/>
          <w:szCs w:val="20"/>
          <w:color w:val="auto"/>
        </w:rPr>
      </w:pPr>
    </w:p>
    <w:p>
      <w:pPr>
        <w:ind w:left="620" w:hanging="184"/>
        <w:spacing w:after="0"/>
        <w:tabs>
          <w:tab w:leader="none" w:pos="620" w:val="left"/>
        </w:tabs>
        <w:numPr>
          <w:ilvl w:val="0"/>
          <w:numId w:val="39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1240" w:hanging="253"/>
        <w:spacing w:after="0"/>
        <w:tabs>
          <w:tab w:leader="none" w:pos="1240" w:val="left"/>
        </w:tabs>
        <w:numPr>
          <w:ilvl w:val="1"/>
          <w:numId w:val="393"/>
        </w:numPr>
        <w:rPr>
          <w:rFonts w:ascii="Arial" w:cs="Arial" w:eastAsia="Arial" w:hAnsi="Arial"/>
          <w:sz w:val="16"/>
          <w:szCs w:val="16"/>
          <w:color w:val="auto"/>
        </w:rPr>
      </w:pPr>
      <w:r>
        <w:rPr>
          <w:rFonts w:ascii="Arial" w:cs="Arial" w:eastAsia="Arial" w:hAnsi="Arial"/>
          <w:sz w:val="16"/>
          <w:szCs w:val="16"/>
          <w:color w:val="auto"/>
        </w:rPr>
        <w:t>A “</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shall be deemed to occur upon the earliest to occur after the date of this Agreement of any of the following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events:</w:t>
      </w:r>
    </w:p>
    <w:p>
      <w:pPr>
        <w:spacing w:after="0" w:line="102" w:lineRule="exact"/>
        <w:rPr>
          <w:rFonts w:ascii="Arial" w:cs="Arial" w:eastAsia="Arial" w:hAnsi="Arial"/>
          <w:sz w:val="16"/>
          <w:szCs w:val="16"/>
          <w:color w:val="auto"/>
        </w:rPr>
      </w:pPr>
    </w:p>
    <w:p>
      <w:pPr>
        <w:jc w:val="both"/>
        <w:ind w:right="480" w:firstLine="1428"/>
        <w:spacing w:after="0" w:line="263" w:lineRule="auto"/>
        <w:tabs>
          <w:tab w:leader="none" w:pos="1647" w:val="left"/>
        </w:tabs>
        <w:numPr>
          <w:ilvl w:val="2"/>
          <w:numId w:val="393"/>
        </w:numPr>
        <w:rPr>
          <w:rFonts w:ascii="Arial" w:cs="Arial" w:eastAsia="Arial" w:hAnsi="Arial"/>
          <w:sz w:val="18"/>
          <w:szCs w:val="18"/>
          <w:color w:val="auto"/>
        </w:rPr>
      </w:pPr>
      <w:r>
        <w:rPr>
          <w:rFonts w:ascii="Arial" w:cs="Arial" w:eastAsia="Arial" w:hAnsi="Arial"/>
          <w:sz w:val="18"/>
          <w:szCs w:val="18"/>
          <w:i w:val="1"/>
          <w:iCs w:val="1"/>
          <w:color w:val="auto"/>
        </w:rPr>
        <w:t xml:space="preserve">Acquisition of Stock by Third Party. </w:t>
      </w:r>
      <w:r>
        <w:rPr>
          <w:rFonts w:ascii="Arial" w:cs="Arial" w:eastAsia="Arial" w:hAnsi="Arial"/>
          <w:sz w:val="18"/>
          <w:szCs w:val="18"/>
          <w:color w:val="auto"/>
        </w:rPr>
        <w:t>Any Person (as defined below) is or becomes the Beneficial Owner (as defined below),</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 of securities of the Company representing fifty percent (50%) or more of the combined voting power of the Company’s then outstanding securities;</w:t>
      </w:r>
    </w:p>
    <w:p>
      <w:pPr>
        <w:spacing w:after="0" w:line="75" w:lineRule="exact"/>
        <w:rPr>
          <w:rFonts w:ascii="Arial" w:cs="Arial" w:eastAsia="Arial" w:hAnsi="Arial"/>
          <w:sz w:val="18"/>
          <w:szCs w:val="18"/>
          <w:color w:val="auto"/>
        </w:rPr>
      </w:pPr>
    </w:p>
    <w:p>
      <w:pPr>
        <w:ind w:right="220" w:firstLine="1428"/>
        <w:spacing w:after="0" w:line="293" w:lineRule="auto"/>
        <w:tabs>
          <w:tab w:leader="none" w:pos="1697" w:val="left"/>
        </w:tabs>
        <w:numPr>
          <w:ilvl w:val="2"/>
          <w:numId w:val="393"/>
        </w:numPr>
        <w:rPr>
          <w:rFonts w:ascii="Arial" w:cs="Arial" w:eastAsia="Arial" w:hAnsi="Arial"/>
          <w:sz w:val="16"/>
          <w:szCs w:val="16"/>
          <w:color w:val="auto"/>
        </w:rPr>
      </w:pPr>
      <w:r>
        <w:rPr>
          <w:rFonts w:ascii="Arial" w:cs="Arial" w:eastAsia="Arial" w:hAnsi="Arial"/>
          <w:sz w:val="16"/>
          <w:szCs w:val="16"/>
          <w:i w:val="1"/>
          <w:iCs w:val="1"/>
          <w:color w:val="auto"/>
        </w:rPr>
        <w:t xml:space="preserve">Change in Board Composition. </w:t>
      </w:r>
      <w:r>
        <w:rPr>
          <w:rFonts w:ascii="Arial" w:cs="Arial" w:eastAsia="Arial" w:hAnsi="Arial"/>
          <w:sz w:val="16"/>
          <w:szCs w:val="16"/>
          <w:color w:val="auto"/>
        </w:rPr>
        <w:t>During any period of two consecutive years (not including any period prior to the execution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this Agreement), individuals who at the beginning of such period constitute the Company’s board of directors, and any new directors (other than a director designated by a person who has entered into an agreement with the Company to effect a transaction described in Sections 1(a)(i), 1(a)(iii) or 1(a)(iv)) whose election by the board of directors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Company’s board of directors;</w:t>
      </w:r>
    </w:p>
    <w:p>
      <w:pPr>
        <w:sectPr>
          <w:pgSz w:w="11900" w:h="16838" w:orient="portrait"/>
          <w:cols w:equalWidth="0" w:num="1">
            <w:col w:w="11020"/>
          </w:cols>
          <w:pgMar w:left="440" w:top="121" w:right="439" w:bottom="1440" w:gutter="0" w:footer="0" w:header="0"/>
          <w:type w:val="continuous"/>
        </w:sectPr>
      </w:pPr>
    </w:p>
    <w:bookmarkStart w:id="448" w:name="page449"/>
    <w:bookmarkEnd w:id="448"/>
    <w:p>
      <w:pPr>
        <w:ind w:left="-20" w:firstLine="1428"/>
        <w:spacing w:after="0" w:line="257" w:lineRule="auto"/>
        <w:tabs>
          <w:tab w:leader="none" w:pos="1727" w:val="left"/>
        </w:tabs>
        <w:numPr>
          <w:ilvl w:val="0"/>
          <w:numId w:val="39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Corporate Transactions. </w:t>
      </w:r>
      <w:r>
        <w:rPr>
          <w:rFonts w:ascii="Arial" w:cs="Arial" w:eastAsia="Arial" w:hAnsi="Arial"/>
          <w:sz w:val="18"/>
          <w:szCs w:val="18"/>
          <w:color w:val="auto"/>
        </w:rPr>
        <w:t>The effective date of a merger or consolidation of the Company with any other entity, other than a</w:t>
      </w:r>
      <w:r>
        <w:rPr>
          <w:rFonts w:ascii="Arial" w:cs="Arial" w:eastAsia="Arial" w:hAnsi="Arial"/>
          <w:sz w:val="18"/>
          <w:szCs w:val="18"/>
          <w:i w:val="1"/>
          <w:iCs w:val="1"/>
          <w:color w:val="auto"/>
        </w:rPr>
        <w:t xml:space="preserve"> </w:t>
      </w:r>
      <w:r>
        <w:rPr>
          <w:rFonts w:ascii="Arial" w:cs="Arial" w:eastAsia="Arial" w:hAnsi="Arial"/>
          <w:sz w:val="18"/>
          <w:szCs w:val="18"/>
          <w:color w:val="auto"/>
        </w:rPr>
        <w:t>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at least a majority of the board of directors or other governing body of such surviving entity;</w:t>
      </w:r>
    </w:p>
    <w:p>
      <w:pPr>
        <w:spacing w:after="0" w:line="79" w:lineRule="exact"/>
        <w:rPr>
          <w:rFonts w:ascii="Arial" w:cs="Arial" w:eastAsia="Arial" w:hAnsi="Arial"/>
          <w:sz w:val="18"/>
          <w:szCs w:val="18"/>
          <w:color w:val="auto"/>
        </w:rPr>
      </w:pPr>
    </w:p>
    <w:p>
      <w:pPr>
        <w:ind w:left="-20" w:right="200" w:firstLine="1428"/>
        <w:spacing w:after="0" w:line="277" w:lineRule="auto"/>
        <w:tabs>
          <w:tab w:leader="none" w:pos="1717" w:val="left"/>
        </w:tabs>
        <w:numPr>
          <w:ilvl w:val="0"/>
          <w:numId w:val="394"/>
        </w:numPr>
        <w:rPr>
          <w:rFonts w:ascii="Arial" w:cs="Arial" w:eastAsia="Arial" w:hAnsi="Arial"/>
          <w:sz w:val="18"/>
          <w:szCs w:val="18"/>
          <w:color w:val="auto"/>
        </w:rPr>
      </w:pPr>
      <w:r>
        <w:rPr>
          <w:rFonts w:ascii="Arial" w:cs="Arial" w:eastAsia="Arial" w:hAnsi="Arial"/>
          <w:sz w:val="18"/>
          <w:szCs w:val="18"/>
          <w:i w:val="1"/>
          <w:iCs w:val="1"/>
          <w:color w:val="auto"/>
        </w:rPr>
        <w:t xml:space="preserve">Liquidation. </w:t>
      </w:r>
      <w:r>
        <w:rPr>
          <w:rFonts w:ascii="Arial" w:cs="Arial" w:eastAsia="Arial" w:hAnsi="Arial"/>
          <w:sz w:val="18"/>
          <w:szCs w:val="18"/>
          <w:color w:val="auto"/>
        </w:rPr>
        <w:t>The approval by the stockholders of the Company of a complete liquidation of the Company or an agreement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sale or disposition by the Company of all or substantially all of the Company’s assets; and</w:t>
      </w:r>
    </w:p>
    <w:p>
      <w:pPr>
        <w:spacing w:after="0" w:line="62" w:lineRule="exact"/>
        <w:rPr>
          <w:rFonts w:ascii="Arial" w:cs="Arial" w:eastAsia="Arial" w:hAnsi="Arial"/>
          <w:sz w:val="18"/>
          <w:szCs w:val="18"/>
          <w:color w:val="auto"/>
        </w:rPr>
      </w:pPr>
    </w:p>
    <w:p>
      <w:pPr>
        <w:ind w:left="-20" w:right="380" w:firstLine="1428"/>
        <w:spacing w:after="0" w:line="263" w:lineRule="auto"/>
        <w:tabs>
          <w:tab w:leader="none" w:pos="1667" w:val="left"/>
        </w:tabs>
        <w:numPr>
          <w:ilvl w:val="0"/>
          <w:numId w:val="394"/>
        </w:numPr>
        <w:rPr>
          <w:rFonts w:ascii="Arial" w:cs="Arial" w:eastAsia="Arial" w:hAnsi="Arial"/>
          <w:sz w:val="18"/>
          <w:szCs w:val="18"/>
          <w:color w:val="auto"/>
        </w:rPr>
      </w:pPr>
      <w:r>
        <w:rPr>
          <w:rFonts w:ascii="Arial" w:cs="Arial" w:eastAsia="Arial" w:hAnsi="Arial"/>
          <w:sz w:val="18"/>
          <w:szCs w:val="18"/>
          <w:i w:val="1"/>
          <w:iCs w:val="1"/>
          <w:color w:val="auto"/>
        </w:rPr>
        <w:t xml:space="preserve">Other Events. </w:t>
      </w:r>
      <w:r>
        <w:rPr>
          <w:rFonts w:ascii="Arial" w:cs="Arial" w:eastAsia="Arial" w:hAnsi="Arial"/>
          <w:sz w:val="18"/>
          <w:szCs w:val="18"/>
          <w:color w:val="auto"/>
        </w:rPr>
        <w:t>Any other event of a nature that would be required to be reported in response to Item 6(e) of Schedule 14A of</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 14A (or in response to any similar item on any similar schedule or form) promulgated under the Securities Exchange Act of 1934, as amended, whether or not the Company is then subject to such reporting requirement.</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purposes of this Section 1(a), the following terms shall have the following meanings:</w:t>
      </w:r>
    </w:p>
    <w:p>
      <w:pPr>
        <w:spacing w:after="0" w:line="117" w:lineRule="exact"/>
        <w:rPr>
          <w:sz w:val="20"/>
          <w:szCs w:val="20"/>
          <w:color w:val="auto"/>
        </w:rPr>
      </w:pPr>
    </w:p>
    <w:p>
      <w:pPr>
        <w:jc w:val="both"/>
        <w:ind w:left="-20" w:right="400" w:firstLine="1979"/>
        <w:spacing w:after="0" w:line="259" w:lineRule="auto"/>
        <w:tabs>
          <w:tab w:leader="none" w:pos="2218" w:val="left"/>
        </w:tabs>
        <w:numPr>
          <w:ilvl w:val="1"/>
          <w:numId w:val="3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xml:space="preserve">” shall have the meaning as set forth in Sections 13(d) and 14(d) of the Securities Exchange Act of 1934, as amended;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exclude (i)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spacing w:after="0" w:line="78" w:lineRule="exact"/>
        <w:rPr>
          <w:rFonts w:ascii="Arial" w:cs="Arial" w:eastAsia="Arial" w:hAnsi="Arial"/>
          <w:sz w:val="18"/>
          <w:szCs w:val="18"/>
          <w:color w:val="auto"/>
        </w:rPr>
      </w:pPr>
    </w:p>
    <w:p>
      <w:pPr>
        <w:ind w:left="-20" w:firstLine="1979"/>
        <w:spacing w:after="0" w:line="259" w:lineRule="auto"/>
        <w:tabs>
          <w:tab w:leader="none" w:pos="2218" w:val="left"/>
        </w:tabs>
        <w:numPr>
          <w:ilvl w:val="1"/>
          <w:numId w:val="3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xml:space="preserve">” shall have the meaning given to such term in Rule 13d-3 under the Securities Exchange Act of 1934, as amended;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shall exclude any Person otherwise becoming a Beneficial Owner by reason of (i) the stockholders of the Company approving a merger of the Company with another entity or (ii) the Company’s board of directors approving a sale of securities by the Company to such Person.</w:t>
      </w:r>
    </w:p>
    <w:p>
      <w:pPr>
        <w:spacing w:after="0" w:line="78" w:lineRule="exact"/>
        <w:rPr>
          <w:rFonts w:ascii="Arial" w:cs="Arial" w:eastAsia="Arial" w:hAnsi="Arial"/>
          <w:sz w:val="18"/>
          <w:szCs w:val="18"/>
          <w:color w:val="auto"/>
        </w:rPr>
      </w:pPr>
    </w:p>
    <w:p>
      <w:pPr>
        <w:ind w:left="-20" w:right="520" w:firstLine="987"/>
        <w:spacing w:after="0" w:line="277" w:lineRule="auto"/>
        <w:tabs>
          <w:tab w:leader="none" w:pos="1226" w:val="left"/>
        </w:tabs>
        <w:numPr>
          <w:ilvl w:val="0"/>
          <w:numId w:val="3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Status</w:t>
      </w:r>
      <w:r>
        <w:rPr>
          <w:rFonts w:ascii="Arial" w:cs="Arial" w:eastAsia="Arial" w:hAnsi="Arial"/>
          <w:sz w:val="18"/>
          <w:szCs w:val="18"/>
          <w:color w:val="auto"/>
        </w:rPr>
        <w:t>” describes the status of a person who is or was a director, trustee, general partner, managing member, officer, employee, agent or fiduciary of the Company or any other Enterprise.</w:t>
      </w:r>
    </w:p>
    <w:p>
      <w:pPr>
        <w:spacing w:after="0" w:line="62" w:lineRule="exact"/>
        <w:rPr>
          <w:rFonts w:ascii="Arial" w:cs="Arial" w:eastAsia="Arial" w:hAnsi="Arial"/>
          <w:sz w:val="18"/>
          <w:szCs w:val="18"/>
          <w:color w:val="auto"/>
        </w:rPr>
      </w:pPr>
    </w:p>
    <w:p>
      <w:pPr>
        <w:ind w:left="1220" w:hanging="253"/>
        <w:spacing w:after="0"/>
        <w:tabs>
          <w:tab w:leader="none" w:pos="122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DGCL</w:t>
      </w:r>
      <w:r>
        <w:rPr>
          <w:rFonts w:ascii="Arial" w:cs="Arial" w:eastAsia="Arial" w:hAnsi="Arial"/>
          <w:sz w:val="18"/>
          <w:szCs w:val="18"/>
          <w:color w:val="auto"/>
        </w:rPr>
        <w:t>” means the General Corporation Law of the State of Delaware.</w:t>
      </w:r>
    </w:p>
    <w:p>
      <w:pPr>
        <w:spacing w:after="0" w:line="117" w:lineRule="exact"/>
        <w:rPr>
          <w:rFonts w:ascii="Arial" w:cs="Arial" w:eastAsia="Arial" w:hAnsi="Arial"/>
          <w:sz w:val="18"/>
          <w:szCs w:val="18"/>
          <w:color w:val="auto"/>
        </w:rPr>
      </w:pPr>
    </w:p>
    <w:p>
      <w:pPr>
        <w:ind w:left="-20" w:right="540" w:firstLine="987"/>
        <w:spacing w:after="0" w:line="277" w:lineRule="auto"/>
        <w:tabs>
          <w:tab w:leader="none" w:pos="1226" w:val="left"/>
        </w:tabs>
        <w:numPr>
          <w:ilvl w:val="0"/>
          <w:numId w:val="3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Disinterested Director</w:t>
      </w:r>
      <w:r>
        <w:rPr>
          <w:rFonts w:ascii="Arial" w:cs="Arial" w:eastAsia="Arial" w:hAnsi="Arial"/>
          <w:sz w:val="18"/>
          <w:szCs w:val="18"/>
          <w:color w:val="auto"/>
        </w:rPr>
        <w:t>” means a director of the Company who is not and was not a party to the Proceeding in respect of which indemnification is sought by Indemnitee.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60" w:top="274" w:right="479" w:bottom="1440" w:gutter="0" w:footer="0" w:header="0"/>
        </w:sectPr>
      </w:pPr>
    </w:p>
    <w:bookmarkStart w:id="449" w:name="page450"/>
    <w:bookmarkEnd w:id="449"/>
    <w:p>
      <w:pPr>
        <w:ind w:right="340" w:firstLine="987"/>
        <w:spacing w:after="0" w:line="263" w:lineRule="auto"/>
        <w:tabs>
          <w:tab w:leader="none" w:pos="1236" w:val="left"/>
        </w:tabs>
        <w:numPr>
          <w:ilvl w:val="0"/>
          <w:numId w:val="3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Enterprise</w:t>
      </w:r>
      <w:r>
        <w:rPr>
          <w:rFonts w:ascii="Arial" w:cs="Arial" w:eastAsia="Arial" w:hAnsi="Arial"/>
          <w:sz w:val="18"/>
          <w:szCs w:val="18"/>
          <w:color w:val="auto"/>
        </w:rPr>
        <w:t>” means the Company and any other corporation, partnership, limited liability company, joint venture, trust, employee benefit plan or other enterprise of which Indemnitee is or was serving at the request of the Company as a director, trustee, general partner, managing member, officer, employee, agent or fiduciary.</w:t>
      </w:r>
    </w:p>
    <w:p>
      <w:pPr>
        <w:spacing w:after="0" w:line="75" w:lineRule="exact"/>
        <w:rPr>
          <w:rFonts w:ascii="Arial" w:cs="Arial" w:eastAsia="Arial" w:hAnsi="Arial"/>
          <w:sz w:val="18"/>
          <w:szCs w:val="18"/>
          <w:color w:val="auto"/>
        </w:rPr>
      </w:pPr>
    </w:p>
    <w:p>
      <w:pPr>
        <w:ind w:right="40" w:firstLine="987"/>
        <w:spacing w:after="0" w:line="290" w:lineRule="auto"/>
        <w:tabs>
          <w:tab w:leader="none" w:pos="1216" w:val="left"/>
        </w:tabs>
        <w:numPr>
          <w:ilvl w:val="0"/>
          <w:numId w:val="3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Expenses</w:t>
      </w:r>
      <w:r>
        <w:rPr>
          <w:rFonts w:ascii="Arial" w:cs="Arial" w:eastAsia="Arial" w:hAnsi="Arial"/>
          <w:sz w:val="16"/>
          <w:szCs w:val="16"/>
          <w:color w:val="auto"/>
        </w:rPr>
        <w:t>” include all reasonable attorneys’ fees, retainers, court costs, transcript costs, fees and costs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being or preparing to be a witness in, or otherwise participating in, a Proceeding. Expenses also include (i) Expenses incurred in connection with any appeal resulting from any Proceeding, including without limitation the premium, security for, and other costs relating to any cost bond, supersedes bond or other appeal bond or their equivalent, and (ii) for purposes of Section 12(d), Expenses incurred by Indemnitee in connection with the interpretation, enforcement or defense of Indemnitee’s rights under this Agreement or under any directors’ and officers’ liability insurance policies maintained by the Company. Expenses, however, shall not include amounts paid in settlement by Indemnitee or the amount of judgments or fines against Indemnitee.</w:t>
      </w:r>
    </w:p>
    <w:p>
      <w:pPr>
        <w:spacing w:after="0" w:line="57" w:lineRule="exact"/>
        <w:rPr>
          <w:rFonts w:ascii="Arial" w:cs="Arial" w:eastAsia="Arial" w:hAnsi="Arial"/>
          <w:sz w:val="16"/>
          <w:szCs w:val="16"/>
          <w:color w:val="auto"/>
        </w:rPr>
      </w:pPr>
    </w:p>
    <w:p>
      <w:pPr>
        <w:ind w:right="120" w:firstLine="987"/>
        <w:spacing w:after="0" w:line="293" w:lineRule="auto"/>
        <w:tabs>
          <w:tab w:leader="none" w:pos="1246" w:val="left"/>
        </w:tabs>
        <w:numPr>
          <w:ilvl w:val="0"/>
          <w:numId w:val="3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 Counsel</w:t>
      </w:r>
      <w:r>
        <w:rPr>
          <w:rFonts w:ascii="Arial" w:cs="Arial" w:eastAsia="Arial" w:hAnsi="Arial"/>
          <w:sz w:val="16"/>
          <w:szCs w:val="16"/>
          <w:color w:val="auto"/>
        </w:rPr>
        <w:t>” means a law firm, or a partner or member of a law firm, that is experienced in matters of corporation law and neither presently is, nor in the past five years has been, retained to represent (i) the Company or Indemnitee in any matter material to either such party (other than as Independent Counsel with respect to matters concerning Indemnitee under this Agreement, or other indemnitees under similar indemnification agreements), or (ii) any other party to the Proceeding giving rise to a claim for indemnification hereunder. Notwithstanding the foregoing, the term “</w:t>
      </w:r>
      <w:r>
        <w:rPr>
          <w:rFonts w:ascii="Arial" w:cs="Arial" w:eastAsia="Arial" w:hAnsi="Arial"/>
          <w:sz w:val="16"/>
          <w:szCs w:val="16"/>
          <w:b w:val="1"/>
          <w:bCs w:val="1"/>
          <w:i w:val="1"/>
          <w:iCs w:val="1"/>
          <w:color w:val="auto"/>
        </w:rPr>
        <w:t>Independent Counsel</w:t>
      </w:r>
      <w:r>
        <w:rPr>
          <w:rFonts w:ascii="Arial" w:cs="Arial" w:eastAsia="Arial" w:hAnsi="Arial"/>
          <w:sz w:val="16"/>
          <w:szCs w:val="16"/>
          <w:color w:val="auto"/>
        </w:rPr>
        <w:t>”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56" w:lineRule="exact"/>
        <w:rPr>
          <w:rFonts w:ascii="Arial" w:cs="Arial" w:eastAsia="Arial" w:hAnsi="Arial"/>
          <w:sz w:val="16"/>
          <w:szCs w:val="16"/>
          <w:color w:val="auto"/>
        </w:rPr>
      </w:pPr>
    </w:p>
    <w:p>
      <w:pPr>
        <w:ind w:firstLine="987"/>
        <w:spacing w:after="0" w:line="290" w:lineRule="auto"/>
        <w:tabs>
          <w:tab w:leader="none" w:pos="1246" w:val="left"/>
        </w:tabs>
        <w:numPr>
          <w:ilvl w:val="0"/>
          <w:numId w:val="3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means any threatened, pending or completed action, suit, arbitration, mediation, alternate dispute resolution mechanism, investigation, inquiry, administrative hearing or proceeding, whether brought in the right of the Company or otherwise and whether of a civil, criminal, administrative or investigative nature, including any appeal therefrom and including without limitation any such Proceeding pending as of the date of this Agreement, in which Indemnitee was, is or will be involved as a party, a potential party, a nonparty witness or otherwise by reason of (i) the fact that Indemnitee is or was a director or officer of the Company, (ii) any action taken by Indemnitee or any action or inaction on Indemnitee’s part while acting as a director or officer of the Company, or (iii) the fact that he or she is or was serving at the request of the Company as a director, trustee, general partner, managing member, officer, employee, agent or fiduciary of the Company or any other Enterprise, in each case whether or not serving in such capacity at the time any liability or Expense is incurred for which indemnification or advancement of expenses can be provided under this Agreement.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450" w:name="page451"/>
    <w:bookmarkEnd w:id="450"/>
    <w:p>
      <w:pPr>
        <w:ind w:firstLine="987"/>
        <w:spacing w:after="0" w:line="255" w:lineRule="auto"/>
        <w:tabs>
          <w:tab w:leader="none" w:pos="1206" w:val="left"/>
        </w:tabs>
        <w:numPr>
          <w:ilvl w:val="1"/>
          <w:numId w:val="3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Reference to “</w:t>
      </w:r>
      <w:r>
        <w:rPr>
          <w:rFonts w:ascii="Arial" w:cs="Arial" w:eastAsia="Arial" w:hAnsi="Arial"/>
          <w:sz w:val="18"/>
          <w:szCs w:val="18"/>
          <w:b w:val="1"/>
          <w:bCs w:val="1"/>
          <w:i w:val="1"/>
          <w:iCs w:val="1"/>
          <w:color w:val="auto"/>
        </w:rPr>
        <w:t>other enterprises</w:t>
      </w:r>
      <w:r>
        <w:rPr>
          <w:rFonts w:ascii="Arial" w:cs="Arial" w:eastAsia="Arial" w:hAnsi="Arial"/>
          <w:sz w:val="18"/>
          <w:szCs w:val="18"/>
          <w:color w:val="auto"/>
        </w:rPr>
        <w:t>” shall include employee benefit plans; references to “</w:t>
      </w:r>
      <w:r>
        <w:rPr>
          <w:rFonts w:ascii="Arial" w:cs="Arial" w:eastAsia="Arial" w:hAnsi="Arial"/>
          <w:sz w:val="18"/>
          <w:szCs w:val="18"/>
          <w:b w:val="1"/>
          <w:bCs w:val="1"/>
          <w:i w:val="1"/>
          <w:iCs w:val="1"/>
          <w:color w:val="auto"/>
        </w:rPr>
        <w:t>fines</w:t>
      </w:r>
      <w:r>
        <w:rPr>
          <w:rFonts w:ascii="Arial" w:cs="Arial" w:eastAsia="Arial" w:hAnsi="Arial"/>
          <w:sz w:val="18"/>
          <w:szCs w:val="18"/>
          <w:color w:val="auto"/>
        </w:rPr>
        <w:t>” shall include any excise taxes assessed on a person with respect to any employee benefit plan; references to “</w:t>
      </w:r>
      <w:r>
        <w:rPr>
          <w:rFonts w:ascii="Arial" w:cs="Arial" w:eastAsia="Arial" w:hAnsi="Arial"/>
          <w:sz w:val="18"/>
          <w:szCs w:val="18"/>
          <w:b w:val="1"/>
          <w:bCs w:val="1"/>
          <w:i w:val="1"/>
          <w:iCs w:val="1"/>
          <w:color w:val="auto"/>
        </w:rPr>
        <w:t>serving at the request of the Company</w:t>
      </w:r>
      <w:r>
        <w:rPr>
          <w:rFonts w:ascii="Arial" w:cs="Arial" w:eastAsia="Arial" w:hAnsi="Arial"/>
          <w:sz w:val="18"/>
          <w:szCs w:val="18"/>
          <w:color w:val="auto"/>
        </w:rPr>
        <w:t>”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he or she reasonably believed to be in the best interests of the participants and beneficiaries of an employee benefit plan shall be deemed to have acted in a manner “</w:t>
      </w:r>
      <w:r>
        <w:rPr>
          <w:rFonts w:ascii="Arial" w:cs="Arial" w:eastAsia="Arial" w:hAnsi="Arial"/>
          <w:sz w:val="18"/>
          <w:szCs w:val="18"/>
          <w:b w:val="1"/>
          <w:bCs w:val="1"/>
          <w:i w:val="1"/>
          <w:iCs w:val="1"/>
          <w:color w:val="auto"/>
        </w:rPr>
        <w:t>not opposed to the best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interests of the Company</w:t>
      </w:r>
      <w:r>
        <w:rPr>
          <w:rFonts w:ascii="Arial" w:cs="Arial" w:eastAsia="Arial" w:hAnsi="Arial"/>
          <w:sz w:val="18"/>
          <w:szCs w:val="18"/>
          <w:color w:val="auto"/>
        </w:rPr>
        <w:t>” as referred to in this Agreement.</w:t>
      </w:r>
    </w:p>
    <w:p>
      <w:pPr>
        <w:spacing w:after="0" w:line="80" w:lineRule="exact"/>
        <w:rPr>
          <w:rFonts w:ascii="Arial" w:cs="Arial" w:eastAsia="Arial" w:hAnsi="Arial"/>
          <w:sz w:val="18"/>
          <w:szCs w:val="18"/>
          <w:color w:val="auto"/>
        </w:rPr>
      </w:pPr>
    </w:p>
    <w:p>
      <w:pPr>
        <w:ind w:right="200" w:firstLine="436"/>
        <w:spacing w:after="0" w:line="255" w:lineRule="auto"/>
        <w:tabs>
          <w:tab w:leader="none" w:pos="620" w:val="left"/>
        </w:tabs>
        <w:numPr>
          <w:ilvl w:val="0"/>
          <w:numId w:val="3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Indemnity in Third-Party Proceedings. </w:t>
      </w:r>
      <w:r>
        <w:rPr>
          <w:rFonts w:ascii="Arial" w:cs="Arial" w:eastAsia="Arial" w:hAnsi="Arial"/>
          <w:sz w:val="18"/>
          <w:szCs w:val="18"/>
          <w:color w:val="auto"/>
        </w:rPr>
        <w:t>The Company shall indemnify Indemnitee in accordance with the provisions of this Section 2 if</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Indemnitee is, or is threatened to be made, a party to or a participant in any Proceeding, other than a Proceeding by or in the right of the Company to procure a judgment in its favor. Pursuant to this Section 2, Indemnitee shall be indemnified to the fullest extent permitted by applicable law against all Expenses, judgments, fines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with respect to any criminal action or proceeding, had no reasonable cause to believe that his or her conduct was unlawful.</w:t>
      </w:r>
    </w:p>
    <w:p>
      <w:pPr>
        <w:spacing w:after="0" w:line="80" w:lineRule="exact"/>
        <w:rPr>
          <w:rFonts w:ascii="Arial" w:cs="Arial" w:eastAsia="Arial" w:hAnsi="Arial"/>
          <w:sz w:val="18"/>
          <w:szCs w:val="18"/>
          <w:b w:val="1"/>
          <w:bCs w:val="1"/>
          <w:color w:val="auto"/>
        </w:rPr>
      </w:pPr>
    </w:p>
    <w:p>
      <w:pPr>
        <w:ind w:firstLine="436"/>
        <w:spacing w:after="0" w:line="270" w:lineRule="auto"/>
        <w:tabs>
          <w:tab w:leader="none" w:pos="620" w:val="left"/>
        </w:tabs>
        <w:numPr>
          <w:ilvl w:val="0"/>
          <w:numId w:val="39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Indemnity in Proceedings by or in the Right of the Company. </w:t>
      </w:r>
      <w:r>
        <w:rPr>
          <w:rFonts w:ascii="Arial" w:cs="Arial" w:eastAsia="Arial" w:hAnsi="Arial"/>
          <w:sz w:val="17"/>
          <w:szCs w:val="17"/>
          <w:color w:val="auto"/>
        </w:rPr>
        <w:t>The Company shall indemnify Indemnitee in accordance with the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Section 3 if Indemnitee is, or is threatened to be made, a party to or a participant in any Proceeding by or in the right of the Company to procure a judgment in its favor. Pursuant to this Section 3, Indemnitee shall be indemnified to the fullest extent permitted by applicable law against all Expenses actually and reasonably incurred by Indemnitee or on Indemnitee’s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3 in respect of any claim, issue or matter as to which Indemnitee shall have been adjudged by a court of competent jurisdiction to be liable to the Company, unless and only to the extent that the Delaware Court of Chancery or any court in which the Proceeding was brought shall determine upon application that, despite the adjudication of liability but in view of all the circumstances of the case, Indemnitee is fairly and reasonably entitled to indemnification for such expenses as the Delaware Court of Chancery or such other court shall deem proper.</w:t>
      </w:r>
    </w:p>
    <w:p>
      <w:pPr>
        <w:spacing w:after="0" w:line="68" w:lineRule="exact"/>
        <w:rPr>
          <w:rFonts w:ascii="Arial" w:cs="Arial" w:eastAsia="Arial" w:hAnsi="Arial"/>
          <w:sz w:val="17"/>
          <w:szCs w:val="17"/>
          <w:b w:val="1"/>
          <w:bCs w:val="1"/>
          <w:color w:val="auto"/>
        </w:rPr>
      </w:pPr>
    </w:p>
    <w:p>
      <w:pPr>
        <w:ind w:right="20" w:firstLine="436"/>
        <w:spacing w:after="0" w:line="291" w:lineRule="auto"/>
        <w:tabs>
          <w:tab w:leader="none" w:pos="620" w:val="left"/>
        </w:tabs>
        <w:numPr>
          <w:ilvl w:val="0"/>
          <w:numId w:val="39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Indemnification for Expenses of a Party Who is Wholly or Partly Successful. </w:t>
      </w:r>
      <w:r>
        <w:rPr>
          <w:rFonts w:ascii="Arial" w:cs="Arial" w:eastAsia="Arial" w:hAnsi="Arial"/>
          <w:sz w:val="16"/>
          <w:szCs w:val="16"/>
          <w:color w:val="auto"/>
        </w:rPr>
        <w:t>To the extent that Indemnitee is a party to or a participant in</w:t>
      </w:r>
      <w:r>
        <w:rPr>
          <w:rFonts w:ascii="Arial" w:cs="Arial" w:eastAsia="Arial" w:hAnsi="Arial"/>
          <w:sz w:val="16"/>
          <w:szCs w:val="16"/>
          <w:b w:val="1"/>
          <w:bCs w:val="1"/>
          <w:color w:val="auto"/>
        </w:rPr>
        <w:t xml:space="preserve"> </w:t>
      </w:r>
      <w:r>
        <w:rPr>
          <w:rFonts w:ascii="Arial" w:cs="Arial" w:eastAsia="Arial" w:hAnsi="Arial"/>
          <w:sz w:val="16"/>
          <w:szCs w:val="16"/>
          <w:color w:val="auto"/>
        </w:rPr>
        <w:t>and is successful (on the merits or otherwise) in defense of any Proceeding or any claim, issue or matter therein, the Company shall indemnify Indemnitee against all Expenses actually and reasonably incurred by Indemnitee or on Indemnitee’s behalf in connection therewith. To the extent permitted by applicable law, if Indemnitee is not wholly successful in such Proceeding but is successful, on the merits or otherwise, in defense of one or more but less than all claims, issues or matters in such Proceeding, the Company shall indemnify Indemnitee against all Expenses actually and reasonably incurred by Indemnitee or on Indemnitee’s behalf in connection with (a) each successfully resolved claim, issue or matter and (b) any claim, issue or matter related to any such successfully resolved claim, issue or matter. For purposes of this section, the termination of any claim, issue or matter in such a Proceeding by dismissal, with or without prejudice, shall be deemed to be a successful result as to such claim, issue or matter.</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451" w:name="page452"/>
    <w:bookmarkEnd w:id="451"/>
    <w:p>
      <w:pPr>
        <w:ind w:right="160" w:firstLine="436"/>
        <w:spacing w:after="0" w:line="266" w:lineRule="auto"/>
        <w:tabs>
          <w:tab w:leader="none" w:pos="620" w:val="left"/>
        </w:tabs>
        <w:numPr>
          <w:ilvl w:val="0"/>
          <w:numId w:val="40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Indemnification for Expenses of a Witness. </w:t>
      </w:r>
      <w:r>
        <w:rPr>
          <w:rFonts w:ascii="Arial" w:cs="Arial" w:eastAsia="Arial" w:hAnsi="Arial"/>
          <w:sz w:val="18"/>
          <w:szCs w:val="18"/>
          <w:color w:val="auto"/>
        </w:rPr>
        <w:t>To the extent that Indemnitee is, by reason of his or her Corporate Status, a witness in any</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 to which Indemnitee is not a party, Indemnitee shall be indemnified to the extent permitted by applicable law against all Expenses actually and reasonably incurred by Indemnitee or on Indemnitee’s behalf in connection therewith.</w:t>
      </w:r>
    </w:p>
    <w:p>
      <w:pPr>
        <w:spacing w:after="0" w:line="67" w:lineRule="exact"/>
        <w:rPr>
          <w:rFonts w:ascii="Arial" w:cs="Arial" w:eastAsia="Arial" w:hAnsi="Arial"/>
          <w:sz w:val="18"/>
          <w:szCs w:val="18"/>
          <w:b w:val="1"/>
          <w:bCs w:val="1"/>
          <w:color w:val="auto"/>
        </w:rPr>
      </w:pPr>
    </w:p>
    <w:p>
      <w:pPr>
        <w:ind w:left="620" w:hanging="184"/>
        <w:spacing w:after="0"/>
        <w:tabs>
          <w:tab w:leader="none" w:pos="620" w:val="left"/>
        </w:tabs>
        <w:numPr>
          <w:ilvl w:val="0"/>
          <w:numId w:val="400"/>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Indemnification</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firstLine="987"/>
        <w:spacing w:after="0" w:line="279" w:lineRule="auto"/>
        <w:tabs>
          <w:tab w:leader="none" w:pos="1236" w:val="left"/>
        </w:tabs>
        <w:numPr>
          <w:ilvl w:val="1"/>
          <w:numId w:val="400"/>
        </w:numPr>
        <w:rPr>
          <w:rFonts w:ascii="Arial" w:cs="Arial" w:eastAsia="Arial" w:hAnsi="Arial"/>
          <w:sz w:val="17"/>
          <w:szCs w:val="17"/>
          <w:color w:val="auto"/>
        </w:rPr>
      </w:pPr>
      <w:r>
        <w:rPr>
          <w:rFonts w:ascii="Arial" w:cs="Arial" w:eastAsia="Arial" w:hAnsi="Arial"/>
          <w:sz w:val="17"/>
          <w:szCs w:val="17"/>
          <w:color w:val="auto"/>
        </w:rPr>
        <w:t>Notwithstanding any limitation in Sections 2, 3 or 4, the Company shall indemnify Indemnitee to the fullest extent permitted by applicable law if Indemnitee is, or is threatened to be made, a party to or a participant in any Proceeding (including a Proceeding by or in the right of the Company to procure a judgment in its favor) against all Expenses, judgments, fines and amounts paid in settlement actually and reasonably incurred by Indemnitee or on his or her behalf in connection with the Proceeding or any claim, issue or matter therein.</w:t>
      </w:r>
    </w:p>
    <w:p>
      <w:pPr>
        <w:spacing w:after="0" w:line="63" w:lineRule="exact"/>
        <w:rPr>
          <w:rFonts w:ascii="Arial" w:cs="Arial" w:eastAsia="Arial" w:hAnsi="Arial"/>
          <w:sz w:val="17"/>
          <w:szCs w:val="17"/>
          <w:color w:val="auto"/>
        </w:rPr>
      </w:pPr>
    </w:p>
    <w:p>
      <w:pPr>
        <w:ind w:left="1240" w:hanging="253"/>
        <w:spacing w:after="0"/>
        <w:tabs>
          <w:tab w:leader="none" w:pos="1240" w:val="left"/>
        </w:tabs>
        <w:numPr>
          <w:ilvl w:val="1"/>
          <w:numId w:val="400"/>
        </w:numPr>
        <w:rPr>
          <w:rFonts w:ascii="Arial" w:cs="Arial" w:eastAsia="Arial" w:hAnsi="Arial"/>
          <w:sz w:val="16"/>
          <w:szCs w:val="16"/>
          <w:color w:val="auto"/>
        </w:rPr>
      </w:pPr>
      <w:r>
        <w:rPr>
          <w:rFonts w:ascii="Arial" w:cs="Arial" w:eastAsia="Arial" w:hAnsi="Arial"/>
          <w:sz w:val="16"/>
          <w:szCs w:val="16"/>
          <w:color w:val="auto"/>
        </w:rPr>
        <w:t>For purposes of Section 6(a), the meaning of the phrase “</w:t>
      </w:r>
      <w:r>
        <w:rPr>
          <w:rFonts w:ascii="Arial" w:cs="Arial" w:eastAsia="Arial" w:hAnsi="Arial"/>
          <w:sz w:val="16"/>
          <w:szCs w:val="16"/>
          <w:b w:val="1"/>
          <w:bCs w:val="1"/>
          <w:i w:val="1"/>
          <w:iCs w:val="1"/>
          <w:color w:val="auto"/>
        </w:rPr>
        <w:t>to the fullest extent permitted by applicable law</w:t>
      </w:r>
      <w:r>
        <w:rPr>
          <w:rFonts w:ascii="Arial" w:cs="Arial" w:eastAsia="Arial" w:hAnsi="Arial"/>
          <w:sz w:val="16"/>
          <w:szCs w:val="16"/>
          <w:color w:val="auto"/>
        </w:rPr>
        <w:t>” shall include, but not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limited to:</w:t>
      </w:r>
    </w:p>
    <w:p>
      <w:pPr>
        <w:spacing w:after="0" w:line="102" w:lineRule="exact"/>
        <w:rPr>
          <w:rFonts w:ascii="Arial" w:cs="Arial" w:eastAsia="Arial" w:hAnsi="Arial"/>
          <w:sz w:val="16"/>
          <w:szCs w:val="16"/>
          <w:color w:val="auto"/>
        </w:rPr>
      </w:pPr>
    </w:p>
    <w:p>
      <w:pPr>
        <w:ind w:right="740" w:firstLine="1428"/>
        <w:spacing w:after="0" w:line="277" w:lineRule="auto"/>
        <w:tabs>
          <w:tab w:leader="none" w:pos="1647" w:val="left"/>
        </w:tabs>
        <w:numPr>
          <w:ilvl w:val="2"/>
          <w:numId w:val="400"/>
        </w:numPr>
        <w:rPr>
          <w:rFonts w:ascii="Arial" w:cs="Arial" w:eastAsia="Arial" w:hAnsi="Arial"/>
          <w:sz w:val="18"/>
          <w:szCs w:val="18"/>
          <w:color w:val="auto"/>
        </w:rPr>
      </w:pPr>
      <w:r>
        <w:rPr>
          <w:rFonts w:ascii="Arial" w:cs="Arial" w:eastAsia="Arial" w:hAnsi="Arial"/>
          <w:sz w:val="18"/>
          <w:szCs w:val="18"/>
          <w:color w:val="auto"/>
        </w:rPr>
        <w:t>the fullest extent permitted by the provision of the DGCL that authorizes or contemplates additional indemnification by agreement, or the corresponding provision of any amendment to or replacement of the DGCL; and</w:t>
      </w:r>
    </w:p>
    <w:p>
      <w:pPr>
        <w:spacing w:after="0" w:line="62" w:lineRule="exact"/>
        <w:rPr>
          <w:rFonts w:ascii="Arial" w:cs="Arial" w:eastAsia="Arial" w:hAnsi="Arial"/>
          <w:sz w:val="18"/>
          <w:szCs w:val="18"/>
          <w:color w:val="auto"/>
        </w:rPr>
      </w:pPr>
    </w:p>
    <w:p>
      <w:pPr>
        <w:ind w:right="400" w:firstLine="1428"/>
        <w:spacing w:after="0" w:line="277" w:lineRule="auto"/>
        <w:tabs>
          <w:tab w:leader="none" w:pos="1697" w:val="left"/>
        </w:tabs>
        <w:numPr>
          <w:ilvl w:val="2"/>
          <w:numId w:val="400"/>
        </w:numPr>
        <w:rPr>
          <w:rFonts w:ascii="Arial" w:cs="Arial" w:eastAsia="Arial" w:hAnsi="Arial"/>
          <w:sz w:val="18"/>
          <w:szCs w:val="18"/>
          <w:color w:val="auto"/>
        </w:rPr>
      </w:pPr>
      <w:r>
        <w:rPr>
          <w:rFonts w:ascii="Arial" w:cs="Arial" w:eastAsia="Arial" w:hAnsi="Arial"/>
          <w:sz w:val="18"/>
          <w:szCs w:val="18"/>
          <w:color w:val="auto"/>
        </w:rPr>
        <w:t>the fullest extent authorized or permitted by any amendments to or replacements of the DGCL adopted after the date of this Agreement that increase the extent to which a corporation may indemnify its officers and directors.</w:t>
      </w:r>
    </w:p>
    <w:p>
      <w:pPr>
        <w:spacing w:after="0" w:line="58" w:lineRule="exact"/>
        <w:rPr>
          <w:rFonts w:ascii="Arial" w:cs="Arial" w:eastAsia="Arial" w:hAnsi="Arial"/>
          <w:sz w:val="18"/>
          <w:szCs w:val="18"/>
          <w:color w:val="auto"/>
        </w:rPr>
      </w:pPr>
    </w:p>
    <w:p>
      <w:pPr>
        <w:ind w:right="720" w:firstLine="436"/>
        <w:spacing w:after="0" w:line="282" w:lineRule="auto"/>
        <w:tabs>
          <w:tab w:leader="none" w:pos="620" w:val="left"/>
        </w:tabs>
        <w:numPr>
          <w:ilvl w:val="0"/>
          <w:numId w:val="4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Exclusions. </w:t>
      </w:r>
      <w:r>
        <w:rPr>
          <w:rFonts w:ascii="Arial" w:cs="Arial" w:eastAsia="Arial" w:hAnsi="Arial"/>
          <w:sz w:val="18"/>
          <w:szCs w:val="18"/>
          <w:color w:val="auto"/>
        </w:rPr>
        <w:t>Notwithstanding any provision in this Agreement, the Company shall not be obligated under this Agreement to make any</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indemnity in connection with any Proceeding (or any part of any Proceeding):</w:t>
      </w:r>
    </w:p>
    <w:p>
      <w:pPr>
        <w:spacing w:after="0" w:line="57" w:lineRule="exact"/>
        <w:rPr>
          <w:rFonts w:ascii="Arial" w:cs="Arial" w:eastAsia="Arial" w:hAnsi="Arial"/>
          <w:sz w:val="18"/>
          <w:szCs w:val="18"/>
          <w:b w:val="1"/>
          <w:bCs w:val="1"/>
          <w:color w:val="auto"/>
        </w:rPr>
      </w:pPr>
    </w:p>
    <w:p>
      <w:pPr>
        <w:ind w:right="40" w:firstLine="987"/>
        <w:spacing w:after="0" w:line="277" w:lineRule="auto"/>
        <w:tabs>
          <w:tab w:leader="none" w:pos="1236" w:val="left"/>
        </w:tabs>
        <w:numPr>
          <w:ilvl w:val="1"/>
          <w:numId w:val="400"/>
        </w:numPr>
        <w:rPr>
          <w:rFonts w:ascii="Arial" w:cs="Arial" w:eastAsia="Arial" w:hAnsi="Arial"/>
          <w:sz w:val="18"/>
          <w:szCs w:val="18"/>
          <w:color w:val="auto"/>
        </w:rPr>
      </w:pPr>
      <w:r>
        <w:rPr>
          <w:rFonts w:ascii="Arial" w:cs="Arial" w:eastAsia="Arial" w:hAnsi="Arial"/>
          <w:sz w:val="18"/>
          <w:szCs w:val="18"/>
          <w:color w:val="auto"/>
        </w:rPr>
        <w:t>for which payment has actually been made to or on behalf of Indemnitee under any statute, insurance policy, indemnity provision, vote or otherwise, except with respect to any excess beyond the amount paid;</w:t>
      </w:r>
    </w:p>
    <w:p>
      <w:pPr>
        <w:spacing w:after="0" w:line="62" w:lineRule="exact"/>
        <w:rPr>
          <w:rFonts w:ascii="Arial" w:cs="Arial" w:eastAsia="Arial" w:hAnsi="Arial"/>
          <w:sz w:val="18"/>
          <w:szCs w:val="18"/>
          <w:color w:val="auto"/>
        </w:rPr>
      </w:pPr>
    </w:p>
    <w:p>
      <w:pPr>
        <w:ind w:right="100" w:firstLine="987"/>
        <w:spacing w:after="0" w:line="263" w:lineRule="auto"/>
        <w:tabs>
          <w:tab w:leader="none" w:pos="1246" w:val="left"/>
        </w:tabs>
        <w:numPr>
          <w:ilvl w:val="1"/>
          <w:numId w:val="400"/>
        </w:numPr>
        <w:rPr>
          <w:rFonts w:ascii="Arial" w:cs="Arial" w:eastAsia="Arial" w:hAnsi="Arial"/>
          <w:sz w:val="18"/>
          <w:szCs w:val="18"/>
          <w:color w:val="auto"/>
        </w:rPr>
      </w:pPr>
      <w:r>
        <w:rPr>
          <w:rFonts w:ascii="Arial" w:cs="Arial" w:eastAsia="Arial" w:hAnsi="Arial"/>
          <w:sz w:val="18"/>
          <w:szCs w:val="18"/>
          <w:color w:val="auto"/>
        </w:rPr>
        <w:t>for an accounting or disgorgement of profits pursuant to Section 16(b) of the Securities Exchange Act of 1934, as amended, or similar provisions of federal, state or local statutory law or common law, if Indemnitee is held liable therefor (including pursuant to any settlement arrangements);</w:t>
      </w:r>
    </w:p>
    <w:p>
      <w:pPr>
        <w:spacing w:after="0" w:line="75" w:lineRule="exact"/>
        <w:rPr>
          <w:rFonts w:ascii="Arial" w:cs="Arial" w:eastAsia="Arial" w:hAnsi="Arial"/>
          <w:sz w:val="18"/>
          <w:szCs w:val="18"/>
          <w:color w:val="auto"/>
        </w:rPr>
      </w:pPr>
    </w:p>
    <w:p>
      <w:pPr>
        <w:ind w:right="60" w:firstLine="987"/>
        <w:spacing w:after="0" w:line="296" w:lineRule="auto"/>
        <w:tabs>
          <w:tab w:leader="none" w:pos="1236" w:val="left"/>
        </w:tabs>
        <w:numPr>
          <w:ilvl w:val="1"/>
          <w:numId w:val="400"/>
        </w:numPr>
        <w:rPr>
          <w:rFonts w:ascii="Arial" w:cs="Arial" w:eastAsia="Arial" w:hAnsi="Arial"/>
          <w:sz w:val="16"/>
          <w:szCs w:val="16"/>
          <w:color w:val="auto"/>
        </w:rPr>
      </w:pPr>
      <w:r>
        <w:rPr>
          <w:rFonts w:ascii="Arial" w:cs="Arial" w:eastAsia="Arial" w:hAnsi="Arial"/>
          <w:sz w:val="16"/>
          <w:szCs w:val="16"/>
          <w:color w:val="auto"/>
        </w:rPr>
        <w:t>for any reimbursement of the Company by Indemnitee of any bonus or other incentive-based or equity-based compensation or of any profits realized by Indemnitee from the sale of securities of the Company, as required in each case under the Securities Exchange Act of 1934, as amended (including any such reimbursements that arise from an accounting restatement of the Company pursuant to Section 304 of the Sarbanes-Oxley Act of 2002 (the “</w:t>
      </w:r>
      <w:r>
        <w:rPr>
          <w:rFonts w:ascii="Arial" w:cs="Arial" w:eastAsia="Arial" w:hAnsi="Arial"/>
          <w:sz w:val="16"/>
          <w:szCs w:val="16"/>
          <w:b w:val="1"/>
          <w:bCs w:val="1"/>
          <w:i w:val="1"/>
          <w:iCs w:val="1"/>
          <w:color w:val="auto"/>
        </w:rPr>
        <w:t>Sarbanes-Oxley Act</w:t>
      </w:r>
      <w:r>
        <w:rPr>
          <w:rFonts w:ascii="Arial" w:cs="Arial" w:eastAsia="Arial" w:hAnsi="Arial"/>
          <w:sz w:val="16"/>
          <w:szCs w:val="16"/>
          <w:color w:val="auto"/>
        </w:rPr>
        <w:t>”), or the payment to the Company of profits arising from the purchase and sale by Indemnitee of securities in violation of Section 306 of the Sarbanes-Oxley Act), if Indemnitee is held liable therefor (including pursuant to any settlement arrangements);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0" w:right="479" w:bottom="1440" w:gutter="0" w:footer="0" w:header="0"/>
        </w:sectPr>
      </w:pPr>
    </w:p>
    <w:bookmarkStart w:id="452" w:name="page453"/>
    <w:bookmarkEnd w:id="452"/>
    <w:p>
      <w:pPr>
        <w:ind w:firstLine="987"/>
        <w:spacing w:after="0" w:line="279" w:lineRule="auto"/>
        <w:tabs>
          <w:tab w:leader="none" w:pos="1246" w:val="left"/>
        </w:tabs>
        <w:numPr>
          <w:ilvl w:val="1"/>
          <w:numId w:val="40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initiated by Indemnitee, including any Proceeding (or any part of any Proceeding) initiated by Indemnitee against the Company or its directors, officers, employees, agents or other indemnitees, unless (i) the Company’s board of directors authorized the Proceeding (or the relevant part of the Proceeding) prior to its initiation, (ii) the Company provides the indemnification, in its sole discretion, pursuant to the powers vested in the Company under applicable law, (iii) otherwise authorized in Section 12(d) or (iv) otherwise required by applicable law; or</w:t>
      </w:r>
    </w:p>
    <w:p>
      <w:pPr>
        <w:spacing w:after="0" w:line="63" w:lineRule="exact"/>
        <w:rPr>
          <w:rFonts w:ascii="Arial" w:cs="Arial" w:eastAsia="Arial" w:hAnsi="Arial"/>
          <w:sz w:val="17"/>
          <w:szCs w:val="17"/>
          <w:color w:val="auto"/>
        </w:rPr>
      </w:pPr>
    </w:p>
    <w:p>
      <w:pPr>
        <w:ind w:left="1240" w:hanging="253"/>
        <w:spacing w:after="0"/>
        <w:tabs>
          <w:tab w:leader="none" w:pos="1240" w:val="left"/>
        </w:tabs>
        <w:numPr>
          <w:ilvl w:val="1"/>
          <w:numId w:val="401"/>
        </w:numPr>
        <w:rPr>
          <w:rFonts w:ascii="Arial" w:cs="Arial" w:eastAsia="Arial" w:hAnsi="Arial"/>
          <w:sz w:val="18"/>
          <w:szCs w:val="18"/>
          <w:color w:val="auto"/>
        </w:rPr>
      </w:pPr>
      <w:r>
        <w:rPr>
          <w:rFonts w:ascii="Arial" w:cs="Arial" w:eastAsia="Arial" w:hAnsi="Arial"/>
          <w:sz w:val="18"/>
          <w:szCs w:val="18"/>
          <w:color w:val="auto"/>
        </w:rPr>
        <w:t>if prohibited by applicable law.</w:t>
      </w:r>
    </w:p>
    <w:p>
      <w:pPr>
        <w:spacing w:after="0" w:line="113" w:lineRule="exact"/>
        <w:rPr>
          <w:rFonts w:ascii="Arial" w:cs="Arial" w:eastAsia="Arial" w:hAnsi="Arial"/>
          <w:sz w:val="18"/>
          <w:szCs w:val="18"/>
          <w:color w:val="auto"/>
        </w:rPr>
      </w:pPr>
    </w:p>
    <w:p>
      <w:pPr>
        <w:ind w:right="60" w:firstLine="436"/>
        <w:spacing w:after="0" w:line="289" w:lineRule="auto"/>
        <w:tabs>
          <w:tab w:leader="none" w:pos="620" w:val="left"/>
        </w:tabs>
        <w:numPr>
          <w:ilvl w:val="0"/>
          <w:numId w:val="40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Advances of Expenses. </w:t>
      </w:r>
      <w:r>
        <w:rPr>
          <w:rFonts w:ascii="Arial" w:cs="Arial" w:eastAsia="Arial" w:hAnsi="Arial"/>
          <w:sz w:val="16"/>
          <w:szCs w:val="16"/>
          <w:color w:val="auto"/>
        </w:rPr>
        <w:t>The Company shall advance the Expenses incurred by Indemnitee in connection with any Proceeding, and such</w:t>
      </w:r>
      <w:r>
        <w:rPr>
          <w:rFonts w:ascii="Arial" w:cs="Arial" w:eastAsia="Arial" w:hAnsi="Arial"/>
          <w:sz w:val="16"/>
          <w:szCs w:val="16"/>
          <w:b w:val="1"/>
          <w:bCs w:val="1"/>
          <w:color w:val="auto"/>
        </w:rPr>
        <w:t xml:space="preserve"> </w:t>
      </w:r>
      <w:r>
        <w:rPr>
          <w:rFonts w:ascii="Arial" w:cs="Arial" w:eastAsia="Arial" w:hAnsi="Arial"/>
          <w:sz w:val="16"/>
          <w:szCs w:val="16"/>
          <w:color w:val="auto"/>
        </w:rPr>
        <w:t>advancement shall be made as soon as reasonably practicable, but in any event no later than 60 days, after the receipt by the Company of a written statement or statements requesting such advances from time to time (which shall include invoices received by Indemnitee in connection with such Expenses but, in the case of invoices in connection with legal services, any references to legal work performed or to expenditure made that would cause Indemnitee to waive any privilege accorded by applicable law shall not be included with the invoice). Advances shall be unsecured and interest free and made without regard to Indemnitee’s ability to repay such advances. Indemnitee hereby undertakes to repay any advance to the extent that it is ultimately determined that Indemnitee is not entitled to be indemnified by the Company. This Section 8 shall not apply to the extent advancement is prohibited by law and shall not apply to any Proceeding for which indemnity is not permitted under this Agreement, but shall apply to any Proceeding referenced in Section 7(b) or 7(c) prior to a determination that Indemnitee is not entitled to be indemnified by the Company.</w:t>
      </w:r>
    </w:p>
    <w:p>
      <w:pPr>
        <w:spacing w:after="0" w:line="58" w:lineRule="exact"/>
        <w:rPr>
          <w:rFonts w:ascii="Arial" w:cs="Arial" w:eastAsia="Arial" w:hAnsi="Arial"/>
          <w:sz w:val="16"/>
          <w:szCs w:val="16"/>
          <w:b w:val="1"/>
          <w:bCs w:val="1"/>
          <w:color w:val="auto"/>
        </w:rPr>
      </w:pPr>
    </w:p>
    <w:p>
      <w:pPr>
        <w:ind w:left="620" w:hanging="184"/>
        <w:spacing w:after="0"/>
        <w:tabs>
          <w:tab w:leader="none" w:pos="620" w:val="left"/>
        </w:tabs>
        <w:numPr>
          <w:ilvl w:val="0"/>
          <w:numId w:val="402"/>
        </w:numPr>
        <w:rPr>
          <w:rFonts w:ascii="Arial" w:cs="Arial" w:eastAsia="Arial" w:hAnsi="Arial"/>
          <w:sz w:val="18"/>
          <w:szCs w:val="18"/>
          <w:b w:val="1"/>
          <w:bCs w:val="1"/>
          <w:color w:val="auto"/>
        </w:rPr>
      </w:pPr>
      <w:r>
        <w:rPr>
          <w:rFonts w:ascii="Arial" w:cs="Arial" w:eastAsia="Arial" w:hAnsi="Arial"/>
          <w:sz w:val="18"/>
          <w:szCs w:val="18"/>
          <w:b w:val="1"/>
          <w:bCs w:val="1"/>
          <w:color w:val="auto"/>
        </w:rPr>
        <w:t>Procedures for Notification and Defense of Claim</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right="160" w:firstLine="987"/>
        <w:spacing w:after="0" w:line="255" w:lineRule="auto"/>
        <w:tabs>
          <w:tab w:leader="none" w:pos="1236" w:val="left"/>
        </w:tabs>
        <w:numPr>
          <w:ilvl w:val="1"/>
          <w:numId w:val="402"/>
        </w:numPr>
        <w:rPr>
          <w:rFonts w:ascii="Arial" w:cs="Arial" w:eastAsia="Arial" w:hAnsi="Arial"/>
          <w:sz w:val="18"/>
          <w:szCs w:val="18"/>
          <w:color w:val="auto"/>
        </w:rPr>
      </w:pPr>
      <w:r>
        <w:rPr>
          <w:rFonts w:ascii="Arial" w:cs="Arial" w:eastAsia="Arial" w:hAnsi="Arial"/>
          <w:sz w:val="18"/>
          <w:szCs w:val="18"/>
          <w:color w:val="auto"/>
        </w:rPr>
        <w:t>Indemnitee shall notify the Company in writing of any matter with respect to which Indemnitee intends to seek indemnification or advancement of Expenses as soon as reasonably practicable following the receipt by Indemnitee of notice thereof. The written notification to the Company shall include, in reasonable detail, a description of the nature of the Proceeding and the facts underlying the Proceeding. The failure by Indemnitee to notify the Company will not relieve the Company from any liability which it may have to Indemnitee hereunder or otherwise than under this Agreement, and any delay in so notifying the Company shall not constitute a waiver by Indemnitee of any rights, except to the extent that such failure or delay materially prejudices the Company.</w:t>
      </w:r>
    </w:p>
    <w:p>
      <w:pPr>
        <w:spacing w:after="0" w:line="84" w:lineRule="exact"/>
        <w:rPr>
          <w:rFonts w:ascii="Arial" w:cs="Arial" w:eastAsia="Arial" w:hAnsi="Arial"/>
          <w:sz w:val="18"/>
          <w:szCs w:val="18"/>
          <w:color w:val="auto"/>
        </w:rPr>
      </w:pPr>
    </w:p>
    <w:p>
      <w:pPr>
        <w:ind w:right="60" w:firstLine="987"/>
        <w:spacing w:after="0" w:line="279" w:lineRule="auto"/>
        <w:tabs>
          <w:tab w:leader="none" w:pos="1246" w:val="left"/>
        </w:tabs>
        <w:numPr>
          <w:ilvl w:val="1"/>
          <w:numId w:val="402"/>
        </w:numPr>
        <w:rPr>
          <w:rFonts w:ascii="Arial" w:cs="Arial" w:eastAsia="Arial" w:hAnsi="Arial"/>
          <w:sz w:val="17"/>
          <w:szCs w:val="17"/>
          <w:color w:val="auto"/>
        </w:rPr>
      </w:pPr>
      <w:r>
        <w:rPr>
          <w:rFonts w:ascii="Arial" w:cs="Arial" w:eastAsia="Arial" w:hAnsi="Arial"/>
          <w:sz w:val="17"/>
          <w:szCs w:val="17"/>
          <w:color w:val="auto"/>
        </w:rPr>
        <w:t>If, at the time of the receipt of a notice of a Proceeding pursuant to the terms hereof, the Company has directors’ and officers’ liability insurance in effect, the Company shall give prompt notice of the commencement of the Proceeding to the insurers in accordance with the procedures set forth in the applicable policies. The Company shall thereafter take all commercially-reasonable action to cause such insurers to pay, on behalf of Indemnitee, all amounts payable as a result of such Proceeding in accordance with the terms of such policies.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453" w:name="page454"/>
    <w:bookmarkEnd w:id="453"/>
    <w:p>
      <w:pPr>
        <w:ind w:right="40" w:firstLine="987"/>
        <w:spacing w:after="0" w:line="286" w:lineRule="auto"/>
        <w:tabs>
          <w:tab w:leader="none" w:pos="1236" w:val="left"/>
        </w:tabs>
        <w:numPr>
          <w:ilvl w:val="1"/>
          <w:numId w:val="40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the Company may be obligated to make any indemnity in connection with a Proceeding, the Company shall be entitled to assume the defense of such Proceeding with counsel approved by Indemnitee, which approval shall not be unreasonably withheld, upon the delivery to Indemnitee of written notice of its election to do so. After delivery of such notice, approval of such counsel by Indemnitee and the retention of such counsel by the Company, the Company will not be liable to Indemnitee for any fees or expenses of counsel subsequently incurred by Indemnitee with respect to the same Proceeding. Notwithstanding the Company’s assumption of the defense of any such Proceeding, the Company shall be obligated to pay the fees and expenses of Indemnitee’s counsel to the extent (i) the employment of counsel by Indemnitee is authorized by the Company, (ii) counsel for the Company or Indemnitee shall have reasonably concluded that there is a conflict of interest between the Company and Indemnitee in the conduct of any such defense such that Indemnitee needs to be separately represented, (iii) the fees and expenses are non-duplicative and reasonably incurred in connection with Indemnitee’s role in the Proceeding despite the Company’s assumption of the defense, (iv) the Company is not financially or legally able to perform its indemnification obligations or (v) the Company shall not have retained, or shall not continue to retain, such counsel to defend such Proceeding. The Company shall have the right to conduct such defense as it sees fit in its sole discretion. Regardless of any provision in this Agreement, Indemnitee shall have the right to employ counsel in any Proceeding at Indemnitee’s personal expense. The Company shall not be entitled, without the consent of Indemnitee, to assume the defense of any claim brought by or in the right of the Company.</w:t>
      </w:r>
    </w:p>
    <w:p>
      <w:pPr>
        <w:spacing w:after="0" w:line="65" w:lineRule="exact"/>
        <w:rPr>
          <w:rFonts w:ascii="Arial" w:cs="Arial" w:eastAsia="Arial" w:hAnsi="Arial"/>
          <w:sz w:val="16"/>
          <w:szCs w:val="16"/>
          <w:color w:val="auto"/>
        </w:rPr>
      </w:pPr>
    </w:p>
    <w:p>
      <w:pPr>
        <w:ind w:left="1240" w:hanging="253"/>
        <w:spacing w:after="0"/>
        <w:tabs>
          <w:tab w:leader="none" w:pos="1240" w:val="left"/>
        </w:tabs>
        <w:numPr>
          <w:ilvl w:val="1"/>
          <w:numId w:val="403"/>
        </w:numPr>
        <w:rPr>
          <w:rFonts w:ascii="Arial" w:cs="Arial" w:eastAsia="Arial" w:hAnsi="Arial"/>
          <w:sz w:val="17"/>
          <w:szCs w:val="17"/>
          <w:color w:val="auto"/>
        </w:rPr>
      </w:pPr>
      <w:r>
        <w:rPr>
          <w:rFonts w:ascii="Arial" w:cs="Arial" w:eastAsia="Arial" w:hAnsi="Arial"/>
          <w:sz w:val="17"/>
          <w:szCs w:val="17"/>
          <w:color w:val="auto"/>
        </w:rPr>
        <w:t>Indemnitee shall give the Company such information and cooperation in connection with the Proceeding as may be reasonably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appropriate.</w:t>
      </w:r>
    </w:p>
    <w:p>
      <w:pPr>
        <w:spacing w:after="0" w:line="102" w:lineRule="exact"/>
        <w:rPr>
          <w:rFonts w:ascii="Arial" w:cs="Arial" w:eastAsia="Arial" w:hAnsi="Arial"/>
          <w:sz w:val="17"/>
          <w:szCs w:val="17"/>
          <w:color w:val="auto"/>
        </w:rPr>
      </w:pPr>
    </w:p>
    <w:p>
      <w:pPr>
        <w:ind w:right="540" w:firstLine="987"/>
        <w:spacing w:after="0" w:line="277" w:lineRule="auto"/>
        <w:tabs>
          <w:tab w:leader="none" w:pos="1236" w:val="left"/>
        </w:tabs>
        <w:numPr>
          <w:ilvl w:val="1"/>
          <w:numId w:val="403"/>
        </w:numPr>
        <w:rPr>
          <w:rFonts w:ascii="Arial" w:cs="Arial" w:eastAsia="Arial" w:hAnsi="Arial"/>
          <w:sz w:val="18"/>
          <w:szCs w:val="18"/>
          <w:color w:val="auto"/>
        </w:rPr>
      </w:pPr>
      <w:r>
        <w:rPr>
          <w:rFonts w:ascii="Arial" w:cs="Arial" w:eastAsia="Arial" w:hAnsi="Arial"/>
          <w:sz w:val="18"/>
          <w:szCs w:val="18"/>
          <w:color w:val="auto"/>
        </w:rPr>
        <w:t>The Company shall not be liable to indemnify Indemnitee for any settlement of any Proceeding (or any part thereof) without the Company’s prior written consent, which shall not be unreasonably withheld.</w:t>
      </w:r>
    </w:p>
    <w:p>
      <w:pPr>
        <w:spacing w:after="0" w:line="62" w:lineRule="exact"/>
        <w:rPr>
          <w:rFonts w:ascii="Arial" w:cs="Arial" w:eastAsia="Arial" w:hAnsi="Arial"/>
          <w:sz w:val="18"/>
          <w:szCs w:val="18"/>
          <w:color w:val="auto"/>
        </w:rPr>
      </w:pPr>
    </w:p>
    <w:p>
      <w:pPr>
        <w:ind w:right="500" w:firstLine="987"/>
        <w:spacing w:after="0" w:line="277" w:lineRule="auto"/>
        <w:tabs>
          <w:tab w:leader="none" w:pos="1216" w:val="left"/>
        </w:tabs>
        <w:numPr>
          <w:ilvl w:val="1"/>
          <w:numId w:val="403"/>
        </w:numPr>
        <w:rPr>
          <w:rFonts w:ascii="Arial" w:cs="Arial" w:eastAsia="Arial" w:hAnsi="Arial"/>
          <w:sz w:val="18"/>
          <w:szCs w:val="18"/>
          <w:color w:val="auto"/>
        </w:rPr>
      </w:pPr>
      <w:r>
        <w:rPr>
          <w:rFonts w:ascii="Arial" w:cs="Arial" w:eastAsia="Arial" w:hAnsi="Arial"/>
          <w:sz w:val="18"/>
          <w:szCs w:val="18"/>
          <w:color w:val="auto"/>
        </w:rPr>
        <w:t>The Company shall not settle any Proceeding (or any part thereof) without Indemnitee’s prior written consent, which shall not be unreasonably withheld.</w:t>
      </w:r>
    </w:p>
    <w:p>
      <w:pPr>
        <w:spacing w:after="0" w:line="58" w:lineRule="exact"/>
        <w:rPr>
          <w:rFonts w:ascii="Arial" w:cs="Arial" w:eastAsia="Arial" w:hAnsi="Arial"/>
          <w:sz w:val="18"/>
          <w:szCs w:val="18"/>
          <w:color w:val="auto"/>
        </w:rPr>
      </w:pPr>
    </w:p>
    <w:p>
      <w:pPr>
        <w:ind w:left="700" w:hanging="264"/>
        <w:spacing w:after="0"/>
        <w:tabs>
          <w:tab w:leader="none" w:pos="700" w:val="left"/>
        </w:tabs>
        <w:numPr>
          <w:ilvl w:val="0"/>
          <w:numId w:val="404"/>
        </w:numPr>
        <w:rPr>
          <w:rFonts w:ascii="Arial" w:cs="Arial" w:eastAsia="Arial" w:hAnsi="Arial"/>
          <w:sz w:val="18"/>
          <w:szCs w:val="18"/>
          <w:b w:val="1"/>
          <w:bCs w:val="1"/>
          <w:color w:val="auto"/>
        </w:rPr>
      </w:pPr>
      <w:r>
        <w:rPr>
          <w:rFonts w:ascii="Arial" w:cs="Arial" w:eastAsia="Arial" w:hAnsi="Arial"/>
          <w:sz w:val="18"/>
          <w:szCs w:val="18"/>
          <w:b w:val="1"/>
          <w:bCs w:val="1"/>
          <w:color w:val="auto"/>
        </w:rPr>
        <w:t>Procedures upon Application for Indemnification</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right="200" w:firstLine="987"/>
        <w:spacing w:after="0" w:line="296" w:lineRule="auto"/>
        <w:tabs>
          <w:tab w:leader="none" w:pos="1236" w:val="left"/>
        </w:tabs>
        <w:numPr>
          <w:ilvl w:val="1"/>
          <w:numId w:val="404"/>
        </w:numPr>
        <w:rPr>
          <w:rFonts w:ascii="Arial" w:cs="Arial" w:eastAsia="Arial" w:hAnsi="Arial"/>
          <w:sz w:val="16"/>
          <w:szCs w:val="16"/>
          <w:color w:val="auto"/>
        </w:rPr>
      </w:pPr>
      <w:r>
        <w:rPr>
          <w:rFonts w:ascii="Arial" w:cs="Arial" w:eastAsia="Arial" w:hAnsi="Arial"/>
          <w:sz w:val="16"/>
          <w:szCs w:val="16"/>
          <w:color w:val="auto"/>
        </w:rPr>
        <w:t>To obtain indemnification, Indemnitee shall submit to the Company a written request, including therein or therewith such documentation and information as is reasonably available to Indemnitee and as is reasonably necessary to determine whether and to what extent Indemnitee is entitled to indemnification following the final disposition of the Proceeding. The Company shall, as soon as reasonably practicable after receipt of such a request for indemnification, advise the board of directors that Indemnitee has requested indemnification. Any delay in providing the request will not relieve the Company from its obligations under this Agreement, except to the extent such failure is prejudicial.</w:t>
      </w:r>
    </w:p>
    <w:p>
      <w:pPr>
        <w:spacing w:after="0" w:line="53" w:lineRule="exact"/>
        <w:rPr>
          <w:rFonts w:ascii="Arial" w:cs="Arial" w:eastAsia="Arial" w:hAnsi="Arial"/>
          <w:sz w:val="16"/>
          <w:szCs w:val="16"/>
          <w:color w:val="auto"/>
        </w:rPr>
      </w:pPr>
    </w:p>
    <w:p>
      <w:pPr>
        <w:ind w:firstLine="987"/>
        <w:spacing w:after="0" w:line="273" w:lineRule="auto"/>
        <w:tabs>
          <w:tab w:leader="none" w:pos="1246" w:val="left"/>
        </w:tabs>
        <w:numPr>
          <w:ilvl w:val="1"/>
          <w:numId w:val="404"/>
        </w:numPr>
        <w:rPr>
          <w:rFonts w:ascii="Arial" w:cs="Arial" w:eastAsia="Arial" w:hAnsi="Arial"/>
          <w:sz w:val="17"/>
          <w:szCs w:val="17"/>
          <w:color w:val="auto"/>
        </w:rPr>
      </w:pPr>
      <w:r>
        <w:rPr>
          <w:rFonts w:ascii="Arial" w:cs="Arial" w:eastAsia="Arial" w:hAnsi="Arial"/>
          <w:sz w:val="17"/>
          <w:szCs w:val="17"/>
          <w:color w:val="auto"/>
        </w:rPr>
        <w:t>Upon written request by Indemnitee for indemnification pursuant to Section 10(a), a determination, if required by applicable law, with respect to Indemnitee’s entitlement thereto shall be made in the specific case (i) if a Change in Control shall have occurred, by Independent Counsel in a written opinion to the Company’s board of directors, a copy of which shall be delivered to Indemnitee or (ii) if a Change in Control shall not have occurred, (A) by a majority vote of the Disinterested Directors, even though less than a quorum of the Company’s board of directors, (B) by a committee of Disinterested Directors designated by a majority vote of the Disinterested Directors, even though less than a quorum of the Company’s board of directors, (C) if there are no such Disinterested Directors or, if such Disinterested Directors so direct, by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454" w:name="page455"/>
    <w:bookmarkEnd w:id="454"/>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Independent Counsel in a written opinion to the Company’s board of directors, a copy of which shall be delivered to Indemnitee or (D) if so directed by the Company’s board of directors, by the stockholders of the Company. If it is so determined that Indemnitee is entitled to indemnification, payment to Indemnitee shall be made within ten days after such determination. Indemnitee shall cooperate with the person, persons or entity making the determination with respect to Indemnitee’s entitlement to indemnification, including providing to such person, persons or entity upon reasonable advance request any documentation or information that is not privileged or otherwise protected from disclosure and that is reasonably available to Indemnitee and reasonably necessary to such determination. Any costs or expenses (including attorneys’ fees and disbursements) reasonably incurred by Indemnitee in so cooperating with the person, persons or entity making such determination shall be borne by the Company, to the extent permitted by applicable law.</w:t>
      </w:r>
    </w:p>
    <w:p>
      <w:pPr>
        <w:spacing w:after="0" w:line="84" w:lineRule="exact"/>
        <w:rPr>
          <w:sz w:val="20"/>
          <w:szCs w:val="20"/>
          <w:color w:val="auto"/>
        </w:rPr>
      </w:pPr>
    </w:p>
    <w:p>
      <w:pPr>
        <w:ind w:right="20" w:firstLine="987"/>
        <w:spacing w:after="0" w:line="285" w:lineRule="auto"/>
        <w:tabs>
          <w:tab w:leader="none" w:pos="1236" w:val="left"/>
        </w:tabs>
        <w:numPr>
          <w:ilvl w:val="0"/>
          <w:numId w:val="405"/>
        </w:numPr>
        <w:rPr>
          <w:rFonts w:ascii="Arial" w:cs="Arial" w:eastAsia="Arial" w:hAnsi="Arial"/>
          <w:sz w:val="16"/>
          <w:szCs w:val="16"/>
          <w:color w:val="auto"/>
        </w:rPr>
      </w:pPr>
      <w:r>
        <w:rPr>
          <w:rFonts w:ascii="Arial" w:cs="Arial" w:eastAsia="Arial" w:hAnsi="Arial"/>
          <w:sz w:val="16"/>
          <w:szCs w:val="16"/>
          <w:color w:val="auto"/>
        </w:rPr>
        <w:t xml:space="preserve">In the event the determination of entitlement to indemnification is to be made by Independent Counsel pursuant to Section 10(b), the Independent Counsel shall be selected as provided in this Section 10(c). If a Change in Control shall not have occurred, the Independent Counsel shall be selected by the Company’s board of directors, and the Company shall give written notice to Indemnitee advising him or her of the identity of the Independent Counsel so selected. If a Change in Control shall have occurred, the Independent Counsel shall be selected by Indemnitee (unless Indemnitee shall request that such selection be made by the Company’s board of directors, in which event the preceding sentence shall apply), and Indemnitee shall give written notice to the Company advising it of the identity of the Independent Counsel so selected. In either event, Indemnitee or the Company, as the case may be, may, within ten days after such written notice of selection shall have been given, deliver to the Company or to Indemnitee, as the case may be, a written objection to such selection;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objection may be asserted only on the ground that the Independent Counsel so selected does not meet the requirements of “Independent Counsel” as defined in Section 1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has determined that such objection is without merit. If, within 20 days after the later of (i) submission by Indemnitee of a written request for indemnification pursuant to Section 10(a) hereof and (ii) the final disposition of the Proceeding, the parties have not agreed upon an Independent Counsel, either the Company or Indemnitee may petition a court of competent jurisdiction for resolution of any objection which shall have been made by the Company or Indemnitee to the other’s selection of Independent Counsel and for the appointment as Independent Counsel of a person selected by the court or by such other person as the court shall designate, and the person with respect to whom all objections are so resolved or the person so appointed shall act as Independent Counsel under Section 10(b) hereof. Upon the due commencement of any judicial proceeding pursuant to Section 12(a) of this Agreement, the Independent Counsel shall be discharged and relieved of any further responsibility in such capacity (subject to the applicable standards of professional conduct then prevailing).</w:t>
      </w:r>
    </w:p>
    <w:p>
      <w:pPr>
        <w:spacing w:after="0" w:line="60" w:lineRule="exact"/>
        <w:rPr>
          <w:rFonts w:ascii="Arial" w:cs="Arial" w:eastAsia="Arial" w:hAnsi="Arial"/>
          <w:sz w:val="16"/>
          <w:szCs w:val="16"/>
          <w:color w:val="auto"/>
        </w:rPr>
      </w:pPr>
    </w:p>
    <w:p>
      <w:pPr>
        <w:ind w:right="80" w:firstLine="987"/>
        <w:spacing w:after="0" w:line="308" w:lineRule="auto"/>
        <w:tabs>
          <w:tab w:leader="none" w:pos="1246" w:val="left"/>
        </w:tabs>
        <w:numPr>
          <w:ilvl w:val="0"/>
          <w:numId w:val="405"/>
        </w:numPr>
        <w:rPr>
          <w:rFonts w:ascii="Arial" w:cs="Arial" w:eastAsia="Arial" w:hAnsi="Arial"/>
          <w:sz w:val="17"/>
          <w:szCs w:val="17"/>
          <w:color w:val="auto"/>
        </w:rPr>
      </w:pPr>
      <w:r>
        <w:rPr>
          <w:rFonts w:ascii="Arial" w:cs="Arial" w:eastAsia="Arial" w:hAnsi="Arial"/>
          <w:sz w:val="17"/>
          <w:szCs w:val="17"/>
          <w:color w:val="auto"/>
        </w:rPr>
        <w:t>The Company agrees to pay the reasonable fees and expenses of any Independent Counsel and to fully indemnify such counsel against any and all Expenses, claims, liabilities and damages arising out of or relating to this Agreement or its engagement pursuant hereto.</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455" w:name="page456"/>
    <w:bookmarkEnd w:id="455"/>
    <w:p>
      <w:pPr>
        <w:ind w:left="704" w:hanging="264"/>
        <w:spacing w:after="0"/>
        <w:tabs>
          <w:tab w:leader="none" w:pos="704" w:val="left"/>
        </w:tabs>
        <w:numPr>
          <w:ilvl w:val="1"/>
          <w:numId w:val="40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Presumptions and Effect of Certain Proceedings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 w:right="60" w:firstLine="987"/>
        <w:spacing w:after="0" w:line="257" w:lineRule="auto"/>
        <w:tabs>
          <w:tab w:leader="none" w:pos="1240" w:val="left"/>
        </w:tabs>
        <w:numPr>
          <w:ilvl w:val="2"/>
          <w:numId w:val="406"/>
        </w:numPr>
        <w:rPr>
          <w:rFonts w:ascii="Arial" w:cs="Arial" w:eastAsia="Arial" w:hAnsi="Arial"/>
          <w:sz w:val="18"/>
          <w:szCs w:val="18"/>
          <w:color w:val="auto"/>
        </w:rPr>
      </w:pPr>
      <w:r>
        <w:rPr>
          <w:rFonts w:ascii="Arial" w:cs="Arial" w:eastAsia="Arial" w:hAnsi="Arial"/>
          <w:sz w:val="18"/>
          <w:szCs w:val="18"/>
          <w:color w:val="auto"/>
        </w:rPr>
        <w:t>In making a determination with respect to entitlement to indemnification hereunder, the person, persons or entity making such determination shall, to the fullest extent not prohibited by law, presume that Indemnitee is entitled to indemnification under this Agreement if Indemnitee has submitted a request for indemnification in accordance with Section 10(a) of this Agreement, and the Company shall, to the fullest extent not prohibited by law, have the burden of proof to overcome that presumption in connection with the making by such person, persons or entity of any determination contrary to that presumption.</w:t>
      </w:r>
    </w:p>
    <w:p>
      <w:pPr>
        <w:spacing w:after="0" w:line="79" w:lineRule="exact"/>
        <w:rPr>
          <w:rFonts w:ascii="Arial" w:cs="Arial" w:eastAsia="Arial" w:hAnsi="Arial"/>
          <w:sz w:val="18"/>
          <w:szCs w:val="18"/>
          <w:color w:val="auto"/>
        </w:rPr>
      </w:pPr>
    </w:p>
    <w:p>
      <w:pPr>
        <w:ind w:left="4" w:right="20" w:firstLine="987"/>
        <w:spacing w:after="0" w:line="257" w:lineRule="auto"/>
        <w:tabs>
          <w:tab w:leader="none" w:pos="1250" w:val="left"/>
        </w:tabs>
        <w:numPr>
          <w:ilvl w:val="2"/>
          <w:numId w:val="406"/>
        </w:numPr>
        <w:rPr>
          <w:rFonts w:ascii="Arial" w:cs="Arial" w:eastAsia="Arial" w:hAnsi="Arial"/>
          <w:sz w:val="18"/>
          <w:szCs w:val="18"/>
          <w:color w:val="auto"/>
        </w:rPr>
      </w:pPr>
      <w:r>
        <w:rPr>
          <w:rFonts w:ascii="Arial" w:cs="Arial" w:eastAsia="Arial" w:hAnsi="Arial"/>
          <w:sz w:val="18"/>
          <w:szCs w:val="18"/>
          <w:color w:val="auto"/>
        </w:rPr>
        <w:t xml:space="preserve">The termination of any Proceeding or of any claim, issue or matter therein, by judgment, order, settlement or conviction, or upon a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79" w:lineRule="exact"/>
        <w:rPr>
          <w:rFonts w:ascii="Arial" w:cs="Arial" w:eastAsia="Arial" w:hAnsi="Arial"/>
          <w:sz w:val="18"/>
          <w:szCs w:val="18"/>
          <w:color w:val="auto"/>
        </w:rPr>
      </w:pPr>
    </w:p>
    <w:p>
      <w:pPr>
        <w:ind w:left="4" w:firstLine="987"/>
        <w:spacing w:after="0" w:line="272" w:lineRule="auto"/>
        <w:tabs>
          <w:tab w:leader="none" w:pos="1240" w:val="left"/>
        </w:tabs>
        <w:numPr>
          <w:ilvl w:val="2"/>
          <w:numId w:val="406"/>
        </w:numPr>
        <w:rPr>
          <w:rFonts w:ascii="Arial" w:cs="Arial" w:eastAsia="Arial" w:hAnsi="Arial"/>
          <w:sz w:val="17"/>
          <w:szCs w:val="17"/>
          <w:color w:val="auto"/>
        </w:rPr>
      </w:pPr>
      <w:r>
        <w:rPr>
          <w:rFonts w:ascii="Arial" w:cs="Arial" w:eastAsia="Arial" w:hAnsi="Arial"/>
          <w:sz w:val="17"/>
          <w:szCs w:val="17"/>
          <w:color w:val="auto"/>
        </w:rPr>
        <w:t>For purposes of any determination of good faith, Indemnitee shall be deemed to have acted in good faith to the extent Indemnitee relied in good faith on (i) the records or books of account of the Enterprise, including financial statements, (ii) information supplied to Indemnitee by the officers of the Enterprise in the course of their duties, (iii) the advice of legal counsel for the Enterprise or its board of directors or counsel selected by any committee of the board of directors or (iv) information or records given or reports made to the Enterprise by an independent certified public accountant, an appraiser, investment banker or other expert selected with reasonable care by the Enterprise or its board of directors or any committee of the board of directors. The provisions of this Section 11(c) shall not be deemed to be exclusive or to limit in any way the other circumstances in which Indemnitee may be deemed to have met the applicable standard of conduct set forth in this Agreement.</w:t>
      </w:r>
    </w:p>
    <w:p>
      <w:pPr>
        <w:spacing w:after="0" w:line="69" w:lineRule="exact"/>
        <w:rPr>
          <w:rFonts w:ascii="Arial" w:cs="Arial" w:eastAsia="Arial" w:hAnsi="Arial"/>
          <w:sz w:val="17"/>
          <w:szCs w:val="17"/>
          <w:color w:val="auto"/>
        </w:rPr>
      </w:pPr>
    </w:p>
    <w:p>
      <w:pPr>
        <w:ind w:left="4" w:right="120" w:firstLine="987"/>
        <w:spacing w:after="0" w:line="277" w:lineRule="auto"/>
        <w:tabs>
          <w:tab w:leader="none" w:pos="1250" w:val="left"/>
        </w:tabs>
        <w:numPr>
          <w:ilvl w:val="2"/>
          <w:numId w:val="406"/>
        </w:numPr>
        <w:rPr>
          <w:rFonts w:ascii="Arial" w:cs="Arial" w:eastAsia="Arial" w:hAnsi="Arial"/>
          <w:sz w:val="18"/>
          <w:szCs w:val="18"/>
          <w:color w:val="auto"/>
        </w:rPr>
      </w:pPr>
      <w:r>
        <w:rPr>
          <w:rFonts w:ascii="Arial" w:cs="Arial" w:eastAsia="Arial" w:hAnsi="Arial"/>
          <w:sz w:val="18"/>
          <w:szCs w:val="18"/>
          <w:color w:val="auto"/>
        </w:rPr>
        <w:t>Neither the knowledge, actions nor failure to act of any other director, officer, agent or employee of the Enterprise shall be imputed to Indemnitee for purposes of determining the right to indemnification under this Agreement.</w:t>
      </w:r>
    </w:p>
    <w:p>
      <w:pPr>
        <w:spacing w:after="0" w:line="58" w:lineRule="exact"/>
        <w:rPr>
          <w:rFonts w:ascii="Arial" w:cs="Arial" w:eastAsia="Arial" w:hAnsi="Arial"/>
          <w:sz w:val="18"/>
          <w:szCs w:val="18"/>
          <w:color w:val="auto"/>
        </w:rPr>
      </w:pPr>
    </w:p>
    <w:p>
      <w:pPr>
        <w:ind w:left="704" w:hanging="264"/>
        <w:spacing w:after="0"/>
        <w:tabs>
          <w:tab w:leader="none" w:pos="704" w:val="left"/>
        </w:tabs>
        <w:numPr>
          <w:ilvl w:val="1"/>
          <w:numId w:val="406"/>
        </w:numPr>
        <w:rPr>
          <w:rFonts w:ascii="Arial" w:cs="Arial" w:eastAsia="Arial" w:hAnsi="Arial"/>
          <w:sz w:val="18"/>
          <w:szCs w:val="18"/>
          <w:b w:val="1"/>
          <w:bCs w:val="1"/>
          <w:color w:val="auto"/>
        </w:rPr>
      </w:pPr>
      <w:r>
        <w:rPr>
          <w:rFonts w:ascii="Arial" w:cs="Arial" w:eastAsia="Arial" w:hAnsi="Arial"/>
          <w:sz w:val="18"/>
          <w:szCs w:val="18"/>
          <w:b w:val="1"/>
          <w:bCs w:val="1"/>
          <w:color w:val="auto"/>
        </w:rPr>
        <w:t>Remedies of Indemnitee</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 w:right="200" w:firstLine="987"/>
        <w:spacing w:after="0" w:line="291" w:lineRule="auto"/>
        <w:tabs>
          <w:tab w:leader="none" w:pos="1240" w:val="left"/>
        </w:tabs>
        <w:numPr>
          <w:ilvl w:val="2"/>
          <w:numId w:val="406"/>
        </w:numPr>
        <w:rPr>
          <w:rFonts w:ascii="Arial" w:cs="Arial" w:eastAsia="Arial" w:hAnsi="Arial"/>
          <w:sz w:val="16"/>
          <w:szCs w:val="16"/>
          <w:color w:val="auto"/>
        </w:rPr>
      </w:pPr>
      <w:r>
        <w:rPr>
          <w:rFonts w:ascii="Arial" w:cs="Arial" w:eastAsia="Arial" w:hAnsi="Arial"/>
          <w:sz w:val="16"/>
          <w:szCs w:val="16"/>
          <w:color w:val="auto"/>
        </w:rPr>
        <w:t>Subject to Section 12(e), in the event that (i) a determination is made pursuant to Section 10 of this Agreement that Indemnitee is not entitled to indemnification under this Agreement, (ii) advancement of Expenses is not timely made pursuant to Section 8 or 12(d) of this Agreement,</w:t>
      </w:r>
    </w:p>
    <w:p>
      <w:pPr>
        <w:ind w:left="4" w:right="20" w:hanging="4"/>
        <w:spacing w:after="0" w:line="281" w:lineRule="auto"/>
        <w:tabs>
          <w:tab w:leader="none" w:pos="319" w:val="left"/>
        </w:tabs>
        <w:numPr>
          <w:ilvl w:val="0"/>
          <w:numId w:val="407"/>
        </w:numPr>
        <w:rPr>
          <w:rFonts w:ascii="Arial" w:cs="Arial" w:eastAsia="Arial" w:hAnsi="Arial"/>
          <w:sz w:val="16"/>
          <w:szCs w:val="16"/>
          <w:color w:val="auto"/>
        </w:rPr>
      </w:pPr>
      <w:r>
        <w:rPr>
          <w:rFonts w:ascii="Arial" w:cs="Arial" w:eastAsia="Arial" w:hAnsi="Arial"/>
          <w:sz w:val="16"/>
          <w:szCs w:val="16"/>
          <w:color w:val="auto"/>
        </w:rPr>
        <w:t>no determination of entitlement to indemnification shall have been made pursuant to Section 10 of this Agreement within 90 days after the later of the receipt by the Company of the request for indemnification or the final disposition of the Proceeding, (iv) payment of indemnification pursuant to this Agreement is not made (A) within ten days after a determination has been made that Indemnitee is entitled to indemnification or (B) with respect to indemnification pursuant to Sections 4, 5 and 12(d) of this Agreement, within 30 days after receipt by the Company of a written request therefor, or</w:t>
      </w:r>
    </w:p>
    <w:p>
      <w:pPr>
        <w:spacing w:after="0" w:line="2" w:lineRule="exact"/>
        <w:rPr>
          <w:rFonts w:ascii="Arial" w:cs="Arial" w:eastAsia="Arial" w:hAnsi="Arial"/>
          <w:sz w:val="16"/>
          <w:szCs w:val="16"/>
          <w:color w:val="auto"/>
        </w:rPr>
      </w:pPr>
    </w:p>
    <w:p>
      <w:pPr>
        <w:ind w:left="4" w:right="120" w:hanging="4"/>
        <w:spacing w:after="0" w:line="295" w:lineRule="auto"/>
        <w:tabs>
          <w:tab w:leader="none" w:pos="259" w:val="left"/>
        </w:tabs>
        <w:numPr>
          <w:ilvl w:val="0"/>
          <w:numId w:val="408"/>
        </w:numPr>
        <w:rPr>
          <w:rFonts w:ascii="Arial" w:cs="Arial" w:eastAsia="Arial" w:hAnsi="Arial"/>
          <w:sz w:val="16"/>
          <w:szCs w:val="16"/>
          <w:color w:val="auto"/>
        </w:rPr>
      </w:pPr>
      <w:r>
        <w:rPr>
          <w:rFonts w:ascii="Arial" w:cs="Arial" w:eastAsia="Arial" w:hAnsi="Arial"/>
          <w:sz w:val="16"/>
          <w:szCs w:val="16"/>
          <w:color w:val="auto"/>
        </w:rPr>
        <w:t>the Company or any other person or entity takes or threatens to take any action to declare this Agreement void or unenforceable, or institutes any litigation or other action or proceeding designed to deny, or to recover from, Indemnitee the benefits provided or intended to be provided to Indemnitee hereunder, Indemnitee shall be entitled to an adjudication by a court of competent jurisdiction of his or her entitlement to such indemnification or advancement of Expenses. The Company shall not oppose Indemnitee’s right to seek any such adjudication in accordance with this Agreement.</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0" w:right="459" w:bottom="1440" w:gutter="0" w:footer="0" w:header="0"/>
        </w:sectPr>
      </w:pPr>
    </w:p>
    <w:bookmarkStart w:id="456" w:name="page457"/>
    <w:bookmarkEnd w:id="456"/>
    <w:p>
      <w:pPr>
        <w:ind w:left="-20" w:firstLine="987"/>
        <w:spacing w:after="0" w:line="270" w:lineRule="auto"/>
        <w:tabs>
          <w:tab w:leader="none" w:pos="1226" w:val="left"/>
        </w:tabs>
        <w:numPr>
          <w:ilvl w:val="1"/>
          <w:numId w:val="40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Neither (i) the failure of the Company, its board of directors, any committee or subgroup of the board of directors, Independent Counsel or stockholders to have made a determination that indemnification of Indemnitee is proper in the circumstances because Indemnitee has met the applicable standard of conduct, nor (ii) an actual determination by the Company, its board of directors, any committee or subgroup of the board of directors, Independent Counsel or stockholders that Indemnitee has not met the applicable standard of conduct, shall be a defense to the action or create a presumption that Indemnitee has or has not met the applicable standard of conduct. In the event that a determination shall have been made pursuant to Section 10 of this Agreement that Indemnitee is not entitled to indemnification, any judicial proceeding commenced pursuant to this Section 12 shall be conducted in all respects as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trial, on the merits, and Indemnitee shall not be prejudiced by reason of that adverse determination. In any judicial proceeding commenced pursuant to this Section 12, the Company shall, to the fullest extent not prohibited by law, have the burden of proving Indemnitee is not entitled to indemnification or advancement of Expenses, as the case may be.</w:t>
      </w:r>
    </w:p>
    <w:p>
      <w:pPr>
        <w:spacing w:after="0" w:line="72" w:lineRule="exact"/>
        <w:rPr>
          <w:rFonts w:ascii="Arial" w:cs="Arial" w:eastAsia="Arial" w:hAnsi="Arial"/>
          <w:sz w:val="17"/>
          <w:szCs w:val="17"/>
          <w:color w:val="auto"/>
        </w:rPr>
      </w:pPr>
    </w:p>
    <w:p>
      <w:pPr>
        <w:ind w:left="-20" w:firstLine="987"/>
        <w:spacing w:after="0" w:line="254" w:lineRule="auto"/>
        <w:tabs>
          <w:tab w:leader="none" w:pos="1216" w:val="left"/>
        </w:tabs>
        <w:numPr>
          <w:ilvl w:val="1"/>
          <w:numId w:val="409"/>
        </w:numPr>
        <w:rPr>
          <w:rFonts w:ascii="Arial" w:cs="Arial" w:eastAsia="Arial" w:hAnsi="Arial"/>
          <w:sz w:val="18"/>
          <w:szCs w:val="18"/>
          <w:color w:val="auto"/>
        </w:rPr>
      </w:pPr>
      <w:r>
        <w:rPr>
          <w:rFonts w:ascii="Arial" w:cs="Arial" w:eastAsia="Arial" w:hAnsi="Arial"/>
          <w:sz w:val="18"/>
          <w:szCs w:val="18"/>
          <w:color w:val="auto"/>
        </w:rPr>
        <w:t>To the fullest extent not prohibited by law, the Company shall be precluded from asserting in any judicial proceeding commenced pursuant to this Section 12 that the procedures and presumptions of this Agreement are not valid, binding and enforceable and shall stipulate in any such court that the Company is bound by all the provisions of this Agreement. If a determination shall have been made pursuant to Section 10 of this Agreement that Indemnitee is entitled to indemnification, the Company shall be bound by such determination in any judicial proceeding commenced pursuant to this Section 12, absent (i) a misstatement by Indemnitee of a material fact, or an omission of a material fact necessary to make Indemnitee’s statements not materially misleading, in connection with the request for indemnification, or (ii) a prohibition of such indemnification under applicable law.</w:t>
      </w:r>
    </w:p>
    <w:p>
      <w:pPr>
        <w:spacing w:after="0" w:line="86" w:lineRule="exact"/>
        <w:rPr>
          <w:rFonts w:ascii="Arial" w:cs="Arial" w:eastAsia="Arial" w:hAnsi="Arial"/>
          <w:sz w:val="18"/>
          <w:szCs w:val="18"/>
          <w:color w:val="auto"/>
        </w:rPr>
      </w:pPr>
    </w:p>
    <w:p>
      <w:pPr>
        <w:ind w:left="-20" w:right="60" w:firstLine="987"/>
        <w:spacing w:after="0" w:line="257" w:lineRule="auto"/>
        <w:tabs>
          <w:tab w:leader="none" w:pos="1226" w:val="left"/>
        </w:tabs>
        <w:numPr>
          <w:ilvl w:val="1"/>
          <w:numId w:val="409"/>
        </w:numPr>
        <w:rPr>
          <w:rFonts w:ascii="Arial" w:cs="Arial" w:eastAsia="Arial" w:hAnsi="Arial"/>
          <w:sz w:val="18"/>
          <w:szCs w:val="18"/>
          <w:color w:val="auto"/>
        </w:rPr>
      </w:pPr>
      <w:r>
        <w:rPr>
          <w:rFonts w:ascii="Arial" w:cs="Arial" w:eastAsia="Arial" w:hAnsi="Arial"/>
          <w:sz w:val="18"/>
          <w:szCs w:val="18"/>
          <w:color w:val="auto"/>
        </w:rPr>
        <w:t>To the extent not prohibited by law, the Company shall indemnify Indemnitee against all Expenses that are incurred by Indemnitee in connection with any action for indemnification or advancement of Expenses from the Company under this Agreement or under any directors’ and officers’ liability insurance policies maintained by the Company to the extent Indemnitee is successful in such action, and, if requested by Indemnitee, shall (as soon as reasonably practicable, but in any event no later than 60 days, after receipt by the Company of a written request therefor) advance such Expenses to Indemnitee, subject to the provisions of Section 8.</w:t>
      </w:r>
    </w:p>
    <w:p>
      <w:pPr>
        <w:spacing w:after="0" w:line="79" w:lineRule="exact"/>
        <w:rPr>
          <w:rFonts w:ascii="Arial" w:cs="Arial" w:eastAsia="Arial" w:hAnsi="Arial"/>
          <w:sz w:val="18"/>
          <w:szCs w:val="18"/>
          <w:color w:val="auto"/>
        </w:rPr>
      </w:pPr>
    </w:p>
    <w:p>
      <w:pPr>
        <w:ind w:left="-20" w:right="120" w:firstLine="987"/>
        <w:spacing w:after="0" w:line="277" w:lineRule="auto"/>
        <w:tabs>
          <w:tab w:leader="none" w:pos="1216" w:val="left"/>
        </w:tabs>
        <w:numPr>
          <w:ilvl w:val="1"/>
          <w:numId w:val="409"/>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no determination as to entitlement to indemnification shall be required to be made prior to the final disposition of the Proceeding.</w:t>
      </w:r>
    </w:p>
    <w:p>
      <w:pPr>
        <w:spacing w:after="0" w:line="58" w:lineRule="exact"/>
        <w:rPr>
          <w:rFonts w:ascii="Arial" w:cs="Arial" w:eastAsia="Arial" w:hAnsi="Arial"/>
          <w:sz w:val="18"/>
          <w:szCs w:val="18"/>
          <w:color w:val="auto"/>
        </w:rPr>
      </w:pPr>
    </w:p>
    <w:p>
      <w:pPr>
        <w:ind w:left="-20" w:right="180" w:firstLine="436"/>
        <w:spacing w:after="0" w:line="294" w:lineRule="auto"/>
        <w:tabs>
          <w:tab w:leader="none" w:pos="690" w:val="left"/>
        </w:tabs>
        <w:numPr>
          <w:ilvl w:val="0"/>
          <w:numId w:val="4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Contribution. </w:t>
      </w:r>
      <w:r>
        <w:rPr>
          <w:rFonts w:ascii="Arial" w:cs="Arial" w:eastAsia="Arial" w:hAnsi="Arial"/>
          <w:sz w:val="16"/>
          <w:szCs w:val="16"/>
          <w:color w:val="auto"/>
        </w:rPr>
        <w:t>To the fullest extent permissible under applicable law, if the indemnification provided for in this Agreement is unavailable to</w:t>
      </w:r>
      <w:r>
        <w:rPr>
          <w:rFonts w:ascii="Arial" w:cs="Arial" w:eastAsia="Arial" w:hAnsi="Arial"/>
          <w:sz w:val="16"/>
          <w:szCs w:val="16"/>
          <w:b w:val="1"/>
          <w:bCs w:val="1"/>
          <w:color w:val="auto"/>
        </w:rPr>
        <w:t xml:space="preserve"> </w:t>
      </w:r>
      <w:r>
        <w:rPr>
          <w:rFonts w:ascii="Arial" w:cs="Arial" w:eastAsia="Arial" w:hAnsi="Arial"/>
          <w:sz w:val="16"/>
          <w:szCs w:val="16"/>
          <w:color w:val="auto"/>
        </w:rPr>
        <w:t>Indemnitee, the Company, in lieu of indemnifying Indemnitee, shall contribute to the amounts incurred by Indemnitee, whether for Expenses, judgments, fines or amounts paid or to be paid in settlement,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 transactions giving rise to such Proceeding; and (ii) the relative fault of Indemnitee and the Company (and its other directors, officers, employees and agents) in connection with such events and transactions.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60" w:top="274" w:right="479" w:bottom="1440" w:gutter="0" w:footer="0" w:header="0"/>
        </w:sectPr>
      </w:pPr>
    </w:p>
    <w:bookmarkStart w:id="457" w:name="page458"/>
    <w:bookmarkEnd w:id="457"/>
    <w:p>
      <w:pPr>
        <w:ind w:left="-60" w:right="60" w:firstLine="436"/>
        <w:spacing w:after="0" w:line="289" w:lineRule="auto"/>
        <w:tabs>
          <w:tab w:leader="none" w:pos="650" w:val="left"/>
        </w:tabs>
        <w:numPr>
          <w:ilvl w:val="0"/>
          <w:numId w:val="41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Non-exclusivity. </w:t>
      </w:r>
      <w:r>
        <w:rPr>
          <w:rFonts w:ascii="Arial" w:cs="Arial" w:eastAsia="Arial" w:hAnsi="Arial"/>
          <w:sz w:val="16"/>
          <w:szCs w:val="16"/>
          <w:color w:val="auto"/>
        </w:rPr>
        <w:t>The rights of indemnification and to receive advancement of Expenses as provided by this Agreement shall not be deemed</w:t>
      </w:r>
      <w:r>
        <w:rPr>
          <w:rFonts w:ascii="Arial" w:cs="Arial" w:eastAsia="Arial" w:hAnsi="Arial"/>
          <w:sz w:val="16"/>
          <w:szCs w:val="16"/>
          <w:b w:val="1"/>
          <w:bCs w:val="1"/>
          <w:color w:val="auto"/>
        </w:rPr>
        <w:t xml:space="preserve"> </w:t>
      </w:r>
      <w:r>
        <w:rPr>
          <w:rFonts w:ascii="Arial" w:cs="Arial" w:eastAsia="Arial" w:hAnsi="Arial"/>
          <w:sz w:val="16"/>
          <w:szCs w:val="16"/>
          <w:color w:val="auto"/>
        </w:rPr>
        <w:t>exclusive of any other rights to which Indemnitee may at any time be entitled under applicable law, the Company’s certificate of incorporation or bylaws, any agreement, a vote of stockholders or a resolution of directors, or otherwise. To the extent that a change in Delaware law, whether by statute or judicial decision, permits greater indemnification or advancement of Expenses than would be afforded currently under the Company’s certificate of incorporation and bylaws and this Agreement, it is the intent of the parties hereto that Indemnitee shall enjoy by this Agreement the greater benefits so afforded by such change, subject to the restrictions expressly set forth herein or therein. Except as expressly set forth herein, no right or remedy herein conferred is intended to be exclusive of any other right or remedy, and every other right and remedy shall be cumulative and in addition to every other right and remedy given hereunder or now or hereafter existing at law or in equity or otherwise. Except as expressly set forth herein, the assertion or employment of any right or remedy hereunder, or otherwise, shall not prevent the concurrent assertion or employment of any other right or remedy.</w:t>
      </w:r>
    </w:p>
    <w:p>
      <w:pPr>
        <w:spacing w:after="0" w:line="58" w:lineRule="exact"/>
        <w:rPr>
          <w:rFonts w:ascii="Arial" w:cs="Arial" w:eastAsia="Arial" w:hAnsi="Arial"/>
          <w:sz w:val="16"/>
          <w:szCs w:val="16"/>
          <w:b w:val="1"/>
          <w:bCs w:val="1"/>
          <w:color w:val="auto"/>
        </w:rPr>
      </w:pPr>
    </w:p>
    <w:p>
      <w:pPr>
        <w:ind w:left="-60" w:firstLine="436"/>
        <w:spacing w:after="0" w:line="286" w:lineRule="auto"/>
        <w:tabs>
          <w:tab w:leader="none" w:pos="650" w:val="left"/>
        </w:tabs>
        <w:numPr>
          <w:ilvl w:val="0"/>
          <w:numId w:val="4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Primary Responsibility. </w:t>
      </w:r>
      <w:r>
        <w:rPr>
          <w:rFonts w:ascii="Arial" w:cs="Arial" w:eastAsia="Arial" w:hAnsi="Arial"/>
          <w:sz w:val="16"/>
          <w:szCs w:val="16"/>
          <w:color w:val="auto"/>
        </w:rPr>
        <w:t>The Company acknowledges that to the extent Indemnitee is serving as a director on the Company’s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at the request or direction of a venture capital fund or other entity and/or certain of its affiliates (collectively, the “Secondary Indemnitors”), Indemnitee may have certain rights to indemnification and advancement of expenses provided by such Secondary Indemnitors. The Company agrees that, as between the Company and the Secondary Indemnitors, the Company is primarily responsible for amounts required to be indemnified or advanced under the Company’s certificate of incorporation or bylaws or this Agreement and any obligation of the Secondary Indemnitors to provide indemnification or advancement for the same amounts is secondary to those Company obligations. To the extent not in contravention of any insurance policy or policies providing liability or other insurance for the Company or any director, trustee, general partner, managing member, officer, employee, agent or fiduciary of the Company or any other Enterprise, the Company waives any right of contribution or subrogation against the Secondary Indemnitors with respect to the liabilities for which the Company is primarily responsible under this Section 15. In the event of any payment by the Secondary Indemnitors of amounts otherwise required to be indemnified or advanced by the Company under the Company’s certificate of incorporation or bylaws or this Agreement, the Secondary Indemnitors shall be subrogated to the extent of such payment to all of the rights of recovery of Indemnitee for indemnification or advancement of expenses under the Company’s certificate of incorporation or bylaws or this Agreement or, to the extent such subrogation is unavailable and contribution is found to be the applicable remedy, shall have a right of contribution with respect to the amounts paid. The Secondary Indemnitors are express third-party beneficiaries of the terms of this Section 15.</w:t>
      </w:r>
    </w:p>
    <w:p>
      <w:pPr>
        <w:spacing w:after="0" w:line="62" w:lineRule="exact"/>
        <w:rPr>
          <w:rFonts w:ascii="Arial" w:cs="Arial" w:eastAsia="Arial" w:hAnsi="Arial"/>
          <w:sz w:val="16"/>
          <w:szCs w:val="16"/>
          <w:b w:val="1"/>
          <w:bCs w:val="1"/>
          <w:color w:val="auto"/>
        </w:rPr>
      </w:pPr>
    </w:p>
    <w:p>
      <w:pPr>
        <w:ind w:left="-60" w:right="20" w:firstLine="436"/>
        <w:spacing w:after="0" w:line="266" w:lineRule="auto"/>
        <w:tabs>
          <w:tab w:leader="none" w:pos="650" w:val="left"/>
        </w:tabs>
        <w:numPr>
          <w:ilvl w:val="0"/>
          <w:numId w:val="4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Duplication of Payments. </w:t>
      </w:r>
      <w:r>
        <w:rPr>
          <w:rFonts w:ascii="Arial" w:cs="Arial" w:eastAsia="Arial" w:hAnsi="Arial"/>
          <w:sz w:val="18"/>
          <w:szCs w:val="18"/>
          <w:color w:val="auto"/>
        </w:rPr>
        <w:t>The Company shall not be liable under this Agreement to make any payment of amounts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indemnifiable hereunder (or for which advancement is provided hereunder) if and to the extent that Indemnitee has otherwise actually received payment for such amounts under any insurance policy, contract, agreement or otherwise.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500" w:top="270" w:right="499" w:bottom="1440" w:gutter="0" w:footer="0" w:header="0"/>
        </w:sectPr>
      </w:pPr>
    </w:p>
    <w:bookmarkStart w:id="458" w:name="page459"/>
    <w:bookmarkEnd w:id="458"/>
    <w:p>
      <w:pPr>
        <w:ind w:left="-60" w:firstLine="436"/>
        <w:spacing w:after="0" w:line="314" w:lineRule="auto"/>
        <w:tabs>
          <w:tab w:leader="none" w:pos="650" w:val="left"/>
        </w:tabs>
        <w:numPr>
          <w:ilvl w:val="0"/>
          <w:numId w:val="412"/>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Insurance. </w:t>
      </w:r>
      <w:r>
        <w:rPr>
          <w:rFonts w:ascii="Arial" w:cs="Arial" w:eastAsia="Arial" w:hAnsi="Arial"/>
          <w:sz w:val="16"/>
          <w:szCs w:val="16"/>
          <w:color w:val="auto"/>
        </w:rPr>
        <w:t>To the extent that the Company maintains an insurance policy or policies providing liability insurance for directors, trustees,</w:t>
      </w:r>
      <w:r>
        <w:rPr>
          <w:rFonts w:ascii="Arial" w:cs="Arial" w:eastAsia="Arial" w:hAnsi="Arial"/>
          <w:sz w:val="16"/>
          <w:szCs w:val="16"/>
          <w:b w:val="1"/>
          <w:bCs w:val="1"/>
          <w:color w:val="auto"/>
        </w:rPr>
        <w:t xml:space="preserve"> </w:t>
      </w:r>
      <w:r>
        <w:rPr>
          <w:rFonts w:ascii="Arial" w:cs="Arial" w:eastAsia="Arial" w:hAnsi="Arial"/>
          <w:sz w:val="16"/>
          <w:szCs w:val="16"/>
          <w:color w:val="auto"/>
        </w:rPr>
        <w:t>general partners, managing members, officers, employees, agents or fiduciaries of the Company or any other Enterprise, Indemnitee shall be covered by such policy or policies to the same extent as the most favorably-insured persons under such policy or policies in a comparable position.</w:t>
      </w:r>
    </w:p>
    <w:p>
      <w:pPr>
        <w:spacing w:after="0" w:line="33" w:lineRule="exact"/>
        <w:rPr>
          <w:rFonts w:ascii="Arial" w:cs="Arial" w:eastAsia="Arial" w:hAnsi="Arial"/>
          <w:sz w:val="16"/>
          <w:szCs w:val="16"/>
          <w:b w:val="1"/>
          <w:bCs w:val="1"/>
          <w:color w:val="auto"/>
        </w:rPr>
      </w:pPr>
    </w:p>
    <w:p>
      <w:pPr>
        <w:ind w:left="-60" w:right="60" w:firstLine="436"/>
        <w:spacing w:after="0" w:line="266" w:lineRule="auto"/>
        <w:tabs>
          <w:tab w:leader="none" w:pos="650" w:val="left"/>
        </w:tabs>
        <w:numPr>
          <w:ilvl w:val="0"/>
          <w:numId w:val="4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Subrogation. </w:t>
      </w:r>
      <w:r>
        <w:rPr>
          <w:rFonts w:ascii="Arial" w:cs="Arial" w:eastAsia="Arial" w:hAnsi="Arial"/>
          <w:sz w:val="18"/>
          <w:szCs w:val="18"/>
          <w:color w:val="auto"/>
        </w:rPr>
        <w:t>In the event of any payment under this Agreement, the Company shall be subrogated to the extent of such payment to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rights of recovery of Indemnitee, who shall execute all papers required and take all action necessary to secure such rights, including execution of such documents as are necessary to enable the Company to bring suit to enforce such rights.</w:t>
      </w:r>
    </w:p>
    <w:p>
      <w:pPr>
        <w:spacing w:after="0" w:line="67" w:lineRule="exact"/>
        <w:rPr>
          <w:rFonts w:ascii="Arial" w:cs="Arial" w:eastAsia="Arial" w:hAnsi="Arial"/>
          <w:sz w:val="18"/>
          <w:szCs w:val="18"/>
          <w:b w:val="1"/>
          <w:bCs w:val="1"/>
          <w:color w:val="auto"/>
        </w:rPr>
      </w:pPr>
    </w:p>
    <w:p>
      <w:pPr>
        <w:ind w:left="-60" w:firstLine="436"/>
        <w:spacing w:after="0" w:line="269" w:lineRule="auto"/>
        <w:tabs>
          <w:tab w:leader="none" w:pos="650" w:val="left"/>
        </w:tabs>
        <w:numPr>
          <w:ilvl w:val="0"/>
          <w:numId w:val="4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Services to the Company. </w:t>
      </w:r>
      <w:r>
        <w:rPr>
          <w:rFonts w:ascii="Arial" w:cs="Arial" w:eastAsia="Arial" w:hAnsi="Arial"/>
          <w:sz w:val="17"/>
          <w:szCs w:val="17"/>
          <w:color w:val="auto"/>
        </w:rPr>
        <w:t>Indemnitee agrees to serve as a director or officer of the Company or, at the request of the Company, as a director,</w:t>
      </w:r>
      <w:r>
        <w:rPr>
          <w:rFonts w:ascii="Arial" w:cs="Arial" w:eastAsia="Arial" w:hAnsi="Arial"/>
          <w:sz w:val="17"/>
          <w:szCs w:val="17"/>
          <w:b w:val="1"/>
          <w:bCs w:val="1"/>
          <w:color w:val="auto"/>
        </w:rPr>
        <w:t xml:space="preserve"> </w:t>
      </w:r>
      <w:r>
        <w:rPr>
          <w:rFonts w:ascii="Arial" w:cs="Arial" w:eastAsia="Arial" w:hAnsi="Arial"/>
          <w:sz w:val="17"/>
          <w:szCs w:val="17"/>
          <w:color w:val="auto"/>
        </w:rPr>
        <w:t>trustee, general partner, managing member, officer, employee, agent or fiduciary of another Enterprise, for so long as Indemnitee is duly elected or appointed or until Indemnitee tenders his or her resignation or is removed from such position. Indemnitee may at any time and for any reason resign from such position (subject to any other contractual obligation or any obligation imposed by operation of law), in which event the Company shall have no obligation under this Agreement to continue Indemnitee in such position. This Agreement shall not be deemed an employment contract between the Company (or any of its subsidiaries or any Enterprise) and Indemnitee. Indemnitee specifically acknowledges that any employment with the Company (or any of its subsidiaries or any Enterprise) is at will, and Indemnitee may be discharged at any time for any reason, with or without cause, with or without notice, except as may be otherwise expressly provided in any executed, written employment contract between Indemnitee and the Company (or any of its subsidiaries or any Enterprise), any existing formal severance policies adopted by the Company’s board of directors or, with respect to service as a director or officer of the Company, the Company’s certificate of incorporation or bylaws or the DGCL. No such document shall be subject to any oral modification thereof.</w:t>
      </w:r>
    </w:p>
    <w:p>
      <w:pPr>
        <w:spacing w:after="0" w:line="73" w:lineRule="exact"/>
        <w:rPr>
          <w:rFonts w:ascii="Arial" w:cs="Arial" w:eastAsia="Arial" w:hAnsi="Arial"/>
          <w:sz w:val="17"/>
          <w:szCs w:val="17"/>
          <w:b w:val="1"/>
          <w:bCs w:val="1"/>
          <w:color w:val="auto"/>
        </w:rPr>
      </w:pPr>
    </w:p>
    <w:p>
      <w:pPr>
        <w:ind w:left="-60" w:right="40" w:firstLine="436"/>
        <w:spacing w:after="0" w:line="258" w:lineRule="auto"/>
        <w:tabs>
          <w:tab w:leader="none" w:pos="650" w:val="left"/>
        </w:tabs>
        <w:numPr>
          <w:ilvl w:val="0"/>
          <w:numId w:val="4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Duration. </w:t>
      </w:r>
      <w:r>
        <w:rPr>
          <w:rFonts w:ascii="Arial" w:cs="Arial" w:eastAsia="Arial" w:hAnsi="Arial"/>
          <w:sz w:val="18"/>
          <w:szCs w:val="18"/>
          <w:color w:val="auto"/>
        </w:rPr>
        <w:t>This Agreement shall continue until and terminate upon the later of (a) ten years after the date that Indemnitee shall have ceased to</w:t>
      </w:r>
      <w:r>
        <w:rPr>
          <w:rFonts w:ascii="Arial" w:cs="Arial" w:eastAsia="Arial" w:hAnsi="Arial"/>
          <w:sz w:val="18"/>
          <w:szCs w:val="18"/>
          <w:b w:val="1"/>
          <w:bCs w:val="1"/>
          <w:color w:val="auto"/>
        </w:rPr>
        <w:t xml:space="preserve"> </w:t>
      </w:r>
      <w:r>
        <w:rPr>
          <w:rFonts w:ascii="Arial" w:cs="Arial" w:eastAsia="Arial" w:hAnsi="Arial"/>
          <w:sz w:val="18"/>
          <w:szCs w:val="18"/>
          <w:color w:val="auto"/>
        </w:rPr>
        <w:t>serve as a director or officer of the Company or as a director, trustee, general partner, managing member, officer, employee, agent or fiduciary of any other Enterprise, as applicable; or (b) one year after the final termination of any Proceeding, including any appeal, then pending in respect of which Indemnitee is granted rights of indemnification or advancement of Expenses hereunder and of any proceeding commenced by Indemnitee pursuant to Section 12 of this Agreement relating thereto.</w:t>
      </w:r>
    </w:p>
    <w:p>
      <w:pPr>
        <w:spacing w:after="0" w:line="75" w:lineRule="exact"/>
        <w:rPr>
          <w:rFonts w:ascii="Arial" w:cs="Arial" w:eastAsia="Arial" w:hAnsi="Arial"/>
          <w:sz w:val="18"/>
          <w:szCs w:val="18"/>
          <w:b w:val="1"/>
          <w:bCs w:val="1"/>
          <w:color w:val="auto"/>
        </w:rPr>
      </w:pPr>
    </w:p>
    <w:p>
      <w:pPr>
        <w:ind w:left="-60" w:right="80" w:firstLine="436"/>
        <w:spacing w:after="0" w:line="266" w:lineRule="auto"/>
        <w:tabs>
          <w:tab w:leader="none" w:pos="650" w:val="left"/>
        </w:tabs>
        <w:numPr>
          <w:ilvl w:val="0"/>
          <w:numId w:val="4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Successors. </w:t>
      </w:r>
      <w:r>
        <w:rPr>
          <w:rFonts w:ascii="Arial" w:cs="Arial" w:eastAsia="Arial" w:hAnsi="Arial"/>
          <w:sz w:val="18"/>
          <w:szCs w:val="18"/>
          <w:color w:val="auto"/>
        </w:rPr>
        <w:t>This Agreement shall be binding upon the Company and its successors and assigns, including any direct or indirect successor by</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merger, consolidation or otherwise to all or substantially all of the business or assets of the Company, and shall inure to the benefit of Indemnitee and Indemnitee’s heirs, executors and administrators.</w:t>
      </w:r>
    </w:p>
    <w:p>
      <w:pPr>
        <w:spacing w:after="0" w:line="67" w:lineRule="exact"/>
        <w:rPr>
          <w:rFonts w:ascii="Arial" w:cs="Arial" w:eastAsia="Arial" w:hAnsi="Arial"/>
          <w:sz w:val="18"/>
          <w:szCs w:val="18"/>
          <w:b w:val="1"/>
          <w:bCs w:val="1"/>
          <w:color w:val="auto"/>
        </w:rPr>
      </w:pPr>
    </w:p>
    <w:p>
      <w:pPr>
        <w:jc w:val="both"/>
        <w:ind w:left="-60" w:right="60" w:firstLine="436"/>
        <w:spacing w:after="0" w:line="281" w:lineRule="auto"/>
        <w:tabs>
          <w:tab w:leader="none" w:pos="650" w:val="left"/>
        </w:tabs>
        <w:numPr>
          <w:ilvl w:val="0"/>
          <w:numId w:val="4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Nothing in this Agreement is intended to require or shall be construed as requiring the Company to do or fail to do any act in</w:t>
      </w:r>
      <w:r>
        <w:rPr>
          <w:rFonts w:ascii="Arial" w:cs="Arial" w:eastAsia="Arial" w:hAnsi="Arial"/>
          <w:sz w:val="17"/>
          <w:szCs w:val="17"/>
          <w:b w:val="1"/>
          <w:bCs w:val="1"/>
          <w:color w:val="auto"/>
        </w:rPr>
        <w:t xml:space="preserve"> </w:t>
      </w:r>
      <w:r>
        <w:rPr>
          <w:rFonts w:ascii="Arial" w:cs="Arial" w:eastAsia="Arial" w:hAnsi="Arial"/>
          <w:sz w:val="17"/>
          <w:szCs w:val="17"/>
          <w:color w:val="auto"/>
        </w:rPr>
        <w:t>violation of applicable law. The Company’s inability, pursuant to court order or other applicable law, to perform its obligations under this Agreement shall not constitute a breach of this Agreement. If any provision or provisions of this Agreement shall be held to be invalid, illegal or unenforceable for any reason whatsoever: (i) the validity, legality and enforceability of the remaining provisions of this Agreement (including</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80"/>
          </w:cols>
          <w:pgMar w:left="500" w:top="270" w:right="519" w:bottom="1440" w:gutter="0" w:footer="0" w:header="0"/>
        </w:sectPr>
      </w:pPr>
    </w:p>
    <w:bookmarkStart w:id="459" w:name="page460"/>
    <w:bookmarkEnd w:id="459"/>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(ii) such provision or provisions shall be deemed reformed to the extent necessary to conform to applicable law and to give the maximum effect to the intent of the parties hereto; and (iii)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66" w:lineRule="exact"/>
        <w:rPr>
          <w:sz w:val="20"/>
          <w:szCs w:val="20"/>
          <w:color w:val="auto"/>
        </w:rPr>
      </w:pPr>
    </w:p>
    <w:p>
      <w:pPr>
        <w:ind w:right="20" w:firstLine="436"/>
        <w:spacing w:after="0" w:line="266" w:lineRule="auto"/>
        <w:tabs>
          <w:tab w:leader="none" w:pos="710" w:val="left"/>
        </w:tabs>
        <w:numPr>
          <w:ilvl w:val="0"/>
          <w:numId w:val="4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Enforcement. </w:t>
      </w:r>
      <w:r>
        <w:rPr>
          <w:rFonts w:ascii="Arial" w:cs="Arial" w:eastAsia="Arial" w:hAnsi="Arial"/>
          <w:sz w:val="18"/>
          <w:szCs w:val="18"/>
          <w:color w:val="auto"/>
        </w:rPr>
        <w:t>The Company expressly confirms and agrees that it has entered into this Agreement and assumed the obligations imposed on it</w:t>
      </w:r>
      <w:r>
        <w:rPr>
          <w:rFonts w:ascii="Arial" w:cs="Arial" w:eastAsia="Arial" w:hAnsi="Arial"/>
          <w:sz w:val="18"/>
          <w:szCs w:val="18"/>
          <w:b w:val="1"/>
          <w:bCs w:val="1"/>
          <w:color w:val="auto"/>
        </w:rPr>
        <w:t xml:space="preserve"> </w:t>
      </w:r>
      <w:r>
        <w:rPr>
          <w:rFonts w:ascii="Arial" w:cs="Arial" w:eastAsia="Arial" w:hAnsi="Arial"/>
          <w:sz w:val="18"/>
          <w:szCs w:val="18"/>
          <w:color w:val="auto"/>
        </w:rPr>
        <w:t>hereby in order to induce Indemnitee to serve as a director or officer of the Company, and the Company acknowledges that Indemnitee is relying upon this Agreement in serving as a director or officer of the Company.</w:t>
      </w:r>
    </w:p>
    <w:p>
      <w:pPr>
        <w:spacing w:after="0" w:line="67" w:lineRule="exact"/>
        <w:rPr>
          <w:rFonts w:ascii="Arial" w:cs="Arial" w:eastAsia="Arial" w:hAnsi="Arial"/>
          <w:sz w:val="18"/>
          <w:szCs w:val="18"/>
          <w:b w:val="1"/>
          <w:bCs w:val="1"/>
          <w:color w:val="auto"/>
        </w:rPr>
      </w:pPr>
    </w:p>
    <w:p>
      <w:pPr>
        <w:ind w:right="120" w:firstLine="436"/>
        <w:spacing w:after="0" w:line="261" w:lineRule="auto"/>
        <w:tabs>
          <w:tab w:leader="none" w:pos="710" w:val="left"/>
        </w:tabs>
        <w:numPr>
          <w:ilvl w:val="0"/>
          <w:numId w:val="4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This Agreement constitutes the entire agreement between the parties hereto with respect to the subject matter hereof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supersedes all prior agreements and understandings, oral, written and implied, between the parties hereto with respect to the subject matter hereof;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this Agreement is a supplement to and in furtherance of the Company’s certificate of incorporation and bylaws and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law.</w:t>
      </w:r>
    </w:p>
    <w:p>
      <w:pPr>
        <w:spacing w:after="0" w:line="71" w:lineRule="exact"/>
        <w:rPr>
          <w:rFonts w:ascii="Arial" w:cs="Arial" w:eastAsia="Arial" w:hAnsi="Arial"/>
          <w:sz w:val="18"/>
          <w:szCs w:val="18"/>
          <w:b w:val="1"/>
          <w:bCs w:val="1"/>
          <w:color w:val="auto"/>
        </w:rPr>
      </w:pPr>
    </w:p>
    <w:p>
      <w:pPr>
        <w:ind w:right="120" w:firstLine="436"/>
        <w:spacing w:after="0" w:line="258" w:lineRule="auto"/>
        <w:tabs>
          <w:tab w:leader="none" w:pos="710" w:val="left"/>
        </w:tabs>
        <w:numPr>
          <w:ilvl w:val="0"/>
          <w:numId w:val="4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Modification and Waiver. </w:t>
      </w:r>
      <w:r>
        <w:rPr>
          <w:rFonts w:ascii="Arial" w:cs="Arial" w:eastAsia="Arial" w:hAnsi="Arial"/>
          <w:sz w:val="18"/>
          <w:szCs w:val="18"/>
          <w:color w:val="auto"/>
        </w:rPr>
        <w:t>No supplement, modification or amendment to this Agreement shall be binding unless executed in writing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No amendment, alteration or repeal of this Agreement shall adversely affect any right of Indemnitee under this Agreement in respect of any action taken or omitted by such Indemnitee in his or her Corporate Status prior to such amendment, alteration or repeal. No waiver of any of the provisions of this Agreement shall constitute or be deemed a waiver of any other provision of this Agreement nor shall any waiver constitute a continuing waiver.</w:t>
      </w:r>
    </w:p>
    <w:p>
      <w:pPr>
        <w:spacing w:after="0" w:line="75" w:lineRule="exact"/>
        <w:rPr>
          <w:rFonts w:ascii="Arial" w:cs="Arial" w:eastAsia="Arial" w:hAnsi="Arial"/>
          <w:sz w:val="18"/>
          <w:szCs w:val="18"/>
          <w:b w:val="1"/>
          <w:bCs w:val="1"/>
          <w:color w:val="auto"/>
        </w:rPr>
      </w:pPr>
    </w:p>
    <w:p>
      <w:pPr>
        <w:ind w:right="560" w:firstLine="436"/>
        <w:spacing w:after="0" w:line="347" w:lineRule="auto"/>
        <w:tabs>
          <w:tab w:leader="none" w:pos="710" w:val="left"/>
        </w:tabs>
        <w:numPr>
          <w:ilvl w:val="0"/>
          <w:numId w:val="4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All notices and other communications required or permitted hereunder shall be in writing and shall be mailed by registered or</w:t>
      </w:r>
      <w:r>
        <w:rPr>
          <w:rFonts w:ascii="Arial" w:cs="Arial" w:eastAsia="Arial" w:hAnsi="Arial"/>
          <w:sz w:val="16"/>
          <w:szCs w:val="16"/>
          <w:b w:val="1"/>
          <w:bCs w:val="1"/>
          <w:color w:val="auto"/>
        </w:rPr>
        <w:t xml:space="preserve"> </w:t>
      </w:r>
      <w:r>
        <w:rPr>
          <w:rFonts w:ascii="Arial" w:cs="Arial" w:eastAsia="Arial" w:hAnsi="Arial"/>
          <w:sz w:val="16"/>
          <w:szCs w:val="16"/>
          <w:color w:val="auto"/>
        </w:rPr>
        <w:t>certified mail, postage prepaid, sent by facsimile or electronic mail or otherwise delivered by hand, messenger or courier service addressed:</w:t>
      </w:r>
    </w:p>
    <w:p>
      <w:pPr>
        <w:spacing w:after="0" w:line="11" w:lineRule="exact"/>
        <w:rPr>
          <w:rFonts w:ascii="Arial" w:cs="Arial" w:eastAsia="Arial" w:hAnsi="Arial"/>
          <w:sz w:val="16"/>
          <w:szCs w:val="16"/>
          <w:b w:val="1"/>
          <w:bCs w:val="1"/>
          <w:color w:val="auto"/>
        </w:rPr>
      </w:pPr>
    </w:p>
    <w:p>
      <w:pPr>
        <w:ind w:left="1240" w:hanging="253"/>
        <w:spacing w:after="0"/>
        <w:tabs>
          <w:tab w:leader="none" w:pos="1240" w:val="left"/>
        </w:tabs>
        <w:numPr>
          <w:ilvl w:val="1"/>
          <w:numId w:val="413"/>
        </w:numPr>
        <w:rPr>
          <w:rFonts w:ascii="Arial" w:cs="Arial" w:eastAsia="Arial" w:hAnsi="Arial"/>
          <w:sz w:val="16"/>
          <w:szCs w:val="16"/>
          <w:color w:val="auto"/>
        </w:rPr>
      </w:pPr>
      <w:r>
        <w:rPr>
          <w:rFonts w:ascii="Arial" w:cs="Arial" w:eastAsia="Arial" w:hAnsi="Arial"/>
          <w:sz w:val="16"/>
          <w:szCs w:val="16"/>
          <w:color w:val="auto"/>
        </w:rPr>
        <w:t>if to Indemnitee, to Indemnitee’s address, facsimile number or electronic mail address set forth below Indemnitee signature hereto; or</w:t>
      </w:r>
    </w:p>
    <w:p>
      <w:pPr>
        <w:spacing w:after="0" w:line="140" w:lineRule="exact"/>
        <w:rPr>
          <w:rFonts w:ascii="Arial" w:cs="Arial" w:eastAsia="Arial" w:hAnsi="Arial"/>
          <w:sz w:val="16"/>
          <w:szCs w:val="16"/>
          <w:color w:val="auto"/>
        </w:rPr>
      </w:pPr>
    </w:p>
    <w:p>
      <w:pPr>
        <w:ind w:firstLine="987"/>
        <w:spacing w:after="0" w:line="263" w:lineRule="auto"/>
        <w:tabs>
          <w:tab w:leader="none" w:pos="1246" w:val="left"/>
        </w:tabs>
        <w:numPr>
          <w:ilvl w:val="1"/>
          <w:numId w:val="413"/>
        </w:numPr>
        <w:rPr>
          <w:rFonts w:ascii="Arial" w:cs="Arial" w:eastAsia="Arial" w:hAnsi="Arial"/>
          <w:sz w:val="18"/>
          <w:szCs w:val="18"/>
          <w:color w:val="auto"/>
        </w:rPr>
      </w:pPr>
      <w:r>
        <w:rPr>
          <w:rFonts w:ascii="Arial" w:cs="Arial" w:eastAsia="Arial" w:hAnsi="Arial"/>
          <w:sz w:val="18"/>
          <w:szCs w:val="18"/>
          <w:color w:val="auto"/>
        </w:rPr>
        <w:t>if to the Company, to the attention of the President and Chief Executive Officer of the Company at Adagio Therapeutics, Inc., 303 Wyman Street, Suite 300, Waltham, MA 02451, or at such other current address as the Company shall have furnished to Indemnitee, with a copy (which shall not constitute notice) to Div Gupta, Cooley LLP, 55 Hudson Yards, New York, NY 10001.</w:t>
      </w:r>
    </w:p>
    <w:p>
      <w:pPr>
        <w:spacing w:after="0" w:line="184"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Each such notice or other communication shall for all purposes of this Agreement be treated as effective or having been given (i) if delivered by hand, messenger or courier service, when delivered (or if sent </w:t>
      </w:r>
      <w:r>
        <w:rPr>
          <w:rFonts w:ascii="Arial" w:cs="Arial" w:eastAsia="Arial" w:hAnsi="Arial"/>
          <w:sz w:val="18"/>
          <w:szCs w:val="18"/>
          <w:i w:val="1"/>
          <w:iCs w:val="1"/>
          <w:color w:val="auto"/>
        </w:rPr>
        <w:t>via</w:t>
      </w:r>
      <w:r>
        <w:rPr>
          <w:rFonts w:ascii="Arial" w:cs="Arial" w:eastAsia="Arial" w:hAnsi="Arial"/>
          <w:sz w:val="18"/>
          <w:szCs w:val="18"/>
          <w:color w:val="auto"/>
        </w:rPr>
        <w:t xml:space="preserve"> a nationally-recognized overnight courier service, freight prepaid, specifying next-business-day delivery, one business day after deposit with the courier), or (ii) if sent </w:t>
      </w:r>
      <w:r>
        <w:rPr>
          <w:rFonts w:ascii="Arial" w:cs="Arial" w:eastAsia="Arial" w:hAnsi="Arial"/>
          <w:sz w:val="18"/>
          <w:szCs w:val="18"/>
          <w:i w:val="1"/>
          <w:iCs w:val="1"/>
          <w:color w:val="auto"/>
        </w:rPr>
        <w:t>via</w:t>
      </w:r>
      <w:r>
        <w:rPr>
          <w:rFonts w:ascii="Arial" w:cs="Arial" w:eastAsia="Arial" w:hAnsi="Arial"/>
          <w:sz w:val="18"/>
          <w:szCs w:val="18"/>
          <w:color w:val="auto"/>
        </w:rPr>
        <w:t xml:space="preserve"> mail, at the earlier of its receipt or five days after the same has been deposited in a</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4" w:right="499" w:bottom="1440" w:gutter="0" w:footer="0" w:header="0"/>
        </w:sectPr>
      </w:pPr>
    </w:p>
    <w:bookmarkStart w:id="460" w:name="page461"/>
    <w:bookmarkEnd w:id="460"/>
    <w:p>
      <w:pPr>
        <w:ind w:right="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regularly-maintained receptacle for the deposit of the United States mail, addressed and mailed as aforesaid , or (iii) if sent </w:t>
      </w:r>
      <w:r>
        <w:rPr>
          <w:rFonts w:ascii="Arial" w:cs="Arial" w:eastAsia="Arial" w:hAnsi="Arial"/>
          <w:sz w:val="16"/>
          <w:szCs w:val="16"/>
          <w:i w:val="1"/>
          <w:iCs w:val="1"/>
          <w:color w:val="auto"/>
        </w:rPr>
        <w:t>via</w:t>
      </w:r>
      <w:r>
        <w:rPr>
          <w:rFonts w:ascii="Arial" w:cs="Arial" w:eastAsia="Arial" w:hAnsi="Arial"/>
          <w:sz w:val="16"/>
          <w:szCs w:val="16"/>
          <w:color w:val="auto"/>
        </w:rPr>
        <w:t xml:space="preserve"> facsimile, upon confirmation of facsimile transfer or, if sent </w:t>
      </w:r>
      <w:r>
        <w:rPr>
          <w:rFonts w:ascii="Arial" w:cs="Arial" w:eastAsia="Arial" w:hAnsi="Arial"/>
          <w:sz w:val="16"/>
          <w:szCs w:val="16"/>
          <w:i w:val="1"/>
          <w:iCs w:val="1"/>
          <w:color w:val="auto"/>
        </w:rPr>
        <w:t>via</w:t>
      </w:r>
      <w:r>
        <w:rPr>
          <w:rFonts w:ascii="Arial" w:cs="Arial" w:eastAsia="Arial" w:hAnsi="Arial"/>
          <w:sz w:val="16"/>
          <w:szCs w:val="16"/>
          <w:color w:val="auto"/>
        </w:rPr>
        <w:t xml:space="preserve"> electronic mail, upon confirmation of delivery when directed to the relevant electronic mail address, if sent during normal business hours of the recipient, or if not sent during normal business hours of the recipient, then on the recipient’s next business day.</w:t>
      </w:r>
    </w:p>
    <w:p>
      <w:pPr>
        <w:spacing w:after="0" w:line="37" w:lineRule="exact"/>
        <w:rPr>
          <w:sz w:val="20"/>
          <w:szCs w:val="20"/>
          <w:color w:val="auto"/>
        </w:rPr>
      </w:pPr>
    </w:p>
    <w:p>
      <w:pPr>
        <w:ind w:right="20" w:firstLine="436"/>
        <w:spacing w:after="0" w:line="288" w:lineRule="auto"/>
        <w:tabs>
          <w:tab w:leader="none" w:pos="710" w:val="left"/>
        </w:tabs>
        <w:numPr>
          <w:ilvl w:val="0"/>
          <w:numId w:val="4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Applicable Law and Consent to Jurisdiction. </w:t>
      </w:r>
      <w:r>
        <w:rPr>
          <w:rFonts w:ascii="Arial" w:cs="Arial" w:eastAsia="Arial" w:hAnsi="Arial"/>
          <w:sz w:val="16"/>
          <w:szCs w:val="16"/>
          <w:color w:val="auto"/>
        </w:rPr>
        <w:t>This Agreement and the legal relations among the parties shall be governed by, and construed</w:t>
      </w:r>
      <w:r>
        <w:rPr>
          <w:rFonts w:ascii="Arial" w:cs="Arial" w:eastAsia="Arial" w:hAnsi="Arial"/>
          <w:sz w:val="16"/>
          <w:szCs w:val="16"/>
          <w:b w:val="1"/>
          <w:bCs w:val="1"/>
          <w:color w:val="auto"/>
        </w:rPr>
        <w:t xml:space="preserve"> </w:t>
      </w:r>
      <w:r>
        <w:rPr>
          <w:rFonts w:ascii="Arial" w:cs="Arial" w:eastAsia="Arial" w:hAnsi="Arial"/>
          <w:sz w:val="16"/>
          <w:szCs w:val="16"/>
          <w:color w:val="auto"/>
        </w:rPr>
        <w:t>and enforced in accordance with, the laws of the State of Delaware, without regard to its conflict of laws rules. Except with respect to any arbitration commenced by Indemnitee pursuant to Section 12(a) of this Agreement, the Company and Indemnitee hereby irrevocably and unconditionally (i) agree that any action or proceeding arising out of or in connection with this Agreement shall be brought only in the Delaware Court of Chancery, and not in any other state or federal court in the United States of America or any court in any other country, (ii) consent to submit to the exclusive jurisdiction of the Delaware Court of Chancery for purposes of any action or proceeding arising out of or in connection with this Agreement, (iii) appoint, to the extent such party is not otherwise subject to service of process in the State of Delaware, Capitol Services, Inc., Dover, Delaware as its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of Chancery, and (v) waive, and agree not to plead or to make, any claim that any such action or proceeding brought in the Delaware Court of Chancery has been brought in an improper or inconvenient forum.</w:t>
      </w:r>
    </w:p>
    <w:p>
      <w:pPr>
        <w:spacing w:after="0" w:line="55" w:lineRule="exact"/>
        <w:rPr>
          <w:rFonts w:ascii="Arial" w:cs="Arial" w:eastAsia="Arial" w:hAnsi="Arial"/>
          <w:sz w:val="16"/>
          <w:szCs w:val="16"/>
          <w:b w:val="1"/>
          <w:bCs w:val="1"/>
          <w:color w:val="auto"/>
        </w:rPr>
      </w:pPr>
    </w:p>
    <w:p>
      <w:pPr>
        <w:ind w:firstLine="436"/>
        <w:spacing w:after="0" w:line="303" w:lineRule="auto"/>
        <w:tabs>
          <w:tab w:leader="none" w:pos="710" w:val="left"/>
        </w:tabs>
        <w:numPr>
          <w:ilvl w:val="0"/>
          <w:numId w:val="4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Counterparts. </w:t>
      </w:r>
      <w:r>
        <w:rPr>
          <w:rFonts w:ascii="Arial" w:cs="Arial" w:eastAsia="Arial" w:hAnsi="Arial"/>
          <w:sz w:val="16"/>
          <w:szCs w:val="16"/>
          <w:color w:val="auto"/>
        </w:rPr>
        <w:t>This Agreement may be executed in one or more counterparts, each of which shall for all purposes be deemed to be an original</w:t>
      </w:r>
      <w:r>
        <w:rPr>
          <w:rFonts w:ascii="Arial" w:cs="Arial" w:eastAsia="Arial" w:hAnsi="Arial"/>
          <w:sz w:val="16"/>
          <w:szCs w:val="16"/>
          <w:b w:val="1"/>
          <w:bCs w:val="1"/>
          <w:color w:val="auto"/>
        </w:rPr>
        <w:t xml:space="preserve"> </w:t>
      </w:r>
      <w:r>
        <w:rPr>
          <w:rFonts w:ascii="Arial" w:cs="Arial" w:eastAsia="Arial" w:hAnsi="Arial"/>
          <w:sz w:val="16"/>
          <w:szCs w:val="16"/>
          <w:color w:val="auto"/>
        </w:rPr>
        <w:t>but all of which together shall constitute one and the same Agreement. This Agreement may also be executed and delivered by facsimile signature and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42" w:lineRule="exact"/>
        <w:rPr>
          <w:rFonts w:ascii="Arial" w:cs="Arial" w:eastAsia="Arial" w:hAnsi="Arial"/>
          <w:sz w:val="16"/>
          <w:szCs w:val="16"/>
          <w:b w:val="1"/>
          <w:bCs w:val="1"/>
          <w:color w:val="auto"/>
        </w:rPr>
      </w:pPr>
    </w:p>
    <w:p>
      <w:pPr>
        <w:ind w:right="220" w:firstLine="436"/>
        <w:spacing w:after="0" w:line="282" w:lineRule="auto"/>
        <w:tabs>
          <w:tab w:leader="none" w:pos="710" w:val="left"/>
        </w:tabs>
        <w:numPr>
          <w:ilvl w:val="0"/>
          <w:numId w:val="4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Captions. </w:t>
      </w:r>
      <w:r>
        <w:rPr>
          <w:rFonts w:ascii="Arial" w:cs="Arial" w:eastAsia="Arial" w:hAnsi="Arial"/>
          <w:sz w:val="18"/>
          <w:szCs w:val="18"/>
          <w:color w:val="auto"/>
        </w:rPr>
        <w:t>The headings of the paragraphs of this Agreement are inserted for convenience only and shall not be deemed to constitute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or to affect the construction thereof.</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461" w:name="page462"/>
    <w:bookmarkEnd w:id="4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are signing this Indemnification Agreement as of the date stated in the introductory sentence.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ADAGIO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291465</wp:posOffset>
            </wp:positionV>
            <wp:extent cx="279463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288925</wp:posOffset>
            </wp:positionV>
            <wp:extent cx="279463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Print name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288925</wp:posOffset>
            </wp:positionV>
            <wp:extent cx="279463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Title</w:t>
      </w:r>
      <w:r>
        <w:rPr>
          <w:rFonts w:ascii="Arial" w:cs="Arial" w:eastAsia="Arial" w:hAnsi="Arial"/>
          <w:sz w:val="18"/>
          <w:szCs w:val="18"/>
          <w:color w:val="auto"/>
        </w:rPr>
        <w:t>)</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INSERT INDEMNITEE NAME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288925</wp:posOffset>
            </wp:positionV>
            <wp:extent cx="279463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288925</wp:posOffset>
            </wp:positionV>
            <wp:extent cx="279463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Print name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288925</wp:posOffset>
            </wp:positionV>
            <wp:extent cx="279463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Street address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288925</wp:posOffset>
            </wp:positionV>
            <wp:extent cx="279463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ind w:right="459"/>
        <w:spacing w:after="0"/>
        <w:rPr>
          <w:sz w:val="20"/>
          <w:szCs w:val="20"/>
          <w:color w:val="auto"/>
        </w:rPr>
      </w:pPr>
      <w:r>
        <w:rPr>
          <w:rFonts w:ascii="Arial" w:cs="Arial" w:eastAsia="Arial" w:hAnsi="Arial"/>
          <w:sz w:val="18"/>
          <w:szCs w:val="18"/>
          <w:i w:val="1"/>
          <w:iCs w:val="1"/>
          <w:color w:val="auto"/>
        </w:rPr>
        <w:t>(City, State and ZIP)</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Indemnification Agreement</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462" w:name="page463"/>
    <w:bookmarkEnd w:id="462"/>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This Employment Agreement (“</w:t>
      </w:r>
      <w:r>
        <w:rPr>
          <w:rFonts w:ascii="Arial" w:cs="Arial" w:eastAsia="Arial" w:hAnsi="Arial"/>
          <w:sz w:val="18"/>
          <w:szCs w:val="18"/>
          <w:b w:val="1"/>
          <w:bCs w:val="1"/>
          <w:i w:val="1"/>
          <w:iCs w:val="1"/>
          <w:u w:val="single" w:color="auto"/>
          <w:color w:val="auto"/>
        </w:rPr>
        <w:t>Agreement</w:t>
      </w:r>
      <w:r>
        <w:rPr>
          <w:rFonts w:ascii="Arial" w:cs="Arial" w:eastAsia="Arial" w:hAnsi="Arial"/>
          <w:sz w:val="18"/>
          <w:szCs w:val="18"/>
          <w:color w:val="auto"/>
        </w:rPr>
        <w:t>”) is made between Adagio Therapeutics, Inc., a Delaware corporation (the “</w:t>
      </w:r>
      <w:r>
        <w:rPr>
          <w:rFonts w:ascii="Arial" w:cs="Arial" w:eastAsia="Arial" w:hAnsi="Arial"/>
          <w:sz w:val="18"/>
          <w:szCs w:val="18"/>
          <w:b w:val="1"/>
          <w:bCs w:val="1"/>
          <w:i w:val="1"/>
          <w:iCs w:val="1"/>
          <w:u w:val="single" w:color="auto"/>
          <w:color w:val="auto"/>
        </w:rPr>
        <w:t>Company</w:t>
      </w:r>
      <w:r>
        <w:rPr>
          <w:rFonts w:ascii="Arial" w:cs="Arial" w:eastAsia="Arial" w:hAnsi="Arial"/>
          <w:sz w:val="18"/>
          <w:szCs w:val="18"/>
          <w:color w:val="auto"/>
        </w:rPr>
        <w:t>”), and Tillman Gerngross (the “</w:t>
      </w:r>
      <w:r>
        <w:rPr>
          <w:rFonts w:ascii="Arial" w:cs="Arial" w:eastAsia="Arial" w:hAnsi="Arial"/>
          <w:sz w:val="18"/>
          <w:szCs w:val="18"/>
          <w:b w:val="1"/>
          <w:bCs w:val="1"/>
          <w:i w:val="1"/>
          <w:iCs w:val="1"/>
          <w:u w:val="single" w:color="auto"/>
          <w:color w:val="auto"/>
        </w:rPr>
        <w:t>Executive</w:t>
      </w:r>
      <w:r>
        <w:rPr>
          <w:rFonts w:ascii="Arial" w:cs="Arial" w:eastAsia="Arial" w:hAnsi="Arial"/>
          <w:sz w:val="18"/>
          <w:szCs w:val="18"/>
          <w:color w:val="auto"/>
        </w:rPr>
        <w:t>”), this [___] day of [_______] 2021. This Agreement supersedes in its entirety that certain Consulting Agreement, dated June 19, 2020 (the “</w:t>
      </w:r>
      <w:r>
        <w:rPr>
          <w:rFonts w:ascii="Arial" w:cs="Arial" w:eastAsia="Arial" w:hAnsi="Arial"/>
          <w:sz w:val="18"/>
          <w:szCs w:val="18"/>
          <w:b w:val="1"/>
          <w:bCs w:val="1"/>
          <w:i w:val="1"/>
          <w:iCs w:val="1"/>
          <w:u w:val="single" w:color="auto"/>
          <w:color w:val="auto"/>
        </w:rPr>
        <w:t>Prior Agreement</w:t>
      </w:r>
      <w:r>
        <w:rPr>
          <w:rFonts w:ascii="Arial" w:cs="Arial" w:eastAsia="Arial" w:hAnsi="Arial"/>
          <w:sz w:val="18"/>
          <w:szCs w:val="18"/>
          <w:color w:val="auto"/>
        </w:rPr>
        <w:t>”), between the Executive and the Company.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Company is planning an initial public offering (the “</w:t>
      </w:r>
      <w:r>
        <w:rPr>
          <w:rFonts w:ascii="Arial" w:cs="Arial" w:eastAsia="Arial" w:hAnsi="Arial"/>
          <w:sz w:val="18"/>
          <w:szCs w:val="18"/>
          <w:b w:val="1"/>
          <w:bCs w:val="1"/>
          <w:i w:val="1"/>
          <w:iCs w:val="1"/>
          <w:u w:val="single" w:color="auto"/>
          <w:color w:val="auto"/>
        </w:rPr>
        <w:t>Offering</w:t>
      </w:r>
      <w:r>
        <w:rPr>
          <w:rFonts w:ascii="Arial" w:cs="Arial" w:eastAsia="Arial" w:hAnsi="Arial"/>
          <w:sz w:val="18"/>
          <w:szCs w:val="18"/>
          <w:color w:val="auto"/>
        </w:rPr>
        <w:t>”) of its shares of common stock;</w:t>
      </w:r>
    </w:p>
    <w:p>
      <w:pPr>
        <w:spacing w:after="0" w:line="22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WHEREAS, the Company and the Executive desire to enter into this Agreement and supersede in its entirety the Prior Agreement in order to change the Executive’s terms and conditions of employment in connection with the Offering, effective as of the date on which the registration statement relating to the Offering is effective (the “</w:t>
      </w:r>
      <w:r>
        <w:rPr>
          <w:rFonts w:ascii="Arial" w:cs="Arial" w:eastAsia="Arial" w:hAnsi="Arial"/>
          <w:sz w:val="18"/>
          <w:szCs w:val="18"/>
          <w:b w:val="1"/>
          <w:bCs w:val="1"/>
          <w:i w:val="1"/>
          <w:iCs w:val="1"/>
          <w:u w:val="single" w:color="auto"/>
          <w:color w:val="auto"/>
        </w:rPr>
        <w:t>Effective Date</w:t>
      </w:r>
      <w:r>
        <w:rPr>
          <w:rFonts w:ascii="Arial" w:cs="Arial" w:eastAsia="Arial" w:hAnsi="Arial"/>
          <w:sz w:val="18"/>
          <w:szCs w:val="18"/>
          <w:color w:val="auto"/>
        </w:rPr>
        <w:t>”).</w:t>
      </w:r>
    </w:p>
    <w:p>
      <w:pPr>
        <w:spacing w:after="0" w:line="18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62" w:lineRule="exact"/>
        <w:rPr>
          <w:sz w:val="20"/>
          <w:szCs w:val="20"/>
          <w:color w:val="auto"/>
        </w:rPr>
      </w:pPr>
    </w:p>
    <w:p>
      <w:pPr>
        <w:ind w:left="620" w:hanging="184"/>
        <w:spacing w:after="0"/>
        <w:tabs>
          <w:tab w:leader="none" w:pos="620" w:val="left"/>
        </w:tabs>
        <w:numPr>
          <w:ilvl w:val="0"/>
          <w:numId w:val="415"/>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987"/>
        <w:spacing w:after="0" w:line="259" w:lineRule="auto"/>
        <w:tabs>
          <w:tab w:leader="none" w:pos="1236" w:val="left"/>
        </w:tabs>
        <w:numPr>
          <w:ilvl w:val="1"/>
          <w:numId w:val="415"/>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Company shall employ the Executive and the Executive shall be employed by the Company pursuant to this Agreement commencing as of the Effective Date and continuing until such employment is terminated in accordance with the provisions hereof (the “</w:t>
      </w:r>
      <w:r>
        <w:rPr>
          <w:rFonts w:ascii="Arial" w:cs="Arial" w:eastAsia="Arial" w:hAnsi="Arial"/>
          <w:sz w:val="18"/>
          <w:szCs w:val="18"/>
          <w:b w:val="1"/>
          <w:bCs w:val="1"/>
          <w:i w:val="1"/>
          <w:iCs w:val="1"/>
          <w:u w:val="single" w:color="auto"/>
          <w:color w:val="auto"/>
        </w:rPr>
        <w:t>Term</w:t>
      </w:r>
      <w:r>
        <w:rPr>
          <w:rFonts w:ascii="Arial" w:cs="Arial" w:eastAsia="Arial" w:hAnsi="Arial"/>
          <w:sz w:val="18"/>
          <w:szCs w:val="18"/>
          <w:color w:val="auto"/>
        </w:rPr>
        <w:t>”). The Executive’s employment with the Company shall continue to be “at will,” meaning that the Executive’s employment may be terminated by the Company or the Executive at any time and for any reason subject to the terms of this Agreement.</w:t>
      </w:r>
    </w:p>
    <w:p>
      <w:pPr>
        <w:spacing w:after="0" w:line="78" w:lineRule="exact"/>
        <w:rPr>
          <w:rFonts w:ascii="Arial" w:cs="Arial" w:eastAsia="Arial" w:hAnsi="Arial"/>
          <w:sz w:val="18"/>
          <w:szCs w:val="18"/>
          <w:color w:val="auto"/>
        </w:rPr>
      </w:pPr>
    </w:p>
    <w:p>
      <w:pPr>
        <w:ind w:left="1240" w:hanging="253"/>
        <w:spacing w:after="0"/>
        <w:tabs>
          <w:tab w:leader="none" w:pos="1240" w:val="left"/>
        </w:tabs>
        <w:numPr>
          <w:ilvl w:val="1"/>
          <w:numId w:val="415"/>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Executive will serve as Chief Executive Officer and President (“</w:t>
      </w:r>
      <w:r>
        <w:rPr>
          <w:rFonts w:ascii="Arial" w:cs="Arial" w:eastAsia="Arial" w:hAnsi="Arial"/>
          <w:sz w:val="17"/>
          <w:szCs w:val="17"/>
          <w:b w:val="1"/>
          <w:bCs w:val="1"/>
          <w:i w:val="1"/>
          <w:iCs w:val="1"/>
          <w:color w:val="auto"/>
        </w:rPr>
        <w:t>CEO</w:t>
      </w:r>
      <w:r>
        <w:rPr>
          <w:rFonts w:ascii="Arial" w:cs="Arial" w:eastAsia="Arial" w:hAnsi="Arial"/>
          <w:sz w:val="17"/>
          <w:szCs w:val="17"/>
          <w:color w:val="auto"/>
        </w:rPr>
        <w:t>”) of the Company, reporting exclusively to the Company’s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Executive will render such business and professional services in the performance of his duties as are consistent with Executive’s position within the Company. As CEO, Executive will have the status of the highest ranking executive officer of the Company, with the full powers, responsibilities and authorities customary for the chief executive officer of publicly traded corporations of the size, type and nature of the Company, together with such other powers, authorities and responsibilities as may reasonably be assigned to him by the Board.</w:t>
      </w:r>
    </w:p>
    <w:p>
      <w:pPr>
        <w:spacing w:after="0" w:line="17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Nothing in this Agreement shall prohibit the Executive from reasonably delegating parts of the responsibilities set forth in or contemplated by this Section 1(b) to other employees of the Company or its subsidiaries.</w:t>
      </w:r>
    </w:p>
    <w:p>
      <w:pPr>
        <w:sectPr>
          <w:pgSz w:w="11900" w:h="16838" w:orient="portrait"/>
          <w:cols w:equalWidth="0" w:num="1">
            <w:col w:w="11020"/>
          </w:cols>
          <w:pgMar w:left="440" w:top="121" w:right="439" w:bottom="1440" w:gutter="0" w:footer="0" w:header="0"/>
        </w:sectPr>
      </w:pPr>
    </w:p>
    <w:bookmarkStart w:id="463" w:name="page464"/>
    <w:bookmarkEnd w:id="463"/>
    <w:p>
      <w:pPr>
        <w:ind w:firstLine="987"/>
        <w:spacing w:after="0" w:line="269" w:lineRule="auto"/>
        <w:tabs>
          <w:tab w:leader="none" w:pos="1236" w:val="left"/>
        </w:tabs>
        <w:numPr>
          <w:ilvl w:val="0"/>
          <w:numId w:val="41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Outside Activities</w:t>
      </w:r>
      <w:r>
        <w:rPr>
          <w:rFonts w:ascii="Arial" w:cs="Arial" w:eastAsia="Arial" w:hAnsi="Arial"/>
          <w:sz w:val="17"/>
          <w:szCs w:val="17"/>
          <w:color w:val="auto"/>
        </w:rPr>
        <w:t>. Executive will use good faith efforts to discharge Executive’s obligations under this Agreement to the best of Executive’s ability. Executive agrees not to (i) engage in any other employment or (ii) consult for, found, or serve on the board of directors of any other entity in the field of infectious disease. Notwithstanding the foregoing, Executive may (x) with prior disclosure to the Nominating and Governance Committee of the Board, consult for, found, or serve on the board of directors of any Adimab, LLC affiliate, and, (y) without such prior disclosure, serve in any capacity with any civic, educational, or charitable organization, participate in industry affairs and manage Executive’s family’s personal passive investments, and continue to engage in the activities set forth in Appendix A to this Agreement (romanettes (x) and (y) collectively, the “</w:t>
      </w:r>
      <w:r>
        <w:rPr>
          <w:rFonts w:ascii="Arial" w:cs="Arial" w:eastAsia="Arial" w:hAnsi="Arial"/>
          <w:sz w:val="17"/>
          <w:szCs w:val="17"/>
          <w:b w:val="1"/>
          <w:bCs w:val="1"/>
          <w:i w:val="1"/>
          <w:iCs w:val="1"/>
          <w:u w:val="single" w:color="auto"/>
          <w:color w:val="auto"/>
        </w:rPr>
        <w:t>Approved</w:t>
      </w:r>
      <w:r>
        <w:rPr>
          <w:rFonts w:ascii="Arial" w:cs="Arial" w:eastAsia="Arial" w:hAnsi="Arial"/>
          <w:sz w:val="17"/>
          <w:szCs w:val="17"/>
          <w:color w:val="auto"/>
        </w:rPr>
        <w:t xml:space="preserve"> </w:t>
      </w:r>
      <w:r>
        <w:rPr>
          <w:rFonts w:ascii="Arial" w:cs="Arial" w:eastAsia="Arial" w:hAnsi="Arial"/>
          <w:sz w:val="17"/>
          <w:szCs w:val="17"/>
          <w:b w:val="1"/>
          <w:bCs w:val="1"/>
          <w:i w:val="1"/>
          <w:iCs w:val="1"/>
          <w:u w:val="single" w:color="auto"/>
          <w:color w:val="auto"/>
        </w:rPr>
        <w:t>Outside Activities</w:t>
      </w:r>
      <w:r>
        <w:rPr>
          <w:rFonts w:ascii="Arial" w:cs="Arial" w:eastAsia="Arial" w:hAnsi="Arial"/>
          <w:sz w:val="17"/>
          <w:szCs w:val="17"/>
          <w:color w:val="auto"/>
        </w:rPr>
        <w:t>”), provided that such services do not materially interfere with Executive’s obligations to the Company, create a conflict of interest (it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being understood and agreed that the conduct of business of Adimab, LLC, in a manner similar to that in which it is currently being conducted, including the discovery, optimization and licensing of antibodies for treatment of infectious disease to third parties, shall not constitute a conflict of interest hereunder), violate any of the Executive’s Continuing Obligations (as defined in Section 9 below) or cause any reputational damage to the Company as reasonably determined by the Board.</w:t>
      </w:r>
    </w:p>
    <w:p>
      <w:pPr>
        <w:spacing w:after="0" w:line="18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Executive may retain any compensation or benefits received as a result of consented to service as a director without any offset in respect of any compensation or benefits to be provided hereunder.</w:t>
      </w:r>
    </w:p>
    <w:p>
      <w:pPr>
        <w:spacing w:after="0" w:line="62" w:lineRule="exact"/>
        <w:rPr>
          <w:sz w:val="20"/>
          <w:szCs w:val="20"/>
          <w:color w:val="auto"/>
        </w:rPr>
      </w:pPr>
    </w:p>
    <w:p>
      <w:pPr>
        <w:ind w:left="620" w:hanging="184"/>
        <w:spacing w:after="0"/>
        <w:tabs>
          <w:tab w:leader="none" w:pos="620" w:val="left"/>
        </w:tabs>
        <w:numPr>
          <w:ilvl w:val="0"/>
          <w:numId w:val="417"/>
        </w:numPr>
        <w:rPr>
          <w:rFonts w:ascii="Arial" w:cs="Arial" w:eastAsia="Arial" w:hAnsi="Arial"/>
          <w:sz w:val="16"/>
          <w:szCs w:val="16"/>
          <w:color w:val="auto"/>
        </w:rPr>
      </w:pPr>
      <w:r>
        <w:rPr>
          <w:rFonts w:ascii="Arial" w:cs="Arial" w:eastAsia="Arial" w:hAnsi="Arial"/>
          <w:sz w:val="16"/>
          <w:szCs w:val="16"/>
          <w:u w:val="single" w:color="auto"/>
          <w:color w:val="auto"/>
        </w:rPr>
        <w:t>Compensation and Related Matters</w:t>
      </w:r>
      <w:r>
        <w:rPr>
          <w:rFonts w:ascii="Arial" w:cs="Arial" w:eastAsia="Arial" w:hAnsi="Arial"/>
          <w:sz w:val="16"/>
          <w:szCs w:val="16"/>
          <w:color w:val="auto"/>
        </w:rPr>
        <w:t>. This Section 2 sets forth the compensation and benefits to be provided to the Executive during the Term.</w:t>
      </w:r>
    </w:p>
    <w:p>
      <w:pPr>
        <w:spacing w:after="0" w:line="140" w:lineRule="exact"/>
        <w:rPr>
          <w:rFonts w:ascii="Arial" w:cs="Arial" w:eastAsia="Arial" w:hAnsi="Arial"/>
          <w:sz w:val="16"/>
          <w:szCs w:val="16"/>
          <w:color w:val="auto"/>
        </w:rPr>
      </w:pPr>
    </w:p>
    <w:p>
      <w:pPr>
        <w:ind w:right="100" w:firstLine="987"/>
        <w:spacing w:after="0" w:line="275" w:lineRule="auto"/>
        <w:tabs>
          <w:tab w:leader="none" w:pos="1236" w:val="left"/>
        </w:tabs>
        <w:numPr>
          <w:ilvl w:val="1"/>
          <w:numId w:val="417"/>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The Executive will continue to pay Executive, as compensation for the performance of the Executive’s duties and obligations hereunder, salary at the rate of $550,000 per year. The Executive’s salary shall be subject to annual review not later than March 31</w:t>
      </w:r>
      <w:r>
        <w:rPr>
          <w:rFonts w:ascii="Arial" w:cs="Arial" w:eastAsia="Arial" w:hAnsi="Arial"/>
          <w:sz w:val="14"/>
          <w:szCs w:val="14"/>
          <w:color w:val="auto"/>
        </w:rPr>
        <w:t>st</w:t>
      </w:r>
      <w:r>
        <w:rPr>
          <w:rFonts w:ascii="Arial" w:cs="Arial" w:eastAsia="Arial" w:hAnsi="Arial"/>
          <w:sz w:val="17"/>
          <w:szCs w:val="17"/>
          <w:color w:val="auto"/>
        </w:rPr>
        <w:t xml:space="preserve"> of each year for possible increase by the Board or the Compensation Committee of the Board (the “</w:t>
      </w:r>
      <w:r>
        <w:rPr>
          <w:rFonts w:ascii="Arial" w:cs="Arial" w:eastAsia="Arial" w:hAnsi="Arial"/>
          <w:sz w:val="17"/>
          <w:szCs w:val="17"/>
          <w:b w:val="1"/>
          <w:bCs w:val="1"/>
          <w:i w:val="1"/>
          <w:iCs w:val="1"/>
          <w:u w:val="single" w:color="auto"/>
          <w:color w:val="auto"/>
        </w:rPr>
        <w:t>Compensation Committee</w:t>
      </w:r>
      <w:r>
        <w:rPr>
          <w:rFonts w:ascii="Arial" w:cs="Arial" w:eastAsia="Arial" w:hAnsi="Arial"/>
          <w:sz w:val="17"/>
          <w:szCs w:val="17"/>
          <w:color w:val="auto"/>
        </w:rPr>
        <w:t>”), which may be adjusted from time to time. The base salary in effect at any given time is referred to herein as “</w:t>
      </w:r>
      <w:r>
        <w:rPr>
          <w:rFonts w:ascii="Arial" w:cs="Arial" w:eastAsia="Arial" w:hAnsi="Arial"/>
          <w:sz w:val="17"/>
          <w:szCs w:val="17"/>
          <w:b w:val="1"/>
          <w:bCs w:val="1"/>
          <w:i w:val="1"/>
          <w:iCs w:val="1"/>
          <w:u w:val="single" w:color="auto"/>
          <w:color w:val="auto"/>
        </w:rPr>
        <w:t>Base Salary</w:t>
      </w:r>
      <w:r>
        <w:rPr>
          <w:rFonts w:ascii="Arial" w:cs="Arial" w:eastAsia="Arial" w:hAnsi="Arial"/>
          <w:sz w:val="17"/>
          <w:szCs w:val="17"/>
          <w:color w:val="auto"/>
        </w:rPr>
        <w:t>.” The Base Salary shall be payable in a manner that is consistent with the Company’s usual payroll practices for its executive officers</w:t>
      </w:r>
    </w:p>
    <w:p>
      <w:pPr>
        <w:spacing w:after="0" w:line="68" w:lineRule="exact"/>
        <w:rPr>
          <w:rFonts w:ascii="Arial" w:cs="Arial" w:eastAsia="Arial" w:hAnsi="Arial"/>
          <w:sz w:val="17"/>
          <w:szCs w:val="17"/>
          <w:color w:val="auto"/>
        </w:rPr>
      </w:pPr>
    </w:p>
    <w:p>
      <w:pPr>
        <w:ind w:right="20" w:firstLine="987"/>
        <w:spacing w:after="0" w:line="270" w:lineRule="auto"/>
        <w:tabs>
          <w:tab w:leader="none" w:pos="1246" w:val="left"/>
        </w:tabs>
        <w:numPr>
          <w:ilvl w:val="1"/>
          <w:numId w:val="417"/>
        </w:numPr>
        <w:rPr>
          <w:rFonts w:ascii="Arial" w:cs="Arial" w:eastAsia="Arial" w:hAnsi="Arial"/>
          <w:sz w:val="17"/>
          <w:szCs w:val="17"/>
          <w:color w:val="auto"/>
        </w:rPr>
      </w:pPr>
      <w:r>
        <w:rPr>
          <w:rFonts w:ascii="Arial" w:cs="Arial" w:eastAsia="Arial" w:hAnsi="Arial"/>
          <w:sz w:val="17"/>
          <w:szCs w:val="17"/>
          <w:u w:val="single" w:color="auto"/>
          <w:color w:val="auto"/>
        </w:rPr>
        <w:t>Incentive Compensation</w:t>
      </w:r>
      <w:r>
        <w:rPr>
          <w:rFonts w:ascii="Arial" w:cs="Arial" w:eastAsia="Arial" w:hAnsi="Arial"/>
          <w:sz w:val="17"/>
          <w:szCs w:val="17"/>
          <w:color w:val="auto"/>
        </w:rPr>
        <w:t>. The Executive shall participate in an annual cash incentive compensation plan (the “</w:t>
      </w:r>
      <w:r>
        <w:rPr>
          <w:rFonts w:ascii="Arial" w:cs="Arial" w:eastAsia="Arial" w:hAnsi="Arial"/>
          <w:sz w:val="17"/>
          <w:szCs w:val="17"/>
          <w:b w:val="1"/>
          <w:bCs w:val="1"/>
          <w:i w:val="1"/>
          <w:iCs w:val="1"/>
          <w:u w:val="single" w:color="auto"/>
          <w:color w:val="auto"/>
        </w:rPr>
        <w:t>Annual Bonus Plan</w:t>
      </w:r>
      <w:r>
        <w:rPr>
          <w:rFonts w:ascii="Arial" w:cs="Arial" w:eastAsia="Arial" w:hAnsi="Arial"/>
          <w:sz w:val="17"/>
          <w:szCs w:val="17"/>
          <w:color w:val="auto"/>
        </w:rPr>
        <w:t>”). The Executive will be eligible to earn an annual bonus for each full calendar year completed (the “</w:t>
      </w:r>
      <w:r>
        <w:rPr>
          <w:rFonts w:ascii="Arial" w:cs="Arial" w:eastAsia="Arial" w:hAnsi="Arial"/>
          <w:sz w:val="17"/>
          <w:szCs w:val="17"/>
          <w:b w:val="1"/>
          <w:bCs w:val="1"/>
          <w:i w:val="1"/>
          <w:iCs w:val="1"/>
          <w:u w:val="single" w:color="auto"/>
          <w:color w:val="auto"/>
        </w:rPr>
        <w:t>Annual Bonus</w:t>
      </w:r>
      <w:r>
        <w:rPr>
          <w:rFonts w:ascii="Arial" w:cs="Arial" w:eastAsia="Arial" w:hAnsi="Arial"/>
          <w:sz w:val="17"/>
          <w:szCs w:val="17"/>
          <w:color w:val="auto"/>
        </w:rPr>
        <w:t>”). The Executive’s target Annual Bonus will be fifty percent (50%) of Executive’s Base Salary (the “</w:t>
      </w:r>
      <w:r>
        <w:rPr>
          <w:rFonts w:ascii="Arial" w:cs="Arial" w:eastAsia="Arial" w:hAnsi="Arial"/>
          <w:sz w:val="17"/>
          <w:szCs w:val="17"/>
          <w:b w:val="1"/>
          <w:bCs w:val="1"/>
          <w:i w:val="1"/>
          <w:iCs w:val="1"/>
          <w:u w:val="single" w:color="auto"/>
          <w:color w:val="auto"/>
        </w:rPr>
        <w:t>Target Bonus</w:t>
      </w:r>
      <w:r>
        <w:rPr>
          <w:rFonts w:ascii="Arial" w:cs="Arial" w:eastAsia="Arial" w:hAnsi="Arial"/>
          <w:sz w:val="17"/>
          <w:szCs w:val="17"/>
          <w:color w:val="auto"/>
        </w:rPr>
        <w:t>”) based on Base Salary in effect on January 1st of the applicable performance period. The actual Annual Bonus payable to the Executive with respect to a performance period will be determined by the Compensation Committee based on achieving performance goals and objectives for such calendar year as reasonably determined by the Compensation Committee. The Executive’s Annual Bonus shall be paid as soon as administratively practicable after the end of the performance period, but in no event later than the March 15</w:t>
      </w:r>
      <w:r>
        <w:rPr>
          <w:rFonts w:ascii="Arial" w:cs="Arial" w:eastAsia="Arial" w:hAnsi="Arial"/>
          <w:sz w:val="14"/>
          <w:szCs w:val="14"/>
          <w:color w:val="auto"/>
        </w:rPr>
        <w:t>th</w:t>
      </w:r>
      <w:r>
        <w:rPr>
          <w:rFonts w:ascii="Arial" w:cs="Arial" w:eastAsia="Arial" w:hAnsi="Arial"/>
          <w:sz w:val="17"/>
          <w:szCs w:val="17"/>
          <w:color w:val="auto"/>
        </w:rPr>
        <w:t xml:space="preserve"> immediately following such period; provided, that the Executive must remain continuously employed by the Company through the date on which the Board approves the actual Annual Bonus amount payable to the Executive to be eligible to receive bonus (except as otherwise provided in Section 4(c) or 5(a)).</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464" w:name="page465"/>
    <w:bookmarkEnd w:id="464"/>
    <w:p>
      <w:pPr>
        <w:ind w:right="260" w:firstLine="987"/>
        <w:spacing w:after="0" w:line="259" w:lineRule="auto"/>
        <w:tabs>
          <w:tab w:leader="none" w:pos="1236" w:val="left"/>
        </w:tabs>
        <w:numPr>
          <w:ilvl w:val="1"/>
          <w:numId w:val="4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Expenses</w:t>
      </w:r>
      <w:r>
        <w:rPr>
          <w:rFonts w:ascii="Arial" w:cs="Arial" w:eastAsia="Arial" w:hAnsi="Arial"/>
          <w:sz w:val="18"/>
          <w:szCs w:val="18"/>
          <w:color w:val="auto"/>
        </w:rPr>
        <w:t>. The Company shall promptly pay or reimburse the Executive for all reasonable expenses incurred by the Executive while performing services hereunder, including but not limited to travel expenses and attendance at industry events, in accordance with the policies and procedures then in effect and established by the Company for its executive officers, but in no event later than thirty (30) days submission of a reimbursement request in accordance with such policies or procedures.</w:t>
      </w:r>
    </w:p>
    <w:p>
      <w:pPr>
        <w:spacing w:after="0" w:line="78" w:lineRule="exact"/>
        <w:rPr>
          <w:rFonts w:ascii="Arial" w:cs="Arial" w:eastAsia="Arial" w:hAnsi="Arial"/>
          <w:sz w:val="18"/>
          <w:szCs w:val="18"/>
          <w:color w:val="auto"/>
        </w:rPr>
      </w:pPr>
    </w:p>
    <w:p>
      <w:pPr>
        <w:ind w:right="360" w:firstLine="987"/>
        <w:spacing w:after="0" w:line="277" w:lineRule="auto"/>
        <w:tabs>
          <w:tab w:leader="none" w:pos="1246" w:val="left"/>
        </w:tabs>
        <w:numPr>
          <w:ilvl w:val="1"/>
          <w:numId w:val="418"/>
        </w:numPr>
        <w:rPr>
          <w:rFonts w:ascii="Arial" w:cs="Arial" w:eastAsia="Arial" w:hAnsi="Arial"/>
          <w:sz w:val="18"/>
          <w:szCs w:val="18"/>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The Executive shall be eligible to participate in or receive benefits under the Company’s employee benefit plans in effect from time to time, subject to the terms of such plans.</w:t>
      </w:r>
    </w:p>
    <w:p>
      <w:pPr>
        <w:spacing w:after="0" w:line="62" w:lineRule="exact"/>
        <w:rPr>
          <w:rFonts w:ascii="Arial" w:cs="Arial" w:eastAsia="Arial" w:hAnsi="Arial"/>
          <w:sz w:val="18"/>
          <w:szCs w:val="18"/>
          <w:color w:val="auto"/>
        </w:rPr>
      </w:pPr>
    </w:p>
    <w:p>
      <w:pPr>
        <w:ind w:right="140" w:firstLine="987"/>
        <w:spacing w:after="0" w:line="277" w:lineRule="auto"/>
        <w:tabs>
          <w:tab w:leader="none" w:pos="1236" w:val="left"/>
        </w:tabs>
        <w:numPr>
          <w:ilvl w:val="1"/>
          <w:numId w:val="418"/>
        </w:numPr>
        <w:rPr>
          <w:rFonts w:ascii="Arial" w:cs="Arial" w:eastAsia="Arial" w:hAnsi="Arial"/>
          <w:sz w:val="18"/>
          <w:szCs w:val="18"/>
          <w:color w:val="auto"/>
        </w:rPr>
      </w:pPr>
      <w:r>
        <w:rPr>
          <w:rFonts w:ascii="Arial" w:cs="Arial" w:eastAsia="Arial" w:hAnsi="Arial"/>
          <w:sz w:val="18"/>
          <w:szCs w:val="18"/>
          <w:u w:val="single" w:color="auto"/>
          <w:color w:val="auto"/>
        </w:rPr>
        <w:t>Paid Time Off</w:t>
      </w:r>
      <w:r>
        <w:rPr>
          <w:rFonts w:ascii="Arial" w:cs="Arial" w:eastAsia="Arial" w:hAnsi="Arial"/>
          <w:sz w:val="18"/>
          <w:szCs w:val="18"/>
          <w:color w:val="auto"/>
        </w:rPr>
        <w:t>. The Executive shall be entitled to take paid time off in accordance with the Company’s applicable paid time off policy for executives, as may be in effect from time to time.</w:t>
      </w:r>
    </w:p>
    <w:p>
      <w:pPr>
        <w:spacing w:after="0" w:line="62" w:lineRule="exact"/>
        <w:rPr>
          <w:rFonts w:ascii="Arial" w:cs="Arial" w:eastAsia="Arial" w:hAnsi="Arial"/>
          <w:sz w:val="18"/>
          <w:szCs w:val="18"/>
          <w:color w:val="auto"/>
        </w:rPr>
      </w:pPr>
    </w:p>
    <w:p>
      <w:pPr>
        <w:ind w:right="40" w:firstLine="987"/>
        <w:spacing w:after="0" w:line="277" w:lineRule="auto"/>
        <w:tabs>
          <w:tab w:leader="none" w:pos="1216" w:val="left"/>
        </w:tabs>
        <w:numPr>
          <w:ilvl w:val="1"/>
          <w:numId w:val="418"/>
        </w:numPr>
        <w:rPr>
          <w:rFonts w:ascii="Arial" w:cs="Arial" w:eastAsia="Arial" w:hAnsi="Arial"/>
          <w:sz w:val="18"/>
          <w:szCs w:val="18"/>
          <w:color w:val="auto"/>
        </w:rPr>
      </w:pPr>
      <w:r>
        <w:rPr>
          <w:rFonts w:ascii="Arial" w:cs="Arial" w:eastAsia="Arial" w:hAnsi="Arial"/>
          <w:sz w:val="18"/>
          <w:szCs w:val="18"/>
          <w:u w:val="single" w:color="auto"/>
          <w:color w:val="auto"/>
        </w:rPr>
        <w:t>Stock Ownership Guidelines</w:t>
      </w:r>
      <w:r>
        <w:rPr>
          <w:rFonts w:ascii="Arial" w:cs="Arial" w:eastAsia="Arial" w:hAnsi="Arial"/>
          <w:sz w:val="18"/>
          <w:szCs w:val="18"/>
          <w:color w:val="auto"/>
        </w:rPr>
        <w:t>. The Executive shall be subject to the Company’s Executive Stock Ownership Guidelines while providing services under this Agreement.</w:t>
      </w:r>
    </w:p>
    <w:p>
      <w:pPr>
        <w:spacing w:after="0" w:line="62" w:lineRule="exact"/>
        <w:rPr>
          <w:rFonts w:ascii="Arial" w:cs="Arial" w:eastAsia="Arial" w:hAnsi="Arial"/>
          <w:sz w:val="18"/>
          <w:szCs w:val="18"/>
          <w:color w:val="auto"/>
        </w:rPr>
      </w:pPr>
    </w:p>
    <w:p>
      <w:pPr>
        <w:ind w:firstLine="987"/>
        <w:spacing w:after="0" w:line="257" w:lineRule="auto"/>
        <w:tabs>
          <w:tab w:leader="none" w:pos="1246" w:val="left"/>
        </w:tabs>
        <w:numPr>
          <w:ilvl w:val="1"/>
          <w:numId w:val="418"/>
        </w:numPr>
        <w:rPr>
          <w:rFonts w:ascii="Arial" w:cs="Arial" w:eastAsia="Arial" w:hAnsi="Arial"/>
          <w:sz w:val="18"/>
          <w:szCs w:val="18"/>
          <w:color w:val="auto"/>
        </w:rPr>
      </w:pPr>
      <w:r>
        <w:rPr>
          <w:rFonts w:ascii="Arial" w:cs="Arial" w:eastAsia="Arial" w:hAnsi="Arial"/>
          <w:sz w:val="18"/>
          <w:szCs w:val="18"/>
          <w:u w:val="single" w:color="auto"/>
          <w:color w:val="auto"/>
        </w:rPr>
        <w:t>Treatment of Equity Awards upon a Change in Control</w:t>
      </w:r>
      <w:r>
        <w:rPr>
          <w:rFonts w:ascii="Arial" w:cs="Arial" w:eastAsia="Arial" w:hAnsi="Arial"/>
          <w:sz w:val="18"/>
          <w:szCs w:val="18"/>
          <w:color w:val="auto"/>
        </w:rPr>
        <w:t>. The following provisions shall apply to any award granted under the Adagio Therapeutics, Inc. 2021 Equity Incentive Plan (the “</w:t>
      </w:r>
      <w:r>
        <w:rPr>
          <w:rFonts w:ascii="Arial" w:cs="Arial" w:eastAsia="Arial" w:hAnsi="Arial"/>
          <w:sz w:val="18"/>
          <w:szCs w:val="18"/>
          <w:b w:val="1"/>
          <w:bCs w:val="1"/>
          <w:i w:val="1"/>
          <w:iCs w:val="1"/>
          <w:u w:val="single" w:color="auto"/>
          <w:color w:val="auto"/>
        </w:rPr>
        <w:t>Plan</w:t>
      </w:r>
      <w:r>
        <w:rPr>
          <w:rFonts w:ascii="Arial" w:cs="Arial" w:eastAsia="Arial" w:hAnsi="Arial"/>
          <w:sz w:val="18"/>
          <w:szCs w:val="18"/>
          <w:color w:val="auto"/>
        </w:rPr>
        <w:t>”) or any other plan, agreement or arrangement based on the value of a share of the Company’s common stock on or after the Effective Date (collectively, the “</w:t>
      </w:r>
      <w:r>
        <w:rPr>
          <w:rFonts w:ascii="Arial" w:cs="Arial" w:eastAsia="Arial" w:hAnsi="Arial"/>
          <w:sz w:val="18"/>
          <w:szCs w:val="18"/>
          <w:b w:val="1"/>
          <w:bCs w:val="1"/>
          <w:i w:val="1"/>
          <w:iCs w:val="1"/>
          <w:u w:val="single" w:color="auto"/>
          <w:color w:val="auto"/>
        </w:rPr>
        <w:t>Equity Awards</w:t>
      </w:r>
      <w:r>
        <w:rPr>
          <w:rFonts w:ascii="Arial" w:cs="Arial" w:eastAsia="Arial" w:hAnsi="Arial"/>
          <w:sz w:val="18"/>
          <w:szCs w:val="18"/>
          <w:color w:val="auto"/>
        </w:rPr>
        <w:t>”) to the extent the Equity Awards are assumed, continued or substituted by the surviving or acquiring entity (or its parent) in connection with a Change in Control (as defined in the Plan) and the Executive continues to provide services to the Company or its successor following such Change in Control:</w:t>
      </w:r>
    </w:p>
    <w:p>
      <w:pPr>
        <w:spacing w:after="0" w:line="79" w:lineRule="exact"/>
        <w:rPr>
          <w:rFonts w:ascii="Arial" w:cs="Arial" w:eastAsia="Arial" w:hAnsi="Arial"/>
          <w:sz w:val="18"/>
          <w:szCs w:val="18"/>
          <w:color w:val="auto"/>
        </w:rPr>
      </w:pPr>
    </w:p>
    <w:p>
      <w:pPr>
        <w:ind w:left="440" w:right="20" w:firstLine="948"/>
        <w:spacing w:after="0" w:line="259" w:lineRule="auto"/>
        <w:tabs>
          <w:tab w:leader="none" w:pos="1607" w:val="left"/>
        </w:tabs>
        <w:numPr>
          <w:ilvl w:val="2"/>
          <w:numId w:val="418"/>
        </w:numPr>
        <w:rPr>
          <w:rFonts w:ascii="Arial" w:cs="Arial" w:eastAsia="Arial" w:hAnsi="Arial"/>
          <w:sz w:val="18"/>
          <w:szCs w:val="18"/>
          <w:color w:val="auto"/>
        </w:rPr>
      </w:pPr>
      <w:r>
        <w:rPr>
          <w:rFonts w:ascii="Arial" w:cs="Arial" w:eastAsia="Arial" w:hAnsi="Arial"/>
          <w:sz w:val="18"/>
          <w:szCs w:val="18"/>
          <w:color w:val="auto"/>
        </w:rPr>
        <w:t>Except as otherwise provided in the Change in Control transaction’s definitive agreement, the Plan or the applicable award agreement, or as set forth in Section 6 below, Equity Awards subject to vesting solely on account of completing periods of covered employment or service (collectively, the “</w:t>
      </w:r>
      <w:r>
        <w:rPr>
          <w:rFonts w:ascii="Arial" w:cs="Arial" w:eastAsia="Arial" w:hAnsi="Arial"/>
          <w:sz w:val="18"/>
          <w:szCs w:val="18"/>
          <w:b w:val="1"/>
          <w:bCs w:val="1"/>
          <w:i w:val="1"/>
          <w:iCs w:val="1"/>
          <w:u w:val="single" w:color="auto"/>
          <w:color w:val="auto"/>
        </w:rPr>
        <w:t>Time-Based Equity Awards</w:t>
      </w:r>
      <w:r>
        <w:rPr>
          <w:rFonts w:ascii="Arial" w:cs="Arial" w:eastAsia="Arial" w:hAnsi="Arial"/>
          <w:sz w:val="18"/>
          <w:szCs w:val="18"/>
          <w:color w:val="auto"/>
        </w:rPr>
        <w:t>”) shall not immediately accelerate and become fully vested and exercisable or non-forfeitable on such a Change in Control, and</w:t>
      </w:r>
    </w:p>
    <w:p>
      <w:pPr>
        <w:spacing w:after="0" w:line="78" w:lineRule="exact"/>
        <w:rPr>
          <w:rFonts w:ascii="Arial" w:cs="Arial" w:eastAsia="Arial" w:hAnsi="Arial"/>
          <w:sz w:val="18"/>
          <w:szCs w:val="18"/>
          <w:color w:val="auto"/>
        </w:rPr>
      </w:pPr>
    </w:p>
    <w:p>
      <w:pPr>
        <w:ind w:left="440" w:right="200" w:firstLine="948"/>
        <w:spacing w:after="0" w:line="263" w:lineRule="auto"/>
        <w:tabs>
          <w:tab w:leader="none" w:pos="1657" w:val="left"/>
        </w:tabs>
        <w:numPr>
          <w:ilvl w:val="2"/>
          <w:numId w:val="418"/>
        </w:numPr>
        <w:rPr>
          <w:rFonts w:ascii="Arial" w:cs="Arial" w:eastAsia="Arial" w:hAnsi="Arial"/>
          <w:sz w:val="18"/>
          <w:szCs w:val="18"/>
          <w:color w:val="auto"/>
        </w:rPr>
      </w:pPr>
      <w:r>
        <w:rPr>
          <w:rFonts w:ascii="Arial" w:cs="Arial" w:eastAsia="Arial" w:hAnsi="Arial"/>
          <w:sz w:val="18"/>
          <w:szCs w:val="18"/>
          <w:color w:val="auto"/>
        </w:rPr>
        <w:t>all other Equity Awards, including but not limited to performance stock units vesting based on achieving pre-established performance goals (collectively, the “</w:t>
      </w:r>
      <w:r>
        <w:rPr>
          <w:rFonts w:ascii="Arial" w:cs="Arial" w:eastAsia="Arial" w:hAnsi="Arial"/>
          <w:sz w:val="18"/>
          <w:szCs w:val="18"/>
          <w:b w:val="1"/>
          <w:bCs w:val="1"/>
          <w:i w:val="1"/>
          <w:iCs w:val="1"/>
          <w:u w:val="single" w:color="auto"/>
          <w:color w:val="auto"/>
        </w:rPr>
        <w:t>Performance-Based Equity Awards</w:t>
      </w:r>
      <w:r>
        <w:rPr>
          <w:rFonts w:ascii="Arial" w:cs="Arial" w:eastAsia="Arial" w:hAnsi="Arial"/>
          <w:sz w:val="18"/>
          <w:szCs w:val="18"/>
          <w:color w:val="auto"/>
        </w:rPr>
        <w:t>”) shall be governed by the terms of the Plan and the applicable award agreement.</w:t>
      </w:r>
    </w:p>
    <w:p>
      <w:pPr>
        <w:spacing w:after="0" w:line="183" w:lineRule="exact"/>
        <w:rPr>
          <w:rFonts w:ascii="Arial" w:cs="Arial" w:eastAsia="Arial" w:hAnsi="Arial"/>
          <w:sz w:val="18"/>
          <w:szCs w:val="18"/>
          <w:color w:val="auto"/>
        </w:rPr>
      </w:pPr>
    </w:p>
    <w:p>
      <w:pPr>
        <w:ind w:right="920" w:firstLine="436"/>
        <w:spacing w:after="0" w:line="277" w:lineRule="auto"/>
        <w:tabs>
          <w:tab w:leader="none" w:pos="620" w:val="left"/>
        </w:tabs>
        <w:numPr>
          <w:ilvl w:val="0"/>
          <w:numId w:val="419"/>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The Executive’s employment hereunder may be terminated without any breach of this Agreement under the following circumstances:</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1"/>
          <w:numId w:val="419"/>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The Executive’s employment hereunder shall terminate upon death.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465" w:name="page466"/>
    <w:bookmarkEnd w:id="465"/>
    <w:p>
      <w:pPr>
        <w:ind w:left="-40" w:right="20" w:firstLine="987"/>
        <w:spacing w:after="0" w:line="287" w:lineRule="auto"/>
        <w:tabs>
          <w:tab w:leader="none" w:pos="1206" w:val="left"/>
        </w:tabs>
        <w:numPr>
          <w:ilvl w:val="0"/>
          <w:numId w:val="42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Disability</w:t>
      </w:r>
      <w:r>
        <w:rPr>
          <w:rFonts w:ascii="Arial" w:cs="Arial" w:eastAsia="Arial" w:hAnsi="Arial"/>
          <w:sz w:val="16"/>
          <w:szCs w:val="16"/>
          <w:color w:val="auto"/>
        </w:rPr>
        <w:t xml:space="preserve">. The Company may terminate the Executive’s employment if the Executive is disabled and unable to perform or expected to be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and the Americans with Disabilities Act, 42 U.S.C. §12101 </w:t>
      </w:r>
      <w:r>
        <w:rPr>
          <w:rFonts w:ascii="Arial" w:cs="Arial" w:eastAsia="Arial" w:hAnsi="Arial"/>
          <w:sz w:val="16"/>
          <w:szCs w:val="16"/>
          <w:i w:val="1"/>
          <w:iCs w:val="1"/>
          <w:color w:val="auto"/>
        </w:rPr>
        <w:t>et seq.</w:t>
      </w:r>
    </w:p>
    <w:p>
      <w:pPr>
        <w:spacing w:after="0" w:line="63" w:lineRule="exact"/>
        <w:rPr>
          <w:rFonts w:ascii="Arial" w:cs="Arial" w:eastAsia="Arial" w:hAnsi="Arial"/>
          <w:sz w:val="16"/>
          <w:szCs w:val="16"/>
          <w:color w:val="auto"/>
        </w:rPr>
      </w:pPr>
    </w:p>
    <w:p>
      <w:pPr>
        <w:ind w:left="-40" w:right="60" w:firstLine="987"/>
        <w:spacing w:after="0" w:line="277" w:lineRule="auto"/>
        <w:tabs>
          <w:tab w:leader="none" w:pos="1196" w:val="left"/>
        </w:tabs>
        <w:numPr>
          <w:ilvl w:val="0"/>
          <w:numId w:val="420"/>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w:t>
      </w:r>
      <w:r>
        <w:rPr>
          <w:rFonts w:ascii="Arial" w:cs="Arial" w:eastAsia="Arial" w:hAnsi="Arial"/>
          <w:sz w:val="18"/>
          <w:szCs w:val="18"/>
          <w:color w:val="auto"/>
        </w:rPr>
        <w:t>. The Company may terminate the Executive’s employment hereunder for Cause. For purposes of this Agreement, “</w:t>
      </w:r>
      <w:r>
        <w:rPr>
          <w:rFonts w:ascii="Arial" w:cs="Arial" w:eastAsia="Arial" w:hAnsi="Arial"/>
          <w:sz w:val="18"/>
          <w:szCs w:val="18"/>
          <w:b w:val="1"/>
          <w:bCs w:val="1"/>
          <w:i w:val="1"/>
          <w:iCs w:val="1"/>
          <w:u w:val="single" w:color="auto"/>
          <w:color w:val="auto"/>
        </w:rPr>
        <w:t>Cause</w:t>
      </w:r>
      <w:r>
        <w:rPr>
          <w:rFonts w:ascii="Arial" w:cs="Arial" w:eastAsia="Arial" w:hAnsi="Arial"/>
          <w:sz w:val="18"/>
          <w:szCs w:val="18"/>
          <w:color w:val="auto"/>
        </w:rPr>
        <w:t>” shall mean any of the following:</w:t>
      </w:r>
    </w:p>
    <w:p>
      <w:pPr>
        <w:spacing w:after="0" w:line="62" w:lineRule="exact"/>
        <w:rPr>
          <w:rFonts w:ascii="Arial" w:cs="Arial" w:eastAsia="Arial" w:hAnsi="Arial"/>
          <w:sz w:val="18"/>
          <w:szCs w:val="18"/>
          <w:color w:val="auto"/>
        </w:rPr>
      </w:pPr>
    </w:p>
    <w:p>
      <w:pPr>
        <w:ind w:left="940" w:firstLine="408"/>
        <w:spacing w:after="0" w:line="279" w:lineRule="auto"/>
        <w:tabs>
          <w:tab w:leader="none" w:pos="1556" w:val="left"/>
        </w:tabs>
        <w:numPr>
          <w:ilvl w:val="1"/>
          <w:numId w:val="420"/>
        </w:numPr>
        <w:rPr>
          <w:rFonts w:ascii="Arial" w:cs="Arial" w:eastAsia="Arial" w:hAnsi="Arial"/>
          <w:sz w:val="17"/>
          <w:szCs w:val="17"/>
          <w:color w:val="auto"/>
        </w:rPr>
      </w:pPr>
      <w:r>
        <w:rPr>
          <w:rFonts w:ascii="Arial" w:cs="Arial" w:eastAsia="Arial" w:hAnsi="Arial"/>
          <w:sz w:val="17"/>
          <w:szCs w:val="17"/>
          <w:color w:val="auto"/>
        </w:rPr>
        <w:t>the Executive’s unauthorized use or disclosure of confidential information or trade secrets of the Company for Executive’s benefit or any material breach of a written agreement between the Executive and the Company, including without limitation a material breach of this Agreement or the Restrictive Covenants Agreement; provided, however, that any such disclosure under the collaboration agreement entered into by Adimab, LLC and the Company shall not constitute Cause under this Agreement;</w:t>
      </w:r>
    </w:p>
    <w:p>
      <w:pPr>
        <w:spacing w:after="0" w:line="63" w:lineRule="exact"/>
        <w:rPr>
          <w:rFonts w:ascii="Arial" w:cs="Arial" w:eastAsia="Arial" w:hAnsi="Arial"/>
          <w:sz w:val="17"/>
          <w:szCs w:val="17"/>
          <w:color w:val="auto"/>
        </w:rPr>
      </w:pPr>
    </w:p>
    <w:p>
      <w:pPr>
        <w:ind w:left="940" w:firstLine="408"/>
        <w:spacing w:after="0" w:line="263" w:lineRule="auto"/>
        <w:tabs>
          <w:tab w:leader="none" w:pos="1606" w:val="left"/>
        </w:tabs>
        <w:numPr>
          <w:ilvl w:val="1"/>
          <w:numId w:val="420"/>
        </w:numPr>
        <w:rPr>
          <w:rFonts w:ascii="Arial" w:cs="Arial" w:eastAsia="Arial" w:hAnsi="Arial"/>
          <w:sz w:val="18"/>
          <w:szCs w:val="18"/>
          <w:color w:val="auto"/>
        </w:rPr>
      </w:pPr>
      <w:r>
        <w:rPr>
          <w:rFonts w:ascii="Arial" w:cs="Arial" w:eastAsia="Arial" w:hAnsi="Arial"/>
          <w:sz w:val="18"/>
          <w:szCs w:val="18"/>
          <w:color w:val="auto"/>
        </w:rPr>
        <w:t>the Executive’s conviction of, or pleading no contest to, a felony under the laws of the United States or any state thereof (other than in connection with a traffic violation that does not result in imprisonment) or any crime that results in the Executive’s incarceration in a federal, state, or local jail or prison;</w:t>
      </w:r>
    </w:p>
    <w:p>
      <w:pPr>
        <w:spacing w:after="0" w:line="75" w:lineRule="exact"/>
        <w:rPr>
          <w:rFonts w:ascii="Arial" w:cs="Arial" w:eastAsia="Arial" w:hAnsi="Arial"/>
          <w:sz w:val="18"/>
          <w:szCs w:val="18"/>
          <w:color w:val="auto"/>
        </w:rPr>
      </w:pPr>
    </w:p>
    <w:p>
      <w:pPr>
        <w:ind w:left="940" w:right="160" w:firstLine="408"/>
        <w:spacing w:after="0" w:line="275" w:lineRule="auto"/>
        <w:tabs>
          <w:tab w:leader="none" w:pos="1656" w:val="left"/>
        </w:tabs>
        <w:numPr>
          <w:ilvl w:val="1"/>
          <w:numId w:val="420"/>
        </w:numPr>
        <w:rPr>
          <w:rFonts w:ascii="Arial" w:cs="Arial" w:eastAsia="Arial" w:hAnsi="Arial"/>
          <w:sz w:val="17"/>
          <w:szCs w:val="17"/>
          <w:color w:val="auto"/>
        </w:rPr>
      </w:pPr>
      <w:r>
        <w:rPr>
          <w:rFonts w:ascii="Arial" w:cs="Arial" w:eastAsia="Arial" w:hAnsi="Arial"/>
          <w:sz w:val="17"/>
          <w:szCs w:val="17"/>
          <w:color w:val="auto"/>
        </w:rPr>
        <w:t>the Executive’s material and willful misconduct in the performance of the Executive’s duties or the Executive’s willful or repeated failure or refusal to substantially perform assigned duties (other than any such failure of refusal resulting from the Executive’s incapacity due to physical or mental illness or any such actual or anticipated failure after the issuance of a notice of Good Reason by the Executive pursuant to Section 3(e) hereof), in any case, which willful misconduct, failure or refusal has continued for more than thirty (30) days following written notice from the CEO of such willful misconduct, failure or refusal;</w:t>
      </w:r>
    </w:p>
    <w:p>
      <w:pPr>
        <w:spacing w:after="0" w:line="68" w:lineRule="exact"/>
        <w:rPr>
          <w:rFonts w:ascii="Arial" w:cs="Arial" w:eastAsia="Arial" w:hAnsi="Arial"/>
          <w:sz w:val="17"/>
          <w:szCs w:val="17"/>
          <w:color w:val="auto"/>
        </w:rPr>
      </w:pPr>
    </w:p>
    <w:p>
      <w:pPr>
        <w:ind w:left="940" w:right="40" w:firstLine="408"/>
        <w:spacing w:after="0" w:line="277" w:lineRule="auto"/>
        <w:tabs>
          <w:tab w:leader="none" w:pos="1646" w:val="left"/>
        </w:tabs>
        <w:numPr>
          <w:ilvl w:val="1"/>
          <w:numId w:val="420"/>
        </w:numPr>
        <w:rPr>
          <w:rFonts w:ascii="Arial" w:cs="Arial" w:eastAsia="Arial" w:hAnsi="Arial"/>
          <w:sz w:val="18"/>
          <w:szCs w:val="18"/>
          <w:color w:val="auto"/>
        </w:rPr>
      </w:pPr>
      <w:r>
        <w:rPr>
          <w:rFonts w:ascii="Arial" w:cs="Arial" w:eastAsia="Arial" w:hAnsi="Arial"/>
          <w:sz w:val="18"/>
          <w:szCs w:val="18"/>
          <w:color w:val="auto"/>
        </w:rPr>
        <w:t>any act of fraud, embezzlement or material misappropriation committed by the Executive against the Company (other than good faith expense account disputes);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480" w:top="274" w:right="499" w:bottom="1440" w:gutter="0" w:footer="0" w:header="0"/>
        </w:sectPr>
      </w:pPr>
    </w:p>
    <w:bookmarkStart w:id="466" w:name="page467"/>
    <w:bookmarkEnd w:id="466"/>
    <w:p>
      <w:pPr>
        <w:ind w:left="980" w:firstLine="408"/>
        <w:spacing w:after="0" w:line="277" w:lineRule="auto"/>
        <w:tabs>
          <w:tab w:leader="none" w:pos="1636" w:val="left"/>
        </w:tabs>
        <w:numPr>
          <w:ilvl w:val="0"/>
          <w:numId w:val="4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willful engaging by the Executive in any act that brings the Company into public disrepute or disgrace or causes material harm to the customer relations, operations or business prospects of the Company; or</w:t>
      </w:r>
    </w:p>
    <w:p>
      <w:pPr>
        <w:spacing w:after="0" w:line="62" w:lineRule="exact"/>
        <w:rPr>
          <w:rFonts w:ascii="Arial" w:cs="Arial" w:eastAsia="Arial" w:hAnsi="Arial"/>
          <w:sz w:val="18"/>
          <w:szCs w:val="18"/>
          <w:color w:val="auto"/>
        </w:rPr>
      </w:pPr>
    </w:p>
    <w:p>
      <w:pPr>
        <w:ind w:left="980" w:right="100" w:firstLine="408"/>
        <w:spacing w:after="0" w:line="259" w:lineRule="auto"/>
        <w:tabs>
          <w:tab w:leader="none" w:pos="1686"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the Executive’s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87"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For purposes of this Section 3(c), no act, or failure to act, on the Executive’s part shall be deemed “willful” if done, or omitted to be done, by the Executive in good faith and with reasonable belief that the Executive’s act, or failure to act, was in the best interest of the Company.</w:t>
      </w:r>
    </w:p>
    <w:p>
      <w:pPr>
        <w:spacing w:after="0" w:line="146"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In the case of any termination for Cause, the Company shall provide written notice to the Executive setting forth to a reasonable extent at least the principal acts or omissions of the Executive giving rise to Cause for termination. It is agreed to by the parties that the below par or below average financial performance of the Company and/or its subsidiaries, in and of itself shall not constitute Cause for employment termination under this Agreement.</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 termination for Cause under this Section 3(c) (other than with respect to Section 3(c)(ii) shall in no event become effective under the Agreement unless the provisions of this paragraph are complied with. The Executive must be given written notice by the Board of the intention to terminate Executive’s employment for Cause, such notice (A) to state in detail the act or acts or failure or failures to act that constitute the grounds on which the proposed termination for Cause is based and (B) to be given within three (3) months of the Board learning of such act or acts or failure or failures to act. The Executive shall have ten (10) days after the date that such written notice has been given to the Executive in which to cure such conduct, to the extent such cure is possible. If the Executive fails to cure such conduct, the Executive shall thereupon be terminated for Cause.</w:t>
      </w:r>
    </w:p>
    <w:p>
      <w:pPr>
        <w:spacing w:after="0" w:line="56" w:lineRule="exact"/>
        <w:rPr>
          <w:sz w:val="20"/>
          <w:szCs w:val="20"/>
          <w:color w:val="auto"/>
        </w:rPr>
      </w:pPr>
    </w:p>
    <w:p>
      <w:pPr>
        <w:jc w:val="both"/>
        <w:ind w:right="40" w:firstLine="987"/>
        <w:spacing w:after="0" w:line="311" w:lineRule="auto"/>
        <w:tabs>
          <w:tab w:leader="none" w:pos="1246" w:val="left"/>
        </w:tabs>
        <w:numPr>
          <w:ilvl w:val="0"/>
          <w:numId w:val="422"/>
        </w:numPr>
        <w:rPr>
          <w:rFonts w:ascii="Arial" w:cs="Arial" w:eastAsia="Arial" w:hAnsi="Arial"/>
          <w:sz w:val="16"/>
          <w:szCs w:val="16"/>
          <w:color w:val="auto"/>
        </w:rPr>
      </w:pPr>
      <w:r>
        <w:rPr>
          <w:rFonts w:ascii="Arial" w:cs="Arial" w:eastAsia="Arial" w:hAnsi="Arial"/>
          <w:sz w:val="16"/>
          <w:szCs w:val="16"/>
          <w:u w:val="single" w:color="auto"/>
          <w:color w:val="auto"/>
        </w:rPr>
        <w:t>Termination by the Company without Cause</w:t>
      </w:r>
      <w:r>
        <w:rPr>
          <w:rFonts w:ascii="Arial" w:cs="Arial" w:eastAsia="Arial" w:hAnsi="Arial"/>
          <w:sz w:val="16"/>
          <w:szCs w:val="16"/>
          <w:color w:val="auto"/>
        </w:rPr>
        <w:t>.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3(b) shall be deemed a termination without Cause.</w:t>
      </w:r>
    </w:p>
    <w:p>
      <w:pPr>
        <w:spacing w:after="0" w:line="40" w:lineRule="exact"/>
        <w:rPr>
          <w:rFonts w:ascii="Arial" w:cs="Arial" w:eastAsia="Arial" w:hAnsi="Arial"/>
          <w:sz w:val="16"/>
          <w:szCs w:val="16"/>
          <w:color w:val="auto"/>
        </w:rPr>
      </w:pPr>
    </w:p>
    <w:p>
      <w:pPr>
        <w:ind w:right="240" w:firstLine="987"/>
        <w:spacing w:after="0" w:line="259" w:lineRule="auto"/>
        <w:tabs>
          <w:tab w:leader="none" w:pos="1236" w:val="left"/>
        </w:tabs>
        <w:numPr>
          <w:ilvl w:val="0"/>
          <w:numId w:val="422"/>
        </w:numPr>
        <w:rPr>
          <w:rFonts w:ascii="Arial" w:cs="Arial" w:eastAsia="Arial" w:hAnsi="Arial"/>
          <w:sz w:val="18"/>
          <w:szCs w:val="18"/>
          <w:color w:val="auto"/>
        </w:rPr>
      </w:pPr>
      <w:r>
        <w:rPr>
          <w:rFonts w:ascii="Arial" w:cs="Arial" w:eastAsia="Arial" w:hAnsi="Arial"/>
          <w:sz w:val="18"/>
          <w:szCs w:val="18"/>
          <w:u w:val="single" w:color="auto"/>
          <w:color w:val="auto"/>
        </w:rPr>
        <w:t>Termination by the Executive</w:t>
      </w:r>
      <w:r>
        <w:rPr>
          <w:rFonts w:ascii="Arial" w:cs="Arial" w:eastAsia="Arial" w:hAnsi="Arial"/>
          <w:sz w:val="18"/>
          <w:szCs w:val="18"/>
          <w:color w:val="auto"/>
        </w:rPr>
        <w:t>. The Executive may terminate employment hereunder at any time for any reason, including but not limited to, Good Reason. For purposes of this Agreement, “</w:t>
      </w:r>
      <w:r>
        <w:rPr>
          <w:rFonts w:ascii="Arial" w:cs="Arial" w:eastAsia="Arial" w:hAnsi="Arial"/>
          <w:sz w:val="18"/>
          <w:szCs w:val="18"/>
          <w:b w:val="1"/>
          <w:bCs w:val="1"/>
          <w:i w:val="1"/>
          <w:iCs w:val="1"/>
          <w:u w:val="single" w:color="auto"/>
          <w:color w:val="auto"/>
        </w:rPr>
        <w:t>Good Reason</w:t>
      </w:r>
      <w:r>
        <w:rPr>
          <w:rFonts w:ascii="Arial" w:cs="Arial" w:eastAsia="Arial" w:hAnsi="Arial"/>
          <w:sz w:val="18"/>
          <w:szCs w:val="18"/>
          <w:color w:val="auto"/>
        </w:rPr>
        <w:t>” shall mean that the Executive has completed all steps of the Good Reason Process (hereinafter defined) following the occurrence of any of the following events without the Executive’s consent (each, a “</w:t>
      </w:r>
      <w:r>
        <w:rPr>
          <w:rFonts w:ascii="Arial" w:cs="Arial" w:eastAsia="Arial" w:hAnsi="Arial"/>
          <w:sz w:val="18"/>
          <w:szCs w:val="18"/>
          <w:b w:val="1"/>
          <w:bCs w:val="1"/>
          <w:i w:val="1"/>
          <w:iCs w:val="1"/>
          <w:u w:val="single" w:color="auto"/>
          <w:color w:val="auto"/>
        </w:rPr>
        <w:t>Good Reason</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Condition</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1600" w:hanging="212"/>
        <w:spacing w:after="0"/>
        <w:tabs>
          <w:tab w:leader="none" w:pos="1600" w:val="left"/>
        </w:tabs>
        <w:numPr>
          <w:ilvl w:val="1"/>
          <w:numId w:val="422"/>
        </w:numPr>
        <w:rPr>
          <w:rFonts w:ascii="Arial" w:cs="Arial" w:eastAsia="Arial" w:hAnsi="Arial"/>
          <w:sz w:val="18"/>
          <w:szCs w:val="18"/>
          <w:color w:val="auto"/>
        </w:rPr>
      </w:pPr>
      <w:r>
        <w:rPr>
          <w:rFonts w:ascii="Arial" w:cs="Arial" w:eastAsia="Arial" w:hAnsi="Arial"/>
          <w:sz w:val="18"/>
          <w:szCs w:val="18"/>
          <w:color w:val="auto"/>
        </w:rPr>
        <w:t>a material diminution in the Executive’s title, responsibilities, authority or duties;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467" w:name="page468"/>
    <w:bookmarkEnd w:id="467"/>
    <w:p>
      <w:pPr>
        <w:ind w:left="980" w:right="100" w:firstLine="408"/>
        <w:spacing w:after="0" w:line="263" w:lineRule="auto"/>
        <w:tabs>
          <w:tab w:leader="none" w:pos="1646" w:val="left"/>
        </w:tabs>
        <w:numPr>
          <w:ilvl w:val="1"/>
          <w:numId w:val="4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Change in Control following which either: (A) there is a material reduction in the budget over which the Executive retains authority or (B) the Executive is not CEO of the Company or, if the Company becomes a subsidiary of one or more entities following the Change in Control, the post-consummation ultimate parent entity of the Company; or</w:t>
      </w:r>
    </w:p>
    <w:p>
      <w:pPr>
        <w:spacing w:after="0" w:line="75" w:lineRule="exact"/>
        <w:rPr>
          <w:rFonts w:ascii="Arial" w:cs="Arial" w:eastAsia="Arial" w:hAnsi="Arial"/>
          <w:sz w:val="18"/>
          <w:szCs w:val="18"/>
          <w:color w:val="auto"/>
        </w:rPr>
      </w:pPr>
    </w:p>
    <w:p>
      <w:pPr>
        <w:ind w:left="980" w:firstLine="408"/>
        <w:spacing w:after="0" w:line="257" w:lineRule="auto"/>
        <w:tabs>
          <w:tab w:leader="none" w:pos="1696" w:val="left"/>
        </w:tabs>
        <w:numPr>
          <w:ilvl w:val="1"/>
          <w:numId w:val="423"/>
        </w:numPr>
        <w:rPr>
          <w:rFonts w:ascii="Arial" w:cs="Arial" w:eastAsia="Arial" w:hAnsi="Arial"/>
          <w:sz w:val="18"/>
          <w:szCs w:val="18"/>
          <w:color w:val="auto"/>
        </w:rPr>
      </w:pPr>
      <w:r>
        <w:rPr>
          <w:rFonts w:ascii="Arial" w:cs="Arial" w:eastAsia="Arial" w:hAnsi="Arial"/>
          <w:sz w:val="18"/>
          <w:szCs w:val="18"/>
          <w:color w:val="auto"/>
        </w:rPr>
        <w:t>a material breach of this Agreement by the Company, including without limitation, a reduction of the Executive’s Base Salary or Target Bonus in violation of Section 2(a) or 2(b) (except for across-the-board salary reductions of not more than ten percent (10%) similarly affecting all or substantially all senior management employees of the Company), or the failure of the Company to obtain the assumption in writing of the Company’s obligations to the Executive under this Agreement by any successor as required under Section 13 below.</w:t>
      </w:r>
    </w:p>
    <w:p>
      <w:pPr>
        <w:spacing w:after="0" w:line="79" w:lineRule="exact"/>
        <w:rPr>
          <w:rFonts w:ascii="Arial" w:cs="Arial" w:eastAsia="Arial" w:hAnsi="Arial"/>
          <w:sz w:val="18"/>
          <w:szCs w:val="18"/>
          <w:color w:val="auto"/>
        </w:rPr>
      </w:pPr>
    </w:p>
    <w:p>
      <w:pPr>
        <w:ind w:left="1220" w:hanging="233"/>
        <w:spacing w:after="0"/>
        <w:tabs>
          <w:tab w:leader="none" w:pos="1220" w:val="left"/>
        </w:tabs>
        <w:numPr>
          <w:ilvl w:val="0"/>
          <w:numId w:val="424"/>
        </w:numPr>
        <w:rPr>
          <w:rFonts w:ascii="Arial" w:cs="Arial" w:eastAsia="Arial" w:hAnsi="Arial"/>
          <w:sz w:val="18"/>
          <w:szCs w:val="18"/>
          <w:color w:val="auto"/>
        </w:rPr>
      </w:pPr>
      <w:r>
        <w:rPr>
          <w:rFonts w:ascii="Arial" w:cs="Arial" w:eastAsia="Arial" w:hAnsi="Arial"/>
          <w:sz w:val="18"/>
          <w:szCs w:val="18"/>
          <w:u w:val="single" w:color="auto"/>
          <w:color w:val="auto"/>
        </w:rPr>
        <w:t>Good Reason Process</w:t>
      </w:r>
      <w:r>
        <w:rPr>
          <w:rFonts w:ascii="Arial" w:cs="Arial" w:eastAsia="Arial" w:hAnsi="Arial"/>
          <w:sz w:val="18"/>
          <w:szCs w:val="18"/>
          <w:color w:val="auto"/>
        </w:rPr>
        <w:t>. The “</w:t>
      </w:r>
      <w:r>
        <w:rPr>
          <w:rFonts w:ascii="Arial" w:cs="Arial" w:eastAsia="Arial" w:hAnsi="Arial"/>
          <w:sz w:val="18"/>
          <w:szCs w:val="18"/>
          <w:b w:val="1"/>
          <w:bCs w:val="1"/>
          <w:i w:val="1"/>
          <w:iCs w:val="1"/>
          <w:u w:val="single" w:color="auto"/>
          <w:color w:val="auto"/>
        </w:rPr>
        <w:t>Good Reason Process</w:t>
      </w:r>
      <w:r>
        <w:rPr>
          <w:rFonts w:ascii="Arial" w:cs="Arial" w:eastAsia="Arial" w:hAnsi="Arial"/>
          <w:sz w:val="18"/>
          <w:szCs w:val="18"/>
          <w:color w:val="auto"/>
        </w:rPr>
        <w:t>” consists of the following steps:</w:t>
      </w:r>
    </w:p>
    <w:p>
      <w:pPr>
        <w:spacing w:after="0" w:line="117" w:lineRule="exact"/>
        <w:rPr>
          <w:rFonts w:ascii="Arial" w:cs="Arial" w:eastAsia="Arial" w:hAnsi="Arial"/>
          <w:sz w:val="18"/>
          <w:szCs w:val="18"/>
          <w:color w:val="auto"/>
        </w:rPr>
      </w:pPr>
    </w:p>
    <w:p>
      <w:pPr>
        <w:ind w:left="1600" w:hanging="212"/>
        <w:spacing w:after="0"/>
        <w:tabs>
          <w:tab w:leader="none" w:pos="1600" w:val="left"/>
        </w:tabs>
        <w:numPr>
          <w:ilvl w:val="1"/>
          <w:numId w:val="424"/>
        </w:numPr>
        <w:rPr>
          <w:rFonts w:ascii="Arial" w:cs="Arial" w:eastAsia="Arial" w:hAnsi="Arial"/>
          <w:sz w:val="18"/>
          <w:szCs w:val="18"/>
          <w:color w:val="auto"/>
        </w:rPr>
      </w:pPr>
      <w:r>
        <w:rPr>
          <w:rFonts w:ascii="Arial" w:cs="Arial" w:eastAsia="Arial" w:hAnsi="Arial"/>
          <w:sz w:val="18"/>
          <w:szCs w:val="18"/>
          <w:color w:val="auto"/>
        </w:rPr>
        <w:t>the Executive reasonably determines in good faith that a Good Reason Condition has occurred;</w:t>
      </w:r>
    </w:p>
    <w:p>
      <w:pPr>
        <w:spacing w:after="0" w:line="117" w:lineRule="exact"/>
        <w:rPr>
          <w:rFonts w:ascii="Arial" w:cs="Arial" w:eastAsia="Arial" w:hAnsi="Arial"/>
          <w:sz w:val="18"/>
          <w:szCs w:val="18"/>
          <w:color w:val="auto"/>
        </w:rPr>
      </w:pPr>
    </w:p>
    <w:p>
      <w:pPr>
        <w:ind w:left="980" w:right="20" w:firstLine="408"/>
        <w:spacing w:after="0" w:line="277" w:lineRule="auto"/>
        <w:tabs>
          <w:tab w:leader="none" w:pos="1646" w:val="left"/>
        </w:tabs>
        <w:numPr>
          <w:ilvl w:val="1"/>
          <w:numId w:val="424"/>
        </w:numPr>
        <w:rPr>
          <w:rFonts w:ascii="Arial" w:cs="Arial" w:eastAsia="Arial" w:hAnsi="Arial"/>
          <w:sz w:val="18"/>
          <w:szCs w:val="18"/>
          <w:color w:val="auto"/>
        </w:rPr>
      </w:pPr>
      <w:r>
        <w:rPr>
          <w:rFonts w:ascii="Arial" w:cs="Arial" w:eastAsia="Arial" w:hAnsi="Arial"/>
          <w:sz w:val="18"/>
          <w:szCs w:val="18"/>
          <w:color w:val="auto"/>
        </w:rPr>
        <w:t>the Executive notifies the Company in writing of the first occurrence of the Good Reason Condition within sixty (60) days of the first occurrence of such condition;</w:t>
      </w:r>
    </w:p>
    <w:p>
      <w:pPr>
        <w:spacing w:after="0" w:line="62" w:lineRule="exact"/>
        <w:rPr>
          <w:rFonts w:ascii="Arial" w:cs="Arial" w:eastAsia="Arial" w:hAnsi="Arial"/>
          <w:sz w:val="18"/>
          <w:szCs w:val="18"/>
          <w:color w:val="auto"/>
        </w:rPr>
      </w:pPr>
    </w:p>
    <w:p>
      <w:pPr>
        <w:ind w:left="980" w:right="140" w:firstLine="408"/>
        <w:spacing w:after="0" w:line="277" w:lineRule="auto"/>
        <w:tabs>
          <w:tab w:leader="none" w:pos="1696" w:val="left"/>
        </w:tabs>
        <w:numPr>
          <w:ilvl w:val="1"/>
          <w:numId w:val="424"/>
        </w:numPr>
        <w:rPr>
          <w:rFonts w:ascii="Arial" w:cs="Arial" w:eastAsia="Arial" w:hAnsi="Arial"/>
          <w:sz w:val="18"/>
          <w:szCs w:val="18"/>
          <w:color w:val="auto"/>
        </w:rPr>
      </w:pPr>
      <w:r>
        <w:rPr>
          <w:rFonts w:ascii="Arial" w:cs="Arial" w:eastAsia="Arial" w:hAnsi="Arial"/>
          <w:sz w:val="18"/>
          <w:szCs w:val="18"/>
          <w:color w:val="auto"/>
        </w:rPr>
        <w:t>the Executive cooperates in good faith with the Company’s efforts, for a period of not less than thirty (30) days following such notice (the “</w:t>
      </w:r>
      <w:r>
        <w:rPr>
          <w:rFonts w:ascii="Arial" w:cs="Arial" w:eastAsia="Arial" w:hAnsi="Arial"/>
          <w:sz w:val="18"/>
          <w:szCs w:val="18"/>
          <w:b w:val="1"/>
          <w:bCs w:val="1"/>
          <w:i w:val="1"/>
          <w:iCs w:val="1"/>
          <w:u w:val="single" w:color="auto"/>
          <w:color w:val="auto"/>
        </w:rPr>
        <w:t>Cure Period</w:t>
      </w:r>
      <w:r>
        <w:rPr>
          <w:rFonts w:ascii="Arial" w:cs="Arial" w:eastAsia="Arial" w:hAnsi="Arial"/>
          <w:sz w:val="18"/>
          <w:szCs w:val="18"/>
          <w:color w:val="auto"/>
        </w:rPr>
        <w:t>”), to remedy the Good Reason Condition;</w:t>
      </w:r>
    </w:p>
    <w:p>
      <w:pPr>
        <w:spacing w:after="0" w:line="62" w:lineRule="exact"/>
        <w:rPr>
          <w:rFonts w:ascii="Arial" w:cs="Arial" w:eastAsia="Arial" w:hAnsi="Arial"/>
          <w:sz w:val="18"/>
          <w:szCs w:val="18"/>
          <w:color w:val="auto"/>
        </w:rPr>
      </w:pPr>
    </w:p>
    <w:p>
      <w:pPr>
        <w:ind w:left="1700" w:hanging="312"/>
        <w:spacing w:after="0"/>
        <w:tabs>
          <w:tab w:leader="none" w:pos="1700" w:val="left"/>
        </w:tabs>
        <w:numPr>
          <w:ilvl w:val="1"/>
          <w:numId w:val="424"/>
        </w:numPr>
        <w:rPr>
          <w:rFonts w:ascii="Arial" w:cs="Arial" w:eastAsia="Arial" w:hAnsi="Arial"/>
          <w:sz w:val="18"/>
          <w:szCs w:val="18"/>
          <w:color w:val="auto"/>
        </w:rPr>
      </w:pPr>
      <w:r>
        <w:rPr>
          <w:rFonts w:ascii="Arial" w:cs="Arial" w:eastAsia="Arial" w:hAnsi="Arial"/>
          <w:sz w:val="18"/>
          <w:szCs w:val="18"/>
          <w:color w:val="auto"/>
        </w:rPr>
        <w:t>notwithstanding such efforts, the Good Reason Condition continues to exist at the end of the Cure Period; and</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424"/>
        </w:numPr>
        <w:rPr>
          <w:rFonts w:ascii="Arial" w:cs="Arial" w:eastAsia="Arial" w:hAnsi="Arial"/>
          <w:sz w:val="18"/>
          <w:szCs w:val="18"/>
          <w:color w:val="auto"/>
        </w:rPr>
      </w:pPr>
      <w:r>
        <w:rPr>
          <w:rFonts w:ascii="Arial" w:cs="Arial" w:eastAsia="Arial" w:hAnsi="Arial"/>
          <w:sz w:val="18"/>
          <w:szCs w:val="18"/>
          <w:color w:val="auto"/>
        </w:rPr>
        <w:t>the Executive terminates employment within sixty (60) days after the end of the Cure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the Company cures the Good Reason Condition during the Cure Period, Good Reason shall be deemed not to have occurred.</w:t>
      </w:r>
    </w:p>
    <w:p>
      <w:pPr>
        <w:spacing w:after="0" w:line="117" w:lineRule="exact"/>
        <w:rPr>
          <w:sz w:val="20"/>
          <w:szCs w:val="20"/>
          <w:color w:val="auto"/>
        </w:rPr>
      </w:pPr>
    </w:p>
    <w:p>
      <w:pPr>
        <w:ind w:left="620" w:hanging="184"/>
        <w:spacing w:after="0"/>
        <w:tabs>
          <w:tab w:leader="none" w:pos="620" w:val="left"/>
        </w:tabs>
        <w:numPr>
          <w:ilvl w:val="0"/>
          <w:numId w:val="425"/>
        </w:numPr>
        <w:rPr>
          <w:rFonts w:ascii="Arial" w:cs="Arial" w:eastAsia="Arial" w:hAnsi="Arial"/>
          <w:sz w:val="18"/>
          <w:szCs w:val="18"/>
          <w:color w:val="auto"/>
        </w:rPr>
      </w:pPr>
      <w:r>
        <w:rPr>
          <w:rFonts w:ascii="Arial" w:cs="Arial" w:eastAsia="Arial" w:hAnsi="Arial"/>
          <w:sz w:val="18"/>
          <w:szCs w:val="18"/>
          <w:u w:val="single" w:color="auto"/>
          <w:color w:val="auto"/>
        </w:rPr>
        <w:t>Matters Related to Termination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40" w:firstLine="987"/>
        <w:spacing w:after="0" w:line="311" w:lineRule="auto"/>
        <w:tabs>
          <w:tab w:leader="none" w:pos="1236" w:val="left"/>
        </w:tabs>
        <w:numPr>
          <w:ilvl w:val="1"/>
          <w:numId w:val="425"/>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w:t>
      </w:r>
      <w:r>
        <w:rPr>
          <w:rFonts w:ascii="Arial" w:cs="Arial" w:eastAsia="Arial" w:hAnsi="Arial"/>
          <w:sz w:val="16"/>
          <w:szCs w:val="16"/>
          <w:b w:val="1"/>
          <w:bCs w:val="1"/>
          <w:i w:val="1"/>
          <w:iCs w:val="1"/>
          <w:u w:val="single" w:color="auto"/>
          <w:color w:val="auto"/>
        </w:rPr>
        <w:t>Notice of Termination</w:t>
      </w:r>
      <w:r>
        <w:rPr>
          <w:rFonts w:ascii="Arial" w:cs="Arial" w:eastAsia="Arial" w:hAnsi="Arial"/>
          <w:sz w:val="16"/>
          <w:szCs w:val="16"/>
          <w:color w:val="auto"/>
        </w:rPr>
        <w:t>” shall mean a notice which shall indicate the specific termination provision in this Agreement relied upon.</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74" w:right="499" w:bottom="1440" w:gutter="0" w:footer="0" w:header="0"/>
        </w:sectPr>
      </w:pPr>
    </w:p>
    <w:bookmarkStart w:id="468" w:name="page469"/>
    <w:bookmarkEnd w:id="468"/>
    <w:p>
      <w:pPr>
        <w:ind w:left="1244" w:hanging="253"/>
        <w:spacing w:after="0"/>
        <w:tabs>
          <w:tab w:leader="none" w:pos="1244" w:val="left"/>
        </w:tabs>
        <w:numPr>
          <w:ilvl w:val="2"/>
          <w:numId w:val="42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Date of Termination</w:t>
      </w:r>
      <w:r>
        <w:rPr>
          <w:rFonts w:ascii="Arial" w:cs="Arial" w:eastAsia="Arial" w:hAnsi="Arial"/>
          <w:sz w:val="16"/>
          <w:szCs w:val="16"/>
          <w:color w:val="auto"/>
        </w:rPr>
        <w:t>. “</w:t>
      </w:r>
      <w:r>
        <w:rPr>
          <w:rFonts w:ascii="Arial" w:cs="Arial" w:eastAsia="Arial" w:hAnsi="Arial"/>
          <w:sz w:val="16"/>
          <w:szCs w:val="16"/>
          <w:b w:val="1"/>
          <w:bCs w:val="1"/>
          <w:i w:val="1"/>
          <w:iCs w:val="1"/>
          <w:u w:val="single" w:color="auto"/>
          <w:color w:val="auto"/>
        </w:rPr>
        <w:t>Date of Termination</w:t>
      </w:r>
      <w:r>
        <w:rPr>
          <w:rFonts w:ascii="Arial" w:cs="Arial" w:eastAsia="Arial" w:hAnsi="Arial"/>
          <w:sz w:val="16"/>
          <w:szCs w:val="16"/>
          <w:color w:val="auto"/>
        </w:rPr>
        <w:t>” shall mean: (i) if the Executive’s employment is terminated by death, the date of death;</w:t>
      </w:r>
    </w:p>
    <w:p>
      <w:pPr>
        <w:spacing w:after="0" w:line="46" w:lineRule="exact"/>
        <w:rPr>
          <w:rFonts w:ascii="Arial" w:cs="Arial" w:eastAsia="Arial" w:hAnsi="Arial"/>
          <w:sz w:val="16"/>
          <w:szCs w:val="16"/>
          <w:color w:val="auto"/>
        </w:rPr>
      </w:pPr>
    </w:p>
    <w:p>
      <w:pPr>
        <w:ind w:left="4" w:right="20" w:hanging="4"/>
        <w:spacing w:after="0" w:line="281" w:lineRule="auto"/>
        <w:tabs>
          <w:tab w:leader="none" w:pos="269" w:val="left"/>
        </w:tabs>
        <w:numPr>
          <w:ilvl w:val="0"/>
          <w:numId w:val="427"/>
        </w:numPr>
        <w:rPr>
          <w:rFonts w:ascii="Arial" w:cs="Arial" w:eastAsia="Arial" w:hAnsi="Arial"/>
          <w:sz w:val="16"/>
          <w:szCs w:val="16"/>
          <w:color w:val="auto"/>
        </w:rPr>
      </w:pPr>
      <w:r>
        <w:rPr>
          <w:rFonts w:ascii="Arial" w:cs="Arial" w:eastAsia="Arial" w:hAnsi="Arial"/>
          <w:sz w:val="16"/>
          <w:szCs w:val="16"/>
          <w:color w:val="auto"/>
        </w:rPr>
        <w:t>if the Executive’s employment is terminated on account of disability under Section 3(b) or by the Company for Cause under Section 3(c), the date on which Notice of Termination is given; (iii) if the Executive’s employment is terminated by the Company without Cause under Section 3(d), thirty</w:t>
      </w:r>
    </w:p>
    <w:p>
      <w:pPr>
        <w:spacing w:after="0" w:line="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7"/>
          <w:szCs w:val="17"/>
          <w:color w:val="auto"/>
        </w:rPr>
        <w:t>(30) days after the date on which a Notice of Termination is given or a later date otherwise specified by the Company in the Notice of Termination;</w:t>
      </w:r>
    </w:p>
    <w:p>
      <w:pPr>
        <w:spacing w:after="0" w:line="20" w:lineRule="exact"/>
        <w:rPr>
          <w:rFonts w:ascii="Arial" w:cs="Arial" w:eastAsia="Arial" w:hAnsi="Arial"/>
          <w:sz w:val="16"/>
          <w:szCs w:val="16"/>
          <w:color w:val="auto"/>
        </w:rPr>
      </w:pPr>
    </w:p>
    <w:p>
      <w:pPr>
        <w:ind w:left="304" w:hanging="304"/>
        <w:spacing w:after="0"/>
        <w:tabs>
          <w:tab w:leader="none" w:pos="304" w:val="left"/>
        </w:tabs>
        <w:numPr>
          <w:ilvl w:val="0"/>
          <w:numId w:val="428"/>
        </w:numPr>
        <w:rPr>
          <w:rFonts w:ascii="Arial" w:cs="Arial" w:eastAsia="Arial" w:hAnsi="Arial"/>
          <w:sz w:val="17"/>
          <w:szCs w:val="17"/>
          <w:color w:val="auto"/>
        </w:rPr>
      </w:pPr>
      <w:r>
        <w:rPr>
          <w:rFonts w:ascii="Arial" w:cs="Arial" w:eastAsia="Arial" w:hAnsi="Arial"/>
          <w:sz w:val="17"/>
          <w:szCs w:val="17"/>
          <w:color w:val="auto"/>
        </w:rPr>
        <w:t>if the Executive’s employment is terminated by the Executive under Section 3(e) other than for Good Reason, thirty (30) days after the date on</w:t>
      </w:r>
    </w:p>
    <w:p>
      <w:pPr>
        <w:spacing w:after="0" w:line="20" w:lineRule="exact"/>
        <w:rPr>
          <w:rFonts w:ascii="Arial" w:cs="Arial" w:eastAsia="Arial" w:hAnsi="Arial"/>
          <w:sz w:val="17"/>
          <w:szCs w:val="17"/>
          <w:color w:val="auto"/>
        </w:rPr>
      </w:pPr>
    </w:p>
    <w:p>
      <w:pPr>
        <w:ind w:left="4" w:right="140"/>
        <w:spacing w:after="0" w:line="253" w:lineRule="auto"/>
        <w:rPr>
          <w:rFonts w:ascii="Arial" w:cs="Arial" w:eastAsia="Arial" w:hAnsi="Arial"/>
          <w:sz w:val="17"/>
          <w:szCs w:val="17"/>
          <w:color w:val="auto"/>
        </w:rPr>
      </w:pPr>
      <w:r>
        <w:rPr>
          <w:rFonts w:ascii="Arial" w:cs="Arial" w:eastAsia="Arial" w:hAnsi="Arial"/>
          <w:sz w:val="18"/>
          <w:szCs w:val="18"/>
          <w:color w:val="auto"/>
        </w:rPr>
        <w:t>which a Notice of Termination is given, and (v) if the Executive’s employment is terminated by the Executive under Section 3(e) for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84" w:lineRule="exact"/>
        <w:rPr>
          <w:rFonts w:ascii="Arial" w:cs="Arial" w:eastAsia="Arial" w:hAnsi="Arial"/>
          <w:sz w:val="17"/>
          <w:szCs w:val="17"/>
          <w:color w:val="auto"/>
        </w:rPr>
      </w:pPr>
    </w:p>
    <w:p>
      <w:pPr>
        <w:ind w:left="4" w:firstLine="987"/>
        <w:spacing w:after="0" w:line="290" w:lineRule="auto"/>
        <w:tabs>
          <w:tab w:leader="none" w:pos="1240" w:val="left"/>
        </w:tabs>
        <w:numPr>
          <w:ilvl w:val="2"/>
          <w:numId w:val="428"/>
        </w:numPr>
        <w:rPr>
          <w:rFonts w:ascii="Arial" w:cs="Arial" w:eastAsia="Arial" w:hAnsi="Arial"/>
          <w:sz w:val="16"/>
          <w:szCs w:val="16"/>
          <w:color w:val="auto"/>
        </w:rPr>
      </w:pPr>
      <w:r>
        <w:rPr>
          <w:rFonts w:ascii="Arial" w:cs="Arial" w:eastAsia="Arial" w:hAnsi="Arial"/>
          <w:sz w:val="16"/>
          <w:szCs w:val="16"/>
          <w:u w:val="single" w:color="auto"/>
          <w:color w:val="auto"/>
        </w:rPr>
        <w:t>Accrued Obligations</w:t>
      </w:r>
      <w:r>
        <w:rPr>
          <w:rFonts w:ascii="Arial" w:cs="Arial" w:eastAsia="Arial" w:hAnsi="Arial"/>
          <w:sz w:val="16"/>
          <w:szCs w:val="16"/>
          <w:color w:val="auto"/>
        </w:rPr>
        <w:t>. If the Executive’s employment with the Company is terminated for any reason, the Company shall pay or provide to the Executive (or to the Executive’s authorized representative or estate) (i) any Base Salary earned through the Date of Termination; (ii) unpaid expense reimbursements (subject to, and in accordance with, Section 2(c) of this Agreement); and (iii) any vested benefits the Executive may have under any employee benefit plan or compensation arrangement of the Company (including equity compensation plans and insurance coverages) through the Date of Termination, which vested benefits shall be paid and/or provided in accordance with the terms of such employee benefit plans. In the event that the Executive terminates employment due to death or Disability (as defined in Section 3(b) above), the Executive (or in the case of death, the Executive’s estate) shall be entitled to receive the Earned Bonus (as defined in Section 5(a)) at the same time bonuses are paid to other employees who are actively employed by the Company. The amounts described under this Section 4(c) are referred to below as the “</w:t>
      </w:r>
      <w:r>
        <w:rPr>
          <w:rFonts w:ascii="Arial" w:cs="Arial" w:eastAsia="Arial" w:hAnsi="Arial"/>
          <w:sz w:val="16"/>
          <w:szCs w:val="16"/>
          <w:b w:val="1"/>
          <w:bCs w:val="1"/>
          <w:i w:val="1"/>
          <w:iCs w:val="1"/>
          <w:u w:val="single" w:color="auto"/>
          <w:color w:val="auto"/>
        </w:rPr>
        <w:t>Accrued Obligations</w:t>
      </w:r>
      <w:r>
        <w:rPr>
          <w:rFonts w:ascii="Arial" w:cs="Arial" w:eastAsia="Arial" w:hAnsi="Arial"/>
          <w:sz w:val="16"/>
          <w:szCs w:val="16"/>
          <w:color w:val="auto"/>
        </w:rPr>
        <w:t>.”</w:t>
      </w:r>
    </w:p>
    <w:p>
      <w:pPr>
        <w:spacing w:after="0" w:line="57" w:lineRule="exact"/>
        <w:rPr>
          <w:rFonts w:ascii="Arial" w:cs="Arial" w:eastAsia="Arial" w:hAnsi="Arial"/>
          <w:sz w:val="16"/>
          <w:szCs w:val="16"/>
          <w:color w:val="auto"/>
        </w:rPr>
      </w:pPr>
    </w:p>
    <w:p>
      <w:pPr>
        <w:ind w:left="4" w:right="120" w:firstLine="987"/>
        <w:spacing w:after="0" w:line="311" w:lineRule="auto"/>
        <w:tabs>
          <w:tab w:leader="none" w:pos="1250" w:val="left"/>
        </w:tabs>
        <w:numPr>
          <w:ilvl w:val="2"/>
          <w:numId w:val="428"/>
        </w:numPr>
        <w:rPr>
          <w:rFonts w:ascii="Arial" w:cs="Arial" w:eastAsia="Arial" w:hAnsi="Arial"/>
          <w:sz w:val="16"/>
          <w:szCs w:val="16"/>
          <w:color w:val="auto"/>
        </w:rPr>
      </w:pPr>
      <w:r>
        <w:rPr>
          <w:rFonts w:ascii="Arial" w:cs="Arial" w:eastAsia="Arial" w:hAnsi="Arial"/>
          <w:sz w:val="16"/>
          <w:szCs w:val="16"/>
          <w:u w:val="single" w:color="auto"/>
          <w:color w:val="auto"/>
        </w:rPr>
        <w:t>Resignation of All Other Positions</w:t>
      </w:r>
      <w:r>
        <w:rPr>
          <w:rFonts w:ascii="Arial" w:cs="Arial" w:eastAsia="Arial" w:hAnsi="Arial"/>
          <w:sz w:val="16"/>
          <w:szCs w:val="16"/>
          <w:color w:val="auto"/>
        </w:rPr>
        <w:t>. To the extent applicable, the Executive shall be deemed to have resigned from all officer positions that the Executive holds with the Company or any of its respective subsidiaries and affiliates upon the termination of the Executive’s employment for any reason. The Executive shall execute any documents in reasonable form as may be requested to confirm or effectuate any such resignations.</w:t>
      </w:r>
    </w:p>
    <w:p>
      <w:pPr>
        <w:spacing w:after="0" w:line="40" w:lineRule="exact"/>
        <w:rPr>
          <w:rFonts w:ascii="Arial" w:cs="Arial" w:eastAsia="Arial" w:hAnsi="Arial"/>
          <w:sz w:val="16"/>
          <w:szCs w:val="16"/>
          <w:color w:val="auto"/>
        </w:rPr>
      </w:pPr>
    </w:p>
    <w:p>
      <w:pPr>
        <w:ind w:left="4" w:right="200" w:firstLine="436"/>
        <w:spacing w:after="0" w:line="293" w:lineRule="auto"/>
        <w:tabs>
          <w:tab w:leader="none" w:pos="624" w:val="left"/>
        </w:tabs>
        <w:numPr>
          <w:ilvl w:val="1"/>
          <w:numId w:val="428"/>
        </w:numPr>
        <w:rPr>
          <w:rFonts w:ascii="Arial" w:cs="Arial" w:eastAsia="Arial" w:hAnsi="Arial"/>
          <w:sz w:val="16"/>
          <w:szCs w:val="16"/>
          <w:color w:val="auto"/>
        </w:rPr>
      </w:pPr>
      <w:r>
        <w:rPr>
          <w:rFonts w:ascii="Arial" w:cs="Arial" w:eastAsia="Arial" w:hAnsi="Arial"/>
          <w:sz w:val="16"/>
          <w:szCs w:val="16"/>
          <w:u w:val="single" w:color="auto"/>
          <w:color w:val="auto"/>
        </w:rPr>
        <w:t>Severance Pay and Benefits Upon Termination by the Company without Cause or by the Executive for Good Reason</w:t>
      </w:r>
      <w:r>
        <w:rPr>
          <w:rFonts w:ascii="Arial" w:cs="Arial" w:eastAsia="Arial" w:hAnsi="Arial"/>
          <w:sz w:val="16"/>
          <w:szCs w:val="16"/>
          <w:color w:val="auto"/>
        </w:rPr>
        <w:t xml:space="preserve">. If the Executive’s employment is terminated by the Company without Cause as provided in Section 3(d), or the Executive terminates employment for Good Reason as provided in Section 3(e), then, in addition to the Accrued Obligations, and subject to (i) the Executive signing a separation agreement and release in a form substantially the same as set forth in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(the “</w:t>
      </w:r>
      <w:r>
        <w:rPr>
          <w:rFonts w:ascii="Arial" w:cs="Arial" w:eastAsia="Arial" w:hAnsi="Arial"/>
          <w:sz w:val="16"/>
          <w:szCs w:val="16"/>
          <w:b w:val="1"/>
          <w:bCs w:val="1"/>
          <w:i w:val="1"/>
          <w:iCs w:val="1"/>
          <w:u w:val="single" w:color="auto"/>
          <w:color w:val="auto"/>
        </w:rPr>
        <w:t>Separation Agreement</w:t>
      </w:r>
      <w:r>
        <w:rPr>
          <w:rFonts w:ascii="Arial" w:cs="Arial" w:eastAsia="Arial" w:hAnsi="Arial"/>
          <w:sz w:val="16"/>
          <w:szCs w:val="16"/>
          <w:color w:val="auto"/>
        </w:rPr>
        <w:t>”), which provides that if the Executive materially breaches any of the Continuing Obligations, all payments of the Severance Amount shall immediately cease, and (ii) the Separation Agreement becoming irrevocable, all within sixty (60) days after the Date of Termination (or such shorter period as set forth in the Separation Agreement):</w:t>
      </w:r>
    </w:p>
    <w:p>
      <w:pPr>
        <w:spacing w:after="0" w:line="56" w:lineRule="exact"/>
        <w:rPr>
          <w:rFonts w:ascii="Arial" w:cs="Arial" w:eastAsia="Arial" w:hAnsi="Arial"/>
          <w:sz w:val="16"/>
          <w:szCs w:val="16"/>
          <w:color w:val="auto"/>
        </w:rPr>
      </w:pPr>
    </w:p>
    <w:p>
      <w:pPr>
        <w:ind w:left="1244" w:hanging="253"/>
        <w:spacing w:after="0"/>
        <w:tabs>
          <w:tab w:leader="none" w:pos="1244" w:val="left"/>
        </w:tabs>
        <w:numPr>
          <w:ilvl w:val="2"/>
          <w:numId w:val="429"/>
        </w:numPr>
        <w:rPr>
          <w:rFonts w:ascii="Arial" w:cs="Arial" w:eastAsia="Arial" w:hAnsi="Arial"/>
          <w:sz w:val="16"/>
          <w:szCs w:val="16"/>
          <w:color w:val="auto"/>
        </w:rPr>
      </w:pPr>
      <w:r>
        <w:rPr>
          <w:rFonts w:ascii="Arial" w:cs="Arial" w:eastAsia="Arial" w:hAnsi="Arial"/>
          <w:sz w:val="16"/>
          <w:szCs w:val="16"/>
          <w:u w:val="single" w:color="auto"/>
          <w:color w:val="auto"/>
        </w:rPr>
        <w:t>Cash Severance</w:t>
      </w:r>
      <w:r>
        <w:rPr>
          <w:rFonts w:ascii="Arial" w:cs="Arial" w:eastAsia="Arial" w:hAnsi="Arial"/>
          <w:sz w:val="16"/>
          <w:szCs w:val="16"/>
          <w:color w:val="auto"/>
        </w:rPr>
        <w:t>. The Company shall pay the Executive an amount equal to twelve (12) months’ of the Executive’s Base Salary (the</w:t>
      </w:r>
    </w:p>
    <w:p>
      <w:pPr>
        <w:spacing w:after="0" w:line="46" w:lineRule="exact"/>
        <w:rPr>
          <w:sz w:val="20"/>
          <w:szCs w:val="20"/>
          <w:color w:val="auto"/>
        </w:rPr>
      </w:pPr>
    </w:p>
    <w:p>
      <w:pPr>
        <w:jc w:val="both"/>
        <w:ind w:left="4" w:right="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Severance Amount</w:t>
      </w:r>
      <w:r>
        <w:rPr>
          <w:rFonts w:ascii="Arial" w:cs="Arial" w:eastAsia="Arial" w:hAnsi="Arial"/>
          <w:sz w:val="18"/>
          <w:szCs w:val="18"/>
          <w:color w:val="auto"/>
        </w:rPr>
        <w:t>”) and, in the event that the Executive’s employment is terminated after the end of the calendar year but prior to the payment of any Annual Bonus for the immediately preceding calendar year, the Executive shall be entitled to receive a lump sum payment of any unpaid Annual Bonus earned based on achievement of the applicable performance goals and objectives, without any reduction for individual performance, with respect to such immediately preceding calendar year (the “</w:t>
      </w:r>
      <w:r>
        <w:rPr>
          <w:rFonts w:ascii="Arial" w:cs="Arial" w:eastAsia="Arial" w:hAnsi="Arial"/>
          <w:sz w:val="18"/>
          <w:szCs w:val="18"/>
          <w:b w:val="1"/>
          <w:bCs w:val="1"/>
          <w:i w:val="1"/>
          <w:iCs w:val="1"/>
          <w:u w:val="single" w:color="auto"/>
          <w:color w:val="auto"/>
        </w:rPr>
        <w:t>Earned Bonus</w:t>
      </w:r>
      <w:r>
        <w:rPr>
          <w:rFonts w:ascii="Arial" w:cs="Arial" w:eastAsia="Arial" w:hAnsi="Arial"/>
          <w:sz w:val="18"/>
          <w:szCs w:val="18"/>
          <w:color w:val="auto"/>
        </w:rPr>
        <w:t>”).</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469" w:name="page470"/>
    <w:bookmarkEnd w:id="469"/>
    <w:p>
      <w:pPr>
        <w:jc w:val="both"/>
        <w:ind w:left="4" w:right="160" w:firstLine="987"/>
        <w:spacing w:after="0" w:line="286" w:lineRule="auto"/>
        <w:tabs>
          <w:tab w:leader="none" w:pos="1250" w:val="left"/>
        </w:tabs>
        <w:numPr>
          <w:ilvl w:val="1"/>
          <w:numId w:val="43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COBRA Premiums</w:t>
      </w:r>
      <w:r>
        <w:rPr>
          <w:rFonts w:ascii="Arial" w:cs="Arial" w:eastAsia="Arial" w:hAnsi="Arial"/>
          <w:sz w:val="16"/>
          <w:szCs w:val="16"/>
          <w:color w:val="auto"/>
        </w:rPr>
        <w:t>. Subject to the Executive’s copayment of premium amounts at the applicable active employees’ rate and the Executive’s proper election to receive benefits under the Consolidated Omnibus Budget Reconciliation Act of 1985, as amended (“</w:t>
      </w:r>
      <w:r>
        <w:rPr>
          <w:rFonts w:ascii="Arial" w:cs="Arial" w:eastAsia="Arial" w:hAnsi="Arial"/>
          <w:sz w:val="16"/>
          <w:szCs w:val="16"/>
          <w:b w:val="1"/>
          <w:bCs w:val="1"/>
          <w:i w:val="1"/>
          <w:iCs w:val="1"/>
          <w:u w:val="single" w:color="auto"/>
          <w:color w:val="auto"/>
        </w:rPr>
        <w:t>COBRA</w:t>
      </w:r>
      <w:r>
        <w:rPr>
          <w:rFonts w:ascii="Arial" w:cs="Arial" w:eastAsia="Arial" w:hAnsi="Arial"/>
          <w:sz w:val="16"/>
          <w:szCs w:val="16"/>
          <w:color w:val="auto"/>
        </w:rPr>
        <w:t>”), the Company shall pay to the group health plan provider or the COBRA provider a monthly payment equal to the monthly employer contribution that the Company would have made to provide health insurance to the Executive if the Executive had remained employed by the Company until the earliest of</w:t>
      </w:r>
    </w:p>
    <w:p>
      <w:pPr>
        <w:spacing w:after="0" w:line="1" w:lineRule="exact"/>
        <w:rPr>
          <w:rFonts w:ascii="Arial" w:cs="Arial" w:eastAsia="Arial" w:hAnsi="Arial"/>
          <w:sz w:val="16"/>
          <w:szCs w:val="16"/>
          <w:color w:val="auto"/>
        </w:rPr>
      </w:pPr>
    </w:p>
    <w:p>
      <w:pPr>
        <w:ind w:left="4" w:right="40" w:hanging="4"/>
        <w:spacing w:after="0" w:line="270" w:lineRule="auto"/>
        <w:tabs>
          <w:tab w:leader="none" w:pos="299" w:val="left"/>
        </w:tabs>
        <w:numPr>
          <w:ilvl w:val="0"/>
          <w:numId w:val="431"/>
        </w:numPr>
        <w:rPr>
          <w:rFonts w:ascii="Arial" w:cs="Arial" w:eastAsia="Arial" w:hAnsi="Arial"/>
          <w:sz w:val="17"/>
          <w:szCs w:val="17"/>
          <w:color w:val="auto"/>
        </w:rPr>
      </w:pPr>
      <w:r>
        <w:rPr>
          <w:rFonts w:ascii="Arial" w:cs="Arial" w:eastAsia="Arial" w:hAnsi="Arial"/>
          <w:sz w:val="17"/>
          <w:szCs w:val="17"/>
          <w:color w:val="auto"/>
        </w:rPr>
        <w:t>the twelve (12) month anniversary of the Date of Termination; (B) the date that the Executive becomes eligible for group medical plan benefits under any other employer’s group medical plan; or (C) the cessation of the Executive’s 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to the Executive shall be subject to tax-related deductions and withholdings and paid on the Company’s regular payroll dates.</w:t>
      </w:r>
    </w:p>
    <w:p>
      <w:pPr>
        <w:spacing w:after="0" w:line="70" w:lineRule="exact"/>
        <w:rPr>
          <w:rFonts w:ascii="Arial" w:cs="Arial" w:eastAsia="Arial" w:hAnsi="Arial"/>
          <w:sz w:val="17"/>
          <w:szCs w:val="17"/>
          <w:color w:val="auto"/>
        </w:rPr>
      </w:pPr>
    </w:p>
    <w:p>
      <w:pPr>
        <w:ind w:left="4" w:firstLine="987"/>
        <w:spacing w:after="0" w:line="287" w:lineRule="auto"/>
        <w:tabs>
          <w:tab w:leader="none" w:pos="1240" w:val="left"/>
        </w:tabs>
        <w:numPr>
          <w:ilvl w:val="1"/>
          <w:numId w:val="431"/>
        </w:numPr>
        <w:rPr>
          <w:rFonts w:ascii="Arial" w:cs="Arial" w:eastAsia="Arial" w:hAnsi="Arial"/>
          <w:sz w:val="16"/>
          <w:szCs w:val="16"/>
          <w:color w:val="auto"/>
        </w:rPr>
      </w:pPr>
      <w:r>
        <w:rPr>
          <w:rFonts w:ascii="Arial" w:cs="Arial" w:eastAsia="Arial" w:hAnsi="Arial"/>
          <w:sz w:val="16"/>
          <w:szCs w:val="16"/>
          <w:u w:val="single" w:color="auto"/>
          <w:color w:val="auto"/>
        </w:rPr>
        <w:t>Delayed Forfeiture of Time-Based Equity Awards</w:t>
      </w:r>
      <w:r>
        <w:rPr>
          <w:rFonts w:ascii="Arial" w:cs="Arial" w:eastAsia="Arial" w:hAnsi="Arial"/>
          <w:sz w:val="16"/>
          <w:szCs w:val="16"/>
          <w:color w:val="auto"/>
        </w:rPr>
        <w:t>. Notwithstanding anything to the contrary in any Time-Based Equity Awards, if the Separation Agreement becomes effective, the unvested portions of all Time-Based Equity Awards shall not terminate or be forfeited on the Date of Termination, but rather shall remain outstanding until ninety (90) days after the Date of Termination (the “</w:t>
      </w:r>
      <w:r>
        <w:rPr>
          <w:rFonts w:ascii="Arial" w:cs="Arial" w:eastAsia="Arial" w:hAnsi="Arial"/>
          <w:sz w:val="16"/>
          <w:szCs w:val="16"/>
          <w:b w:val="1"/>
          <w:bCs w:val="1"/>
          <w:i w:val="1"/>
          <w:iCs w:val="1"/>
          <w:u w:val="single" w:color="auto"/>
          <w:color w:val="auto"/>
        </w:rPr>
        <w:t>Pre-CIC Protection Period</w:t>
      </w:r>
      <w:r>
        <w:rPr>
          <w:rFonts w:ascii="Arial" w:cs="Arial" w:eastAsia="Arial" w:hAnsi="Arial"/>
          <w:sz w:val="16"/>
          <w:szCs w:val="16"/>
          <w:color w:val="auto"/>
        </w:rPr>
        <w:t>”). If the Company has not, prior to the end of the Pre-CIC Protection Period, entered into a definitive agreement that, if closed, would result in a Change in Control (a “</w:t>
      </w:r>
      <w:r>
        <w:rPr>
          <w:rFonts w:ascii="Arial" w:cs="Arial" w:eastAsia="Arial" w:hAnsi="Arial"/>
          <w:sz w:val="16"/>
          <w:szCs w:val="16"/>
          <w:b w:val="1"/>
          <w:bCs w:val="1"/>
          <w:i w:val="1"/>
          <w:iCs w:val="1"/>
          <w:u w:val="single" w:color="auto"/>
          <w:color w:val="auto"/>
        </w:rPr>
        <w:t>P&amp;S Agreement</w:t>
      </w:r>
      <w:r>
        <w:rPr>
          <w:rFonts w:ascii="Arial" w:cs="Arial" w:eastAsia="Arial" w:hAnsi="Arial"/>
          <w:sz w:val="16"/>
          <w:szCs w:val="16"/>
          <w:color w:val="auto"/>
        </w:rPr>
        <w:t>”), then the unvested portion of the Time-Based Equity Awards shall terminate and be forfeited. If the Company, prior the end of the Pre-CIC Protection Period, enters into a P&amp;S Agreement, then the Time-Based Equity Awards shall remain outstanding and become fully vested upon a Change in Control resulting from such agreement. Time-Based Equity Awards shall terminate and be forfeited if the Company abandons a sale of the Company as contemplated under the P&amp;S Agreement entered into during the Pre-CIC Protection Period. No additional vesting of the Time-Based Equity Awards shall occur following the Date of Termination except on account of a Change in Control during or after the Pre-CIC Protection Period as specifically provided above. For the avoidance of doubt, any unvested Performance-Based Equity Awards shall terminate and be forfeited on the Date of Termination unless otherwise provided by the terms of the Plan or the applicable award agreement.</w:t>
      </w:r>
    </w:p>
    <w:p>
      <w:pPr>
        <w:spacing w:after="0" w:line="63" w:lineRule="exact"/>
        <w:rPr>
          <w:rFonts w:ascii="Arial" w:cs="Arial" w:eastAsia="Arial" w:hAnsi="Arial"/>
          <w:sz w:val="16"/>
          <w:szCs w:val="16"/>
          <w:color w:val="auto"/>
        </w:rPr>
      </w:pPr>
    </w:p>
    <w:p>
      <w:pPr>
        <w:ind w:left="4" w:right="120" w:firstLine="987"/>
        <w:spacing w:after="0" w:line="291" w:lineRule="auto"/>
        <w:tabs>
          <w:tab w:leader="none" w:pos="1250" w:val="left"/>
        </w:tabs>
        <w:numPr>
          <w:ilvl w:val="1"/>
          <w:numId w:val="431"/>
        </w:numPr>
        <w:rPr>
          <w:rFonts w:ascii="Arial" w:cs="Arial" w:eastAsia="Arial" w:hAnsi="Arial"/>
          <w:sz w:val="16"/>
          <w:szCs w:val="16"/>
          <w:color w:val="auto"/>
        </w:rPr>
      </w:pPr>
      <w:r>
        <w:rPr>
          <w:rFonts w:ascii="Arial" w:cs="Arial" w:eastAsia="Arial" w:hAnsi="Arial"/>
          <w:sz w:val="16"/>
          <w:szCs w:val="16"/>
          <w:u w:val="single" w:color="auto"/>
          <w:color w:val="auto"/>
        </w:rPr>
        <w:t>Severance Payment Timing</w:t>
      </w:r>
      <w:r>
        <w:rPr>
          <w:rFonts w:ascii="Arial" w:cs="Arial" w:eastAsia="Arial" w:hAnsi="Arial"/>
          <w:sz w:val="16"/>
          <w:szCs w:val="16"/>
          <w:color w:val="auto"/>
        </w:rPr>
        <w:t>. The amounts payable under Section 5 (other than the Earned Bonus, as applicable), to the extent taxable, shall be paid or commence to be paid within thirty (30) days after the Date of Termination (or such longer period as required in order to have an enforceable release, but in no event later than sixty (60) days after the Date of Termination); provided, however, that if the period applicable to Executive’s termination of employment begins in one calendar year and ends in a second calendar year, such payments to the extent they qualify as “non-qualified deferred compensation” within the meaning of Section 409A of the Internal Revenue Code of 1986, as amended (the “</w:t>
      </w:r>
      <w:r>
        <w:rPr>
          <w:rFonts w:ascii="Arial" w:cs="Arial" w:eastAsia="Arial" w:hAnsi="Arial"/>
          <w:sz w:val="16"/>
          <w:szCs w:val="16"/>
          <w:b w:val="1"/>
          <w:bCs w:val="1"/>
          <w:i w:val="1"/>
          <w:iCs w:val="1"/>
          <w:u w:val="single" w:color="auto"/>
          <w:color w:val="auto"/>
        </w:rPr>
        <w:t>Code</w:t>
      </w:r>
      <w:r>
        <w:rPr>
          <w:rFonts w:ascii="Arial" w:cs="Arial" w:eastAsia="Arial" w:hAnsi="Arial"/>
          <w:sz w:val="16"/>
          <w:szCs w:val="16"/>
          <w:color w:val="auto"/>
        </w:rPr>
        <w:t>”), shall be paid or commence to be paid in the second calendar year by the last day of such period. The Severance Amount shall be paid in a single lump sum and the Earned Bonus, if any, shall be paid at the same time as if the Executive had remained employed with the Company through the payment date.</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274" w:right="479" w:bottom="1440" w:gutter="0" w:footer="0" w:header="0"/>
        </w:sectPr>
      </w:pPr>
    </w:p>
    <w:bookmarkStart w:id="470" w:name="page471"/>
    <w:bookmarkEnd w:id="470"/>
    <w:p>
      <w:pPr>
        <w:ind w:left="4" w:right="20" w:firstLine="436"/>
        <w:spacing w:after="0" w:line="286" w:lineRule="auto"/>
        <w:tabs>
          <w:tab w:leader="none" w:pos="624" w:val="left"/>
        </w:tabs>
        <w:numPr>
          <w:ilvl w:val="1"/>
          <w:numId w:val="43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Severance Pay and Benefits Upon Termination by the Company without Cause or by the Executive for Good Reason within the Change in Control Period</w:t>
      </w:r>
      <w:r>
        <w:rPr>
          <w:rFonts w:ascii="Arial" w:cs="Arial" w:eastAsia="Arial" w:hAnsi="Arial"/>
          <w:sz w:val="16"/>
          <w:szCs w:val="16"/>
          <w:color w:val="auto"/>
        </w:rPr>
        <w:t>. The provisions of this Section 6 shall apply in lieu of, and expressly supersede, the provisions of Section 5 if (i) the Executive’s employment is terminated either (a) by the Company without Cause as provided in Section 3(d), or (b) by the Executive for Good Reason as provided in Section 3(e), and (ii) the Date of Termination is during the Change in Control Period. The “</w:t>
      </w:r>
      <w:r>
        <w:rPr>
          <w:rFonts w:ascii="Arial" w:cs="Arial" w:eastAsia="Arial" w:hAnsi="Arial"/>
          <w:sz w:val="16"/>
          <w:szCs w:val="16"/>
          <w:b w:val="1"/>
          <w:bCs w:val="1"/>
          <w:i w:val="1"/>
          <w:iCs w:val="1"/>
          <w:u w:val="single" w:color="auto"/>
          <w:color w:val="auto"/>
        </w:rPr>
        <w:t>Change in Control Period</w:t>
      </w:r>
      <w:r>
        <w:rPr>
          <w:rFonts w:ascii="Arial" w:cs="Arial" w:eastAsia="Arial" w:hAnsi="Arial"/>
          <w:sz w:val="16"/>
          <w:szCs w:val="16"/>
          <w:color w:val="auto"/>
        </w:rPr>
        <w:t>” shall begin on the earlier of</w:t>
      </w:r>
    </w:p>
    <w:p>
      <w:pPr>
        <w:spacing w:after="0" w:line="1" w:lineRule="exact"/>
        <w:rPr>
          <w:rFonts w:ascii="Arial" w:cs="Arial" w:eastAsia="Arial" w:hAnsi="Arial"/>
          <w:sz w:val="16"/>
          <w:szCs w:val="16"/>
          <w:color w:val="auto"/>
        </w:rPr>
      </w:pPr>
    </w:p>
    <w:p>
      <w:pPr>
        <w:ind w:left="4" w:right="60" w:hanging="4"/>
        <w:spacing w:after="0" w:line="270" w:lineRule="auto"/>
        <w:tabs>
          <w:tab w:leader="none" w:pos="249" w:val="left"/>
        </w:tabs>
        <w:numPr>
          <w:ilvl w:val="0"/>
          <w:numId w:val="433"/>
        </w:numPr>
        <w:rPr>
          <w:rFonts w:ascii="Arial" w:cs="Arial" w:eastAsia="Arial" w:hAnsi="Arial"/>
          <w:sz w:val="17"/>
          <w:szCs w:val="17"/>
          <w:color w:val="auto"/>
        </w:rPr>
      </w:pPr>
      <w:r>
        <w:rPr>
          <w:rFonts w:ascii="Arial" w:cs="Arial" w:eastAsia="Arial" w:hAnsi="Arial"/>
          <w:sz w:val="17"/>
          <w:szCs w:val="17"/>
          <w:color w:val="auto"/>
        </w:rPr>
        <w:t>the signing of a P&amp;S Agreement and (b) the date that is 3 months prior to the closing of a Change in Control, and shall end on the date that is twelve (12) months after the occurrence of the first event constituting a Change in Control. These provisions shall terminate and be of no further force or effect after the Change in Control Period. In no event will the Executive be entitled to severance benefits under both Section 5 and Section 6 of this Agreement. If the Company has commenced providing severance pay and benefits to the Executive under Section 5 prior to the date that the Executive becomes eligible to receive severance pay and benefits under this Section 6, the severance pay and benefits previously provided to the Executive under Section 5 shall reduce the severance pay and benefits to be provided under this Section 6.</w:t>
      </w:r>
    </w:p>
    <w:p>
      <w:pPr>
        <w:spacing w:after="0" w:line="178" w:lineRule="exact"/>
        <w:rPr>
          <w:sz w:val="20"/>
          <w:szCs w:val="20"/>
          <w:color w:val="auto"/>
        </w:rPr>
      </w:pPr>
    </w:p>
    <w:p>
      <w:pPr>
        <w:ind w:left="4" w:right="100"/>
        <w:spacing w:after="0" w:line="301" w:lineRule="auto"/>
        <w:rPr>
          <w:sz w:val="20"/>
          <w:szCs w:val="20"/>
          <w:color w:val="auto"/>
        </w:rPr>
      </w:pPr>
      <w:r>
        <w:rPr>
          <w:rFonts w:ascii="Arial" w:cs="Arial" w:eastAsia="Arial" w:hAnsi="Arial"/>
          <w:sz w:val="16"/>
          <w:szCs w:val="16"/>
          <w:color w:val="auto"/>
        </w:rPr>
        <w:t>If the Executive’s employment is terminated by the Company without Cause as provided in Section 3(d) or the Executive terminates employment for Good Reason as provided in Section 3(e) and in each case the Date of Termination occurs during the Change in Control Period, then, in addition to the Accrued Obligations, and subject to the signing of the Separation Agreement by the Executive and the Separation Agreement becoming fully effective, all within the time frame set forth in the Separation Agreement but in no event more than sixty (60) days after the Date of Termination:</w:t>
      </w:r>
    </w:p>
    <w:p>
      <w:pPr>
        <w:spacing w:after="0" w:line="49" w:lineRule="exact"/>
        <w:rPr>
          <w:sz w:val="20"/>
          <w:szCs w:val="20"/>
          <w:color w:val="auto"/>
        </w:rPr>
      </w:pPr>
    </w:p>
    <w:p>
      <w:pPr>
        <w:ind w:left="4" w:firstLine="987"/>
        <w:spacing w:after="0" w:line="259" w:lineRule="auto"/>
        <w:tabs>
          <w:tab w:leader="none" w:pos="1240" w:val="left"/>
        </w:tabs>
        <w:numPr>
          <w:ilvl w:val="0"/>
          <w:numId w:val="434"/>
        </w:numPr>
        <w:rPr>
          <w:rFonts w:ascii="Arial" w:cs="Arial" w:eastAsia="Arial" w:hAnsi="Arial"/>
          <w:sz w:val="18"/>
          <w:szCs w:val="18"/>
          <w:color w:val="auto"/>
        </w:rPr>
      </w:pPr>
      <w:r>
        <w:rPr>
          <w:rFonts w:ascii="Arial" w:cs="Arial" w:eastAsia="Arial" w:hAnsi="Arial"/>
          <w:sz w:val="18"/>
          <w:szCs w:val="18"/>
          <w:u w:val="single" w:color="auto"/>
          <w:color w:val="auto"/>
        </w:rPr>
        <w:t>Cash Severance</w:t>
      </w:r>
      <w:r>
        <w:rPr>
          <w:rFonts w:ascii="Arial" w:cs="Arial" w:eastAsia="Arial" w:hAnsi="Arial"/>
          <w:sz w:val="18"/>
          <w:szCs w:val="18"/>
          <w:color w:val="auto"/>
        </w:rPr>
        <w:t>. The Company shall pay the Executive a lump sum in cash in an amount equal to the sum of (A) eighteen (18) months’ of the Executive’s then-current Base Salary (or the Executive’s Base Salary in effect immediately prior to the Change in Control, if higher), and (B) 1.5 times the Executive’s Target Bonus for the then-current year (or the Executive’s Target Bonus in effect immediately prior to the Change in Control, if higher), plus, if applicable, any Earned Bonus (the “</w:t>
      </w:r>
      <w:r>
        <w:rPr>
          <w:rFonts w:ascii="Arial" w:cs="Arial" w:eastAsia="Arial" w:hAnsi="Arial"/>
          <w:sz w:val="18"/>
          <w:szCs w:val="18"/>
          <w:b w:val="1"/>
          <w:bCs w:val="1"/>
          <w:i w:val="1"/>
          <w:iCs w:val="1"/>
          <w:u w:val="single" w:color="auto"/>
          <w:color w:val="auto"/>
        </w:rPr>
        <w:t>Change in Control Payment</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4" w:firstLine="987"/>
        <w:spacing w:after="0" w:line="255" w:lineRule="auto"/>
        <w:tabs>
          <w:tab w:leader="none" w:pos="1250" w:val="left"/>
        </w:tabs>
        <w:numPr>
          <w:ilvl w:val="0"/>
          <w:numId w:val="434"/>
        </w:numPr>
        <w:rPr>
          <w:rFonts w:ascii="Arial" w:cs="Arial" w:eastAsia="Arial" w:hAnsi="Arial"/>
          <w:sz w:val="18"/>
          <w:szCs w:val="18"/>
          <w:color w:val="auto"/>
        </w:rPr>
      </w:pPr>
      <w:r>
        <w:rPr>
          <w:rFonts w:ascii="Arial" w:cs="Arial" w:eastAsia="Arial" w:hAnsi="Arial"/>
          <w:sz w:val="18"/>
          <w:szCs w:val="18"/>
          <w:u w:val="single" w:color="auto"/>
          <w:color w:val="auto"/>
        </w:rPr>
        <w:t>COBRA Premiums</w:t>
      </w:r>
      <w:r>
        <w:rPr>
          <w:rFonts w:ascii="Arial" w:cs="Arial" w:eastAsia="Arial" w:hAnsi="Arial"/>
          <w:sz w:val="18"/>
          <w:szCs w:val="18"/>
          <w:color w:val="auto"/>
        </w:rPr>
        <w:t>. Subject to the Executive’s copayment of premium amounts at the applicable active employees’ rate and the Executive’s proper election to receive benefits under COBRA, the Company shall pay to the group health plan provider or the COBRA provider a monthly payment equal to the monthly employer contribution that the Company would have made to provide health insurance to the Executive if the Executive had remained employed by the Company until the earliest of (A) the eighteen (18) month anniversary of the Date of Termination; (B) the date that the Executive becomes eligible for group medical plan benefits under any other employer’s group medical plan; or (C) the cessation of the Executive’s</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4" w:right="479" w:bottom="1440" w:gutter="0" w:footer="0" w:header="0"/>
        </w:sectPr>
      </w:pPr>
    </w:p>
    <w:bookmarkStart w:id="471" w:name="page472"/>
    <w:bookmarkEnd w:id="471"/>
    <w:p>
      <w:pPr>
        <w:jc w:val="both"/>
        <w:ind w:right="1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to the Executive shall be subject to tax-related deductions and withholdings and paid on the Company’s regular payroll dates.</w:t>
      </w:r>
    </w:p>
    <w:p>
      <w:pPr>
        <w:spacing w:after="0" w:line="49" w:lineRule="exact"/>
        <w:rPr>
          <w:sz w:val="20"/>
          <w:szCs w:val="20"/>
          <w:color w:val="auto"/>
        </w:rPr>
      </w:pPr>
    </w:p>
    <w:p>
      <w:pPr>
        <w:ind w:firstLine="987"/>
        <w:spacing w:after="0" w:line="270" w:lineRule="auto"/>
        <w:tabs>
          <w:tab w:leader="none" w:pos="1236" w:val="left"/>
        </w:tabs>
        <w:numPr>
          <w:ilvl w:val="1"/>
          <w:numId w:val="435"/>
        </w:numPr>
        <w:rPr>
          <w:rFonts w:ascii="Arial" w:cs="Arial" w:eastAsia="Arial" w:hAnsi="Arial"/>
          <w:sz w:val="17"/>
          <w:szCs w:val="17"/>
          <w:color w:val="auto"/>
        </w:rPr>
      </w:pPr>
      <w:r>
        <w:rPr>
          <w:rFonts w:ascii="Arial" w:cs="Arial" w:eastAsia="Arial" w:hAnsi="Arial"/>
          <w:sz w:val="17"/>
          <w:szCs w:val="17"/>
          <w:u w:val="single" w:color="auto"/>
          <w:color w:val="auto"/>
        </w:rPr>
        <w:t>Accelerated Vesting of Equity Awards</w:t>
      </w:r>
      <w:r>
        <w:rPr>
          <w:rFonts w:ascii="Arial" w:cs="Arial" w:eastAsia="Arial" w:hAnsi="Arial"/>
          <w:sz w:val="17"/>
          <w:szCs w:val="17"/>
          <w:color w:val="auto"/>
        </w:rPr>
        <w:t>. Notwithstanding anything to the contrary in any Equity Award, the Time-Based Equity Awards shall immediately accelerate and become fully vested and exercisable or nonforfeitable as if the Executive had remained employed with the Company as of the later of (i) the Date of Termination (or, if later, the Change in Control) or (ii) the effective date of the Separation Agreement (the “</w:t>
      </w:r>
      <w:r>
        <w:rPr>
          <w:rFonts w:ascii="Arial" w:cs="Arial" w:eastAsia="Arial" w:hAnsi="Arial"/>
          <w:sz w:val="17"/>
          <w:szCs w:val="17"/>
          <w:b w:val="1"/>
          <w:bCs w:val="1"/>
          <w:i w:val="1"/>
          <w:iCs w:val="1"/>
          <w:u w:val="single" w:color="auto"/>
          <w:color w:val="auto"/>
        </w:rPr>
        <w:t>Accelerated</w:t>
      </w:r>
      <w:r>
        <w:rPr>
          <w:rFonts w:ascii="Arial" w:cs="Arial" w:eastAsia="Arial" w:hAnsi="Arial"/>
          <w:sz w:val="17"/>
          <w:szCs w:val="17"/>
          <w:color w:val="auto"/>
        </w:rPr>
        <w:t xml:space="preserve"> </w:t>
      </w:r>
      <w:r>
        <w:rPr>
          <w:rFonts w:ascii="Arial" w:cs="Arial" w:eastAsia="Arial" w:hAnsi="Arial"/>
          <w:sz w:val="17"/>
          <w:szCs w:val="17"/>
          <w:b w:val="1"/>
          <w:bCs w:val="1"/>
          <w:i w:val="1"/>
          <w:iCs w:val="1"/>
          <w:u w:val="single" w:color="auto"/>
          <w:color w:val="auto"/>
        </w:rPr>
        <w:t>Vesting Date</w:t>
      </w:r>
      <w:r>
        <w:rPr>
          <w:rFonts w:ascii="Arial" w:cs="Arial" w:eastAsia="Arial" w:hAnsi="Arial"/>
          <w:sz w:val="17"/>
          <w:szCs w:val="17"/>
          <w:color w:val="auto"/>
        </w:rPr>
        <w:t>”), provided that in order to effectuate the accelerated vesting contemplated by this subsection, the unvested portion of such Equity Awards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would otherwise terminate or be forfeited on the Date of Termination will be delayed until the earlier of (A) the effective date of the Separation Agreement (at which time acceleration will occur), or (B) the date that the Separation Agreement can no longer become fully effective (at which time the unvested portion of the Executive’s Time-Based Equity Awards will terminate or be forfeited). Notwithstanding the foregoing, no additional time-based vesting of the Time-Based Equity Awards shall occur during the period between the Date of Termination and the Accelerated Vesting Date except as specifically provided in this Section 6(c).</w:t>
      </w:r>
    </w:p>
    <w:p>
      <w:pPr>
        <w:spacing w:after="0" w:line="72" w:lineRule="exact"/>
        <w:rPr>
          <w:rFonts w:ascii="Arial" w:cs="Arial" w:eastAsia="Arial" w:hAnsi="Arial"/>
          <w:sz w:val="17"/>
          <w:szCs w:val="17"/>
          <w:color w:val="auto"/>
        </w:rPr>
      </w:pPr>
    </w:p>
    <w:p>
      <w:pPr>
        <w:ind w:firstLine="987"/>
        <w:spacing w:after="0" w:line="301" w:lineRule="auto"/>
        <w:tabs>
          <w:tab w:leader="none" w:pos="1246" w:val="left"/>
        </w:tabs>
        <w:numPr>
          <w:ilvl w:val="1"/>
          <w:numId w:val="435"/>
        </w:numPr>
        <w:rPr>
          <w:rFonts w:ascii="Arial" w:cs="Arial" w:eastAsia="Arial" w:hAnsi="Arial"/>
          <w:sz w:val="16"/>
          <w:szCs w:val="16"/>
          <w:color w:val="auto"/>
        </w:rPr>
      </w:pPr>
      <w:r>
        <w:rPr>
          <w:rFonts w:ascii="Arial" w:cs="Arial" w:eastAsia="Arial" w:hAnsi="Arial"/>
          <w:sz w:val="16"/>
          <w:szCs w:val="16"/>
          <w:u w:val="single" w:color="auto"/>
          <w:color w:val="auto"/>
        </w:rPr>
        <w:t>Change in Control Payment Timing</w:t>
      </w:r>
      <w:r>
        <w:rPr>
          <w:rFonts w:ascii="Arial" w:cs="Arial" w:eastAsia="Arial" w:hAnsi="Arial"/>
          <w:sz w:val="16"/>
          <w:szCs w:val="16"/>
          <w:color w:val="auto"/>
        </w:rPr>
        <w:t>. The amounts payable under this Section 6, to the extent taxable, shall be paid or commence to be paid within sixty (60) days after the Date of Termination or, if later, the Change in Control; provided, however, that if the 60-day period begins in one calendar year and ends in a second calendar year, such payments to the extent they qualify as “non-qualified deferred compensation” within the meaning of Section 409A of the Code, shall be paid or commence to be paid in the second calendar year by the last day of such 60-day period.</w:t>
      </w:r>
    </w:p>
    <w:p>
      <w:pPr>
        <w:spacing w:after="0" w:line="49" w:lineRule="exact"/>
        <w:rPr>
          <w:rFonts w:ascii="Arial" w:cs="Arial" w:eastAsia="Arial" w:hAnsi="Arial"/>
          <w:sz w:val="16"/>
          <w:szCs w:val="16"/>
          <w:color w:val="auto"/>
        </w:rPr>
      </w:pPr>
    </w:p>
    <w:p>
      <w:pPr>
        <w:ind w:left="620" w:hanging="184"/>
        <w:spacing w:after="0"/>
        <w:tabs>
          <w:tab w:leader="none" w:pos="620" w:val="left"/>
        </w:tabs>
        <w:numPr>
          <w:ilvl w:val="0"/>
          <w:numId w:val="436"/>
        </w:numPr>
        <w:rPr>
          <w:rFonts w:ascii="Arial" w:cs="Arial" w:eastAsia="Arial" w:hAnsi="Arial"/>
          <w:sz w:val="18"/>
          <w:szCs w:val="18"/>
          <w:color w:val="auto"/>
        </w:rPr>
      </w:pPr>
      <w:r>
        <w:rPr>
          <w:rFonts w:ascii="Arial" w:cs="Arial" w:eastAsia="Arial" w:hAnsi="Arial"/>
          <w:sz w:val="18"/>
          <w:szCs w:val="18"/>
          <w:u w:val="single" w:color="auto"/>
          <w:color w:val="auto"/>
        </w:rPr>
        <w:t>280G Limitation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987"/>
        <w:spacing w:after="0" w:line="287" w:lineRule="auto"/>
        <w:tabs>
          <w:tab w:leader="none" w:pos="1236" w:val="left"/>
        </w:tabs>
        <w:numPr>
          <w:ilvl w:val="1"/>
          <w:numId w:val="436"/>
        </w:numPr>
        <w:rPr>
          <w:rFonts w:ascii="Arial" w:cs="Arial" w:eastAsia="Arial" w:hAnsi="Arial"/>
          <w:sz w:val="16"/>
          <w:szCs w:val="16"/>
          <w:color w:val="auto"/>
        </w:rPr>
      </w:pPr>
      <w:r>
        <w:rPr>
          <w:rFonts w:ascii="Arial" w:cs="Arial" w:eastAsia="Arial" w:hAnsi="Arial"/>
          <w:sz w:val="16"/>
          <w:szCs w:val="16"/>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w:t>
      </w:r>
      <w:r>
        <w:rPr>
          <w:rFonts w:ascii="Arial" w:cs="Arial" w:eastAsia="Arial" w:hAnsi="Arial"/>
          <w:sz w:val="16"/>
          <w:szCs w:val="16"/>
          <w:b w:val="1"/>
          <w:bCs w:val="1"/>
          <w:i w:val="1"/>
          <w:iCs w:val="1"/>
          <w:u w:val="single" w:color="auto"/>
          <w:color w:val="auto"/>
        </w:rPr>
        <w:t>Aggregate Payments</w:t>
      </w:r>
      <w:r>
        <w:rPr>
          <w:rFonts w:ascii="Arial" w:cs="Arial" w:eastAsia="Arial" w:hAnsi="Arial"/>
          <w:sz w:val="16"/>
          <w:szCs w:val="16"/>
          <w:color w:val="auto"/>
        </w:rPr>
        <w:t>”),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472" w:name="page473"/>
    <w:bookmarkEnd w:id="472"/>
    <w:p>
      <w:pPr>
        <w:ind w:right="60" w:firstLine="987"/>
        <w:spacing w:after="0" w:line="255" w:lineRule="auto"/>
        <w:tabs>
          <w:tab w:leader="none" w:pos="1246" w:val="left"/>
        </w:tabs>
        <w:numPr>
          <w:ilvl w:val="1"/>
          <w:numId w:val="4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this Section 7, the “</w:t>
      </w:r>
      <w:r>
        <w:rPr>
          <w:rFonts w:ascii="Arial" w:cs="Arial" w:eastAsia="Arial" w:hAnsi="Arial"/>
          <w:sz w:val="18"/>
          <w:szCs w:val="18"/>
          <w:b w:val="1"/>
          <w:bCs w:val="1"/>
          <w:i w:val="1"/>
          <w:iCs w:val="1"/>
          <w:u w:val="single" w:color="auto"/>
          <w:color w:val="auto"/>
        </w:rPr>
        <w:t>After Tax Amount</w:t>
      </w:r>
      <w:r>
        <w:rPr>
          <w:rFonts w:ascii="Arial" w:cs="Arial" w:eastAsia="Arial" w:hAnsi="Arial"/>
          <w:sz w:val="18"/>
          <w:szCs w:val="18"/>
          <w:color w:val="auto"/>
        </w:rPr>
        <w: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84" w:lineRule="exact"/>
        <w:rPr>
          <w:rFonts w:ascii="Arial" w:cs="Arial" w:eastAsia="Arial" w:hAnsi="Arial"/>
          <w:sz w:val="18"/>
          <w:szCs w:val="18"/>
          <w:color w:val="auto"/>
        </w:rPr>
      </w:pPr>
    </w:p>
    <w:p>
      <w:pPr>
        <w:ind w:right="20" w:firstLine="987"/>
        <w:spacing w:after="0" w:line="284" w:lineRule="auto"/>
        <w:tabs>
          <w:tab w:leader="none" w:pos="1236" w:val="left"/>
        </w:tabs>
        <w:numPr>
          <w:ilvl w:val="1"/>
          <w:numId w:val="437"/>
        </w:numPr>
        <w:rPr>
          <w:rFonts w:ascii="Arial" w:cs="Arial" w:eastAsia="Arial" w:hAnsi="Arial"/>
          <w:sz w:val="16"/>
          <w:szCs w:val="16"/>
          <w:color w:val="auto"/>
        </w:rPr>
      </w:pPr>
      <w:r>
        <w:rPr>
          <w:rFonts w:ascii="Arial" w:cs="Arial" w:eastAsia="Arial" w:hAnsi="Arial"/>
          <w:sz w:val="16"/>
          <w:szCs w:val="16"/>
          <w:color w:val="auto"/>
        </w:rPr>
        <w:t>For purposes of determining whether and the extent to which the Aggregate Payments will be subject to the excise tax, (i) no portion of the Aggregate Payments the receipt or enjoyment of which Executive shall have waived at such time and in such manner as not to constitute a “payment” within the meaning of Section 280G(b) of the Code shall be taken into account, (ii) no portion of the Aggregate Payments shall be taken into account which, in the written opinion of independent auditors or advisors of nationally recognized standing (“</w:t>
      </w:r>
      <w:r>
        <w:rPr>
          <w:rFonts w:ascii="Arial" w:cs="Arial" w:eastAsia="Arial" w:hAnsi="Arial"/>
          <w:sz w:val="16"/>
          <w:szCs w:val="16"/>
          <w:b w:val="1"/>
          <w:bCs w:val="1"/>
          <w:i w:val="1"/>
          <w:iCs w:val="1"/>
          <w:color w:val="auto"/>
        </w:rPr>
        <w:t>Independent Advisors</w:t>
      </w:r>
      <w:r>
        <w:rPr>
          <w:rFonts w:ascii="Arial" w:cs="Arial" w:eastAsia="Arial" w:hAnsi="Arial"/>
          <w:sz w:val="16"/>
          <w:szCs w:val="16"/>
          <w:color w:val="auto"/>
        </w:rPr>
        <w:t>”) selected by the Company prior to a Change in Control, does not constitute a “parachute payment” within the meaning of Section 280G(b)(2) of the Code (including by reason of Section 280G(b)(4)(A) of the Code) and, in calculating the excise tax, no portion of such Aggregate Payments shall be taken into account which, in the opinion of Independent Advisors, constitutes reasonable compensation for services actually rendered, within the meaning of</w:t>
      </w:r>
    </w:p>
    <w:p>
      <w:pPr>
        <w:spacing w:after="0" w:line="2" w:lineRule="exact"/>
        <w:rPr>
          <w:rFonts w:ascii="Arial" w:cs="Arial" w:eastAsia="Arial" w:hAnsi="Arial"/>
          <w:sz w:val="16"/>
          <w:szCs w:val="16"/>
          <w:color w:val="auto"/>
        </w:rPr>
      </w:pPr>
    </w:p>
    <w:p>
      <w:pPr>
        <w:spacing w:after="0" w:line="252" w:lineRule="auto"/>
        <w:rPr>
          <w:rFonts w:ascii="Arial" w:cs="Arial" w:eastAsia="Arial" w:hAnsi="Arial"/>
          <w:sz w:val="16"/>
          <w:szCs w:val="16"/>
          <w:color w:val="auto"/>
        </w:rPr>
      </w:pPr>
      <w:r>
        <w:rPr>
          <w:rFonts w:ascii="Arial" w:cs="Arial" w:eastAsia="Arial" w:hAnsi="Arial"/>
          <w:sz w:val="18"/>
          <w:szCs w:val="18"/>
          <w:color w:val="auto"/>
        </w:rPr>
        <w:t>Section 280G(b)(4)(B) of the Code, in excess of the “base amount” (as defined in Section 280G(b)(3) of the Code) allocable to such reasonable compensation, and (iii) the value of any non-cash benefit or any deferred payment or benefit included in the Aggregate Payments shall be determined by the Independent Advisors in accordance with the principles of Sections 280G(d)(3) and (4) of the Code. The Independent Advisors shall provide detailed supporting calculations both to the Company and the Executive within fifteen (15) business days of the Date of Termination, if applicable, or at such earlier time as is reasonably requested by the Company or the Executive. Any determination by the Independent Advisors shall be binding upon the Company and the Executive.</w:t>
      </w:r>
    </w:p>
    <w:p>
      <w:pPr>
        <w:spacing w:after="0" w:line="85" w:lineRule="exact"/>
        <w:rPr>
          <w:rFonts w:ascii="Arial" w:cs="Arial" w:eastAsia="Arial" w:hAnsi="Arial"/>
          <w:sz w:val="16"/>
          <w:szCs w:val="16"/>
          <w:color w:val="auto"/>
        </w:rPr>
      </w:pPr>
    </w:p>
    <w:p>
      <w:pPr>
        <w:ind w:left="620" w:hanging="184"/>
        <w:spacing w:after="0"/>
        <w:tabs>
          <w:tab w:leader="none" w:pos="620" w:val="left"/>
        </w:tabs>
        <w:numPr>
          <w:ilvl w:val="0"/>
          <w:numId w:val="438"/>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987"/>
        <w:spacing w:after="0" w:line="257" w:lineRule="auto"/>
        <w:tabs>
          <w:tab w:leader="none" w:pos="1236" w:val="left"/>
        </w:tabs>
        <w:numPr>
          <w:ilvl w:val="1"/>
          <w:numId w:val="438"/>
        </w:numPr>
        <w:rPr>
          <w:rFonts w:ascii="Arial" w:cs="Arial" w:eastAsia="Arial" w:hAnsi="Arial"/>
          <w:sz w:val="18"/>
          <w:szCs w:val="18"/>
          <w:color w:val="auto"/>
        </w:rPr>
      </w:pPr>
      <w:r>
        <w:rPr>
          <w:rFonts w:ascii="Arial" w:cs="Arial" w:eastAsia="Arial" w:hAnsi="Arial"/>
          <w:sz w:val="18"/>
          <w:szCs w:val="18"/>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 (B)(i) of the Code, then to the extent any payment or benefit that the Executive becomes entitled to under this Agreement or otherwise on account of the Executive’s separation from service would be considered deferred compensation otherwise subject to the 20% additional tax imposed pursuant to Section 409A(a) of the Code as a result of the application of Section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473" w:name="page474"/>
    <w:bookmarkEnd w:id="473"/>
    <w:p>
      <w:pPr>
        <w:ind w:right="1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409A(a)(2)(B)(i) of the Code, such payment shall not be payable and such benefit shall not be provided until the date that is the earlier of (A) six (6)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6-month period but for the application of this provision, and the balance of the installments shall be payable in accordance with their original schedule.</w:t>
      </w:r>
    </w:p>
    <w:p>
      <w:pPr>
        <w:spacing w:after="0" w:line="49" w:lineRule="exact"/>
        <w:rPr>
          <w:sz w:val="20"/>
          <w:szCs w:val="20"/>
          <w:color w:val="auto"/>
        </w:rPr>
      </w:pPr>
    </w:p>
    <w:p>
      <w:pPr>
        <w:ind w:right="40" w:firstLine="987"/>
        <w:spacing w:after="0" w:line="273" w:lineRule="auto"/>
        <w:tabs>
          <w:tab w:leader="none" w:pos="1246" w:val="left"/>
        </w:tabs>
        <w:numPr>
          <w:ilvl w:val="0"/>
          <w:numId w:val="439"/>
        </w:numPr>
        <w:rPr>
          <w:rFonts w:ascii="Arial" w:cs="Arial" w:eastAsia="Arial" w:hAnsi="Arial"/>
          <w:sz w:val="17"/>
          <w:szCs w:val="17"/>
          <w:color w:val="auto"/>
        </w:rPr>
      </w:pPr>
      <w:r>
        <w:rPr>
          <w:rFonts w:ascii="Arial" w:cs="Arial" w:eastAsia="Arial" w:hAnsi="Arial"/>
          <w:sz w:val="17"/>
          <w:szCs w:val="17"/>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69" w:lineRule="exact"/>
        <w:rPr>
          <w:rFonts w:ascii="Arial" w:cs="Arial" w:eastAsia="Arial" w:hAnsi="Arial"/>
          <w:sz w:val="17"/>
          <w:szCs w:val="17"/>
          <w:color w:val="auto"/>
        </w:rPr>
      </w:pPr>
    </w:p>
    <w:p>
      <w:pPr>
        <w:jc w:val="both"/>
        <w:ind w:right="160" w:firstLine="987"/>
        <w:spacing w:after="0" w:line="279" w:lineRule="auto"/>
        <w:tabs>
          <w:tab w:leader="none" w:pos="1236" w:val="left"/>
        </w:tabs>
        <w:numPr>
          <w:ilvl w:val="0"/>
          <w:numId w:val="439"/>
        </w:numPr>
        <w:rPr>
          <w:rFonts w:ascii="Arial" w:cs="Arial" w:eastAsia="Arial" w:hAnsi="Arial"/>
          <w:sz w:val="17"/>
          <w:szCs w:val="17"/>
          <w:color w:val="auto"/>
        </w:rPr>
      </w:pPr>
      <w:r>
        <w:rPr>
          <w:rFonts w:ascii="Arial" w:cs="Arial" w:eastAsia="Arial" w:hAnsi="Arial"/>
          <w:sz w:val="17"/>
          <w:szCs w:val="17"/>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spacing w:after="0" w:line="63" w:lineRule="exact"/>
        <w:rPr>
          <w:rFonts w:ascii="Arial" w:cs="Arial" w:eastAsia="Arial" w:hAnsi="Arial"/>
          <w:sz w:val="17"/>
          <w:szCs w:val="17"/>
          <w:color w:val="auto"/>
        </w:rPr>
      </w:pPr>
    </w:p>
    <w:p>
      <w:pPr>
        <w:ind w:right="220" w:firstLine="987"/>
        <w:spacing w:after="0" w:line="290" w:lineRule="auto"/>
        <w:tabs>
          <w:tab w:leader="none" w:pos="1246" w:val="left"/>
        </w:tabs>
        <w:numPr>
          <w:ilvl w:val="0"/>
          <w:numId w:val="439"/>
        </w:numPr>
        <w:rPr>
          <w:rFonts w:ascii="Arial" w:cs="Arial" w:eastAsia="Arial" w:hAnsi="Arial"/>
          <w:sz w:val="16"/>
          <w:szCs w:val="16"/>
          <w:color w:val="auto"/>
        </w:rPr>
      </w:pPr>
      <w:r>
        <w:rPr>
          <w:rFonts w:ascii="Arial" w:cs="Arial" w:eastAsia="Arial" w:hAnsi="Arial"/>
          <w:sz w:val="16"/>
          <w:szCs w:val="16"/>
          <w:color w:val="auto"/>
        </w:rPr>
        <w:t>The parties intend that this Agreement will be administered in a manner not intended to violate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Any such payment that may be excluded from Section 409A either as separation pay due to an involuntary separation from service or as a short-term deferral (each as described in Treasury regulations issued under Section 409A) shall be excluded from Section 409A to the greatest extent possible.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57" w:lineRule="exact"/>
        <w:rPr>
          <w:rFonts w:ascii="Arial" w:cs="Arial" w:eastAsia="Arial" w:hAnsi="Arial"/>
          <w:sz w:val="16"/>
          <w:szCs w:val="16"/>
          <w:color w:val="auto"/>
        </w:rPr>
      </w:pPr>
    </w:p>
    <w:p>
      <w:pPr>
        <w:ind w:firstLine="987"/>
        <w:spacing w:after="0" w:line="263" w:lineRule="auto"/>
        <w:tabs>
          <w:tab w:leader="none" w:pos="1236" w:val="left"/>
        </w:tabs>
        <w:numPr>
          <w:ilvl w:val="0"/>
          <w:numId w:val="439"/>
        </w:numPr>
        <w:rPr>
          <w:rFonts w:ascii="Arial" w:cs="Arial" w:eastAsia="Arial" w:hAnsi="Arial"/>
          <w:sz w:val="18"/>
          <w:szCs w:val="18"/>
          <w:color w:val="auto"/>
        </w:rPr>
      </w:pPr>
      <w:r>
        <w:rPr>
          <w:rFonts w:ascii="Arial" w:cs="Arial" w:eastAsia="Arial" w:hAnsi="Arial"/>
          <w:sz w:val="18"/>
          <w:szCs w:val="18"/>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440" w:top="274" w:right="519" w:bottom="1440" w:gutter="0" w:footer="0" w:header="0"/>
        </w:sectPr>
      </w:pPr>
    </w:p>
    <w:bookmarkStart w:id="474" w:name="page475"/>
    <w:bookmarkEnd w:id="474"/>
    <w:p>
      <w:pPr>
        <w:ind w:left="580" w:hanging="184"/>
        <w:spacing w:after="0"/>
        <w:tabs>
          <w:tab w:leader="none" w:pos="580" w:val="left"/>
        </w:tabs>
        <w:numPr>
          <w:ilvl w:val="0"/>
          <w:numId w:val="44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Continuing Obligations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0" w:right="40" w:firstLine="987"/>
        <w:spacing w:after="0" w:line="257" w:lineRule="auto"/>
        <w:tabs>
          <w:tab w:leader="none" w:pos="1196" w:val="left"/>
        </w:tabs>
        <w:numPr>
          <w:ilvl w:val="1"/>
          <w:numId w:val="440"/>
        </w:numPr>
        <w:rPr>
          <w:rFonts w:ascii="Arial" w:cs="Arial" w:eastAsia="Arial" w:hAnsi="Arial"/>
          <w:sz w:val="18"/>
          <w:szCs w:val="18"/>
          <w:color w:val="auto"/>
        </w:rPr>
      </w:pPr>
      <w:r>
        <w:rPr>
          <w:rFonts w:ascii="Arial" w:cs="Arial" w:eastAsia="Arial" w:hAnsi="Arial"/>
          <w:sz w:val="18"/>
          <w:szCs w:val="18"/>
          <w:u w:val="single" w:color="auto"/>
          <w:color w:val="auto"/>
        </w:rPr>
        <w:t>Restrictive Covenants Agreement</w:t>
      </w:r>
      <w:r>
        <w:rPr>
          <w:rFonts w:ascii="Arial" w:cs="Arial" w:eastAsia="Arial" w:hAnsi="Arial"/>
          <w:sz w:val="18"/>
          <w:szCs w:val="18"/>
          <w:color w:val="auto"/>
        </w:rPr>
        <w:t>. As a condition of entering into this Agreement, Executive agrees to the terms of the Employee Proprietary Information and Inventions Assignment Agreement, dated [______________] between the Company and the Executive (the “</w:t>
      </w:r>
      <w:r>
        <w:rPr>
          <w:rFonts w:ascii="Arial" w:cs="Arial" w:eastAsia="Arial" w:hAnsi="Arial"/>
          <w:sz w:val="18"/>
          <w:szCs w:val="18"/>
          <w:b w:val="1"/>
          <w:bCs w:val="1"/>
          <w:i w:val="1"/>
          <w:iCs w:val="1"/>
          <w:u w:val="single" w:color="auto"/>
          <w:color w:val="auto"/>
        </w:rPr>
        <w:t>Restrictive</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Covenants Agreement</w:t>
      </w:r>
      <w:r>
        <w:rPr>
          <w:rFonts w:ascii="Arial" w:cs="Arial" w:eastAsia="Arial" w:hAnsi="Arial"/>
          <w:sz w:val="18"/>
          <w:szCs w:val="18"/>
          <w:color w:val="auto"/>
        </w:rPr>
        <w:t>”). For purposes of this Agreement, the obligations in this Section 9 and those that arise in the Restrictive Covenants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any other agreement relating to confidentiality, assignment of inventions, or other restrictive covenants that may later be agreed to by the Executive shall collectively be referred to as the “</w:t>
      </w:r>
      <w:r>
        <w:rPr>
          <w:rFonts w:ascii="Arial" w:cs="Arial" w:eastAsia="Arial" w:hAnsi="Arial"/>
          <w:sz w:val="18"/>
          <w:szCs w:val="18"/>
          <w:b w:val="1"/>
          <w:bCs w:val="1"/>
          <w:i w:val="1"/>
          <w:iCs w:val="1"/>
          <w:u w:val="single" w:color="auto"/>
          <w:color w:val="auto"/>
        </w:rPr>
        <w:t>Continuing Obligations</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ind w:left="-40" w:firstLine="987"/>
        <w:spacing w:after="0" w:line="253" w:lineRule="auto"/>
        <w:tabs>
          <w:tab w:leader="none" w:pos="1206" w:val="left"/>
        </w:tabs>
        <w:numPr>
          <w:ilvl w:val="1"/>
          <w:numId w:val="440"/>
        </w:numPr>
        <w:rPr>
          <w:rFonts w:ascii="Arial" w:cs="Arial" w:eastAsia="Arial" w:hAnsi="Arial"/>
          <w:sz w:val="18"/>
          <w:szCs w:val="18"/>
          <w:color w:val="auto"/>
        </w:rPr>
      </w:pPr>
      <w:r>
        <w:rPr>
          <w:rFonts w:ascii="Arial" w:cs="Arial" w:eastAsia="Arial" w:hAnsi="Arial"/>
          <w:sz w:val="18"/>
          <w:szCs w:val="18"/>
          <w:u w:val="single" w:color="auto"/>
          <w:color w:val="auto"/>
        </w:rPr>
        <w:t>Third-Party Agreements and Rights</w:t>
      </w:r>
      <w:r>
        <w:rPr>
          <w:rFonts w:ascii="Arial" w:cs="Arial" w:eastAsia="Arial" w:hAnsi="Arial"/>
          <w:sz w:val="18"/>
          <w:szCs w:val="18"/>
          <w:color w:val="auto"/>
        </w:rPr>
        <w:t>. The Executive hereby confirms that, except with respect to any agreements entered into by Executive in connection with the Approved Outside Activities, the Executive is not bound by the terms of any agreement with any previous employer or other party which restricts in any way the Executive’s use or disclosure of information, other than confidentiality restrictions (if any), or the Executive’s engagement in any business. The Executive represents to the Company that the Executive’s execution of this Agreement, the Executive’s employment with the Company and 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88" w:lineRule="exact"/>
        <w:rPr>
          <w:rFonts w:ascii="Arial" w:cs="Arial" w:eastAsia="Arial" w:hAnsi="Arial"/>
          <w:sz w:val="18"/>
          <w:szCs w:val="18"/>
          <w:color w:val="auto"/>
        </w:rPr>
      </w:pPr>
    </w:p>
    <w:p>
      <w:pPr>
        <w:ind w:left="-40" w:right="100" w:firstLine="987"/>
        <w:spacing w:after="0" w:line="269" w:lineRule="auto"/>
        <w:tabs>
          <w:tab w:leader="none" w:pos="1196" w:val="left"/>
        </w:tabs>
        <w:numPr>
          <w:ilvl w:val="1"/>
          <w:numId w:val="440"/>
        </w:numPr>
        <w:rPr>
          <w:rFonts w:ascii="Arial" w:cs="Arial" w:eastAsia="Arial" w:hAnsi="Arial"/>
          <w:sz w:val="17"/>
          <w:szCs w:val="17"/>
          <w:color w:val="auto"/>
        </w:rPr>
      </w:pPr>
      <w:r>
        <w:rPr>
          <w:rFonts w:ascii="Arial" w:cs="Arial" w:eastAsia="Arial" w:hAnsi="Arial"/>
          <w:sz w:val="17"/>
          <w:szCs w:val="17"/>
          <w:u w:val="single" w:color="auto"/>
          <w:color w:val="auto"/>
        </w:rPr>
        <w:t>Litigation and Regulatory Cooperation</w:t>
      </w:r>
      <w:r>
        <w:rPr>
          <w:rFonts w:ascii="Arial" w:cs="Arial" w:eastAsia="Arial" w:hAnsi="Arial"/>
          <w:sz w:val="17"/>
          <w:szCs w:val="17"/>
          <w:color w:val="auto"/>
        </w:rPr>
        <w:t>. During and after the Executive’s employment, the Executive shall cooperate fully with the Company in (i) the defense or prosecution of any claims or actions now in existence or which may be brought in the future against or on behalf of the Company which relate to events or occurrences that transpired while the Executive was employed by the Company, and (ii) the investigation, whether internal or external, of any matters about which the Company believes the Executive may have knowledge or information; provided, however, that Executive shall abstain from involvement in any dispute involving the Company and Adimab, LLC, including litigation and cooperation on behalf of Adimab, LLC. The Executive’s full cooperation in connection with such claims, actions or investigations shall include, but not be limited to, being available to meet with counsel upon reasonable notice to answer questions or to prepare for discovery or trial and to act as a witness on behalf of the Company at mutually convenient times.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9(c), which shall be in addition to its obligations to provide indemnification to the Executive.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480" w:top="274" w:right="499" w:bottom="1440" w:gutter="0" w:footer="0" w:header="0"/>
        </w:sectPr>
      </w:pPr>
    </w:p>
    <w:bookmarkStart w:id="475" w:name="page476"/>
    <w:bookmarkEnd w:id="475"/>
    <w:p>
      <w:pPr>
        <w:ind w:left="4" w:right="160" w:firstLine="987"/>
        <w:spacing w:after="0" w:line="257" w:lineRule="auto"/>
        <w:tabs>
          <w:tab w:leader="none" w:pos="1250" w:val="left"/>
        </w:tabs>
        <w:numPr>
          <w:ilvl w:val="2"/>
          <w:numId w:val="44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Relief</w:t>
      </w:r>
      <w:r>
        <w:rPr>
          <w:rFonts w:ascii="Arial" w:cs="Arial" w:eastAsia="Arial" w:hAnsi="Arial"/>
          <w:sz w:val="18"/>
          <w:szCs w:val="18"/>
          <w:color w:val="auto"/>
        </w:rPr>
        <w:t>. The Executive agrees that it would be difficult to measure any damages caused to the Company which might result from any breach by the Executive of the Continuing Obligations, and that in any event monetary damages would be an inadequate remedy for any such breach. Accordingly</w:t>
      </w:r>
      <w:r>
        <w:rPr>
          <w:rFonts w:ascii="Arial" w:cs="Arial" w:eastAsia="Arial" w:hAnsi="Arial"/>
          <w:sz w:val="18"/>
          <w:szCs w:val="18"/>
          <w:b w:val="1"/>
          <w:bCs w:val="1"/>
          <w:color w:val="auto"/>
        </w:rPr>
        <w:t>,</w:t>
      </w:r>
      <w:r>
        <w:rPr>
          <w:rFonts w:ascii="Arial" w:cs="Arial" w:eastAsia="Arial" w:hAnsi="Arial"/>
          <w:sz w:val="18"/>
          <w:szCs w:val="18"/>
          <w:color w:val="auto"/>
        </w:rPr>
        <w:t xml:space="preserve"> the Executive agrees that if the Executive breaches, or proposes to breach, any portion of the Continuing Obligations, the Company shall be entitled, in addition to all other remedies that it may have, to an injunction or other appropriate equitable relief to restrain any such breach without showing or proving any actual damage to the Company.</w:t>
      </w:r>
    </w:p>
    <w:p>
      <w:pPr>
        <w:spacing w:after="0" w:line="79" w:lineRule="exact"/>
        <w:rPr>
          <w:rFonts w:ascii="Arial" w:cs="Arial" w:eastAsia="Arial" w:hAnsi="Arial"/>
          <w:sz w:val="18"/>
          <w:szCs w:val="18"/>
          <w:color w:val="auto"/>
        </w:rPr>
      </w:pPr>
    </w:p>
    <w:p>
      <w:pPr>
        <w:ind w:left="4" w:firstLine="436"/>
        <w:spacing w:after="0" w:line="259" w:lineRule="auto"/>
        <w:tabs>
          <w:tab w:leader="none" w:pos="714" w:val="left"/>
        </w:tabs>
        <w:numPr>
          <w:ilvl w:val="1"/>
          <w:numId w:val="442"/>
        </w:numPr>
        <w:rPr>
          <w:rFonts w:ascii="Arial" w:cs="Arial" w:eastAsia="Arial" w:hAnsi="Arial"/>
          <w:sz w:val="18"/>
          <w:szCs w:val="18"/>
          <w:color w:val="auto"/>
        </w:rPr>
      </w:pPr>
      <w:r>
        <w:rPr>
          <w:rFonts w:ascii="Arial" w:cs="Arial" w:eastAsia="Arial" w:hAnsi="Arial"/>
          <w:sz w:val="18"/>
          <w:szCs w:val="18"/>
          <w:u w:val="single" w:color="auto"/>
          <w:color w:val="auto"/>
        </w:rPr>
        <w:t>Consent to Jurisdiction</w:t>
      </w:r>
      <w:r>
        <w:rPr>
          <w:rFonts w:ascii="Arial" w:cs="Arial" w:eastAsia="Arial" w:hAnsi="Arial"/>
          <w:sz w:val="18"/>
          <w:szCs w:val="18"/>
          <w:color w:val="auto"/>
        </w:rPr>
        <w:t>. The parties hereby consent to the jurisdiction of the state and federal courts of the State of New Hampshire. Accordingly, with respect to any such court action, the Executive (a) submits to the exclusive personal jurisdiction of such courts; (b) consents to service of process; and (c) waives any other requirement (whether imposed by statute, rule of court, or otherwise) with respect to personal jurisdiction or service of process.</w:t>
      </w:r>
    </w:p>
    <w:p>
      <w:pPr>
        <w:spacing w:after="0" w:line="78" w:lineRule="exact"/>
        <w:rPr>
          <w:rFonts w:ascii="Arial" w:cs="Arial" w:eastAsia="Arial" w:hAnsi="Arial"/>
          <w:sz w:val="18"/>
          <w:szCs w:val="18"/>
          <w:color w:val="auto"/>
        </w:rPr>
      </w:pPr>
    </w:p>
    <w:p>
      <w:pPr>
        <w:ind w:left="4" w:right="20" w:firstLine="436"/>
        <w:spacing w:after="0" w:line="263" w:lineRule="auto"/>
        <w:tabs>
          <w:tab w:leader="none" w:pos="707" w:val="left"/>
        </w:tabs>
        <w:numPr>
          <w:ilvl w:val="1"/>
          <w:numId w:val="442"/>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the subject matter hereof and supersedes all prior agreements between the parties concerning such subject matter</w:t>
      </w:r>
      <w:r>
        <w:rPr>
          <w:rFonts w:ascii="Arial" w:cs="Arial" w:eastAsia="Arial" w:hAnsi="Arial"/>
          <w:sz w:val="18"/>
          <w:szCs w:val="18"/>
          <w:b w:val="1"/>
          <w:bCs w:val="1"/>
          <w:color w:val="auto"/>
        </w:rPr>
        <w:t>,</w:t>
      </w:r>
      <w:r>
        <w:rPr>
          <w:rFonts w:ascii="Arial" w:cs="Arial" w:eastAsia="Arial" w:hAnsi="Arial"/>
          <w:sz w:val="18"/>
          <w:szCs w:val="18"/>
          <w:color w:val="auto"/>
        </w:rPr>
        <w:t xml:space="preserve"> including the Prior Agreement, provided that the Restrictive Covenants Agreement and the agreements governing any Equity Awards remain in full force and effect.</w:t>
      </w:r>
    </w:p>
    <w:p>
      <w:pPr>
        <w:spacing w:after="0" w:line="75" w:lineRule="exact"/>
        <w:rPr>
          <w:rFonts w:ascii="Arial" w:cs="Arial" w:eastAsia="Arial" w:hAnsi="Arial"/>
          <w:sz w:val="18"/>
          <w:szCs w:val="18"/>
          <w:color w:val="auto"/>
        </w:rPr>
      </w:pPr>
    </w:p>
    <w:p>
      <w:pPr>
        <w:ind w:left="4" w:right="20" w:firstLine="436"/>
        <w:spacing w:after="0" w:line="259" w:lineRule="auto"/>
        <w:tabs>
          <w:tab w:leader="none" w:pos="714" w:val="left"/>
        </w:tabs>
        <w:numPr>
          <w:ilvl w:val="1"/>
          <w:numId w:val="442"/>
        </w:numPr>
        <w:rPr>
          <w:rFonts w:ascii="Arial" w:cs="Arial" w:eastAsia="Arial" w:hAnsi="Arial"/>
          <w:sz w:val="18"/>
          <w:szCs w:val="18"/>
          <w:color w:val="auto"/>
        </w:rPr>
      </w:pPr>
      <w:r>
        <w:rPr>
          <w:rFonts w:ascii="Arial" w:cs="Arial" w:eastAsia="Arial" w:hAnsi="Arial"/>
          <w:sz w:val="18"/>
          <w:szCs w:val="18"/>
          <w:u w:val="single" w:color="auto"/>
          <w:color w:val="auto"/>
        </w:rPr>
        <w:t>Withholding; Tax Effect</w:t>
      </w:r>
      <w:r>
        <w:rPr>
          <w:rFonts w:ascii="Arial" w:cs="Arial" w:eastAsia="Arial" w:hAnsi="Arial"/>
          <w:sz w:val="18"/>
          <w:szCs w:val="18"/>
          <w:color w:val="auto"/>
        </w:rPr>
        <w:t>. All payments made by the Company to the Executive under this Agreement shall be net of any tax or other amounts required to be withheld by the Company under applicable law. Nothing in this Agreement shall be construed to require the Company to make any payments to compensate the Executive for any adverse tax effect associated with any payments or benefits or for any deduction or withholding from any payment or benefit.</w:t>
      </w:r>
    </w:p>
    <w:p>
      <w:pPr>
        <w:spacing w:after="0" w:line="78" w:lineRule="exact"/>
        <w:rPr>
          <w:rFonts w:ascii="Arial" w:cs="Arial" w:eastAsia="Arial" w:hAnsi="Arial"/>
          <w:sz w:val="18"/>
          <w:szCs w:val="18"/>
          <w:color w:val="auto"/>
        </w:rPr>
      </w:pPr>
    </w:p>
    <w:p>
      <w:pPr>
        <w:ind w:left="4" w:right="140" w:firstLine="436"/>
        <w:spacing w:after="0" w:line="291" w:lineRule="auto"/>
        <w:tabs>
          <w:tab w:leader="none" w:pos="714" w:val="left"/>
        </w:tabs>
        <w:numPr>
          <w:ilvl w:val="1"/>
          <w:numId w:val="442"/>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will be binding upon and inure to the benefit of (a) the heirs, executors, and legal representatives of Executive upon Executive’s death as well as any beneficiaries duly designated by Executive prior to death in accordance with the terms hereof, and</w:t>
      </w:r>
    </w:p>
    <w:p>
      <w:pPr>
        <w:ind w:left="4" w:hanging="4"/>
        <w:spacing w:after="0" w:line="267" w:lineRule="auto"/>
        <w:tabs>
          <w:tab w:leader="none" w:pos="259" w:val="left"/>
        </w:tabs>
        <w:numPr>
          <w:ilvl w:val="0"/>
          <w:numId w:val="443"/>
        </w:numPr>
        <w:rPr>
          <w:rFonts w:ascii="Arial" w:cs="Arial" w:eastAsia="Arial" w:hAnsi="Arial"/>
          <w:sz w:val="17"/>
          <w:szCs w:val="17"/>
          <w:color w:val="auto"/>
        </w:rPr>
      </w:pPr>
      <w:r>
        <w:rPr>
          <w:rFonts w:ascii="Arial" w:cs="Arial" w:eastAsia="Arial" w:hAnsi="Arial"/>
          <w:sz w:val="17"/>
          <w:szCs w:val="17"/>
          <w:color w:val="auto"/>
        </w:rPr>
        <w:t>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The Company shall require its respective successors to expressly assume and agree to perform this Agreement in the same manner and to the same extent that the Company would be required to perform it if no such succession had taken place. Notwithstanding the foregoing, the Company shall remain, with such successor, jointly and severally liable for all of their obligations hereunder. Except as herein provided, this Agreement may not otherwise be assigned by the Company and any attempted assignment in contravention hereof will be null and void. In the event of the Executive’s death after the Executive’s termination of employment but prior to the completion by the Company of all payments due to the Executive under this Agreement, the Company shall continue such payments to the Executive’s beneficiary designated in writing to the Company prior to the Executive’s death (or to the Executive’s estate, if the Executive fails to make such designation). The Executive may designate one or more persons or entities as the primary or contingent beneficiaries of any amounts to be received under this Agreement. Such designation must be in the form of a signed writing reasonably acceptable to the Board or the Board’s designee. Executive may make or change such designation at any time. Except as approved by the Board or the Board’s designee, none of the rights of the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1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476" w:name="page477"/>
    <w:bookmarkEnd w:id="476"/>
    <w:p>
      <w:pPr>
        <w:ind w:left="4" w:right="240" w:firstLine="436"/>
        <w:spacing w:after="0" w:line="279" w:lineRule="auto"/>
        <w:tabs>
          <w:tab w:leader="none" w:pos="714" w:val="left"/>
        </w:tabs>
        <w:numPr>
          <w:ilvl w:val="1"/>
          <w:numId w:val="44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Enforceability</w:t>
      </w:r>
      <w:r>
        <w:rPr>
          <w:rFonts w:ascii="Arial" w:cs="Arial" w:eastAsia="Arial" w:hAnsi="Arial"/>
          <w:sz w:val="17"/>
          <w:szCs w:val="17"/>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63" w:lineRule="exact"/>
        <w:rPr>
          <w:rFonts w:ascii="Arial" w:cs="Arial" w:eastAsia="Arial" w:hAnsi="Arial"/>
          <w:sz w:val="17"/>
          <w:szCs w:val="17"/>
          <w:color w:val="auto"/>
        </w:rPr>
      </w:pPr>
    </w:p>
    <w:p>
      <w:pPr>
        <w:ind w:left="4" w:right="180" w:firstLine="436"/>
        <w:spacing w:after="0" w:line="286" w:lineRule="auto"/>
        <w:tabs>
          <w:tab w:leader="none" w:pos="714" w:val="left"/>
        </w:tabs>
        <w:numPr>
          <w:ilvl w:val="1"/>
          <w:numId w:val="444"/>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The provisions of this Agreement shall survive the termination of this Agreement and/or the termination of the Executive’s employment to the extent necessary to effectuate the terms contained herein, including but not limited to the Company’s obligation to make severance payments or provide indemnification and the Executive’s obligations to comply with the Continuing Obligations.</w:t>
      </w:r>
    </w:p>
    <w:p>
      <w:pPr>
        <w:spacing w:after="0" w:line="57" w:lineRule="exact"/>
        <w:rPr>
          <w:rFonts w:ascii="Arial" w:cs="Arial" w:eastAsia="Arial" w:hAnsi="Arial"/>
          <w:sz w:val="17"/>
          <w:szCs w:val="17"/>
          <w:color w:val="auto"/>
        </w:rPr>
      </w:pPr>
    </w:p>
    <w:p>
      <w:pPr>
        <w:ind w:left="4" w:right="100" w:firstLine="436"/>
        <w:spacing w:after="0" w:line="263" w:lineRule="auto"/>
        <w:tabs>
          <w:tab w:leader="none" w:pos="714" w:val="left"/>
        </w:tabs>
        <w:numPr>
          <w:ilvl w:val="1"/>
          <w:numId w:val="444"/>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75" w:lineRule="exact"/>
        <w:rPr>
          <w:rFonts w:ascii="Arial" w:cs="Arial" w:eastAsia="Arial" w:hAnsi="Arial"/>
          <w:sz w:val="18"/>
          <w:szCs w:val="18"/>
          <w:color w:val="auto"/>
        </w:rPr>
      </w:pPr>
    </w:p>
    <w:p>
      <w:pPr>
        <w:ind w:left="704" w:hanging="264"/>
        <w:spacing w:after="0"/>
        <w:tabs>
          <w:tab w:leader="none" w:pos="704" w:val="left"/>
        </w:tabs>
        <w:numPr>
          <w:ilvl w:val="1"/>
          <w:numId w:val="444"/>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notices, requests, demands and other communications provided for by this Agreement shall be sufficient if in writing and</w:t>
      </w:r>
    </w:p>
    <w:p>
      <w:pPr>
        <w:spacing w:after="0" w:line="34" w:lineRule="exact"/>
        <w:rPr>
          <w:rFonts w:ascii="Arial" w:cs="Arial" w:eastAsia="Arial" w:hAnsi="Arial"/>
          <w:sz w:val="17"/>
          <w:szCs w:val="17"/>
          <w:color w:val="auto"/>
        </w:rPr>
      </w:pPr>
    </w:p>
    <w:p>
      <w:pPr>
        <w:jc w:val="both"/>
        <w:ind w:left="4" w:right="260" w:hanging="4"/>
        <w:spacing w:after="0" w:line="255" w:lineRule="auto"/>
        <w:tabs>
          <w:tab w:leader="none" w:pos="219" w:val="left"/>
        </w:tabs>
        <w:numPr>
          <w:ilvl w:val="0"/>
          <w:numId w:val="445"/>
        </w:numPr>
        <w:rPr>
          <w:rFonts w:ascii="Arial" w:cs="Arial" w:eastAsia="Arial" w:hAnsi="Arial"/>
          <w:sz w:val="18"/>
          <w:szCs w:val="18"/>
          <w:color w:val="auto"/>
        </w:rPr>
      </w:pPr>
      <w:r>
        <w:rPr>
          <w:rFonts w:ascii="Arial" w:cs="Arial" w:eastAsia="Arial" w:hAnsi="Arial"/>
          <w:sz w:val="18"/>
          <w:szCs w:val="18"/>
          <w:color w:val="auto"/>
        </w:rPr>
        <w:t>delivered in person, (ii)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 or (iii) sent via email to the Executive at the Executive’s Company email address.</w:t>
      </w:r>
    </w:p>
    <w:p>
      <w:pPr>
        <w:spacing w:after="0" w:line="81" w:lineRule="exact"/>
        <w:rPr>
          <w:rFonts w:ascii="Arial" w:cs="Arial" w:eastAsia="Arial" w:hAnsi="Arial"/>
          <w:sz w:val="18"/>
          <w:szCs w:val="18"/>
          <w:color w:val="auto"/>
        </w:rPr>
      </w:pPr>
    </w:p>
    <w:p>
      <w:pPr>
        <w:ind w:left="4" w:right="300" w:firstLine="436"/>
        <w:spacing w:after="0" w:line="277" w:lineRule="auto"/>
        <w:tabs>
          <w:tab w:leader="none" w:pos="714" w:val="left"/>
        </w:tabs>
        <w:numPr>
          <w:ilvl w:val="1"/>
          <w:numId w:val="445"/>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or modified only by a written instrument signed by the Executive and by a duly authorized representative of the Company.</w:t>
      </w:r>
    </w:p>
    <w:p>
      <w:pPr>
        <w:spacing w:after="0" w:line="62" w:lineRule="exact"/>
        <w:rPr>
          <w:rFonts w:ascii="Arial" w:cs="Arial" w:eastAsia="Arial" w:hAnsi="Arial"/>
          <w:sz w:val="18"/>
          <w:szCs w:val="18"/>
          <w:color w:val="auto"/>
        </w:rPr>
      </w:pPr>
    </w:p>
    <w:p>
      <w:pPr>
        <w:ind w:left="4" w:firstLine="436"/>
        <w:spacing w:after="0" w:line="291" w:lineRule="auto"/>
        <w:tabs>
          <w:tab w:leader="none" w:pos="714" w:val="left"/>
        </w:tabs>
        <w:numPr>
          <w:ilvl w:val="1"/>
          <w:numId w:val="445"/>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The Company will (i) indemnify the Executive with respect to claims arising out of any action taken or not taken in Executive’s capacity as an officer or employee of the Company or its subsidiaries; provided, that the Executive acted in good faith and in a manner that he reasonably believed to be in or not opposed to the best interests of the Company and, with respect to any criminal action or proceeding, had no reasonable cause to believe that his conduct was unlawful, (ii) advance to the Executive all reasonable and documented out of pocket costs and expenses incurred by the Executive in connection with the foregoing clause (i), including but not limited to attorneys’ fees, and (iii) provide for the Executive to be covered by D&amp;O insurance, with respect to clauses (i) and (ii), on the same terms as are made available to the CEO and/or members of the Board, as applicable; provided that, this Agreement constitutes an undertaking that amounts advanced under clause (ii) shall be</w:t>
      </w:r>
    </w:p>
    <w:p>
      <w:pPr>
        <w:spacing w:after="0" w:line="9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4"/>
          </w:cols>
          <w:pgMar w:left="436" w:top="273" w:right="479" w:bottom="1440" w:gutter="0" w:footer="0" w:header="0"/>
        </w:sectPr>
      </w:pPr>
    </w:p>
    <w:bookmarkStart w:id="477" w:name="page478"/>
    <w:bookmarkEnd w:id="477"/>
    <w:p>
      <w:pPr>
        <w:ind w:right="1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promptly repaid to the Company by the Executive if it shall ultimately be determined that the Executive is not entitled to be indemnified by the Company pursuant to this Section 19. Nothing herein shall limit any right that the Executive may have in respect of indemnification, advancement or liability insurance coverage under any other policy, plan, contract or arrangement of the Company or its subsidiaries or under applicable law with respect to his or her services as an officer or employee for the Company or its subsidiaries, and the Company shall not change any right to such indemnification or advancement with respect to the Executive after his or her termination of employment.</w:t>
      </w:r>
    </w:p>
    <w:p>
      <w:pPr>
        <w:spacing w:after="0" w:line="68" w:lineRule="exact"/>
        <w:rPr>
          <w:sz w:val="20"/>
          <w:szCs w:val="20"/>
          <w:color w:val="auto"/>
        </w:rPr>
      </w:pPr>
    </w:p>
    <w:p>
      <w:pPr>
        <w:ind w:right="220" w:firstLine="436"/>
        <w:spacing w:after="0" w:line="301" w:lineRule="auto"/>
        <w:tabs>
          <w:tab w:leader="none" w:pos="710" w:val="left"/>
        </w:tabs>
        <w:numPr>
          <w:ilvl w:val="0"/>
          <w:numId w:val="446"/>
        </w:numPr>
        <w:rPr>
          <w:rFonts w:ascii="Arial" w:cs="Arial" w:eastAsia="Arial" w:hAnsi="Arial"/>
          <w:sz w:val="16"/>
          <w:szCs w:val="16"/>
          <w:color w:val="auto"/>
        </w:rPr>
      </w:pPr>
      <w:r>
        <w:rPr>
          <w:rFonts w:ascii="Arial" w:cs="Arial" w:eastAsia="Arial" w:hAnsi="Arial"/>
          <w:sz w:val="16"/>
          <w:szCs w:val="16"/>
          <w:u w:val="single" w:color="auto"/>
          <w:color w:val="auto"/>
        </w:rPr>
        <w:t>No Mitigation; Offset</w:t>
      </w:r>
      <w:r>
        <w:rPr>
          <w:rFonts w:ascii="Arial" w:cs="Arial" w:eastAsia="Arial" w:hAnsi="Arial"/>
          <w:sz w:val="16"/>
          <w:szCs w:val="16"/>
          <w:color w:val="auto"/>
        </w:rPr>
        <w:t>. In the event of any termination of employment and service hereunder, the Executive shall be under no obligation to seek other employment, and there shall be no offset against any amounts due Executive under this Agreement on account of any remuneration attributable to any subsequent employment that Executive may obtain. The preceding sentence shall not limit the Company’s right to enforce the termination provisions set forth in Section 4 above or the repayment or recoupment provisions in Section 22(d) and Section 23 below.</w:t>
      </w:r>
    </w:p>
    <w:p>
      <w:pPr>
        <w:spacing w:after="0" w:line="49" w:lineRule="exact"/>
        <w:rPr>
          <w:rFonts w:ascii="Arial" w:cs="Arial" w:eastAsia="Arial" w:hAnsi="Arial"/>
          <w:sz w:val="16"/>
          <w:szCs w:val="16"/>
          <w:color w:val="auto"/>
        </w:rPr>
      </w:pPr>
    </w:p>
    <w:p>
      <w:pPr>
        <w:ind w:right="20" w:firstLine="436"/>
        <w:spacing w:after="0" w:line="270" w:lineRule="auto"/>
        <w:tabs>
          <w:tab w:leader="none" w:pos="710" w:val="left"/>
        </w:tabs>
        <w:numPr>
          <w:ilvl w:val="0"/>
          <w:numId w:val="446"/>
        </w:numPr>
        <w:rPr>
          <w:rFonts w:ascii="Arial" w:cs="Arial" w:eastAsia="Arial" w:hAnsi="Arial"/>
          <w:sz w:val="17"/>
          <w:szCs w:val="17"/>
          <w:color w:val="auto"/>
        </w:rPr>
      </w:pPr>
      <w:r>
        <w:rPr>
          <w:rFonts w:ascii="Arial" w:cs="Arial" w:eastAsia="Arial" w:hAnsi="Arial"/>
          <w:sz w:val="17"/>
          <w:szCs w:val="17"/>
          <w:u w:val="single" w:color="auto"/>
          <w:color w:val="auto"/>
        </w:rPr>
        <w:t>Effect on Other Plans and Agreements</w:t>
      </w:r>
      <w:r>
        <w:rPr>
          <w:rFonts w:ascii="Arial" w:cs="Arial" w:eastAsia="Arial" w:hAnsi="Arial"/>
          <w:sz w:val="17"/>
          <w:szCs w:val="17"/>
          <w:color w:val="auto"/>
        </w:rPr>
        <w:t>. An election by the Executive to resign for Good Reason under the provisions of this Agreement shall not be deemed a voluntary termination of employment by the Executive for the purpose of interpreting the provisions of any of the Company’s benefit plans, programs or policies. Nothing in this Agreement shall be construed to limit the rights of the Executive under the Company’s benefit plans, programs or policies except to the extent specifically provided in Section 7 hereof, and except that the Executive shall have no rights to continue any severance benefits under any Company severance pay plan, offer letter or otherwise. Except for the Restrictive Covenants Agreement, in the event that the Executive is party to an agreement with the Company providing for payments or benefits under such plan or agreement and under this Agreement, the terms of this Agreement shall govern and the Executive may receive payment under this Agreement only and not both. Further, Section 5 and Section 6 of this Agreement are mutually exclusive and in no event shall the Executive be entitled to cash severance payments or benefits pursuant to both Section 5 and Section 6 of this Agreement.</w:t>
      </w:r>
    </w:p>
    <w:p>
      <w:pPr>
        <w:spacing w:after="0" w:line="72" w:lineRule="exact"/>
        <w:rPr>
          <w:rFonts w:ascii="Arial" w:cs="Arial" w:eastAsia="Arial" w:hAnsi="Arial"/>
          <w:sz w:val="17"/>
          <w:szCs w:val="17"/>
          <w:color w:val="auto"/>
        </w:rPr>
      </w:pPr>
    </w:p>
    <w:p>
      <w:pPr>
        <w:ind w:left="700" w:hanging="264"/>
        <w:spacing w:after="0"/>
        <w:tabs>
          <w:tab w:leader="none" w:pos="700" w:val="left"/>
        </w:tabs>
        <w:numPr>
          <w:ilvl w:val="0"/>
          <w:numId w:val="446"/>
        </w:numPr>
        <w:rPr>
          <w:rFonts w:ascii="Arial" w:cs="Arial" w:eastAsia="Arial" w:hAnsi="Arial"/>
          <w:sz w:val="18"/>
          <w:szCs w:val="18"/>
          <w:color w:val="auto"/>
        </w:rPr>
      </w:pPr>
      <w:r>
        <w:rPr>
          <w:rFonts w:ascii="Arial" w:cs="Arial" w:eastAsia="Arial" w:hAnsi="Arial"/>
          <w:sz w:val="18"/>
          <w:szCs w:val="18"/>
          <w:u w:val="single" w:color="auto"/>
          <w:color w:val="auto"/>
        </w:rPr>
        <w:t>Governing Law; Venue and Enforcement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87"/>
        <w:spacing w:after="0" w:line="259" w:lineRule="auto"/>
        <w:tabs>
          <w:tab w:leader="none" w:pos="1236" w:val="left"/>
        </w:tabs>
        <w:numPr>
          <w:ilvl w:val="1"/>
          <w:numId w:val="446"/>
        </w:numPr>
        <w:rPr>
          <w:rFonts w:ascii="Arial" w:cs="Arial" w:eastAsia="Arial" w:hAnsi="Arial"/>
          <w:sz w:val="18"/>
          <w:szCs w:val="18"/>
          <w:color w:val="auto"/>
        </w:rPr>
      </w:pPr>
      <w:r>
        <w:rPr>
          <w:rFonts w:ascii="Arial" w:cs="Arial" w:eastAsia="Arial" w:hAnsi="Arial"/>
          <w:sz w:val="18"/>
          <w:szCs w:val="18"/>
          <w:color w:val="auto"/>
        </w:rPr>
        <w:t>This Agreement will be governed by and construed in accordance with applicable federal laws and, to the extent not inconsistent therewith or preempted thereby, with the laws of the State of New Hampshire, including any applicable statutes of limitation, without regard to any otherwise applicable principles of conflicts of laws or choice of law rules (whether of the State of New Hampshire or any other jurisdiction) that would result in the application of the substantive or procedural rules or law of any other jurisdiction.</w:t>
      </w:r>
    </w:p>
    <w:p>
      <w:pPr>
        <w:spacing w:after="0" w:line="78" w:lineRule="exact"/>
        <w:rPr>
          <w:rFonts w:ascii="Arial" w:cs="Arial" w:eastAsia="Arial" w:hAnsi="Arial"/>
          <w:sz w:val="18"/>
          <w:szCs w:val="18"/>
          <w:color w:val="auto"/>
        </w:rPr>
      </w:pPr>
    </w:p>
    <w:p>
      <w:pPr>
        <w:ind w:right="60" w:firstLine="987"/>
        <w:spacing w:after="0" w:line="257" w:lineRule="auto"/>
        <w:tabs>
          <w:tab w:leader="none" w:pos="1246" w:val="left"/>
        </w:tabs>
        <w:numPr>
          <w:ilvl w:val="1"/>
          <w:numId w:val="446"/>
        </w:numPr>
        <w:rPr>
          <w:rFonts w:ascii="Arial" w:cs="Arial" w:eastAsia="Arial" w:hAnsi="Arial"/>
          <w:sz w:val="18"/>
          <w:szCs w:val="18"/>
          <w:color w:val="auto"/>
        </w:rPr>
      </w:pPr>
      <w:r>
        <w:rPr>
          <w:rFonts w:ascii="Arial" w:cs="Arial" w:eastAsia="Arial" w:hAnsi="Arial"/>
          <w:sz w:val="18"/>
          <w:szCs w:val="18"/>
          <w:color w:val="auto"/>
        </w:rPr>
        <w:t>Each party agrees that any controversy or claim arising out of or relating to this Agreement or the alleged breach hereof shall be instituted in the United States District Court for the District of Massachusetts, or if that court does not have or will not accept jurisdiction, in any court of general jurisdiction in the Commonwealth of Massachusetts, and Executive and the Company hereby consent to the personal and exclusive jurisdiction of such court(s) and hereby waive any objection(s) that any such party may have to personal jurisdiction, the laying of venue of any such proceedings and any claim or defense of inconvenient forum.</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80"/>
          </w:cols>
          <w:pgMar w:left="440" w:top="273" w:right="579" w:bottom="1440" w:gutter="0" w:footer="0" w:header="0"/>
        </w:sectPr>
      </w:pPr>
    </w:p>
    <w:bookmarkStart w:id="478" w:name="page479"/>
    <w:bookmarkEnd w:id="478"/>
    <w:p>
      <w:pPr>
        <w:ind w:left="4" w:right="20" w:firstLine="987"/>
        <w:spacing w:after="0" w:line="259" w:lineRule="auto"/>
        <w:tabs>
          <w:tab w:leader="none" w:pos="1240" w:val="left"/>
        </w:tabs>
        <w:numPr>
          <w:ilvl w:val="2"/>
          <w:numId w:val="4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award shall be payable to Executive no later than the end of Executive’s first taxable year in which the Company either concede the amount (or portion of the amount) payable or are required to make payment pursuant to a judgment by a court, and shall include interest on any amounts due and payable to Executive from the date due to the date of payment, calculated at one hundred and ten percent (110%) of the base lending in effect at Citibank, N.A. (or any successor thereto) on the first of each month.</w:t>
      </w:r>
    </w:p>
    <w:p>
      <w:pPr>
        <w:spacing w:after="0" w:line="78" w:lineRule="exact"/>
        <w:rPr>
          <w:rFonts w:ascii="Arial" w:cs="Arial" w:eastAsia="Arial" w:hAnsi="Arial"/>
          <w:sz w:val="18"/>
          <w:szCs w:val="18"/>
          <w:color w:val="auto"/>
        </w:rPr>
      </w:pPr>
    </w:p>
    <w:p>
      <w:pPr>
        <w:ind w:left="4" w:right="20" w:firstLine="987"/>
        <w:spacing w:after="0" w:line="269" w:lineRule="auto"/>
        <w:tabs>
          <w:tab w:leader="none" w:pos="1250" w:val="left"/>
        </w:tabs>
        <w:numPr>
          <w:ilvl w:val="2"/>
          <w:numId w:val="447"/>
        </w:numPr>
        <w:rPr>
          <w:rFonts w:ascii="Arial" w:cs="Arial" w:eastAsia="Arial" w:hAnsi="Arial"/>
          <w:sz w:val="17"/>
          <w:szCs w:val="17"/>
          <w:color w:val="auto"/>
        </w:rPr>
      </w:pPr>
      <w:r>
        <w:rPr>
          <w:rFonts w:ascii="Arial" w:cs="Arial" w:eastAsia="Arial" w:hAnsi="Arial"/>
          <w:sz w:val="17"/>
          <w:szCs w:val="17"/>
          <w:color w:val="auto"/>
        </w:rPr>
        <w:t>If it is necessary or desirable for Executive to retain legal counsel or incur other costs and expenses in connection with the enforcement of any or all of Executive’s rights under this Agreement, the Company shall, within thirty (30) days after receipt of an invoice certifying payment by Executive of such attorney fees, or payment of such other costs and expenses, reimburse Executive’s reasonable attorneys’ fees and costs and such other expenses, including expenses of any expert witnesses, in connection with the enforcement of said rights in an amount not to exceed $100,000; provided, that to the extent (and only to the extent) such expenses are subject to Section 409A, in no event shall any payment of Executive’s fees, costs, and expenses be made after the last day of Executive’s taxable year following the taxable year in which the expense was incurred; provided, further, that Executive shall repay any such advance of fees, costs, and expenses (and no additional advances or reimbursements shall be made) (i) if there is a specific judicial finding that Executive’s request to litigate was frivolous, unreasonable or without foundation; (ii) if it has been finally determined that Executive’s termination of employment for Cause was proper; or (iii) if the Board determines in good faith that as of the date of Executive’s termination of employment and service, grounds for an involuntary termination for Cause had existed.</w:t>
      </w:r>
    </w:p>
    <w:p>
      <w:pPr>
        <w:spacing w:after="0" w:line="77" w:lineRule="exact"/>
        <w:rPr>
          <w:rFonts w:ascii="Arial" w:cs="Arial" w:eastAsia="Arial" w:hAnsi="Arial"/>
          <w:sz w:val="17"/>
          <w:szCs w:val="17"/>
          <w:color w:val="auto"/>
        </w:rPr>
      </w:pPr>
    </w:p>
    <w:p>
      <w:pPr>
        <w:ind w:left="4" w:firstLine="436"/>
        <w:spacing w:after="0" w:line="285" w:lineRule="auto"/>
        <w:tabs>
          <w:tab w:leader="none" w:pos="714" w:val="left"/>
        </w:tabs>
        <w:numPr>
          <w:ilvl w:val="1"/>
          <w:numId w:val="448"/>
        </w:numPr>
        <w:rPr>
          <w:rFonts w:ascii="Arial" w:cs="Arial" w:eastAsia="Arial" w:hAnsi="Arial"/>
          <w:sz w:val="16"/>
          <w:szCs w:val="16"/>
          <w:color w:val="auto"/>
        </w:rPr>
      </w:pPr>
      <w:r>
        <w:rPr>
          <w:rFonts w:ascii="Arial" w:cs="Arial" w:eastAsia="Arial" w:hAnsi="Arial"/>
          <w:sz w:val="16"/>
          <w:szCs w:val="16"/>
          <w:u w:val="single" w:color="auto"/>
          <w:color w:val="auto"/>
        </w:rPr>
        <w:t>Recoupment</w:t>
      </w:r>
      <w:r>
        <w:rPr>
          <w:rFonts w:ascii="Arial" w:cs="Arial" w:eastAsia="Arial" w:hAnsi="Arial"/>
          <w:sz w:val="16"/>
          <w:szCs w:val="16"/>
          <w:color w:val="auto"/>
        </w:rPr>
        <w:t>. Executive shall be required to repay incentive pay to the Company as described in this Section 23, and the Company may offset payments otherwise due and payable under this Agreement by the amounts required to be repaid under this Section 23. Repayment of incentive pay shall be required if, and to the extent that, the Compensation Committee determines, in its sole discretion, that repayment is due on account of a restatement of the Company’s financial statements or otherwise pursuant to any clawback or compensation recoupment policy as may be in effect or amended from time to time) (the “</w:t>
      </w:r>
      <w:r>
        <w:rPr>
          <w:rFonts w:ascii="Arial" w:cs="Arial" w:eastAsia="Arial" w:hAnsi="Arial"/>
          <w:sz w:val="16"/>
          <w:szCs w:val="16"/>
          <w:b w:val="1"/>
          <w:bCs w:val="1"/>
          <w:i w:val="1"/>
          <w:iCs w:val="1"/>
          <w:color w:val="auto"/>
        </w:rPr>
        <w:t>Recoupment Policy</w:t>
      </w:r>
      <w:r>
        <w:rPr>
          <w:rFonts w:ascii="Arial" w:cs="Arial" w:eastAsia="Arial" w:hAnsi="Arial"/>
          <w:sz w:val="16"/>
          <w:szCs w:val="16"/>
          <w:color w:val="auto"/>
        </w:rPr>
        <w:t>”). Where the result of a performance measure was a factor in determining the compensation awarded or paid, but</w:t>
      </w:r>
    </w:p>
    <w:p>
      <w:pPr>
        <w:spacing w:after="0" w:line="1" w:lineRule="exact"/>
        <w:rPr>
          <w:rFonts w:ascii="Arial" w:cs="Arial" w:eastAsia="Arial" w:hAnsi="Arial"/>
          <w:sz w:val="16"/>
          <w:szCs w:val="16"/>
          <w:color w:val="auto"/>
        </w:rPr>
      </w:pPr>
    </w:p>
    <w:p>
      <w:pPr>
        <w:ind w:left="4" w:hanging="4"/>
        <w:spacing w:after="0" w:line="288" w:lineRule="auto"/>
        <w:tabs>
          <w:tab w:leader="none" w:pos="219" w:val="left"/>
        </w:tabs>
        <w:numPr>
          <w:ilvl w:val="0"/>
          <w:numId w:val="449"/>
        </w:numPr>
        <w:rPr>
          <w:rFonts w:ascii="Arial" w:cs="Arial" w:eastAsia="Arial" w:hAnsi="Arial"/>
          <w:sz w:val="16"/>
          <w:szCs w:val="16"/>
          <w:color w:val="auto"/>
        </w:rPr>
      </w:pPr>
      <w:r>
        <w:rPr>
          <w:rFonts w:ascii="Arial" w:cs="Arial" w:eastAsia="Arial" w:hAnsi="Arial"/>
          <w:sz w:val="16"/>
          <w:szCs w:val="16"/>
          <w:color w:val="auto"/>
        </w:rPr>
        <w:t>the subsequently-restated performance measure was not the only factor used to determine the compensation awarded or paid, or (ii) the incentive-based compensation is not awarded or paid on a formulaic basis, the Committee will determine in its discretion the amount, if any, by which the payment or award should be reduced. If the Committee seeks to recover payment of incentive pay as a result of a restatement of the Company’s financial statements or otherwise under the Recoupment Policy, Executive shall pay to the Company, as applicable, (A) all or a portion (as determined by the Committee in its sole discretion) of the amount by which the payment received by Executive exceeds the amount that would have been paid to Executive based on the restated financial statements, or (B) the amount (as determined by the Committee in its sole discretion) to be repaid pursuant to the Recoupment Policy. Nothing in this Section 23 shall preclude the Company (or any other person) from taking any other action.</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3" w:right="459" w:bottom="1440" w:gutter="0" w:footer="0" w:header="0"/>
        </w:sectPr>
      </w:pPr>
    </w:p>
    <w:bookmarkStart w:id="479" w:name="page480"/>
    <w:bookmarkEnd w:id="479"/>
    <w:p>
      <w:pPr>
        <w:ind w:left="-180" w:firstLine="436"/>
        <w:spacing w:after="0" w:line="277" w:lineRule="auto"/>
        <w:tabs>
          <w:tab w:leader="none" w:pos="530" w:val="left"/>
        </w:tabs>
        <w:numPr>
          <w:ilvl w:val="0"/>
          <w:numId w:val="45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Counterparts</w:t>
      </w:r>
      <w:r>
        <w:rPr>
          <w:rFonts w:ascii="Arial" w:cs="Arial" w:eastAsia="Arial" w:hAnsi="Arial"/>
          <w:sz w:val="18"/>
          <w:szCs w:val="18"/>
          <w:color w:val="auto"/>
        </w:rPr>
        <w:t>. This Agreement may be executed in any number of counterparts, each of which when so executed and delivered shall be taken to be an original; but such counterparts shall together constitute one and the same document.</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parties have executed this Agreement effective on the Effective Date.</w:t>
      </w:r>
    </w:p>
    <w:p>
      <w:pPr>
        <w:spacing w:after="0" w:line="248"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ADAGIO THERAPEUTICS, INC.</w:t>
      </w:r>
    </w:p>
    <w:p>
      <w:pPr>
        <w:spacing w:after="0" w:line="229"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4277360</wp:posOffset>
            </wp:positionH>
            <wp:positionV relativeFrom="paragraph">
              <wp:posOffset>-10160</wp:posOffset>
            </wp:positionV>
            <wp:extent cx="222821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2">
                      <a:extLst>
                        <a:ext uri="{28A0092B-C50C-407E-A947-70E740481C1C}"/>
                      </a:extLst>
                    </a:blip>
                    <a:srcRect/>
                    <a:stretch>
                      <a:fillRect/>
                    </a:stretch>
                  </pic:blipFill>
                  <pic:spPr bwMode="auto">
                    <a:xfrm>
                      <a:off x="0" y="0"/>
                      <a:ext cx="2228215" cy="8255"/>
                    </a:xfrm>
                    <a:prstGeom prst="rect">
                      <a:avLst/>
                    </a:prstGeom>
                    <a:noFill/>
                  </pic:spPr>
                </pic:pic>
              </a:graphicData>
            </a:graphic>
          </wp:anchor>
        </w:drawing>
        <w:drawing>
          <wp:anchor simplePos="0" relativeHeight="251657728" behindDoc="1" locked="0" layoutInCell="0" allowOverlap="1">
            <wp:simplePos x="0" y="0"/>
            <wp:positionH relativeFrom="column">
              <wp:posOffset>4083685</wp:posOffset>
            </wp:positionH>
            <wp:positionV relativeFrom="paragraph">
              <wp:posOffset>126365</wp:posOffset>
            </wp:positionV>
            <wp:extent cx="54292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3">
                      <a:extLst>
                        <a:ext uri="{28A0092B-C50C-407E-A947-70E740481C1C}"/>
                      </a:extLst>
                    </a:blip>
                    <a:srcRect/>
                    <a:stretch>
                      <a:fillRect/>
                    </a:stretch>
                  </pic:blipFill>
                  <pic:spPr bwMode="auto">
                    <a:xfrm>
                      <a:off x="0" y="0"/>
                      <a:ext cx="542925" cy="8255"/>
                    </a:xfrm>
                    <a:prstGeom prst="rect">
                      <a:avLst/>
                    </a:prstGeom>
                    <a:noFill/>
                  </pic:spPr>
                </pic:pic>
              </a:graphicData>
            </a:graphic>
          </wp:anchor>
        </w:drawing>
      </w:r>
    </w:p>
    <w:p>
      <w:pPr>
        <w:spacing w:after="0" w:line="20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4258310</wp:posOffset>
            </wp:positionH>
            <wp:positionV relativeFrom="paragraph">
              <wp:posOffset>-10160</wp:posOffset>
            </wp:positionV>
            <wp:extent cx="168529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4">
                      <a:extLst>
                        <a:ext uri="{28A0092B-C50C-407E-A947-70E740481C1C}"/>
                      </a:extLst>
                    </a:blip>
                    <a:srcRect/>
                    <a:stretch>
                      <a:fillRect/>
                    </a:stretch>
                  </pic:blipFill>
                  <pic:spPr bwMode="auto">
                    <a:xfrm>
                      <a:off x="0" y="0"/>
                      <a:ext cx="1685290"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126365</wp:posOffset>
            </wp:positionV>
            <wp:extent cx="108521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5">
                      <a:extLst>
                        <a:ext uri="{28A0092B-C50C-407E-A947-70E740481C1C}"/>
                      </a:extLst>
                    </a:blip>
                    <a:srcRect/>
                    <a:stretch>
                      <a:fillRect/>
                    </a:stretch>
                  </pic:blipFill>
                  <pic:spPr bwMode="auto">
                    <a:xfrm>
                      <a:off x="0" y="0"/>
                      <a:ext cx="10852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4083685</wp:posOffset>
            </wp:positionH>
            <wp:positionV relativeFrom="paragraph">
              <wp:posOffset>163195</wp:posOffset>
            </wp:positionV>
            <wp:extent cx="2794635"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7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Tillman Gerngross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660"/>
          </w:cols>
          <w:pgMar w:left="620" w:top="273" w:right="619" w:bottom="1440" w:gutter="0" w:footer="0" w:header="0"/>
        </w:sectPr>
      </w:pPr>
    </w:p>
    <w:bookmarkStart w:id="480" w:name="page481"/>
    <w:bookmarkEnd w:id="480"/>
    <w:p>
      <w:pPr>
        <w:jc w:val="center"/>
        <w:ind w:right="-876"/>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225" w:lineRule="exact"/>
        <w:rPr>
          <w:sz w:val="20"/>
          <w:szCs w:val="20"/>
          <w:color w:val="auto"/>
        </w:rPr>
      </w:pPr>
    </w:p>
    <w:p>
      <w:pPr>
        <w:ind w:left="4716"/>
        <w:spacing w:after="0"/>
        <w:rPr>
          <w:sz w:val="20"/>
          <w:szCs w:val="20"/>
          <w:color w:val="auto"/>
        </w:rPr>
      </w:pPr>
      <w:r>
        <w:rPr>
          <w:rFonts w:ascii="Arial" w:cs="Arial" w:eastAsia="Arial" w:hAnsi="Arial"/>
          <w:sz w:val="18"/>
          <w:szCs w:val="18"/>
          <w:b w:val="1"/>
          <w:bCs w:val="1"/>
          <w:color w:val="auto"/>
        </w:rPr>
        <w:t>Outside Activities</w:t>
      </w:r>
    </w:p>
    <w:p>
      <w:pPr>
        <w:spacing w:after="0" w:line="256" w:lineRule="exact"/>
        <w:rPr>
          <w:sz w:val="20"/>
          <w:szCs w:val="20"/>
          <w:color w:val="auto"/>
        </w:rPr>
      </w:pPr>
    </w:p>
    <w:p>
      <w:pPr>
        <w:ind w:left="316" w:hanging="316"/>
        <w:spacing w:after="0"/>
        <w:tabs>
          <w:tab w:leader="none" w:pos="316" w:val="left"/>
        </w:tabs>
        <w:numPr>
          <w:ilvl w:val="0"/>
          <w:numId w:val="451"/>
        </w:numPr>
        <w:rPr>
          <w:rFonts w:ascii="Arial" w:cs="Arial" w:eastAsia="Arial" w:hAnsi="Arial"/>
          <w:sz w:val="16"/>
          <w:szCs w:val="16"/>
          <w:color w:val="auto"/>
        </w:rPr>
      </w:pPr>
      <w:r>
        <w:rPr>
          <w:rFonts w:ascii="Arial" w:cs="Arial" w:eastAsia="Arial" w:hAnsi="Arial"/>
          <w:sz w:val="16"/>
          <w:szCs w:val="16"/>
          <w:color w:val="auto"/>
        </w:rPr>
        <w:t>Executive is a co-founder of Adimab, LLC and serves as its Chief Executive Officer and as a director</w:t>
      </w:r>
    </w:p>
    <w:p>
      <w:pPr>
        <w:spacing w:after="0" w:line="153" w:lineRule="exact"/>
        <w:rPr>
          <w:rFonts w:ascii="Arial" w:cs="Arial" w:eastAsia="Arial" w:hAnsi="Arial"/>
          <w:sz w:val="16"/>
          <w:szCs w:val="16"/>
          <w:color w:val="auto"/>
        </w:rPr>
      </w:pPr>
    </w:p>
    <w:p>
      <w:pPr>
        <w:ind w:left="316" w:hanging="316"/>
        <w:spacing w:after="0"/>
        <w:tabs>
          <w:tab w:leader="none" w:pos="316" w:val="left"/>
        </w:tabs>
        <w:numPr>
          <w:ilvl w:val="0"/>
          <w:numId w:val="451"/>
        </w:numPr>
        <w:rPr>
          <w:rFonts w:ascii="Arial" w:cs="Arial" w:eastAsia="Arial" w:hAnsi="Arial"/>
          <w:sz w:val="18"/>
          <w:szCs w:val="18"/>
          <w:color w:val="auto"/>
        </w:rPr>
      </w:pPr>
      <w:r>
        <w:rPr>
          <w:rFonts w:ascii="Arial" w:cs="Arial" w:eastAsia="Arial" w:hAnsi="Arial"/>
          <w:sz w:val="18"/>
          <w:szCs w:val="18"/>
          <w:color w:val="auto"/>
        </w:rPr>
        <w:t>Executive is a co-founder and Chairman of Avitide, Inc.</w:t>
      </w:r>
    </w:p>
    <w:p>
      <w:pPr>
        <w:spacing w:after="0" w:line="130" w:lineRule="exact"/>
        <w:rPr>
          <w:rFonts w:ascii="Arial" w:cs="Arial" w:eastAsia="Arial" w:hAnsi="Arial"/>
          <w:sz w:val="18"/>
          <w:szCs w:val="18"/>
          <w:color w:val="auto"/>
        </w:rPr>
      </w:pPr>
    </w:p>
    <w:p>
      <w:pPr>
        <w:ind w:left="316" w:hanging="316"/>
        <w:spacing w:after="0"/>
        <w:tabs>
          <w:tab w:leader="none" w:pos="316" w:val="left"/>
        </w:tabs>
        <w:numPr>
          <w:ilvl w:val="0"/>
          <w:numId w:val="451"/>
        </w:numPr>
        <w:rPr>
          <w:rFonts w:ascii="Arial" w:cs="Arial" w:eastAsia="Arial" w:hAnsi="Arial"/>
          <w:sz w:val="18"/>
          <w:szCs w:val="18"/>
          <w:color w:val="auto"/>
        </w:rPr>
      </w:pPr>
      <w:r>
        <w:rPr>
          <w:rFonts w:ascii="Arial" w:cs="Arial" w:eastAsia="Arial" w:hAnsi="Arial"/>
          <w:sz w:val="18"/>
          <w:szCs w:val="18"/>
          <w:color w:val="auto"/>
        </w:rPr>
        <w:t>Executive is Chairman of Alector, Inc.</w:t>
      </w:r>
    </w:p>
    <w:p>
      <w:pPr>
        <w:spacing w:after="0" w:line="130" w:lineRule="exact"/>
        <w:rPr>
          <w:rFonts w:ascii="Arial" w:cs="Arial" w:eastAsia="Arial" w:hAnsi="Arial"/>
          <w:sz w:val="18"/>
          <w:szCs w:val="18"/>
          <w:color w:val="auto"/>
        </w:rPr>
      </w:pPr>
    </w:p>
    <w:p>
      <w:pPr>
        <w:ind w:left="316" w:hanging="316"/>
        <w:spacing w:after="0"/>
        <w:tabs>
          <w:tab w:leader="none" w:pos="316" w:val="left"/>
        </w:tabs>
        <w:numPr>
          <w:ilvl w:val="0"/>
          <w:numId w:val="451"/>
        </w:numPr>
        <w:rPr>
          <w:rFonts w:ascii="Arial" w:cs="Arial" w:eastAsia="Arial" w:hAnsi="Arial"/>
          <w:sz w:val="18"/>
          <w:szCs w:val="18"/>
          <w:color w:val="auto"/>
        </w:rPr>
      </w:pPr>
      <w:r>
        <w:rPr>
          <w:rFonts w:ascii="Arial" w:cs="Arial" w:eastAsia="Arial" w:hAnsi="Arial"/>
          <w:sz w:val="18"/>
          <w:szCs w:val="18"/>
          <w:color w:val="auto"/>
        </w:rPr>
        <w:t>Executive is a co-founder, President and Chairman of Amagma, Inc.</w:t>
      </w:r>
    </w:p>
    <w:p>
      <w:pPr>
        <w:spacing w:after="0" w:line="130" w:lineRule="exact"/>
        <w:rPr>
          <w:rFonts w:ascii="Arial" w:cs="Arial" w:eastAsia="Arial" w:hAnsi="Arial"/>
          <w:sz w:val="18"/>
          <w:szCs w:val="18"/>
          <w:color w:val="auto"/>
        </w:rPr>
      </w:pPr>
    </w:p>
    <w:p>
      <w:pPr>
        <w:ind w:left="316" w:hanging="316"/>
        <w:spacing w:after="0"/>
        <w:tabs>
          <w:tab w:leader="none" w:pos="316" w:val="left"/>
        </w:tabs>
        <w:numPr>
          <w:ilvl w:val="0"/>
          <w:numId w:val="451"/>
        </w:numPr>
        <w:rPr>
          <w:rFonts w:ascii="Arial" w:cs="Arial" w:eastAsia="Arial" w:hAnsi="Arial"/>
          <w:sz w:val="18"/>
          <w:szCs w:val="18"/>
          <w:color w:val="auto"/>
        </w:rPr>
      </w:pPr>
      <w:r>
        <w:rPr>
          <w:rFonts w:ascii="Arial" w:cs="Arial" w:eastAsia="Arial" w:hAnsi="Arial"/>
          <w:sz w:val="18"/>
          <w:szCs w:val="18"/>
          <w:color w:val="auto"/>
        </w:rPr>
        <w:t>Executive is a co-founder, President and Chairman of Ankyra Therapeutics, Inc.</w:t>
      </w:r>
    </w:p>
    <w:p>
      <w:pPr>
        <w:spacing w:after="0" w:line="130" w:lineRule="exact"/>
        <w:rPr>
          <w:rFonts w:ascii="Arial" w:cs="Arial" w:eastAsia="Arial" w:hAnsi="Arial"/>
          <w:sz w:val="18"/>
          <w:szCs w:val="18"/>
          <w:color w:val="auto"/>
        </w:rPr>
      </w:pPr>
    </w:p>
    <w:p>
      <w:pPr>
        <w:ind w:left="316" w:hanging="316"/>
        <w:spacing w:after="0"/>
        <w:tabs>
          <w:tab w:leader="none" w:pos="316" w:val="left"/>
        </w:tabs>
        <w:numPr>
          <w:ilvl w:val="0"/>
          <w:numId w:val="451"/>
        </w:numPr>
        <w:rPr>
          <w:rFonts w:ascii="Arial" w:cs="Arial" w:eastAsia="Arial" w:hAnsi="Arial"/>
          <w:sz w:val="18"/>
          <w:szCs w:val="18"/>
          <w:color w:val="auto"/>
        </w:rPr>
      </w:pPr>
      <w:r>
        <w:rPr>
          <w:rFonts w:ascii="Arial" w:cs="Arial" w:eastAsia="Arial" w:hAnsi="Arial"/>
          <w:sz w:val="18"/>
          <w:szCs w:val="18"/>
          <w:color w:val="auto"/>
        </w:rPr>
        <w:t>Executive is currently a Venture Partner at SV Life Sciences Advisors, LLC</w:t>
      </w:r>
    </w:p>
    <w:p>
      <w:pPr>
        <w:spacing w:after="0" w:line="130" w:lineRule="exact"/>
        <w:rPr>
          <w:rFonts w:ascii="Arial" w:cs="Arial" w:eastAsia="Arial" w:hAnsi="Arial"/>
          <w:sz w:val="18"/>
          <w:szCs w:val="18"/>
          <w:color w:val="auto"/>
        </w:rPr>
      </w:pPr>
    </w:p>
    <w:p>
      <w:pPr>
        <w:ind w:left="316" w:hanging="316"/>
        <w:spacing w:after="0"/>
        <w:tabs>
          <w:tab w:leader="none" w:pos="316" w:val="left"/>
        </w:tabs>
        <w:numPr>
          <w:ilvl w:val="0"/>
          <w:numId w:val="451"/>
        </w:numPr>
        <w:rPr>
          <w:rFonts w:ascii="Arial" w:cs="Arial" w:eastAsia="Arial" w:hAnsi="Arial"/>
          <w:sz w:val="18"/>
          <w:szCs w:val="18"/>
          <w:color w:val="auto"/>
        </w:rPr>
      </w:pPr>
      <w:r>
        <w:rPr>
          <w:rFonts w:ascii="Arial" w:cs="Arial" w:eastAsia="Arial" w:hAnsi="Arial"/>
          <w:sz w:val="18"/>
          <w:szCs w:val="18"/>
          <w:color w:val="auto"/>
        </w:rPr>
        <w:t>Executive currently teaches at the Thayer School of Engineering, at Dartmouth College</w:t>
      </w:r>
    </w:p>
    <w:p>
      <w:pPr>
        <w:sectPr>
          <w:pgSz w:w="11900" w:h="16838" w:orient="portrait"/>
          <w:cols w:equalWidth="0" w:num="1">
            <w:col w:w="9915"/>
          </w:cols>
          <w:pgMar w:left="544" w:top="269" w:right="1440" w:bottom="1440" w:gutter="0" w:footer="0" w:header="0"/>
        </w:sectPr>
      </w:pPr>
    </w:p>
    <w:bookmarkStart w:id="481" w:name="page482"/>
    <w:bookmarkEnd w:id="48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B</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SEPARATION AGREEMENT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[Address]</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 Separation Agreement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[Name]:</w:t>
      </w:r>
    </w:p>
    <w:p>
      <w:pPr>
        <w:spacing w:after="0" w:line="225"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This letter sets forth the substance of the separation agreement (the “Agreement”) which Adagio Therapeutics, Inc. (the “Company”) is offering to you to aid in your employment transition.</w:t>
      </w:r>
    </w:p>
    <w:p>
      <w:pPr>
        <w:spacing w:after="0" w:line="58" w:lineRule="exact"/>
        <w:rPr>
          <w:sz w:val="20"/>
          <w:szCs w:val="20"/>
          <w:color w:val="auto"/>
        </w:rPr>
      </w:pPr>
    </w:p>
    <w:p>
      <w:pPr>
        <w:ind w:left="184" w:hanging="184"/>
        <w:spacing w:after="0"/>
        <w:tabs>
          <w:tab w:leader="none" w:pos="184" w:val="left"/>
        </w:tabs>
        <w:numPr>
          <w:ilvl w:val="0"/>
          <w:numId w:val="4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Separation. </w:t>
      </w:r>
      <w:r>
        <w:rPr>
          <w:rFonts w:ascii="Arial" w:cs="Arial" w:eastAsia="Arial" w:hAnsi="Arial"/>
          <w:sz w:val="18"/>
          <w:szCs w:val="18"/>
          <w:color w:val="auto"/>
        </w:rPr>
        <w:t>Your last day of work with the Company and your employment termination date will be [Date] (the “Separation Date”).</w:t>
      </w:r>
    </w:p>
    <w:p>
      <w:pPr>
        <w:spacing w:after="0" w:line="117" w:lineRule="exact"/>
        <w:rPr>
          <w:rFonts w:ascii="Arial" w:cs="Arial" w:eastAsia="Arial" w:hAnsi="Arial"/>
          <w:sz w:val="18"/>
          <w:szCs w:val="18"/>
          <w:b w:val="1"/>
          <w:bCs w:val="1"/>
          <w:color w:val="auto"/>
        </w:rPr>
      </w:pPr>
    </w:p>
    <w:p>
      <w:pPr>
        <w:ind w:left="4" w:right="540" w:hanging="4"/>
        <w:spacing w:after="0" w:line="312" w:lineRule="auto"/>
        <w:tabs>
          <w:tab w:leader="none" w:pos="184" w:val="left"/>
        </w:tabs>
        <w:numPr>
          <w:ilvl w:val="0"/>
          <w:numId w:val="45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Accrued Salary. </w:t>
      </w:r>
      <w:r>
        <w:rPr>
          <w:rFonts w:ascii="Arial" w:cs="Arial" w:eastAsia="Arial" w:hAnsi="Arial"/>
          <w:sz w:val="17"/>
          <w:szCs w:val="17"/>
          <w:color w:val="auto"/>
        </w:rPr>
        <w:t>On the Separation Date, the Company will pay you all accrued salary earned through the Separation Date, subject to standard</w:t>
      </w:r>
      <w:r>
        <w:rPr>
          <w:rFonts w:ascii="Arial" w:cs="Arial" w:eastAsia="Arial" w:hAnsi="Arial"/>
          <w:sz w:val="17"/>
          <w:szCs w:val="17"/>
          <w:b w:val="1"/>
          <w:bCs w:val="1"/>
          <w:color w:val="auto"/>
        </w:rPr>
        <w:t xml:space="preserve"> </w:t>
      </w:r>
      <w:r>
        <w:rPr>
          <w:rFonts w:ascii="Arial" w:cs="Arial" w:eastAsia="Arial" w:hAnsi="Arial"/>
          <w:sz w:val="17"/>
          <w:szCs w:val="17"/>
          <w:color w:val="auto"/>
        </w:rPr>
        <w:t>payroll deductions and withholdings. You will receive these payments regardless of whether or not you sign this Agreement.</w:t>
      </w:r>
    </w:p>
    <w:p>
      <w:pPr>
        <w:spacing w:after="0" w:line="31" w:lineRule="exact"/>
        <w:rPr>
          <w:rFonts w:ascii="Arial" w:cs="Arial" w:eastAsia="Arial" w:hAnsi="Arial"/>
          <w:sz w:val="17"/>
          <w:szCs w:val="17"/>
          <w:b w:val="1"/>
          <w:bCs w:val="1"/>
          <w:color w:val="auto"/>
        </w:rPr>
      </w:pPr>
    </w:p>
    <w:p>
      <w:pPr>
        <w:ind w:left="4" w:right="20" w:hanging="4"/>
        <w:spacing w:after="0" w:line="282" w:lineRule="auto"/>
        <w:tabs>
          <w:tab w:leader="none" w:pos="184" w:val="left"/>
        </w:tabs>
        <w:numPr>
          <w:ilvl w:val="0"/>
          <w:numId w:val="4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Severance Benefits. </w:t>
      </w:r>
      <w:r>
        <w:rPr>
          <w:rFonts w:ascii="Arial" w:cs="Arial" w:eastAsia="Arial" w:hAnsi="Arial"/>
          <w:sz w:val="18"/>
          <w:szCs w:val="18"/>
          <w:color w:val="auto"/>
        </w:rPr>
        <w:t>If you execute and do not revoke this Agreement, the Company will provide you with the following Severance Benefits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terms of your [month, date, year] Employment Agreement.</w:t>
      </w:r>
    </w:p>
    <w:p>
      <w:pPr>
        <w:spacing w:after="0" w:line="166"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The Company is offering severance to you in reliance on Treasury Regulation Section 1.409A-1(b)(9) and the short term deferral exemption in Treasury Regulation Section 1.409A-1(b)(4). Any payments made in reliance on Treasury Regulation Section 1.409A-1(b)(4) will be made not later than March 15, 20__. For purposes of Code Section 409A,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4. Benefit Plans.</w:t>
      </w:r>
    </w:p>
    <w:p>
      <w:pPr>
        <w:spacing w:after="0" w:line="121" w:lineRule="exact"/>
        <w:rPr>
          <w:sz w:val="20"/>
          <w:szCs w:val="20"/>
          <w:color w:val="auto"/>
        </w:rPr>
      </w:pPr>
    </w:p>
    <w:p>
      <w:pPr>
        <w:ind w:left="4" w:right="60"/>
        <w:spacing w:after="0" w:line="301" w:lineRule="auto"/>
        <w:rPr>
          <w:sz w:val="20"/>
          <w:szCs w:val="20"/>
          <w:color w:val="auto"/>
        </w:rPr>
      </w:pPr>
      <w:r>
        <w:rPr>
          <w:rFonts w:ascii="Arial" w:cs="Arial" w:eastAsia="Arial" w:hAnsi="Arial"/>
          <w:sz w:val="16"/>
          <w:szCs w:val="16"/>
          <w:color w:val="auto"/>
        </w:rPr>
        <w:t xml:space="preserve">If you are currently participating in the Company’s group health insurance plans, your participation as an employee will end on [the Separation Date] </w:t>
      </w:r>
      <w:r>
        <w:rPr>
          <w:rFonts w:ascii="Arial" w:cs="Arial" w:eastAsia="Arial" w:hAnsi="Arial"/>
          <w:sz w:val="16"/>
          <w:szCs w:val="16"/>
          <w:i w:val="1"/>
          <w:iCs w:val="1"/>
          <w:color w:val="auto"/>
        </w:rPr>
        <w:t>or</w:t>
      </w:r>
      <w:r>
        <w:rPr>
          <w:rFonts w:ascii="Arial" w:cs="Arial" w:eastAsia="Arial" w:hAnsi="Arial"/>
          <w:sz w:val="16"/>
          <w:szCs w:val="16"/>
          <w:color w:val="auto"/>
        </w:rPr>
        <w:t xml:space="preserve"> [the last day of the month in which separation occurs]. Thereafter, to the extent provided by the federal COBRA law or, if applicable, state insurance laws, and by the Company’s current group health insurance policies, you will be eligible to continue your group health insurance benefits at your own expense. Later, you may be able to convert to an individual policy through the provider of the Company’s health insurance, if you wish.</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69" w:right="459" w:bottom="1440" w:gutter="0" w:footer="0" w:header="0"/>
        </w:sectPr>
      </w:pPr>
    </w:p>
    <w:bookmarkStart w:id="482" w:name="page483"/>
    <w:bookmarkEnd w:id="482"/>
    <w:p>
      <w:pPr>
        <w:ind w:left="4" w:right="7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Deductions for the 401(k) Plan will end with your last regular paycheck. You will receive information by mail concerning 401(k) plan rollover procedures should you be a participant in this program.</w:t>
      </w:r>
    </w:p>
    <w:p>
      <w:pPr>
        <w:spacing w:after="0" w:line="170"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You may be eligible for unemployment insurance benefits after the Separation Date. The Massachusetts Department of Unemployment Assistance, not the Company, will determine your eligibility for such benefits.</w:t>
      </w:r>
    </w:p>
    <w:p>
      <w:pPr>
        <w:spacing w:after="0" w:line="58" w:lineRule="exact"/>
        <w:rPr>
          <w:sz w:val="20"/>
          <w:szCs w:val="20"/>
          <w:color w:val="auto"/>
        </w:rPr>
      </w:pPr>
    </w:p>
    <w:p>
      <w:pPr>
        <w:ind w:left="4" w:right="60" w:hanging="4"/>
        <w:spacing w:after="0" w:line="347" w:lineRule="auto"/>
        <w:tabs>
          <w:tab w:leader="none" w:pos="184" w:val="left"/>
        </w:tabs>
        <w:numPr>
          <w:ilvl w:val="0"/>
          <w:numId w:val="45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 Options. </w:t>
      </w:r>
      <w:r>
        <w:rPr>
          <w:rFonts w:ascii="Arial" w:cs="Arial" w:eastAsia="Arial" w:hAnsi="Arial"/>
          <w:sz w:val="16"/>
          <w:szCs w:val="16"/>
          <w:color w:val="auto"/>
        </w:rPr>
        <w:t>You were granted an option to purchase ________ shares of the Company’s common stock, pursuant to the Company’s [correct name</w:t>
      </w:r>
      <w:r>
        <w:rPr>
          <w:rFonts w:ascii="Arial" w:cs="Arial" w:eastAsia="Arial" w:hAnsi="Arial"/>
          <w:sz w:val="16"/>
          <w:szCs w:val="16"/>
          <w:b w:val="1"/>
          <w:bCs w:val="1"/>
          <w:color w:val="auto"/>
        </w:rPr>
        <w:t xml:space="preserve"> </w:t>
      </w:r>
      <w:r>
        <w:rPr>
          <w:rFonts w:ascii="Arial" w:cs="Arial" w:eastAsia="Arial" w:hAnsi="Arial"/>
          <w:sz w:val="16"/>
          <w:szCs w:val="16"/>
          <w:color w:val="auto"/>
        </w:rPr>
        <w:t>of Stock or incentive plan] (the “Plan”). Under the terms of the Plan and your stock option grant, vesting will cease as of the Separation Date.</w:t>
      </w:r>
    </w:p>
    <w:p>
      <w:pPr>
        <w:spacing w:after="0" w:line="7" w:lineRule="exact"/>
        <w:rPr>
          <w:rFonts w:ascii="Arial" w:cs="Arial" w:eastAsia="Arial" w:hAnsi="Arial"/>
          <w:sz w:val="16"/>
          <w:szCs w:val="16"/>
          <w:b w:val="1"/>
          <w:bCs w:val="1"/>
          <w:color w:val="auto"/>
        </w:rPr>
      </w:pPr>
    </w:p>
    <w:p>
      <w:pPr>
        <w:ind w:left="4" w:right="560" w:hanging="4"/>
        <w:spacing w:after="0" w:line="282" w:lineRule="auto"/>
        <w:tabs>
          <w:tab w:leader="none" w:pos="184" w:val="left"/>
        </w:tabs>
        <w:numPr>
          <w:ilvl w:val="0"/>
          <w:numId w:val="4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Compensation or Benefits. </w:t>
      </w:r>
      <w:r>
        <w:rPr>
          <w:rFonts w:ascii="Arial" w:cs="Arial" w:eastAsia="Arial" w:hAnsi="Arial"/>
          <w:sz w:val="18"/>
          <w:szCs w:val="18"/>
          <w:color w:val="auto"/>
        </w:rPr>
        <w:t>You acknowledge that, except as expressly provided in this Agreement, you will not receive any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severance or benefits after the Separation Date.</w:t>
      </w:r>
    </w:p>
    <w:p>
      <w:pPr>
        <w:spacing w:after="0" w:line="53" w:lineRule="exact"/>
        <w:rPr>
          <w:rFonts w:ascii="Arial" w:cs="Arial" w:eastAsia="Arial" w:hAnsi="Arial"/>
          <w:sz w:val="18"/>
          <w:szCs w:val="18"/>
          <w:b w:val="1"/>
          <w:bCs w:val="1"/>
          <w:color w:val="auto"/>
        </w:rPr>
      </w:pPr>
    </w:p>
    <w:p>
      <w:pPr>
        <w:ind w:left="4" w:right="420" w:hanging="4"/>
        <w:spacing w:after="0" w:line="266" w:lineRule="auto"/>
        <w:tabs>
          <w:tab w:leader="none" w:pos="184" w:val="left"/>
        </w:tabs>
        <w:numPr>
          <w:ilvl w:val="0"/>
          <w:numId w:val="4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Expense Reimbursements. </w:t>
      </w:r>
      <w:r>
        <w:rPr>
          <w:rFonts w:ascii="Arial" w:cs="Arial" w:eastAsia="Arial" w:hAnsi="Arial"/>
          <w:sz w:val="18"/>
          <w:szCs w:val="18"/>
          <w:color w:val="auto"/>
        </w:rPr>
        <w:t>You agree that, within ten (10) days of the Separation Date, you will submit your final documented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reimbursement statement reflecting all business expenses you incurred through the Separation Date, if any, for which you seek reimbursement. The Company will reimburse you for reasonable business expenses pursuant to its regular business practice.</w:t>
      </w:r>
    </w:p>
    <w:p>
      <w:pPr>
        <w:spacing w:after="0" w:line="71" w:lineRule="exact"/>
        <w:rPr>
          <w:rFonts w:ascii="Arial" w:cs="Arial" w:eastAsia="Arial" w:hAnsi="Arial"/>
          <w:sz w:val="18"/>
          <w:szCs w:val="18"/>
          <w:b w:val="1"/>
          <w:bCs w:val="1"/>
          <w:color w:val="auto"/>
        </w:rPr>
      </w:pPr>
    </w:p>
    <w:p>
      <w:pPr>
        <w:ind w:left="4" w:right="120" w:hanging="4"/>
        <w:spacing w:after="0" w:line="293" w:lineRule="auto"/>
        <w:tabs>
          <w:tab w:leader="none" w:pos="184" w:val="left"/>
        </w:tabs>
        <w:numPr>
          <w:ilvl w:val="0"/>
          <w:numId w:val="453"/>
        </w:numPr>
        <w:rPr>
          <w:rFonts w:ascii="Arial" w:cs="Arial" w:eastAsia="Arial" w:hAnsi="Arial"/>
          <w:sz w:val="16"/>
          <w:szCs w:val="16"/>
          <w:color w:val="auto"/>
        </w:rPr>
      </w:pPr>
      <w:r>
        <w:rPr>
          <w:rFonts w:ascii="Arial" w:cs="Arial" w:eastAsia="Arial" w:hAnsi="Arial"/>
          <w:sz w:val="16"/>
          <w:szCs w:val="16"/>
          <w:color w:val="auto"/>
        </w:rPr>
        <w:t>Return of Company Property. By the Separation Date, you agree to return to the Company all Company documents (and all copies thereof) and other Company property that you have had in your possession at any time, including, but not limited to, Company files, notes, drawings, records, business plans and forecasts, financial information, specifications, computer-recorded information, tangible property (including, but not limited to, computers), credit cards, entry cards, identification badges and keys; and, any materials of any kind that contain or embody any proprietary or confidential information of the Company (and all reproductions thereof). Please coordinate return of Company property with [name/title]. Receipt of the severance benefits described in Section 3 of this Agreement is expressly conditioned upon return of all Company Property.</w:t>
      </w:r>
    </w:p>
    <w:p>
      <w:pPr>
        <w:spacing w:after="0" w:line="52" w:lineRule="exact"/>
        <w:rPr>
          <w:rFonts w:ascii="Arial" w:cs="Arial" w:eastAsia="Arial" w:hAnsi="Arial"/>
          <w:sz w:val="16"/>
          <w:szCs w:val="16"/>
          <w:color w:val="auto"/>
        </w:rPr>
      </w:pPr>
    </w:p>
    <w:p>
      <w:pPr>
        <w:ind w:left="4" w:hanging="4"/>
        <w:spacing w:after="0" w:line="284" w:lineRule="auto"/>
        <w:tabs>
          <w:tab w:leader="none" w:pos="184" w:val="left"/>
        </w:tabs>
        <w:numPr>
          <w:ilvl w:val="0"/>
          <w:numId w:val="45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Confidential Information and Post-Termination Obligations. </w:t>
      </w:r>
      <w:r>
        <w:rPr>
          <w:rFonts w:ascii="Arial" w:cs="Arial" w:eastAsia="Arial" w:hAnsi="Arial"/>
          <w:sz w:val="16"/>
          <w:szCs w:val="16"/>
          <w:color w:val="auto"/>
        </w:rPr>
        <w:t>Both during and after your employment you acknowledge your continuing</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under your Employee Proprietary Information and Inventions Assignment Agreement (“Restrictive Covenants Agreement”) not to use or disclose any confidential or proprietary information of the Company and to refrain from certain solicitation activities. A copy of your Restrictive Covenants Agreement is attached hereto. If you have any doubts as to the scope of the restrictions in your agreement, you should contact [name/title] immediately to assess your compliance. As you know, the Company will enforce its contract rights. Please familiarize yourself with the enclosed agreement which you signed. Confidential information that is also a “trade secret,” as defined by law, may be disclosed (A) if it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in the event that you file a lawsuit for retaliation by the Company for reporting a suspected violation of law, you may disclose the trade secret to your attorney and use the trade secret information in the court proceeding, if you: (A) file any document containing the trade secret under seal; and</w:t>
      </w:r>
    </w:p>
    <w:p>
      <w:pPr>
        <w:spacing w:after="0" w:line="1"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8"/>
          <w:szCs w:val="18"/>
          <w:color w:val="auto"/>
        </w:rPr>
        <w:t>(B) do not disclose the trade secret, except pursuant to court order.</w:t>
      </w:r>
    </w:p>
    <w:p>
      <w:pPr>
        <w:spacing w:after="0" w:line="26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4"/>
          </w:cols>
          <w:pgMar w:left="436" w:top="273" w:right="439" w:bottom="1440" w:gutter="0" w:footer="0" w:header="0"/>
        </w:sectPr>
      </w:pPr>
    </w:p>
    <w:bookmarkStart w:id="483" w:name="page484"/>
    <w:bookmarkEnd w:id="483"/>
    <w:p>
      <w:pPr>
        <w:ind w:left="4" w:right="100" w:hanging="4"/>
        <w:spacing w:after="0" w:line="270" w:lineRule="auto"/>
        <w:tabs>
          <w:tab w:leader="none" w:pos="274" w:val="left"/>
        </w:tabs>
        <w:numPr>
          <w:ilvl w:val="0"/>
          <w:numId w:val="454"/>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Non-Compete. </w:t>
      </w:r>
      <w:r>
        <w:rPr>
          <w:rFonts w:ascii="Arial" w:cs="Arial" w:eastAsia="Arial" w:hAnsi="Arial"/>
          <w:sz w:val="17"/>
          <w:szCs w:val="17"/>
          <w:color w:val="auto"/>
        </w:rPr>
        <w:t>In exchange for the payments and other consideration under this Agreement, to which you would not otherwise be entitled, you</w:t>
      </w:r>
      <w:r>
        <w:rPr>
          <w:rFonts w:ascii="Arial" w:cs="Arial" w:eastAsia="Arial" w:hAnsi="Arial"/>
          <w:sz w:val="17"/>
          <w:szCs w:val="17"/>
          <w:b w:val="1"/>
          <w:bCs w:val="1"/>
          <w:color w:val="auto"/>
        </w:rPr>
        <w:t xml:space="preserve"> </w:t>
      </w:r>
      <w:r>
        <w:rPr>
          <w:rFonts w:ascii="Arial" w:cs="Arial" w:eastAsia="Arial" w:hAnsi="Arial"/>
          <w:sz w:val="17"/>
          <w:szCs w:val="17"/>
          <w:color w:val="auto"/>
        </w:rPr>
        <w:t>agree that during the one year period after the Separation Date, you will not, whether paid or not: (i) serve as a partner, principal, licensor, licensee, employee, consultant, officer, director, manager, agent, affiliate, representative, advisor, promoter, associate, investor, or otherwise for, (ii) directly or indirectly, own, purchase, organize or take preparatory steps for the organization of, or (iii) build, design, finance, acquire, lease, operate, manage, control, invest in, work or consult for or otherwise join, participate in or affiliate yourself with, any business whose business, products or operations are in any respect involved in Conflicting Services (defined below) anywhere in the Restricted Territory (defined below); provided, however, that the restriction in this Section 10 shall not apply to your employment or engagement with Adimab, LLC. Should you obtain other employment within 12 months immediately following the Separation Date, you agree to provide written notification to the Company as to the name and address of your new employer, the position that you expect to hold, and a general description of your duties and responsibilities, at least three business days prior to starting such employment.</w:t>
      </w:r>
    </w:p>
    <w:p>
      <w:pPr>
        <w:spacing w:after="0" w:line="72" w:lineRule="exact"/>
        <w:rPr>
          <w:rFonts w:ascii="Arial" w:cs="Arial" w:eastAsia="Arial" w:hAnsi="Arial"/>
          <w:sz w:val="17"/>
          <w:szCs w:val="17"/>
          <w:b w:val="1"/>
          <w:bCs w:val="1"/>
          <w:color w:val="auto"/>
        </w:rPr>
      </w:pPr>
    </w:p>
    <w:p>
      <w:pPr>
        <w:ind w:left="4" w:right="440" w:firstLine="436"/>
        <w:spacing w:after="0" w:line="277" w:lineRule="auto"/>
        <w:tabs>
          <w:tab w:leader="none" w:pos="639" w:val="left"/>
        </w:tabs>
        <w:numPr>
          <w:ilvl w:val="1"/>
          <w:numId w:val="454"/>
        </w:numPr>
        <w:rPr>
          <w:rFonts w:ascii="Arial" w:cs="Arial" w:eastAsia="Arial" w:hAnsi="Arial"/>
          <w:sz w:val="18"/>
          <w:szCs w:val="18"/>
          <w:b w:val="1"/>
          <w:bCs w:val="1"/>
          <w:color w:val="auto"/>
        </w:rPr>
      </w:pPr>
      <w:r>
        <w:rPr>
          <w:rFonts w:ascii="Arial" w:cs="Arial" w:eastAsia="Arial" w:hAnsi="Arial"/>
          <w:sz w:val="18"/>
          <w:szCs w:val="18"/>
          <w:color w:val="auto"/>
        </w:rPr>
        <w:t>The parties agree that for purposes of this Agreement, “Conflicting Services” means any business in which the Company is engaged, or in which the Company has plans to be engaged, or any service that the Company provides or has plans to provide.</w:t>
      </w:r>
    </w:p>
    <w:p>
      <w:pPr>
        <w:spacing w:after="0" w:line="62" w:lineRule="exact"/>
        <w:rPr>
          <w:rFonts w:ascii="Arial" w:cs="Arial" w:eastAsia="Arial" w:hAnsi="Arial"/>
          <w:sz w:val="18"/>
          <w:szCs w:val="18"/>
          <w:b w:val="1"/>
          <w:bCs w:val="1"/>
          <w:color w:val="auto"/>
        </w:rPr>
      </w:pPr>
    </w:p>
    <w:p>
      <w:pPr>
        <w:ind w:left="4" w:firstLine="436"/>
        <w:spacing w:after="0" w:line="308" w:lineRule="auto"/>
        <w:tabs>
          <w:tab w:leader="none" w:pos="649" w:val="left"/>
        </w:tabs>
        <w:numPr>
          <w:ilvl w:val="1"/>
          <w:numId w:val="454"/>
        </w:numPr>
        <w:rPr>
          <w:rFonts w:ascii="Arial" w:cs="Arial" w:eastAsia="Arial" w:hAnsi="Arial"/>
          <w:sz w:val="17"/>
          <w:szCs w:val="17"/>
          <w:b w:val="1"/>
          <w:bCs w:val="1"/>
          <w:color w:val="auto"/>
        </w:rPr>
      </w:pPr>
      <w:r>
        <w:rPr>
          <w:rFonts w:ascii="Arial" w:cs="Arial" w:eastAsia="Arial" w:hAnsi="Arial"/>
          <w:sz w:val="17"/>
          <w:szCs w:val="17"/>
          <w:color w:val="auto"/>
        </w:rPr>
        <w:t>The parties further agree that for purposes of this Agreement, “Restricted Territory” means the geographic areas in which you provided services for the Company or had a material presence or influence, during any time within the last two years prior to the Separation Date.</w:t>
      </w:r>
    </w:p>
    <w:p>
      <w:pPr>
        <w:spacing w:after="0" w:line="34" w:lineRule="exact"/>
        <w:rPr>
          <w:rFonts w:ascii="Arial" w:cs="Arial" w:eastAsia="Arial" w:hAnsi="Arial"/>
          <w:sz w:val="17"/>
          <w:szCs w:val="17"/>
          <w:b w:val="1"/>
          <w:bCs w:val="1"/>
          <w:color w:val="auto"/>
        </w:rPr>
      </w:pPr>
    </w:p>
    <w:p>
      <w:pPr>
        <w:ind w:left="4" w:right="40" w:hanging="4"/>
        <w:spacing w:after="0" w:line="273" w:lineRule="auto"/>
        <w:tabs>
          <w:tab w:leader="none" w:pos="264" w:val="left"/>
        </w:tabs>
        <w:numPr>
          <w:ilvl w:val="0"/>
          <w:numId w:val="45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Confidentiality. </w:t>
      </w:r>
      <w:r>
        <w:rPr>
          <w:rFonts w:ascii="Arial" w:cs="Arial" w:eastAsia="Arial" w:hAnsi="Arial"/>
          <w:sz w:val="17"/>
          <w:szCs w:val="17"/>
          <w:color w:val="auto"/>
        </w:rPr>
        <w:t>The provisions of this Agreement will be held in strictest confidence by you and will not be publicized or disclosed in any manner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whatsoever;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 you may disclose this Agreement to your immediate family; (b) you may disclose this Agreement in confidence to your attorney, accountant, auditor, tax preparer, and financial advisor; and (c) you may disclose this Agreement insofar as such disclosure may be required by law. Notwithstanding the foregoing, nothing in this Agreement shall limit your right to voluntarily communicate with the Equal Employment Opportunity Commission, United States Department of Labor, the National Labor Relations Board, the Securities and Exchange Commission, other federal government agency or similar state or local agency or to discuss the terms and conditions of your employment with others to the extent expressly permitted by Section 7 of the National Labor Relations Act.</w:t>
      </w:r>
    </w:p>
    <w:p>
      <w:pPr>
        <w:spacing w:after="0" w:line="63" w:lineRule="exact"/>
        <w:rPr>
          <w:rFonts w:ascii="Arial" w:cs="Arial" w:eastAsia="Arial" w:hAnsi="Arial"/>
          <w:sz w:val="17"/>
          <w:szCs w:val="17"/>
          <w:b w:val="1"/>
          <w:bCs w:val="1"/>
          <w:color w:val="auto"/>
        </w:rPr>
      </w:pPr>
    </w:p>
    <w:p>
      <w:pPr>
        <w:ind w:left="4" w:right="120" w:hanging="4"/>
        <w:spacing w:after="0" w:line="303" w:lineRule="auto"/>
        <w:tabs>
          <w:tab w:leader="none" w:pos="274" w:val="left"/>
        </w:tabs>
        <w:numPr>
          <w:ilvl w:val="0"/>
          <w:numId w:val="45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Non-Disparagement. </w:t>
      </w:r>
      <w:r>
        <w:rPr>
          <w:rFonts w:ascii="Arial" w:cs="Arial" w:eastAsia="Arial" w:hAnsi="Arial"/>
          <w:sz w:val="16"/>
          <w:szCs w:val="16"/>
          <w:color w:val="auto"/>
        </w:rPr>
        <w:t>You agree not to disparage the Company, and the Company’s attorneys, directors, managers, partners, employees, agents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affiliates, in any manner likely to be harmful to them or their business, business reputation or personal reputation; provided that you may respond accurately and fully to any question, inquiry or request for information when required by legal process. You further agree that, by no later than the Effective Date, you shall delete or otherwise remove any and all disparaging public comments or statements that you made prior to</w:t>
      </w:r>
    </w:p>
    <w:p>
      <w:pPr>
        <w:spacing w:after="0" w:line="8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69" w:right="459" w:bottom="1440" w:gutter="0" w:footer="0" w:header="0"/>
        </w:sectPr>
      </w:pPr>
    </w:p>
    <w:bookmarkStart w:id="484" w:name="page485"/>
    <w:bookmarkEnd w:id="484"/>
    <w:p>
      <w:pPr>
        <w:ind w:left="4" w:right="10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Effective Date about or relating to the Company, including, but not limited to, comments in online forums or on websites (including, but not limited to, Facebook, Glassdoor, Yelp, and LinkedIn). Notwithstanding the foregoing, nothing in this Agreement shall limit your right to voluntarily communicate with the Equal Employment Opportunity Commission, United States Department of Labor, the National Labor Relations Board, the Securities and Exchange Commission, other federal government agency or similar state or local agency or to discuss the terms and conditions of your employment with others to the extent expressly permitted by Section 7 of the National Labor Relations Act.</w:t>
      </w:r>
    </w:p>
    <w:p>
      <w:pPr>
        <w:spacing w:after="0" w:line="64" w:lineRule="exact"/>
        <w:rPr>
          <w:sz w:val="20"/>
          <w:szCs w:val="20"/>
          <w:color w:val="auto"/>
        </w:rPr>
      </w:pPr>
    </w:p>
    <w:p>
      <w:pPr>
        <w:ind w:left="4" w:right="320" w:hanging="4"/>
        <w:spacing w:after="0" w:line="261" w:lineRule="auto"/>
        <w:tabs>
          <w:tab w:leader="none" w:pos="274" w:val="left"/>
        </w:tabs>
        <w:numPr>
          <w:ilvl w:val="0"/>
          <w:numId w:val="4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Cooperation after Termination. </w:t>
      </w:r>
      <w:r>
        <w:rPr>
          <w:rFonts w:ascii="Arial" w:cs="Arial" w:eastAsia="Arial" w:hAnsi="Arial"/>
          <w:sz w:val="18"/>
          <w:szCs w:val="18"/>
          <w:color w:val="auto"/>
        </w:rPr>
        <w:t>You agree to cooperate fully with the Company in all matters relating to the transition of your work and</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responsibilities on behalf of the Company, including, but not limited to, any present, prior or subsequent relationships and the orderly transfer of any such work and institutional knowledge to such other persons as may be designated by the Company, by making yourself reasonably available during regular business hours.</w:t>
      </w:r>
    </w:p>
    <w:p>
      <w:pPr>
        <w:spacing w:after="0" w:line="71" w:lineRule="exact"/>
        <w:rPr>
          <w:rFonts w:ascii="Arial" w:cs="Arial" w:eastAsia="Arial" w:hAnsi="Arial"/>
          <w:sz w:val="18"/>
          <w:szCs w:val="18"/>
          <w:b w:val="1"/>
          <w:bCs w:val="1"/>
          <w:color w:val="auto"/>
        </w:rPr>
      </w:pPr>
    </w:p>
    <w:p>
      <w:pPr>
        <w:ind w:left="4" w:hanging="4"/>
        <w:spacing w:after="0" w:line="268" w:lineRule="auto"/>
        <w:tabs>
          <w:tab w:leader="none" w:pos="274" w:val="left"/>
        </w:tabs>
        <w:numPr>
          <w:ilvl w:val="0"/>
          <w:numId w:val="45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Release. </w:t>
      </w:r>
      <w:r>
        <w:rPr>
          <w:rFonts w:ascii="Arial" w:cs="Arial" w:eastAsia="Arial" w:hAnsi="Arial"/>
          <w:sz w:val="17"/>
          <w:szCs w:val="17"/>
          <w:color w:val="auto"/>
        </w:rPr>
        <w:t>In exchange for the payments and other consideration under this Agreement, to which you would not otherwise be entitled, and except as</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set forth in this Agreement, you, on behalf of yourself and, to the extent permitted by law, on behalf of your spouse, heirs, executors, administrators, assigns, insurers, attorneys and other persons or entities, acting or purporting to act on your behalf (collectively, the “Employee Parties”), hereby generally and completely release, acquit and forever discharge the Company, its parents and subsidiaries, and its and their officers, directors, managers, partners, agents, representatives, employees, attorneys, shareholders, predecessors, successors, assigns, insurers and affiliates (the “Company Parties”) of and from any and all claims, liabilities, demands, contentions, actions, causes of action, suits, costs, expenses, attorneys’ fees, damages, indemnities, debts, judgments, levies, executions and obligations of every kind and nature, in law, equity, or otherwise, both known and unknown, suspected and unsuspected, disclosed and undisclosed, arising out of or in any way related to agreements, events, acts or conduct at any time prior to and including the execution date of this Agreement, including but not limited to: all such claims and demands directly or indirectly arising out of or in any way connected with your employment with the Company or the termination of that employment; claims or demands related to salary, bonuses, commissions, stock, stock options, or any other ownership interests in the Company, vacation pay, fringe benefits, expense reimbursements, severance pay, or any other form of compensation; claims pursuant to any federal, state or local law, statute, or cause of action; tort law; or contract law (individually a “Claim” and collectively “Claims”). The Claims you are releasing and waiving in this Agreement include, but are not limited to, any and all Claims that any of the Company Parties:</w:t>
      </w:r>
    </w:p>
    <w:p>
      <w:pPr>
        <w:spacing w:after="0" w:line="93" w:lineRule="exact"/>
        <w:rPr>
          <w:rFonts w:ascii="Arial" w:cs="Arial" w:eastAsia="Arial" w:hAnsi="Arial"/>
          <w:sz w:val="17"/>
          <w:szCs w:val="17"/>
          <w:b w:val="1"/>
          <w:bCs w:val="1"/>
          <w:color w:val="auto"/>
        </w:rPr>
      </w:pPr>
    </w:p>
    <w:p>
      <w:pPr>
        <w:ind w:left="964" w:hanging="424"/>
        <w:spacing w:after="0"/>
        <w:tabs>
          <w:tab w:leader="none" w:pos="964" w:val="left"/>
        </w:tabs>
        <w:numPr>
          <w:ilvl w:val="1"/>
          <w:numId w:val="455"/>
        </w:numPr>
        <w:rPr>
          <w:rFonts w:ascii="Arial" w:cs="Arial" w:eastAsia="Arial" w:hAnsi="Arial"/>
          <w:sz w:val="18"/>
          <w:szCs w:val="18"/>
          <w:color w:val="auto"/>
        </w:rPr>
      </w:pPr>
      <w:r>
        <w:rPr>
          <w:rFonts w:ascii="Arial" w:cs="Arial" w:eastAsia="Arial" w:hAnsi="Arial"/>
          <w:sz w:val="18"/>
          <w:szCs w:val="18"/>
          <w:color w:val="auto"/>
        </w:rPr>
        <w:t>has violated its personnel policies, handbooks, contracts of employment, or covenants of good faith and fair dealing;</w:t>
      </w:r>
    </w:p>
    <w:p>
      <w:pPr>
        <w:spacing w:after="0" w:line="130" w:lineRule="exact"/>
        <w:rPr>
          <w:rFonts w:ascii="Arial" w:cs="Arial" w:eastAsia="Arial" w:hAnsi="Arial"/>
          <w:sz w:val="18"/>
          <w:szCs w:val="18"/>
          <w:color w:val="auto"/>
        </w:rPr>
      </w:pPr>
    </w:p>
    <w:p>
      <w:pPr>
        <w:ind w:left="964" w:right="60" w:hanging="424"/>
        <w:spacing w:after="0" w:line="301" w:lineRule="auto"/>
        <w:tabs>
          <w:tab w:leader="none" w:pos="964" w:val="left"/>
        </w:tabs>
        <w:numPr>
          <w:ilvl w:val="1"/>
          <w:numId w:val="455"/>
        </w:numPr>
        <w:rPr>
          <w:rFonts w:ascii="Arial" w:cs="Arial" w:eastAsia="Arial" w:hAnsi="Arial"/>
          <w:sz w:val="16"/>
          <w:szCs w:val="16"/>
          <w:color w:val="auto"/>
        </w:rPr>
      </w:pPr>
      <w:r>
        <w:rPr>
          <w:rFonts w:ascii="Arial" w:cs="Arial" w:eastAsia="Arial" w:hAnsi="Arial"/>
          <w:sz w:val="16"/>
          <w:szCs w:val="16"/>
          <w:color w:val="auto"/>
        </w:rPr>
        <w:t>has discriminated against you on the basis of age, race, color, sex (including sexual harassment), national origin, ancestry, disability, religion, sexual orientation, marital status, parental status, source of income, entitlement to benefits, any union activities or other protected category in violation of any local, state or federal law, constitution, ordinance, or regulation, including but not limited to: Title VII of the Civil Rights Act of 1964, the Civil Rights Act of 1866 (42 U.S.C. 1981), the Civil Rights Act of 1991, the Genetic Information</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3" w:right="459" w:bottom="1440" w:gutter="0" w:footer="0" w:header="0"/>
        </w:sectPr>
      </w:pPr>
    </w:p>
    <w:bookmarkStart w:id="485" w:name="page486"/>
    <w:bookmarkEnd w:id="485"/>
    <w:p>
      <w:pPr>
        <w:ind w:left="980" w:right="2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Nondiscrimination Act, Executive Order 11246, which prohibit discrimination based on race, color, national origin, religion, or sex; the Americans with Disabilities Act and Sections 503 and 504 of the Rehabilitation Act of 1973, which prohibit discrimination against the disabled, the Age Discrimination in Employment Act (ADEA), which prohibits discrimination based on age, the Older Workers Benefit Protection Act, the National Labor Relations Act, the Lily Ledbetter Fair Pay Act, the anti-retaliation provisions of the Sarbanes-Oxley Act, or any other federal or state law regarding whistleblower retaliation; the Massachusetts Fair Employment Practices Act (M.G.L. c.</w:t>
      </w:r>
    </w:p>
    <w:p>
      <w:pPr>
        <w:spacing w:after="0" w:line="2" w:lineRule="exact"/>
        <w:rPr>
          <w:sz w:val="20"/>
          <w:szCs w:val="20"/>
          <w:color w:val="auto"/>
        </w:rPr>
      </w:pPr>
    </w:p>
    <w:p>
      <w:pPr>
        <w:ind w:left="980" w:right="100"/>
        <w:spacing w:after="0" w:line="302" w:lineRule="auto"/>
        <w:rPr>
          <w:sz w:val="20"/>
          <w:szCs w:val="20"/>
          <w:color w:val="auto"/>
        </w:rPr>
      </w:pPr>
      <w:r>
        <w:rPr>
          <w:rFonts w:ascii="Arial" w:cs="Arial" w:eastAsia="Arial" w:hAnsi="Arial"/>
          <w:sz w:val="16"/>
          <w:szCs w:val="16"/>
          <w:color w:val="auto"/>
        </w:rPr>
        <w:t>151B), the Massachusetts Equal Rights Act, the Massachusetts Equal Pay Act, the Massachusetts Privacy Statute, the Massachusetts Sick Leave Law, the Massachusetts Civil Rights Act, all as amended, and any and all other federal, state or local laws, rules, regulations, constitutions, ordinances or public policies, whether known or unknown, prohibiting employment discrimination;</w:t>
      </w:r>
    </w:p>
    <w:p>
      <w:pPr>
        <w:spacing w:after="0" w:line="61" w:lineRule="exact"/>
        <w:rPr>
          <w:sz w:val="20"/>
          <w:szCs w:val="20"/>
          <w:color w:val="auto"/>
        </w:rPr>
      </w:pPr>
    </w:p>
    <w:p>
      <w:pPr>
        <w:ind w:left="960" w:right="80" w:hanging="424"/>
        <w:spacing w:after="0" w:line="253" w:lineRule="auto"/>
        <w:tabs>
          <w:tab w:leader="none" w:pos="96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has violated any employment statutes, such as the WARN Act, which requires that advance notice be given of certain workforce reductions; the Employee Retirement Income Security Act of 1974 (ERISA) which, among other things, protects employee benefits; the Fair Labor Standards Act of 1938, which regulates wage and hour matters; the National Labor Relations Act, which protects forms of concerted activity; the Family and Medical Leave Act of 1993, which requires employers to provide leaves of absence under certain circumstances; the Fair Credit Reporting Act, the Employee Polygraph Protection Act, the Massachusetts Payment of Wages Act (M.G.L. c. 149 sections 148 and 150), the Massachusetts Overtime regulations (M.G.L. c. 151 sections 1A and 1B), the Massachusetts Meal Break regulations (M.G.L. c. 149 sections 100 and 101), all as amended, and any and all other federal, state or local laws, rules, regulations, constitutions, ordinances or public policies, whether known or unknown relating to employment laws, such as veterans’ reemployment rights laws;</w:t>
      </w:r>
    </w:p>
    <w:p>
      <w:pPr>
        <w:spacing w:after="0" w:line="101" w:lineRule="exact"/>
        <w:rPr>
          <w:rFonts w:ascii="Arial" w:cs="Arial" w:eastAsia="Arial" w:hAnsi="Arial"/>
          <w:sz w:val="18"/>
          <w:szCs w:val="18"/>
          <w:color w:val="auto"/>
        </w:rPr>
      </w:pPr>
    </w:p>
    <w:p>
      <w:pPr>
        <w:ind w:left="960" w:hanging="424"/>
        <w:spacing w:after="0" w:line="272" w:lineRule="auto"/>
        <w:tabs>
          <w:tab w:leader="none" w:pos="960" w:val="left"/>
        </w:tabs>
        <w:numPr>
          <w:ilvl w:val="0"/>
          <w:numId w:val="456"/>
        </w:numPr>
        <w:rPr>
          <w:rFonts w:ascii="Arial" w:cs="Arial" w:eastAsia="Arial" w:hAnsi="Arial"/>
          <w:sz w:val="17"/>
          <w:szCs w:val="17"/>
          <w:color w:val="auto"/>
        </w:rPr>
      </w:pPr>
      <w:r>
        <w:rPr>
          <w:rFonts w:ascii="Arial" w:cs="Arial" w:eastAsia="Arial" w:hAnsi="Arial"/>
          <w:sz w:val="17"/>
          <w:szCs w:val="17"/>
          <w:color w:val="auto"/>
        </w:rPr>
        <w:t>has violated any other laws, such as federal, state, or local laws providing workers’ compensation benefits, restricting an employer’s right to terminate employees, or otherwise regulating employment; any federal, state or local law enforcing express or implied employment contracts or requiring an employer to deal with employees fairly or in good faith; any other federal, state or local laws providing recourse for alleged wrongful discharge, retaliatory discharge, negligent hiring, retention, or supervision, physical or personal injury, emotional distress, assault, battery, false imprisonment, fraud, negligent misrepresentation, defamation, intentional or negligent infliction of emotional distress and/or mental anguish, intentional interference with contract, negligence, detrimental reliance, loss of consortium to you or any member of your family, whistleblowing, and similar or related claims.</w:t>
      </w:r>
    </w:p>
    <w:p>
      <w:pPr>
        <w:spacing w:after="0" w:line="17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Notwithstanding the foregoing, other than events expressly contemplated by this Agreement you do not waive or release rights or Claims that may arise from events that occur after the date this waiver is executed or your right to enforce this Agreement. Also excluded from this Agreement are any Claims which cannot be waived by law, including, without limitation, any rights you</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3" w:right="479" w:bottom="1440" w:gutter="0" w:footer="0" w:header="0"/>
        </w:sectPr>
      </w:pPr>
    </w:p>
    <w:bookmarkStart w:id="486" w:name="page487"/>
    <w:bookmarkEnd w:id="486"/>
    <w:p>
      <w:pPr>
        <w:ind w:left="4"/>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may have under applicable workers’ compensation laws and your right, if applicable, to file or participate in an investigative proceeding of any federal, state or local governmental agency. Nothing in this Agreement shall prevent you from filing, cooperating with, or participating in any proceeding or investigation before the Equal Employment Opportunity Commission, United States Department of Labor, the National Labor Relations Board, the Occupational Safety and Health Administration, the Securities and Exchange Commission or any other federal government agency, or similar state or local agency (“Government Agencies”), or exercising any rights pursuant to Section 7 of the National Labor Relations Act. You further understand this Agreement does not limit your ability to voluntarily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you are otherwise waiving, to the fullest extent permitted by law, any and all rights you may have to individual relief based on any Claims that you have released and any rights you have waived by signing this Agreement. If any Claim is not subject to release, to the extent permitted by law, you waive any right or ability to be a class or collective action representative or to otherwise participate in any putative or certified class, collective or multi-party action or proceeding based on such a Claim in which any of the Company Parties is a party. This Agreement does not abrogate your existing rights under any Company benefit plan or any plan or agreement related to equity ownership in the Company; however, it does waive, release and forever discharge Claims existing as of the date you execute this Agreement pursuant to any such plan or agreement.</w:t>
      </w:r>
    </w:p>
    <w:p>
      <w:pPr>
        <w:spacing w:after="0" w:line="59" w:lineRule="exact"/>
        <w:rPr>
          <w:sz w:val="20"/>
          <w:szCs w:val="20"/>
          <w:color w:val="auto"/>
        </w:rPr>
      </w:pPr>
    </w:p>
    <w:p>
      <w:pPr>
        <w:ind w:left="4" w:right="40" w:hanging="4"/>
        <w:spacing w:after="0" w:line="285" w:lineRule="auto"/>
        <w:tabs>
          <w:tab w:leader="none" w:pos="274" w:val="left"/>
        </w:tabs>
        <w:numPr>
          <w:ilvl w:val="0"/>
          <w:numId w:val="45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Your Acknowledgments and Affirmations/ Effective Date of Agreement. </w:t>
      </w:r>
      <w:r>
        <w:rPr>
          <w:rFonts w:ascii="Arial" w:cs="Arial" w:eastAsia="Arial" w:hAnsi="Arial"/>
          <w:sz w:val="16"/>
          <w:szCs w:val="16"/>
          <w:color w:val="auto"/>
        </w:rPr>
        <w:t>You acknowledge that you are knowingly and voluntarily waiving and</w:t>
      </w:r>
      <w:r>
        <w:rPr>
          <w:rFonts w:ascii="Arial" w:cs="Arial" w:eastAsia="Arial" w:hAnsi="Arial"/>
          <w:sz w:val="16"/>
          <w:szCs w:val="16"/>
          <w:b w:val="1"/>
          <w:bCs w:val="1"/>
          <w:color w:val="auto"/>
        </w:rPr>
        <w:t xml:space="preserve"> </w:t>
      </w:r>
      <w:r>
        <w:rPr>
          <w:rFonts w:ascii="Arial" w:cs="Arial" w:eastAsia="Arial" w:hAnsi="Arial"/>
          <w:sz w:val="16"/>
          <w:szCs w:val="16"/>
          <w:color w:val="auto"/>
        </w:rPr>
        <w:t>releasing any and all rights you may have under the ADEA, as amended. You also acknowledge and agree that (i) the consideration given to you in exchange for the waiver and release in this Agreement is in addition to anything of value to which you were already entitled, and (ii) that you have been paid for all time worked, have received all the leave, leaves of absence and leave benefits and protections for which you are eligible, and have not suffered any on-the-job injury for which you have not already filed a Claim. You affirm that all of the decisions of the Company Parties regarding your pay and benefits through the date of your execution of this Agreement were not discriminatory based on age, disability, race, color, sex, religion, national origin or any other classification protected by law. You affirm that you have not filed or caused to be filed, and are not presently a party to, a Claim against any of the Company Parties. You further affirm that you have no known workplace injuries or occupational diseases. You acknowledge and affirm that you have not been retaliated against for reporting any allegation of corporate fraud or other wrongdoing by any of the Company Parties, or for exercising any rights protected by law, including any rights protected by the Fair Labor Standards Act, the Family Medical Leave Act or any related statute or local leave or disability accommodation laws, or any applicable state workers’ compensation law. You further acknowledge and affirm that you have been advised by this writing that: (a) your waiver and release do not apply to any rights or Claims that may arise after the execution date of this Agreement; (b) you have been advised hereby that you have the right to consult with an attorney prior to executing this Agreement; (c) you have been given twenty-one (21) days to consider this Agreement (although you may choose to voluntarily execute this Agreement earlier and if you do you will sign the Consideration Period waiver below); (d) you have seven (7) business days following your execution of this Agreement to revoke this Agreement; and (e) this Agreement shall not be effective until the date upon which the revocation period has expired unexercised (the “Effective Date”), which shall be the eighth business day after this Agreement is executed by you.</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4"/>
          </w:cols>
          <w:pgMar w:left="436" w:top="273" w:right="439" w:bottom="1440" w:gutter="0" w:footer="0" w:header="0"/>
        </w:sectPr>
      </w:pPr>
    </w:p>
    <w:bookmarkStart w:id="487" w:name="page488"/>
    <w:bookmarkEnd w:id="487"/>
    <w:p>
      <w:pPr>
        <w:jc w:val="both"/>
        <w:ind w:left="4" w:right="100" w:hanging="4"/>
        <w:spacing w:after="0" w:line="266" w:lineRule="auto"/>
        <w:tabs>
          <w:tab w:leader="none" w:pos="274" w:val="left"/>
        </w:tabs>
        <w:numPr>
          <w:ilvl w:val="0"/>
          <w:numId w:val="45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Admission. </w:t>
      </w:r>
      <w:r>
        <w:rPr>
          <w:rFonts w:ascii="Arial" w:cs="Arial" w:eastAsia="Arial" w:hAnsi="Arial"/>
          <w:sz w:val="18"/>
          <w:szCs w:val="18"/>
          <w:color w:val="auto"/>
        </w:rPr>
        <w:t>This Agreement does not constitute an admission by the Company of any wrongful action or violation of any federal, state, or local</w:t>
      </w:r>
      <w:r>
        <w:rPr>
          <w:rFonts w:ascii="Arial" w:cs="Arial" w:eastAsia="Arial" w:hAnsi="Arial"/>
          <w:sz w:val="18"/>
          <w:szCs w:val="18"/>
          <w:b w:val="1"/>
          <w:bCs w:val="1"/>
          <w:color w:val="auto"/>
        </w:rPr>
        <w:t xml:space="preserve"> </w:t>
      </w:r>
      <w:r>
        <w:rPr>
          <w:rFonts w:ascii="Arial" w:cs="Arial" w:eastAsia="Arial" w:hAnsi="Arial"/>
          <w:sz w:val="18"/>
          <w:szCs w:val="18"/>
          <w:color w:val="auto"/>
        </w:rPr>
        <w:t>statute, or common law rights, including those relating to the provisions of any law or statute concerning employment actions, or of any other possible or claimed violation of law or rights.</w:t>
      </w:r>
    </w:p>
    <w:p>
      <w:pPr>
        <w:spacing w:after="0" w:line="67" w:lineRule="exact"/>
        <w:rPr>
          <w:rFonts w:ascii="Arial" w:cs="Arial" w:eastAsia="Arial" w:hAnsi="Arial"/>
          <w:sz w:val="18"/>
          <w:szCs w:val="18"/>
          <w:b w:val="1"/>
          <w:bCs w:val="1"/>
          <w:color w:val="auto"/>
        </w:rPr>
      </w:pPr>
    </w:p>
    <w:p>
      <w:pPr>
        <w:ind w:left="4" w:right="20" w:hanging="4"/>
        <w:spacing w:after="0" w:line="254" w:lineRule="auto"/>
        <w:tabs>
          <w:tab w:leader="none" w:pos="274" w:val="left"/>
        </w:tabs>
        <w:numPr>
          <w:ilvl w:val="0"/>
          <w:numId w:val="4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Breach. </w:t>
      </w:r>
      <w:r>
        <w:rPr>
          <w:rFonts w:ascii="Arial" w:cs="Arial" w:eastAsia="Arial" w:hAnsi="Arial"/>
          <w:sz w:val="18"/>
          <w:szCs w:val="18"/>
          <w:color w:val="auto"/>
        </w:rPr>
        <w:t>You agree that upon any breach of this Agreement you will forfeit all amounts paid or owing to you under this Agreement. Further, you</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 that it may be impossible to assess the damages caused by your violation of the terms of Sections 8, 9, 10 and 11 of this Agreement and further agree that any threatened or actual violation or breach of those Sections of this Agreement will constitute immediate and irreparable injury to the Company. You therefore agree that any such breach of this Agreement is a material breach of this Agreement, and, in addition to any and all other damages and remedies available to the Company upon your breach of this Agreement, the Company shall be entitled to an injunction to prevent you from violating or breaching this Agreement. You agree that if the Company is successful in whole or part in any legal or equitable action against you under this Agreement, you agree to pay all of the costs, including reasonable attorneys’ fees, incurred by the Company in enforcing the terms of this Agreement.</w:t>
      </w:r>
    </w:p>
    <w:p>
      <w:pPr>
        <w:spacing w:after="0" w:line="83" w:lineRule="exact"/>
        <w:rPr>
          <w:rFonts w:ascii="Arial" w:cs="Arial" w:eastAsia="Arial" w:hAnsi="Arial"/>
          <w:sz w:val="18"/>
          <w:szCs w:val="18"/>
          <w:b w:val="1"/>
          <w:bCs w:val="1"/>
          <w:color w:val="auto"/>
        </w:rPr>
      </w:pPr>
    </w:p>
    <w:p>
      <w:pPr>
        <w:ind w:left="4" w:right="80" w:hanging="4"/>
        <w:spacing w:after="0" w:line="271" w:lineRule="auto"/>
        <w:tabs>
          <w:tab w:leader="none" w:pos="274" w:val="left"/>
        </w:tabs>
        <w:numPr>
          <w:ilvl w:val="0"/>
          <w:numId w:val="45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Miscellaneous. </w:t>
      </w:r>
      <w:r>
        <w:rPr>
          <w:rFonts w:ascii="Arial" w:cs="Arial" w:eastAsia="Arial" w:hAnsi="Arial"/>
          <w:sz w:val="17"/>
          <w:szCs w:val="17"/>
          <w:color w:val="auto"/>
        </w:rPr>
        <w:t>This Agreement, including any exhibits, constitutes the complete, final and exclusive embodiment of the entire agreement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you and the Company with regard to this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This Agreement will be deemed to have been entered into and will be construed and enforced in accordance with the laws of the Commonwealth of Massachusetts as applied to contracts made and to be performed entirely within Massachusetts.</w:t>
      </w:r>
    </w:p>
    <w:p>
      <w:pPr>
        <w:spacing w:after="0" w:line="69" w:lineRule="exact"/>
        <w:rPr>
          <w:rFonts w:ascii="Arial" w:cs="Arial" w:eastAsia="Arial" w:hAnsi="Arial"/>
          <w:sz w:val="17"/>
          <w:szCs w:val="17"/>
          <w:b w:val="1"/>
          <w:bCs w:val="1"/>
          <w:color w:val="auto"/>
        </w:rPr>
      </w:pPr>
    </w:p>
    <w:p>
      <w:pPr>
        <w:ind w:left="264" w:hanging="264"/>
        <w:spacing w:after="0"/>
        <w:tabs>
          <w:tab w:leader="none" w:pos="264" w:val="left"/>
        </w:tabs>
        <w:numPr>
          <w:ilvl w:val="0"/>
          <w:numId w:val="458"/>
        </w:numPr>
        <w:rPr>
          <w:rFonts w:ascii="Arial" w:cs="Arial" w:eastAsia="Arial" w:hAnsi="Arial"/>
          <w:sz w:val="17"/>
          <w:szCs w:val="17"/>
          <w:b w:val="1"/>
          <w:bCs w:val="1"/>
          <w:color w:val="auto"/>
        </w:rPr>
      </w:pPr>
      <w:r>
        <w:rPr>
          <w:rFonts w:ascii="Arial" w:cs="Arial" w:eastAsia="Arial" w:hAnsi="Arial"/>
          <w:sz w:val="17"/>
          <w:szCs w:val="17"/>
          <w:color w:val="auto"/>
        </w:rPr>
        <w:t>To ensure the rapid and economical resolution of disputes that may arise in connection with your employment with the Company, you and the</w:t>
      </w:r>
    </w:p>
    <w:p>
      <w:pPr>
        <w:spacing w:after="0" w:line="34" w:lineRule="exact"/>
        <w:rPr>
          <w:rFonts w:ascii="Arial" w:cs="Arial" w:eastAsia="Arial" w:hAnsi="Arial"/>
          <w:sz w:val="17"/>
          <w:szCs w:val="17"/>
          <w:b w:val="1"/>
          <w:bCs w:val="1"/>
          <w:color w:val="auto"/>
        </w:rPr>
      </w:pPr>
    </w:p>
    <w:p>
      <w:pPr>
        <w:ind w:left="4"/>
        <w:spacing w:after="0" w:line="252" w:lineRule="auto"/>
        <w:rPr>
          <w:rFonts w:ascii="Arial" w:cs="Arial" w:eastAsia="Arial" w:hAnsi="Arial"/>
          <w:sz w:val="17"/>
          <w:szCs w:val="17"/>
          <w:b w:val="1"/>
          <w:bCs w:val="1"/>
          <w:color w:val="auto"/>
        </w:rPr>
      </w:pPr>
      <w:r>
        <w:rPr>
          <w:rFonts w:ascii="Arial" w:cs="Arial" w:eastAsia="Arial" w:hAnsi="Arial"/>
          <w:sz w:val="18"/>
          <w:szCs w:val="18"/>
          <w:color w:val="auto"/>
        </w:rPr>
        <w:t xml:space="preserve">Company agree that any and all disputes, claims, or causes of action, in law or equity, including but not limited to statutory claims (including, but not limited to, the Massachusetts Antidiscrimination Act, Mass. Gen. Laws ch.151B and the Massachusetts Wage Act, Mass. Gen. Laws ch. 149), arising from or relating to the enforcement, breach, performance, or interpretation of this Agreement, your employment with the Company, or the termination of your employment, shall be resolved, to the fullest extent permitted by law, by final, binding and confidential arbitration conducted by JAMS or its successor, under JAMS’ then applicable rules and procedures for employment disputes (available upon request and also currently available at </w:t>
      </w:r>
      <w:r>
        <w:rPr>
          <w:rFonts w:ascii="Arial" w:cs="Arial" w:eastAsia="Arial" w:hAnsi="Arial"/>
          <w:sz w:val="18"/>
          <w:szCs w:val="18"/>
          <w:u w:val="single" w:color="auto"/>
          <w:color w:val="auto"/>
        </w:rPr>
        <w:t>http://www.jamsadr.com/rules-employment-arbitration/</w:t>
      </w:r>
      <w:r>
        <w:rPr>
          <w:rFonts w:ascii="Arial" w:cs="Arial" w:eastAsia="Arial" w:hAnsi="Arial"/>
          <w:sz w:val="18"/>
          <w:szCs w:val="18"/>
          <w:color w:val="auto"/>
        </w:rPr>
        <w:t>).</w:t>
      </w:r>
    </w:p>
    <w:p>
      <w:pPr>
        <w:spacing w:after="0" w:line="12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4"/>
          </w:cols>
          <w:pgMar w:left="436" w:top="269" w:right="479" w:bottom="1440" w:gutter="0" w:footer="0" w:header="0"/>
        </w:sectPr>
      </w:pPr>
    </w:p>
    <w:bookmarkStart w:id="488" w:name="page489"/>
    <w:bookmarkEnd w:id="488"/>
    <w:p>
      <w:pPr>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You acknowledge that by agreeing to this arbitration procedure, both you and the Company waive the right to resolve any such dispute through a trial by jury or judge or administrative proceeding. </w:t>
      </w:r>
      <w:r>
        <w:rPr>
          <w:rFonts w:ascii="Arial" w:cs="Arial" w:eastAsia="Arial" w:hAnsi="Arial"/>
          <w:sz w:val="18"/>
          <w:szCs w:val="18"/>
          <w:color w:val="auto"/>
        </w:rPr>
        <w:t>You will have the right to be represented by legal counsel at any arbitration proceeding.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 Nothing in this Agreement is intended to prevent either you or the Company from obtaining injunctive relief in court to prevent irreparable harm pending the conclusion of any such arbitration.</w:t>
      </w:r>
    </w:p>
    <w:p>
      <w:pPr>
        <w:spacing w:after="0" w:line="19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If this Agreement is acceptable to you, please sign below and return the original to me on or after your Separation Date, but no later than the date that is twenty-one (21) days after you receive this Agreement. This offer will expire if we have not received your executed copy by that date.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 wish you good luck in your future endeavors.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Adagio Therapeutics,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____________________________________</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GREED TO AND</w:t>
      </w:r>
      <w:r>
        <w:rPr>
          <w:rFonts w:ascii="Arial" w:cs="Arial" w:eastAsia="Arial" w:hAnsi="Arial"/>
          <w:sz w:val="18"/>
          <w:szCs w:val="18"/>
          <w:color w:val="auto"/>
        </w:rPr>
        <w:t xml:space="preserve"> A</w:t>
      </w:r>
      <w:r>
        <w:rPr>
          <w:rFonts w:ascii="Arial" w:cs="Arial" w:eastAsia="Arial" w:hAnsi="Arial"/>
          <w:sz w:val="14"/>
          <w:szCs w:val="14"/>
          <w:color w:val="auto"/>
        </w:rPr>
        <w:t>CCEPTED</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 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69" w:right="459" w:bottom="1440" w:gutter="0" w:footer="0" w:header="0"/>
        </w:sectPr>
      </w:pPr>
    </w:p>
    <w:bookmarkStart w:id="489" w:name="page490"/>
    <w:bookmarkEnd w:id="48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CONSIDERATION PERIOD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 ____________________, understand that I have the right to take at least 21 days to consider whether to sign this Agreement, which I received 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___________ __, 20__. If I elect to sign this Agreement before 21 days have passed, I understand I am to sign and date below this paragraph to confirm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that I knowingly and voluntarily agree to waive the 21-day consideration period.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GREED</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279463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2794635"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0"/>
          </w:cols>
          <w:pgMar w:left="440" w:top="269" w:right="519" w:bottom="1440" w:gutter="0" w:footer="0" w:header="0"/>
        </w:sectPr>
      </w:pPr>
    </w:p>
    <w:bookmarkStart w:id="490" w:name="page491"/>
    <w:bookmarkEnd w:id="490"/>
    <w:p>
      <w:pPr>
        <w:jc w:val="right"/>
        <w:spacing w:after="0"/>
        <w:rPr>
          <w:sz w:val="20"/>
          <w:szCs w:val="20"/>
          <w:color w:val="auto"/>
        </w:rPr>
      </w:pPr>
      <w:r>
        <w:rPr>
          <w:rFonts w:ascii="Arial" w:cs="Arial" w:eastAsia="Arial" w:hAnsi="Arial"/>
          <w:sz w:val="18"/>
          <w:szCs w:val="18"/>
          <w:b w:val="1"/>
          <w:bCs w:val="1"/>
          <w:color w:val="auto"/>
        </w:rPr>
        <w:t>Exhibit 10.10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11" w:lineRule="exact"/>
        <w:rPr>
          <w:sz w:val="20"/>
          <w:szCs w:val="20"/>
          <w:color w:val="auto"/>
        </w:rPr>
      </w:pPr>
    </w:p>
    <w:p>
      <w:pPr>
        <w:ind w:right="160" w:firstLine="440"/>
        <w:spacing w:after="0" w:line="286" w:lineRule="auto"/>
        <w:rPr>
          <w:sz w:val="20"/>
          <w:szCs w:val="20"/>
          <w:color w:val="auto"/>
        </w:rPr>
      </w:pPr>
      <w:r>
        <w:rPr>
          <w:rFonts w:ascii="Arial" w:cs="Arial" w:eastAsia="Arial" w:hAnsi="Arial"/>
          <w:sz w:val="17"/>
          <w:szCs w:val="17"/>
          <w:color w:val="auto"/>
        </w:rPr>
        <w:t>This Amended and Restated Employment Agreement (“</w:t>
      </w:r>
      <w:r>
        <w:rPr>
          <w:rFonts w:ascii="Arial" w:cs="Arial" w:eastAsia="Arial" w:hAnsi="Arial"/>
          <w:sz w:val="17"/>
          <w:szCs w:val="17"/>
          <w:b w:val="1"/>
          <w:bCs w:val="1"/>
          <w:i w:val="1"/>
          <w:iCs w:val="1"/>
          <w:u w:val="single" w:color="auto"/>
          <w:color w:val="auto"/>
        </w:rPr>
        <w:t>Agreement</w:t>
      </w:r>
      <w:r>
        <w:rPr>
          <w:rFonts w:ascii="Arial" w:cs="Arial" w:eastAsia="Arial" w:hAnsi="Arial"/>
          <w:sz w:val="17"/>
          <w:szCs w:val="17"/>
          <w:color w:val="auto"/>
        </w:rPr>
        <w:t>”) is made between Adagio Therapeutics, Inc., a Delaware corporation (the “</w:t>
      </w:r>
      <w:r>
        <w:rPr>
          <w:rFonts w:ascii="Arial" w:cs="Arial" w:eastAsia="Arial" w:hAnsi="Arial"/>
          <w:sz w:val="17"/>
          <w:szCs w:val="17"/>
          <w:b w:val="1"/>
          <w:bCs w:val="1"/>
          <w:i w:val="1"/>
          <w:iCs w:val="1"/>
          <w:u w:val="single" w:color="auto"/>
          <w:color w:val="auto"/>
        </w:rPr>
        <w:t>Company</w:t>
      </w:r>
      <w:r>
        <w:rPr>
          <w:rFonts w:ascii="Arial" w:cs="Arial" w:eastAsia="Arial" w:hAnsi="Arial"/>
          <w:sz w:val="17"/>
          <w:szCs w:val="17"/>
          <w:color w:val="auto"/>
        </w:rPr>
        <w:t>”), and Lynn Connolly (the “</w:t>
      </w:r>
      <w:r>
        <w:rPr>
          <w:rFonts w:ascii="Arial" w:cs="Arial" w:eastAsia="Arial" w:hAnsi="Arial"/>
          <w:sz w:val="17"/>
          <w:szCs w:val="17"/>
          <w:b w:val="1"/>
          <w:bCs w:val="1"/>
          <w:i w:val="1"/>
          <w:iCs w:val="1"/>
          <w:u w:val="single" w:color="auto"/>
          <w:color w:val="auto"/>
        </w:rPr>
        <w:t>Executive</w:t>
      </w:r>
      <w:r>
        <w:rPr>
          <w:rFonts w:ascii="Arial" w:cs="Arial" w:eastAsia="Arial" w:hAnsi="Arial"/>
          <w:sz w:val="17"/>
          <w:szCs w:val="17"/>
          <w:color w:val="auto"/>
        </w:rPr>
        <w:t>”), this [___] day of [_______] 2021. This Agreement amends, restates, and supersedes in its entirety that certain Employment Agreement, dated November 9, 2020 (the “</w:t>
      </w:r>
      <w:r>
        <w:rPr>
          <w:rFonts w:ascii="Arial" w:cs="Arial" w:eastAsia="Arial" w:hAnsi="Arial"/>
          <w:sz w:val="17"/>
          <w:szCs w:val="17"/>
          <w:b w:val="1"/>
          <w:bCs w:val="1"/>
          <w:i w:val="1"/>
          <w:iCs w:val="1"/>
          <w:u w:val="single" w:color="auto"/>
          <w:color w:val="auto"/>
        </w:rPr>
        <w:t>Prior Agreement</w:t>
      </w:r>
      <w:r>
        <w:rPr>
          <w:rFonts w:ascii="Arial" w:cs="Arial" w:eastAsia="Arial" w:hAnsi="Arial"/>
          <w:sz w:val="17"/>
          <w:szCs w:val="17"/>
          <w:color w:val="auto"/>
        </w:rPr>
        <w:t>”), between the Executive and the Company.</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Company is planning an initial public offering (the “</w:t>
      </w:r>
      <w:r>
        <w:rPr>
          <w:rFonts w:ascii="Arial" w:cs="Arial" w:eastAsia="Arial" w:hAnsi="Arial"/>
          <w:sz w:val="18"/>
          <w:szCs w:val="18"/>
          <w:b w:val="1"/>
          <w:bCs w:val="1"/>
          <w:i w:val="1"/>
          <w:iCs w:val="1"/>
          <w:u w:val="single" w:color="auto"/>
          <w:color w:val="auto"/>
        </w:rPr>
        <w:t>Offering</w:t>
      </w:r>
      <w:r>
        <w:rPr>
          <w:rFonts w:ascii="Arial" w:cs="Arial" w:eastAsia="Arial" w:hAnsi="Arial"/>
          <w:sz w:val="18"/>
          <w:szCs w:val="18"/>
          <w:color w:val="auto"/>
        </w:rPr>
        <w:t>”) of its shares of common stock;</w:t>
      </w:r>
    </w:p>
    <w:p>
      <w:pPr>
        <w:spacing w:after="0" w:line="225" w:lineRule="exact"/>
        <w:rPr>
          <w:sz w:val="20"/>
          <w:szCs w:val="20"/>
          <w:color w:val="auto"/>
        </w:rPr>
      </w:pPr>
    </w:p>
    <w:p>
      <w:pPr>
        <w:ind w:right="260" w:firstLine="440"/>
        <w:spacing w:after="0" w:line="342" w:lineRule="auto"/>
        <w:rPr>
          <w:sz w:val="20"/>
          <w:szCs w:val="20"/>
          <w:color w:val="auto"/>
        </w:rPr>
      </w:pPr>
      <w:r>
        <w:rPr>
          <w:rFonts w:ascii="Arial" w:cs="Arial" w:eastAsia="Arial" w:hAnsi="Arial"/>
          <w:sz w:val="16"/>
          <w:szCs w:val="16"/>
          <w:color w:val="auto"/>
        </w:rPr>
        <w:t>WHEREAS, the Company and the Executive desire to amend and restate the Prior Agreement in the manner set forth herein in connection with the Offering, effective as of the date on which the registration statement relating to the Offering is effective (the “</w:t>
      </w:r>
      <w:r>
        <w:rPr>
          <w:rFonts w:ascii="Arial" w:cs="Arial" w:eastAsia="Arial" w:hAnsi="Arial"/>
          <w:sz w:val="16"/>
          <w:szCs w:val="16"/>
          <w:b w:val="1"/>
          <w:bCs w:val="1"/>
          <w:i w:val="1"/>
          <w:iCs w:val="1"/>
          <w:u w:val="single" w:color="auto"/>
          <w:color w:val="auto"/>
        </w:rPr>
        <w:t>Effective Date</w:t>
      </w:r>
      <w:r>
        <w:rPr>
          <w:rFonts w:ascii="Arial" w:cs="Arial" w:eastAsia="Arial" w:hAnsi="Arial"/>
          <w:sz w:val="16"/>
          <w:szCs w:val="16"/>
          <w:color w:val="auto"/>
        </w:rPr>
        <w:t>”).</w:t>
      </w:r>
    </w:p>
    <w:p>
      <w:pPr>
        <w:spacing w:after="0" w:line="12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70" w:lineRule="exact"/>
        <w:rPr>
          <w:sz w:val="20"/>
          <w:szCs w:val="20"/>
          <w:color w:val="auto"/>
        </w:rPr>
      </w:pPr>
    </w:p>
    <w:p>
      <w:pPr>
        <w:ind w:left="620" w:hanging="184"/>
        <w:spacing w:after="0"/>
        <w:tabs>
          <w:tab w:leader="none" w:pos="620" w:val="left"/>
        </w:tabs>
        <w:numPr>
          <w:ilvl w:val="0"/>
          <w:numId w:val="459"/>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987"/>
        <w:spacing w:after="0" w:line="259" w:lineRule="auto"/>
        <w:tabs>
          <w:tab w:leader="none" w:pos="1236" w:val="left"/>
        </w:tabs>
        <w:numPr>
          <w:ilvl w:val="1"/>
          <w:numId w:val="459"/>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Company shall employ the Executive and the Executive shall be employed by the Company pursuant to this Agreement commencing as of the Effective Date and continuing until such employment is terminated in accordance with the provisions hereof (the “</w:t>
      </w:r>
      <w:r>
        <w:rPr>
          <w:rFonts w:ascii="Arial" w:cs="Arial" w:eastAsia="Arial" w:hAnsi="Arial"/>
          <w:sz w:val="18"/>
          <w:szCs w:val="18"/>
          <w:b w:val="1"/>
          <w:bCs w:val="1"/>
          <w:i w:val="1"/>
          <w:iCs w:val="1"/>
          <w:u w:val="single" w:color="auto"/>
          <w:color w:val="auto"/>
        </w:rPr>
        <w:t>Term</w:t>
      </w:r>
      <w:r>
        <w:rPr>
          <w:rFonts w:ascii="Arial" w:cs="Arial" w:eastAsia="Arial" w:hAnsi="Arial"/>
          <w:sz w:val="18"/>
          <w:szCs w:val="18"/>
          <w:color w:val="auto"/>
        </w:rPr>
        <w:t>”). The Executive’s employment with the Company shall continue to be “at will,” meaning that the Executive’s employment may be terminated by the Company or the Executive at any time and for any reason subject to the terms of this Agreement.</w:t>
      </w:r>
    </w:p>
    <w:p>
      <w:pPr>
        <w:spacing w:after="0" w:line="78" w:lineRule="exact"/>
        <w:rPr>
          <w:rFonts w:ascii="Arial" w:cs="Arial" w:eastAsia="Arial" w:hAnsi="Arial"/>
          <w:sz w:val="18"/>
          <w:szCs w:val="18"/>
          <w:color w:val="auto"/>
        </w:rPr>
      </w:pPr>
    </w:p>
    <w:p>
      <w:pPr>
        <w:ind w:left="1240" w:hanging="253"/>
        <w:spacing w:after="0"/>
        <w:tabs>
          <w:tab w:leader="none" w:pos="1240" w:val="left"/>
        </w:tabs>
        <w:numPr>
          <w:ilvl w:val="1"/>
          <w:numId w:val="459"/>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Executive shall serve as the Chief Medical Officer of the Company and shall have such powers and duties as customarily associated with the office of Chief Medical Officer, and as may from time to time be prescribed by the Chief Executive Officer of the Company (the “</w:t>
      </w:r>
      <w:r>
        <w:rPr>
          <w:rFonts w:ascii="Arial" w:cs="Arial" w:eastAsia="Arial" w:hAnsi="Arial"/>
          <w:sz w:val="18"/>
          <w:szCs w:val="18"/>
          <w:b w:val="1"/>
          <w:bCs w:val="1"/>
          <w:i w:val="1"/>
          <w:iCs w:val="1"/>
          <w:u w:val="single" w:color="auto"/>
          <w:color w:val="auto"/>
        </w:rPr>
        <w:t>CEO</w:t>
      </w:r>
      <w:r>
        <w:rPr>
          <w:rFonts w:ascii="Arial" w:cs="Arial" w:eastAsia="Arial" w:hAnsi="Arial"/>
          <w:sz w:val="18"/>
          <w:szCs w:val="18"/>
          <w:color w:val="auto"/>
        </w:rPr>
        <w:t>”), subject to the direction and control of the CEO. The Executive shall report to the CEO.</w:t>
      </w:r>
    </w:p>
    <w:p>
      <w:pPr>
        <w:spacing w:after="0" w:line="18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Nothing in this Agreement shall prohibit the Executive from reasonably delegating parts of the responsibilities set forth in or contemplated by this Section 1(b) to other employees of the Company or its subsidiaries. Upon the termination of Executive’s service for any reason, unless otherwise determined by the Board, Executive will be deemed to have resigned from any other positions held at the Company or any of its subsidiaries or affiliates voluntarily, without any further required action by Executive, as of the cessation of Executive’s services, and Executive, at the Board’s request, will execute any documents deemed in the discretion of the Company to be reasonably necessary to reflect Executive’s resignation(s).</w:t>
      </w:r>
    </w:p>
    <w:p>
      <w:pPr>
        <w:sectPr>
          <w:pgSz w:w="11900" w:h="16838" w:orient="portrait"/>
          <w:cols w:equalWidth="0" w:num="1">
            <w:col w:w="11020"/>
          </w:cols>
          <w:pgMar w:left="440" w:top="121" w:right="439" w:bottom="1440" w:gutter="0" w:footer="0" w:header="0"/>
        </w:sectPr>
      </w:pPr>
    </w:p>
    <w:bookmarkStart w:id="491" w:name="page492"/>
    <w:bookmarkEnd w:id="491"/>
    <w:p>
      <w:pPr>
        <w:ind w:right="520" w:firstLine="987"/>
        <w:spacing w:after="0" w:line="277" w:lineRule="auto"/>
        <w:tabs>
          <w:tab w:leader="none" w:pos="1236" w:val="left"/>
        </w:tabs>
        <w:numPr>
          <w:ilvl w:val="0"/>
          <w:numId w:val="46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Outside Activities</w:t>
      </w:r>
      <w:r>
        <w:rPr>
          <w:rFonts w:ascii="Arial" w:cs="Arial" w:eastAsia="Arial" w:hAnsi="Arial"/>
          <w:sz w:val="18"/>
          <w:szCs w:val="18"/>
          <w:color w:val="auto"/>
        </w:rPr>
        <w:t>. Executive will use good faith efforts to discharge Executive’s obligations under this Agreement to the best of Executive’s ability. Executive will devote substantially all of Executive’s business efforts and time to the Company.</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Executive agrees not to engage actively in any other employment, occupation, or consulting activity for any direct or indirect remuneration without the prior approval of the CEO; provided, however, that Executive may, without such approval, serve in any capacity with any civic, educational, or charitable organization, participate in industry affairs and manage Executive’s family’s personal passive investments, and engage in the activities set forth in Appendix A to this Agreement, provided that in each case such services do not materially interfere with Executive’s obligations to the Company, create a conflict of interest, violate any of the Executive’s Continuing Obligations (as defined in Section 9 below) or cause any reputational damage to the Company as reasonably determined by the Board.</w:t>
      </w:r>
    </w:p>
    <w:p>
      <w:pPr>
        <w:spacing w:after="0" w:line="19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Executive may retain any compensation or benefits received as a result of consented to service as a director without any offset in respect of any compensation or benefits to be provided hereunder.</w:t>
      </w:r>
    </w:p>
    <w:p>
      <w:pPr>
        <w:spacing w:after="0" w:line="170" w:lineRule="exact"/>
        <w:rPr>
          <w:sz w:val="20"/>
          <w:szCs w:val="20"/>
          <w:color w:val="auto"/>
        </w:rPr>
      </w:pPr>
    </w:p>
    <w:p>
      <w:pPr>
        <w:ind w:left="620" w:hanging="184"/>
        <w:spacing w:after="0"/>
        <w:tabs>
          <w:tab w:leader="none" w:pos="620" w:val="left"/>
        </w:tabs>
        <w:numPr>
          <w:ilvl w:val="0"/>
          <w:numId w:val="461"/>
        </w:numPr>
        <w:rPr>
          <w:rFonts w:ascii="Arial" w:cs="Arial" w:eastAsia="Arial" w:hAnsi="Arial"/>
          <w:sz w:val="16"/>
          <w:szCs w:val="16"/>
          <w:color w:val="auto"/>
        </w:rPr>
      </w:pPr>
      <w:r>
        <w:rPr>
          <w:rFonts w:ascii="Arial" w:cs="Arial" w:eastAsia="Arial" w:hAnsi="Arial"/>
          <w:sz w:val="16"/>
          <w:szCs w:val="16"/>
          <w:u w:val="single" w:color="auto"/>
          <w:color w:val="auto"/>
        </w:rPr>
        <w:t>Compensation and Related Matters</w:t>
      </w:r>
      <w:r>
        <w:rPr>
          <w:rFonts w:ascii="Arial" w:cs="Arial" w:eastAsia="Arial" w:hAnsi="Arial"/>
          <w:sz w:val="16"/>
          <w:szCs w:val="16"/>
          <w:color w:val="auto"/>
        </w:rPr>
        <w:t>. This Section 2 sets forth the compensation and benefits to be provided to the Executive during the Term.</w:t>
      </w:r>
    </w:p>
    <w:p>
      <w:pPr>
        <w:spacing w:after="0" w:line="140" w:lineRule="exact"/>
        <w:rPr>
          <w:rFonts w:ascii="Arial" w:cs="Arial" w:eastAsia="Arial" w:hAnsi="Arial"/>
          <w:sz w:val="16"/>
          <w:szCs w:val="16"/>
          <w:color w:val="auto"/>
        </w:rPr>
      </w:pPr>
    </w:p>
    <w:p>
      <w:pPr>
        <w:ind w:right="100" w:firstLine="987"/>
        <w:spacing w:after="0" w:line="275" w:lineRule="auto"/>
        <w:tabs>
          <w:tab w:leader="none" w:pos="1236" w:val="left"/>
        </w:tabs>
        <w:numPr>
          <w:ilvl w:val="1"/>
          <w:numId w:val="461"/>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The Executive will continue to pay Executive, as compensation for the performance of the Executive’s duties and obligations hereunder, salary at the rate of $440,000 per year. The Executive’s salary shall be subject to annual review not later than March 31</w:t>
      </w:r>
      <w:r>
        <w:rPr>
          <w:rFonts w:ascii="Arial" w:cs="Arial" w:eastAsia="Arial" w:hAnsi="Arial"/>
          <w:sz w:val="14"/>
          <w:szCs w:val="14"/>
          <w:color w:val="auto"/>
        </w:rPr>
        <w:t>st</w:t>
      </w:r>
      <w:r>
        <w:rPr>
          <w:rFonts w:ascii="Arial" w:cs="Arial" w:eastAsia="Arial" w:hAnsi="Arial"/>
          <w:sz w:val="17"/>
          <w:szCs w:val="17"/>
          <w:color w:val="auto"/>
        </w:rPr>
        <w:t xml:space="preserve"> of each year for possible increase by the Board or the Compensation Committee of the Board (the “</w:t>
      </w:r>
      <w:r>
        <w:rPr>
          <w:rFonts w:ascii="Arial" w:cs="Arial" w:eastAsia="Arial" w:hAnsi="Arial"/>
          <w:sz w:val="17"/>
          <w:szCs w:val="17"/>
          <w:b w:val="1"/>
          <w:bCs w:val="1"/>
          <w:i w:val="1"/>
          <w:iCs w:val="1"/>
          <w:u w:val="single" w:color="auto"/>
          <w:color w:val="auto"/>
        </w:rPr>
        <w:t>Compensation Committee</w:t>
      </w:r>
      <w:r>
        <w:rPr>
          <w:rFonts w:ascii="Arial" w:cs="Arial" w:eastAsia="Arial" w:hAnsi="Arial"/>
          <w:sz w:val="17"/>
          <w:szCs w:val="17"/>
          <w:color w:val="auto"/>
        </w:rPr>
        <w:t>”), which may be adjusted from time to time. The base salary in effect at any given time is referred to herein as “</w:t>
      </w:r>
      <w:r>
        <w:rPr>
          <w:rFonts w:ascii="Arial" w:cs="Arial" w:eastAsia="Arial" w:hAnsi="Arial"/>
          <w:sz w:val="17"/>
          <w:szCs w:val="17"/>
          <w:b w:val="1"/>
          <w:bCs w:val="1"/>
          <w:i w:val="1"/>
          <w:iCs w:val="1"/>
          <w:u w:val="single" w:color="auto"/>
          <w:color w:val="auto"/>
        </w:rPr>
        <w:t>Base Salary</w:t>
      </w:r>
      <w:r>
        <w:rPr>
          <w:rFonts w:ascii="Arial" w:cs="Arial" w:eastAsia="Arial" w:hAnsi="Arial"/>
          <w:sz w:val="17"/>
          <w:szCs w:val="17"/>
          <w:color w:val="auto"/>
        </w:rPr>
        <w:t>.” The Base Salary shall be payable in a manner that is consistent with the Company’s usual payroll practices for its executive officers</w:t>
      </w:r>
    </w:p>
    <w:p>
      <w:pPr>
        <w:spacing w:after="0" w:line="68" w:lineRule="exact"/>
        <w:rPr>
          <w:rFonts w:ascii="Arial" w:cs="Arial" w:eastAsia="Arial" w:hAnsi="Arial"/>
          <w:sz w:val="17"/>
          <w:szCs w:val="17"/>
          <w:color w:val="auto"/>
        </w:rPr>
      </w:pPr>
    </w:p>
    <w:p>
      <w:pPr>
        <w:ind w:right="20" w:firstLine="987"/>
        <w:spacing w:after="0" w:line="270" w:lineRule="auto"/>
        <w:tabs>
          <w:tab w:leader="none" w:pos="1246" w:val="left"/>
        </w:tabs>
        <w:numPr>
          <w:ilvl w:val="1"/>
          <w:numId w:val="461"/>
        </w:numPr>
        <w:rPr>
          <w:rFonts w:ascii="Arial" w:cs="Arial" w:eastAsia="Arial" w:hAnsi="Arial"/>
          <w:sz w:val="17"/>
          <w:szCs w:val="17"/>
          <w:color w:val="auto"/>
        </w:rPr>
      </w:pPr>
      <w:r>
        <w:rPr>
          <w:rFonts w:ascii="Arial" w:cs="Arial" w:eastAsia="Arial" w:hAnsi="Arial"/>
          <w:sz w:val="17"/>
          <w:szCs w:val="17"/>
          <w:u w:val="single" w:color="auto"/>
          <w:color w:val="auto"/>
        </w:rPr>
        <w:t>Incentive Compensation</w:t>
      </w:r>
      <w:r>
        <w:rPr>
          <w:rFonts w:ascii="Arial" w:cs="Arial" w:eastAsia="Arial" w:hAnsi="Arial"/>
          <w:sz w:val="17"/>
          <w:szCs w:val="17"/>
          <w:color w:val="auto"/>
        </w:rPr>
        <w:t>. The Executive shall participate in an annual cash incentive compensation plan (the “</w:t>
      </w:r>
      <w:r>
        <w:rPr>
          <w:rFonts w:ascii="Arial" w:cs="Arial" w:eastAsia="Arial" w:hAnsi="Arial"/>
          <w:sz w:val="17"/>
          <w:szCs w:val="17"/>
          <w:b w:val="1"/>
          <w:bCs w:val="1"/>
          <w:i w:val="1"/>
          <w:iCs w:val="1"/>
          <w:u w:val="single" w:color="auto"/>
          <w:color w:val="auto"/>
        </w:rPr>
        <w:t>Annual Bonus Plan</w:t>
      </w:r>
      <w:r>
        <w:rPr>
          <w:rFonts w:ascii="Arial" w:cs="Arial" w:eastAsia="Arial" w:hAnsi="Arial"/>
          <w:sz w:val="17"/>
          <w:szCs w:val="17"/>
          <w:color w:val="auto"/>
        </w:rPr>
        <w:t>”). The Executive will be eligible to earn an annual bonus for each full calendar year completed (the “</w:t>
      </w:r>
      <w:r>
        <w:rPr>
          <w:rFonts w:ascii="Arial" w:cs="Arial" w:eastAsia="Arial" w:hAnsi="Arial"/>
          <w:sz w:val="17"/>
          <w:szCs w:val="17"/>
          <w:b w:val="1"/>
          <w:bCs w:val="1"/>
          <w:i w:val="1"/>
          <w:iCs w:val="1"/>
          <w:u w:val="single" w:color="auto"/>
          <w:color w:val="auto"/>
        </w:rPr>
        <w:t>Annual Bonus</w:t>
      </w:r>
      <w:r>
        <w:rPr>
          <w:rFonts w:ascii="Arial" w:cs="Arial" w:eastAsia="Arial" w:hAnsi="Arial"/>
          <w:sz w:val="17"/>
          <w:szCs w:val="17"/>
          <w:color w:val="auto"/>
        </w:rPr>
        <w:t>”). The Executive’s target Annual Bonus will be forty percent (40%) of Executive’s Base Salary (the “</w:t>
      </w:r>
      <w:r>
        <w:rPr>
          <w:rFonts w:ascii="Arial" w:cs="Arial" w:eastAsia="Arial" w:hAnsi="Arial"/>
          <w:sz w:val="17"/>
          <w:szCs w:val="17"/>
          <w:b w:val="1"/>
          <w:bCs w:val="1"/>
          <w:i w:val="1"/>
          <w:iCs w:val="1"/>
          <w:u w:val="single" w:color="auto"/>
          <w:color w:val="auto"/>
        </w:rPr>
        <w:t>Target Bonus</w:t>
      </w:r>
      <w:r>
        <w:rPr>
          <w:rFonts w:ascii="Arial" w:cs="Arial" w:eastAsia="Arial" w:hAnsi="Arial"/>
          <w:sz w:val="17"/>
          <w:szCs w:val="17"/>
          <w:color w:val="auto"/>
        </w:rPr>
        <w:t>”) based on Base Salary in effect on January 1st of the applicable performance period. The actual Annual Bonus payable to the Executive with respect to a performance period will be determined by the Compensation Committee based on achieving performance goals and objectives for such calendar year as reasonably determined by the Compensation Committee. The Executive’s Annual Bonus shall be paid as soon as administratively practicable after the end of the performance period, but in no event later than the March 15</w:t>
      </w:r>
      <w:r>
        <w:rPr>
          <w:rFonts w:ascii="Arial" w:cs="Arial" w:eastAsia="Arial" w:hAnsi="Arial"/>
          <w:sz w:val="14"/>
          <w:szCs w:val="14"/>
          <w:color w:val="auto"/>
        </w:rPr>
        <w:t>th</w:t>
      </w:r>
      <w:r>
        <w:rPr>
          <w:rFonts w:ascii="Arial" w:cs="Arial" w:eastAsia="Arial" w:hAnsi="Arial"/>
          <w:sz w:val="17"/>
          <w:szCs w:val="17"/>
          <w:color w:val="auto"/>
        </w:rPr>
        <w:t xml:space="preserve"> immediately following such period; provided, that the Executive must remain continuously employed by the Company through the date on which the Board approves the actual Annual Bonus amount payable to the Executive to be eligible to receive bonus (except as otherwise provided in Section 4(c) or 5(a)).</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3" w:right="459" w:bottom="1440" w:gutter="0" w:footer="0" w:header="0"/>
        </w:sectPr>
      </w:pPr>
    </w:p>
    <w:bookmarkStart w:id="492" w:name="page493"/>
    <w:bookmarkEnd w:id="492"/>
    <w:p>
      <w:pPr>
        <w:ind w:right="260" w:firstLine="987"/>
        <w:spacing w:after="0" w:line="259" w:lineRule="auto"/>
        <w:tabs>
          <w:tab w:leader="none" w:pos="1236" w:val="left"/>
        </w:tabs>
        <w:numPr>
          <w:ilvl w:val="0"/>
          <w:numId w:val="46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Expenses</w:t>
      </w:r>
      <w:r>
        <w:rPr>
          <w:rFonts w:ascii="Arial" w:cs="Arial" w:eastAsia="Arial" w:hAnsi="Arial"/>
          <w:sz w:val="18"/>
          <w:szCs w:val="18"/>
          <w:color w:val="auto"/>
        </w:rPr>
        <w:t>. The Company shall promptly pay or reimburse the Executive for all reasonable expenses incurred by the Executive while performing services hereunder, including but not limited to travel expenses and attendance at industry events, in accordance with the policies and procedures then in effect and established by the Company for its executive officers, but in no event later than thirty (30) days submission of a reimbursement request in accordance with such policies or procedures.</w:t>
      </w:r>
    </w:p>
    <w:p>
      <w:pPr>
        <w:spacing w:after="0" w:line="78" w:lineRule="exact"/>
        <w:rPr>
          <w:rFonts w:ascii="Arial" w:cs="Arial" w:eastAsia="Arial" w:hAnsi="Arial"/>
          <w:sz w:val="18"/>
          <w:szCs w:val="18"/>
          <w:color w:val="auto"/>
        </w:rPr>
      </w:pPr>
    </w:p>
    <w:p>
      <w:pPr>
        <w:ind w:right="360" w:firstLine="987"/>
        <w:spacing w:after="0" w:line="277" w:lineRule="auto"/>
        <w:tabs>
          <w:tab w:leader="none" w:pos="1246" w:val="left"/>
        </w:tabs>
        <w:numPr>
          <w:ilvl w:val="0"/>
          <w:numId w:val="462"/>
        </w:numPr>
        <w:rPr>
          <w:rFonts w:ascii="Arial" w:cs="Arial" w:eastAsia="Arial" w:hAnsi="Arial"/>
          <w:sz w:val="18"/>
          <w:szCs w:val="18"/>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The Executive shall be eligible to participate in or receive benefits under the Company’s employee benefit plans in effect from time to time, subject to the terms of such plans.</w:t>
      </w:r>
    </w:p>
    <w:p>
      <w:pPr>
        <w:spacing w:after="0" w:line="62" w:lineRule="exact"/>
        <w:rPr>
          <w:rFonts w:ascii="Arial" w:cs="Arial" w:eastAsia="Arial" w:hAnsi="Arial"/>
          <w:sz w:val="18"/>
          <w:szCs w:val="18"/>
          <w:color w:val="auto"/>
        </w:rPr>
      </w:pPr>
    </w:p>
    <w:p>
      <w:pPr>
        <w:ind w:right="140" w:firstLine="987"/>
        <w:spacing w:after="0" w:line="277" w:lineRule="auto"/>
        <w:tabs>
          <w:tab w:leader="none" w:pos="1236" w:val="left"/>
        </w:tabs>
        <w:numPr>
          <w:ilvl w:val="0"/>
          <w:numId w:val="462"/>
        </w:numPr>
        <w:rPr>
          <w:rFonts w:ascii="Arial" w:cs="Arial" w:eastAsia="Arial" w:hAnsi="Arial"/>
          <w:sz w:val="18"/>
          <w:szCs w:val="18"/>
          <w:color w:val="auto"/>
        </w:rPr>
      </w:pPr>
      <w:r>
        <w:rPr>
          <w:rFonts w:ascii="Arial" w:cs="Arial" w:eastAsia="Arial" w:hAnsi="Arial"/>
          <w:sz w:val="18"/>
          <w:szCs w:val="18"/>
          <w:u w:val="single" w:color="auto"/>
          <w:color w:val="auto"/>
        </w:rPr>
        <w:t>Paid Time Off</w:t>
      </w:r>
      <w:r>
        <w:rPr>
          <w:rFonts w:ascii="Arial" w:cs="Arial" w:eastAsia="Arial" w:hAnsi="Arial"/>
          <w:sz w:val="18"/>
          <w:szCs w:val="18"/>
          <w:color w:val="auto"/>
        </w:rPr>
        <w:t>. The Executive shall be entitled to take paid time off in accordance with the Company’s applicable paid time off policy for executives, as may be in effect from time to time.</w:t>
      </w:r>
    </w:p>
    <w:p>
      <w:pPr>
        <w:spacing w:after="0" w:line="62" w:lineRule="exact"/>
        <w:rPr>
          <w:rFonts w:ascii="Arial" w:cs="Arial" w:eastAsia="Arial" w:hAnsi="Arial"/>
          <w:sz w:val="18"/>
          <w:szCs w:val="18"/>
          <w:color w:val="auto"/>
        </w:rPr>
      </w:pPr>
    </w:p>
    <w:p>
      <w:pPr>
        <w:ind w:right="40" w:firstLine="987"/>
        <w:spacing w:after="0" w:line="277" w:lineRule="auto"/>
        <w:tabs>
          <w:tab w:leader="none" w:pos="1216" w:val="left"/>
        </w:tabs>
        <w:numPr>
          <w:ilvl w:val="0"/>
          <w:numId w:val="462"/>
        </w:numPr>
        <w:rPr>
          <w:rFonts w:ascii="Arial" w:cs="Arial" w:eastAsia="Arial" w:hAnsi="Arial"/>
          <w:sz w:val="18"/>
          <w:szCs w:val="18"/>
          <w:color w:val="auto"/>
        </w:rPr>
      </w:pPr>
      <w:r>
        <w:rPr>
          <w:rFonts w:ascii="Arial" w:cs="Arial" w:eastAsia="Arial" w:hAnsi="Arial"/>
          <w:sz w:val="18"/>
          <w:szCs w:val="18"/>
          <w:u w:val="single" w:color="auto"/>
          <w:color w:val="auto"/>
        </w:rPr>
        <w:t>Stock Ownership Guidelines</w:t>
      </w:r>
      <w:r>
        <w:rPr>
          <w:rFonts w:ascii="Arial" w:cs="Arial" w:eastAsia="Arial" w:hAnsi="Arial"/>
          <w:sz w:val="18"/>
          <w:szCs w:val="18"/>
          <w:color w:val="auto"/>
        </w:rPr>
        <w:t>. The Executive shall be subject to the Company’s Executive Stock Ownership Guidelines while providing services under this Agreement.</w:t>
      </w:r>
    </w:p>
    <w:p>
      <w:pPr>
        <w:spacing w:after="0" w:line="62" w:lineRule="exact"/>
        <w:rPr>
          <w:rFonts w:ascii="Arial" w:cs="Arial" w:eastAsia="Arial" w:hAnsi="Arial"/>
          <w:sz w:val="18"/>
          <w:szCs w:val="18"/>
          <w:color w:val="auto"/>
        </w:rPr>
      </w:pPr>
    </w:p>
    <w:p>
      <w:pPr>
        <w:ind w:firstLine="987"/>
        <w:spacing w:after="0" w:line="257" w:lineRule="auto"/>
        <w:tabs>
          <w:tab w:leader="none" w:pos="1246" w:val="left"/>
        </w:tabs>
        <w:numPr>
          <w:ilvl w:val="0"/>
          <w:numId w:val="462"/>
        </w:numPr>
        <w:rPr>
          <w:rFonts w:ascii="Arial" w:cs="Arial" w:eastAsia="Arial" w:hAnsi="Arial"/>
          <w:sz w:val="18"/>
          <w:szCs w:val="18"/>
          <w:color w:val="auto"/>
        </w:rPr>
      </w:pPr>
      <w:r>
        <w:rPr>
          <w:rFonts w:ascii="Arial" w:cs="Arial" w:eastAsia="Arial" w:hAnsi="Arial"/>
          <w:sz w:val="18"/>
          <w:szCs w:val="18"/>
          <w:u w:val="single" w:color="auto"/>
          <w:color w:val="auto"/>
        </w:rPr>
        <w:t>Treatment of Equity Awards upon a Change in Control</w:t>
      </w:r>
      <w:r>
        <w:rPr>
          <w:rFonts w:ascii="Arial" w:cs="Arial" w:eastAsia="Arial" w:hAnsi="Arial"/>
          <w:sz w:val="18"/>
          <w:szCs w:val="18"/>
          <w:color w:val="auto"/>
        </w:rPr>
        <w:t>. The following provisions shall apply to any award granted under the Adagio Therapeutics, Inc. 2021 Equity Incentive Plan (the “</w:t>
      </w:r>
      <w:r>
        <w:rPr>
          <w:rFonts w:ascii="Arial" w:cs="Arial" w:eastAsia="Arial" w:hAnsi="Arial"/>
          <w:sz w:val="18"/>
          <w:szCs w:val="18"/>
          <w:b w:val="1"/>
          <w:bCs w:val="1"/>
          <w:i w:val="1"/>
          <w:iCs w:val="1"/>
          <w:u w:val="single" w:color="auto"/>
          <w:color w:val="auto"/>
        </w:rPr>
        <w:t>Plan</w:t>
      </w:r>
      <w:r>
        <w:rPr>
          <w:rFonts w:ascii="Arial" w:cs="Arial" w:eastAsia="Arial" w:hAnsi="Arial"/>
          <w:sz w:val="18"/>
          <w:szCs w:val="18"/>
          <w:color w:val="auto"/>
        </w:rPr>
        <w:t>”) or any other plan, agreement or arrangement based on the value of a share of the Company’s common stock on or after the Effective Date (collectively, the “</w:t>
      </w:r>
      <w:r>
        <w:rPr>
          <w:rFonts w:ascii="Arial" w:cs="Arial" w:eastAsia="Arial" w:hAnsi="Arial"/>
          <w:sz w:val="18"/>
          <w:szCs w:val="18"/>
          <w:b w:val="1"/>
          <w:bCs w:val="1"/>
          <w:i w:val="1"/>
          <w:iCs w:val="1"/>
          <w:u w:val="single" w:color="auto"/>
          <w:color w:val="auto"/>
        </w:rPr>
        <w:t>Equity Awards</w:t>
      </w:r>
      <w:r>
        <w:rPr>
          <w:rFonts w:ascii="Arial" w:cs="Arial" w:eastAsia="Arial" w:hAnsi="Arial"/>
          <w:sz w:val="18"/>
          <w:szCs w:val="18"/>
          <w:color w:val="auto"/>
        </w:rPr>
        <w:t>”) to the extent the Equity Awards are assumed, continued or substituted by the surviving or acquiring entity (or its parent) in connection with a Change in Control (as defined in the Plan) and the Executive continues to provide services to the Company or its successor following such Change in Control:</w:t>
      </w:r>
    </w:p>
    <w:p>
      <w:pPr>
        <w:spacing w:after="0" w:line="79" w:lineRule="exact"/>
        <w:rPr>
          <w:rFonts w:ascii="Arial" w:cs="Arial" w:eastAsia="Arial" w:hAnsi="Arial"/>
          <w:sz w:val="18"/>
          <w:szCs w:val="18"/>
          <w:color w:val="auto"/>
        </w:rPr>
      </w:pPr>
    </w:p>
    <w:p>
      <w:pPr>
        <w:ind w:left="440" w:right="20" w:firstLine="948"/>
        <w:spacing w:after="0" w:line="259" w:lineRule="auto"/>
        <w:tabs>
          <w:tab w:leader="none" w:pos="1607" w:val="left"/>
        </w:tabs>
        <w:numPr>
          <w:ilvl w:val="1"/>
          <w:numId w:val="462"/>
        </w:numPr>
        <w:rPr>
          <w:rFonts w:ascii="Arial" w:cs="Arial" w:eastAsia="Arial" w:hAnsi="Arial"/>
          <w:sz w:val="18"/>
          <w:szCs w:val="18"/>
          <w:color w:val="auto"/>
        </w:rPr>
      </w:pPr>
      <w:r>
        <w:rPr>
          <w:rFonts w:ascii="Arial" w:cs="Arial" w:eastAsia="Arial" w:hAnsi="Arial"/>
          <w:sz w:val="18"/>
          <w:szCs w:val="18"/>
          <w:color w:val="auto"/>
        </w:rPr>
        <w:t>Except as otherwise provided in the Change in Control transaction’s definitive agreement, the Plan or the applicable award agreement, or as set forth in Section 6 below, Equity Awards subject to vesting solely on account of completing periods of covered employment or service (collectively, the “</w:t>
      </w:r>
      <w:r>
        <w:rPr>
          <w:rFonts w:ascii="Arial" w:cs="Arial" w:eastAsia="Arial" w:hAnsi="Arial"/>
          <w:sz w:val="18"/>
          <w:szCs w:val="18"/>
          <w:b w:val="1"/>
          <w:bCs w:val="1"/>
          <w:i w:val="1"/>
          <w:iCs w:val="1"/>
          <w:u w:val="single" w:color="auto"/>
          <w:color w:val="auto"/>
        </w:rPr>
        <w:t>Time-Based Equity Awards</w:t>
      </w:r>
      <w:r>
        <w:rPr>
          <w:rFonts w:ascii="Arial" w:cs="Arial" w:eastAsia="Arial" w:hAnsi="Arial"/>
          <w:sz w:val="18"/>
          <w:szCs w:val="18"/>
          <w:color w:val="auto"/>
        </w:rPr>
        <w:t>”) shall not immediately accelerate and become fully vested and exercisable or non-forfeitable on such a Change in Control, and</w:t>
      </w:r>
    </w:p>
    <w:p>
      <w:pPr>
        <w:spacing w:after="0" w:line="78" w:lineRule="exact"/>
        <w:rPr>
          <w:rFonts w:ascii="Arial" w:cs="Arial" w:eastAsia="Arial" w:hAnsi="Arial"/>
          <w:sz w:val="18"/>
          <w:szCs w:val="18"/>
          <w:color w:val="auto"/>
        </w:rPr>
      </w:pPr>
    </w:p>
    <w:p>
      <w:pPr>
        <w:ind w:left="440" w:right="200" w:firstLine="948"/>
        <w:spacing w:after="0" w:line="263" w:lineRule="auto"/>
        <w:tabs>
          <w:tab w:leader="none" w:pos="1657" w:val="left"/>
        </w:tabs>
        <w:numPr>
          <w:ilvl w:val="1"/>
          <w:numId w:val="462"/>
        </w:numPr>
        <w:rPr>
          <w:rFonts w:ascii="Arial" w:cs="Arial" w:eastAsia="Arial" w:hAnsi="Arial"/>
          <w:sz w:val="18"/>
          <w:szCs w:val="18"/>
          <w:color w:val="auto"/>
        </w:rPr>
      </w:pPr>
      <w:r>
        <w:rPr>
          <w:rFonts w:ascii="Arial" w:cs="Arial" w:eastAsia="Arial" w:hAnsi="Arial"/>
          <w:sz w:val="18"/>
          <w:szCs w:val="18"/>
          <w:color w:val="auto"/>
        </w:rPr>
        <w:t>all other Equity Awards, including but not limited to performance stock units vesting based on achieving pre-established performance goals (collectively, the “</w:t>
      </w:r>
      <w:r>
        <w:rPr>
          <w:rFonts w:ascii="Arial" w:cs="Arial" w:eastAsia="Arial" w:hAnsi="Arial"/>
          <w:sz w:val="18"/>
          <w:szCs w:val="18"/>
          <w:b w:val="1"/>
          <w:bCs w:val="1"/>
          <w:i w:val="1"/>
          <w:iCs w:val="1"/>
          <w:u w:val="single" w:color="auto"/>
          <w:color w:val="auto"/>
        </w:rPr>
        <w:t>Performance-Based Equity Awards</w:t>
      </w:r>
      <w:r>
        <w:rPr>
          <w:rFonts w:ascii="Arial" w:cs="Arial" w:eastAsia="Arial" w:hAnsi="Arial"/>
          <w:sz w:val="18"/>
          <w:szCs w:val="18"/>
          <w:color w:val="auto"/>
        </w:rPr>
        <w:t>”) shall be governed by the terms of the Plan and the applicable award agreement.</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462"/>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The Executive’s employment hereunder may be terminated without any breach of this Agreement under the following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circumstances:</w:t>
      </w:r>
    </w:p>
    <w:p>
      <w:pPr>
        <w:spacing w:after="0" w:line="102" w:lineRule="exact"/>
        <w:rPr>
          <w:rFonts w:ascii="Arial" w:cs="Arial" w:eastAsia="Arial" w:hAnsi="Arial"/>
          <w:sz w:val="16"/>
          <w:szCs w:val="16"/>
          <w:color w:val="auto"/>
        </w:rPr>
      </w:pPr>
    </w:p>
    <w:p>
      <w:pPr>
        <w:ind w:left="1200" w:hanging="213"/>
        <w:spacing w:after="0"/>
        <w:tabs>
          <w:tab w:leader="none" w:pos="1200" w:val="left"/>
        </w:tabs>
        <w:numPr>
          <w:ilvl w:val="0"/>
          <w:numId w:val="462"/>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The Executive’s employment hereunder shall terminate upon death.</w:t>
      </w:r>
    </w:p>
    <w:p>
      <w:pPr>
        <w:spacing w:after="0" w:line="117" w:lineRule="exact"/>
        <w:rPr>
          <w:rFonts w:ascii="Arial" w:cs="Arial" w:eastAsia="Arial" w:hAnsi="Arial"/>
          <w:sz w:val="18"/>
          <w:szCs w:val="18"/>
          <w:color w:val="auto"/>
        </w:rPr>
      </w:pPr>
    </w:p>
    <w:p>
      <w:pPr>
        <w:ind w:right="100" w:firstLine="987"/>
        <w:spacing w:after="0" w:line="259" w:lineRule="auto"/>
        <w:tabs>
          <w:tab w:leader="none" w:pos="1206" w:val="left"/>
        </w:tabs>
        <w:numPr>
          <w:ilvl w:val="0"/>
          <w:numId w:val="462"/>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The Company may terminate the Executive’s employment if the Executive is disabled and unable to perform or expected to be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3" w:right="459" w:bottom="1440" w:gutter="0" w:footer="0" w:header="0"/>
        </w:sectPr>
      </w:pPr>
    </w:p>
    <w:bookmarkStart w:id="493" w:name="page494"/>
    <w:bookmarkEnd w:id="493"/>
    <w:p>
      <w:pPr>
        <w:ind w:right="1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and the Americans with Disabilities Act, 42 U.S.C. §12101 </w:t>
      </w:r>
      <w:r>
        <w:rPr>
          <w:rFonts w:ascii="Arial" w:cs="Arial" w:eastAsia="Arial" w:hAnsi="Arial"/>
          <w:sz w:val="17"/>
          <w:szCs w:val="17"/>
          <w:i w:val="1"/>
          <w:iCs w:val="1"/>
          <w:color w:val="auto"/>
        </w:rPr>
        <w:t>et seq.</w:t>
      </w:r>
    </w:p>
    <w:p>
      <w:pPr>
        <w:spacing w:after="0" w:line="70" w:lineRule="exact"/>
        <w:rPr>
          <w:sz w:val="20"/>
          <w:szCs w:val="20"/>
          <w:color w:val="auto"/>
        </w:rPr>
      </w:pPr>
    </w:p>
    <w:p>
      <w:pPr>
        <w:ind w:right="60" w:firstLine="987"/>
        <w:spacing w:after="0" w:line="277" w:lineRule="auto"/>
        <w:tabs>
          <w:tab w:leader="none" w:pos="1246" w:val="left"/>
        </w:tabs>
        <w:numPr>
          <w:ilvl w:val="0"/>
          <w:numId w:val="463"/>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w:t>
      </w:r>
      <w:r>
        <w:rPr>
          <w:rFonts w:ascii="Arial" w:cs="Arial" w:eastAsia="Arial" w:hAnsi="Arial"/>
          <w:sz w:val="18"/>
          <w:szCs w:val="18"/>
          <w:color w:val="auto"/>
        </w:rPr>
        <w:t>. The Company may terminate the Executive’s employment hereunder for Cause. For purposes of this Agreement, “</w:t>
      </w:r>
      <w:r>
        <w:rPr>
          <w:rFonts w:ascii="Arial" w:cs="Arial" w:eastAsia="Arial" w:hAnsi="Arial"/>
          <w:sz w:val="18"/>
          <w:szCs w:val="18"/>
          <w:b w:val="1"/>
          <w:bCs w:val="1"/>
          <w:i w:val="1"/>
          <w:iCs w:val="1"/>
          <w:u w:val="single" w:color="auto"/>
          <w:color w:val="auto"/>
        </w:rPr>
        <w:t>Cause</w:t>
      </w:r>
      <w:r>
        <w:rPr>
          <w:rFonts w:ascii="Arial" w:cs="Arial" w:eastAsia="Arial" w:hAnsi="Arial"/>
          <w:sz w:val="18"/>
          <w:szCs w:val="18"/>
          <w:color w:val="auto"/>
        </w:rPr>
        <w:t>” shall mean any of the following:</w:t>
      </w:r>
    </w:p>
    <w:p>
      <w:pPr>
        <w:spacing w:after="0" w:line="62" w:lineRule="exact"/>
        <w:rPr>
          <w:rFonts w:ascii="Arial" w:cs="Arial" w:eastAsia="Arial" w:hAnsi="Arial"/>
          <w:sz w:val="18"/>
          <w:szCs w:val="18"/>
          <w:color w:val="auto"/>
        </w:rPr>
      </w:pPr>
    </w:p>
    <w:p>
      <w:pPr>
        <w:ind w:left="980" w:firstLine="408"/>
        <w:spacing w:after="0" w:line="263" w:lineRule="auto"/>
        <w:tabs>
          <w:tab w:leader="none" w:pos="1596" w:val="left"/>
        </w:tabs>
        <w:numPr>
          <w:ilvl w:val="1"/>
          <w:numId w:val="463"/>
        </w:numPr>
        <w:rPr>
          <w:rFonts w:ascii="Arial" w:cs="Arial" w:eastAsia="Arial" w:hAnsi="Arial"/>
          <w:sz w:val="18"/>
          <w:szCs w:val="18"/>
          <w:color w:val="auto"/>
        </w:rPr>
      </w:pPr>
      <w:r>
        <w:rPr>
          <w:rFonts w:ascii="Arial" w:cs="Arial" w:eastAsia="Arial" w:hAnsi="Arial"/>
          <w:sz w:val="18"/>
          <w:szCs w:val="18"/>
          <w:color w:val="auto"/>
        </w:rPr>
        <w:t>the Executive’s unauthorized use or disclosure of confidential information or trade secrets of the Company for Executive’s benefit or any material breach of a written agreement between the Executive and the Company, including without limitation a material breach of this Agreement or the Restrictive Covenants Agreement;</w:t>
      </w:r>
    </w:p>
    <w:p>
      <w:pPr>
        <w:spacing w:after="0" w:line="75" w:lineRule="exact"/>
        <w:rPr>
          <w:rFonts w:ascii="Arial" w:cs="Arial" w:eastAsia="Arial" w:hAnsi="Arial"/>
          <w:sz w:val="18"/>
          <w:szCs w:val="18"/>
          <w:color w:val="auto"/>
        </w:rPr>
      </w:pPr>
    </w:p>
    <w:p>
      <w:pPr>
        <w:ind w:left="980" w:firstLine="408"/>
        <w:spacing w:after="0" w:line="263" w:lineRule="auto"/>
        <w:tabs>
          <w:tab w:leader="none" w:pos="1646" w:val="left"/>
        </w:tabs>
        <w:numPr>
          <w:ilvl w:val="1"/>
          <w:numId w:val="463"/>
        </w:numPr>
        <w:rPr>
          <w:rFonts w:ascii="Arial" w:cs="Arial" w:eastAsia="Arial" w:hAnsi="Arial"/>
          <w:sz w:val="18"/>
          <w:szCs w:val="18"/>
          <w:color w:val="auto"/>
        </w:rPr>
      </w:pPr>
      <w:r>
        <w:rPr>
          <w:rFonts w:ascii="Arial" w:cs="Arial" w:eastAsia="Arial" w:hAnsi="Arial"/>
          <w:sz w:val="18"/>
          <w:szCs w:val="18"/>
          <w:color w:val="auto"/>
        </w:rPr>
        <w:t>the Executive’s conviction of, or pleading no contest to, a felony under the laws of the United States or any state thereof (other than in connection with a traffic violation that does not result in imprisonment) or any crime that results in the Executive’s incarceration in a federal, state, or local jail or prison;</w:t>
      </w:r>
    </w:p>
    <w:p>
      <w:pPr>
        <w:spacing w:after="0" w:line="75" w:lineRule="exact"/>
        <w:rPr>
          <w:rFonts w:ascii="Arial" w:cs="Arial" w:eastAsia="Arial" w:hAnsi="Arial"/>
          <w:sz w:val="18"/>
          <w:szCs w:val="18"/>
          <w:color w:val="auto"/>
        </w:rPr>
      </w:pPr>
    </w:p>
    <w:p>
      <w:pPr>
        <w:ind w:left="980" w:right="160" w:firstLine="408"/>
        <w:spacing w:after="0" w:line="275" w:lineRule="auto"/>
        <w:tabs>
          <w:tab w:leader="none" w:pos="1696" w:val="left"/>
        </w:tabs>
        <w:numPr>
          <w:ilvl w:val="1"/>
          <w:numId w:val="463"/>
        </w:numPr>
        <w:rPr>
          <w:rFonts w:ascii="Arial" w:cs="Arial" w:eastAsia="Arial" w:hAnsi="Arial"/>
          <w:sz w:val="17"/>
          <w:szCs w:val="17"/>
          <w:color w:val="auto"/>
        </w:rPr>
      </w:pPr>
      <w:r>
        <w:rPr>
          <w:rFonts w:ascii="Arial" w:cs="Arial" w:eastAsia="Arial" w:hAnsi="Arial"/>
          <w:sz w:val="17"/>
          <w:szCs w:val="17"/>
          <w:color w:val="auto"/>
        </w:rPr>
        <w:t>the Executive’s material and willful misconduct in the performance of the Executive’s duties or the Executive’s willful or repeated failure or refusal to substantially perform assigned duties (other than any such failure of refusal resulting from the Executive’s incapacity due to physical or mental illness or any such actual or anticipated failure after the issuance of a notice of Good Reason by the Executive pursuant to Section 3(e) hereof), in any case, which willful misconduct, failure or refusal has continued for more than thirty (30) days following written notice from the CEO of such willful misconduct, failure or refusal;</w:t>
      </w:r>
    </w:p>
    <w:p>
      <w:pPr>
        <w:spacing w:after="0" w:line="68" w:lineRule="exact"/>
        <w:rPr>
          <w:rFonts w:ascii="Arial" w:cs="Arial" w:eastAsia="Arial" w:hAnsi="Arial"/>
          <w:sz w:val="17"/>
          <w:szCs w:val="17"/>
          <w:color w:val="auto"/>
        </w:rPr>
      </w:pPr>
    </w:p>
    <w:p>
      <w:pPr>
        <w:ind w:left="980" w:right="40" w:firstLine="408"/>
        <w:spacing w:after="0" w:line="277" w:lineRule="auto"/>
        <w:tabs>
          <w:tab w:leader="none" w:pos="1686" w:val="left"/>
        </w:tabs>
        <w:numPr>
          <w:ilvl w:val="1"/>
          <w:numId w:val="463"/>
        </w:numPr>
        <w:rPr>
          <w:rFonts w:ascii="Arial" w:cs="Arial" w:eastAsia="Arial" w:hAnsi="Arial"/>
          <w:sz w:val="18"/>
          <w:szCs w:val="18"/>
          <w:color w:val="auto"/>
        </w:rPr>
      </w:pPr>
      <w:r>
        <w:rPr>
          <w:rFonts w:ascii="Arial" w:cs="Arial" w:eastAsia="Arial" w:hAnsi="Arial"/>
          <w:sz w:val="18"/>
          <w:szCs w:val="18"/>
          <w:color w:val="auto"/>
        </w:rPr>
        <w:t>any act of fraud, embezzlement or material misappropriation committed by the Executive against the Company (other than good faith expense account disputes);</w:t>
      </w:r>
    </w:p>
    <w:p>
      <w:pPr>
        <w:spacing w:after="0" w:line="62" w:lineRule="exact"/>
        <w:rPr>
          <w:rFonts w:ascii="Arial" w:cs="Arial" w:eastAsia="Arial" w:hAnsi="Arial"/>
          <w:sz w:val="18"/>
          <w:szCs w:val="18"/>
          <w:color w:val="auto"/>
        </w:rPr>
      </w:pPr>
    </w:p>
    <w:p>
      <w:pPr>
        <w:ind w:left="980" w:firstLine="408"/>
        <w:spacing w:after="0" w:line="277" w:lineRule="auto"/>
        <w:tabs>
          <w:tab w:leader="none" w:pos="1636" w:val="left"/>
        </w:tabs>
        <w:numPr>
          <w:ilvl w:val="1"/>
          <w:numId w:val="463"/>
        </w:numPr>
        <w:rPr>
          <w:rFonts w:ascii="Arial" w:cs="Arial" w:eastAsia="Arial" w:hAnsi="Arial"/>
          <w:sz w:val="18"/>
          <w:szCs w:val="18"/>
          <w:color w:val="auto"/>
        </w:rPr>
      </w:pPr>
      <w:r>
        <w:rPr>
          <w:rFonts w:ascii="Arial" w:cs="Arial" w:eastAsia="Arial" w:hAnsi="Arial"/>
          <w:sz w:val="18"/>
          <w:szCs w:val="18"/>
          <w:color w:val="auto"/>
        </w:rPr>
        <w:t>willful engaging by the Executive in any act that brings the Company into public disrepute or disgrace or causes material harm to the customer relations, operations or business prospects of the Company;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3" w:right="499" w:bottom="1440" w:gutter="0" w:footer="0" w:header="0"/>
        </w:sectPr>
      </w:pPr>
    </w:p>
    <w:bookmarkStart w:id="494" w:name="page495"/>
    <w:bookmarkEnd w:id="494"/>
    <w:p>
      <w:pPr>
        <w:ind w:left="980" w:right="100" w:firstLine="408"/>
        <w:spacing w:after="0" w:line="259" w:lineRule="auto"/>
        <w:tabs>
          <w:tab w:leader="none" w:pos="1686" w:val="left"/>
        </w:tabs>
        <w:numPr>
          <w:ilvl w:val="0"/>
          <w:numId w:val="4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Executive’s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87"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For purposes of this Section 3(c), no act, or failure to act, on the Executive’s part shall be deemed “willful” if done, or omitted to be done, by the Executive in good faith and with reasonable belief that the Executive’s act, or failure to act, was in the best interest of the Company.</w:t>
      </w:r>
    </w:p>
    <w:p>
      <w:pPr>
        <w:spacing w:after="0" w:line="146"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In the case of any termination for Cause, the Company shall provide written notice to the Executive setting forth to a reasonable extent at least the principal acts or omissions of the Executive giving rise to Cause for termination. It is agreed to by the parties that the below par or below average financial performance of the Company and/or its subsidiaries, in and of itself shall not constitute Cause for employment termination under this Agreement.</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 termination for Cause under this Section 3(c) (other than with respect to Section 3(c)(ii) shall in no event become effective under the Agreement unless the provisions of this paragraph are complied with. The Executive must be given written notice by the Board of the intention to terminate Executive’s employment for Cause, such notice (A) to state in detail the act or acts or failure or failures to act that constitute the grounds on which the proposed termination for Cause is based and (B) to be given within three (3) months of the Board learning of such act or acts or failure or failures to act. The Executive shall have ten (10) days after the date that such written notice has been given to the Executive in which to cure such conduct, to the extent such cure is possible. If the Executive fails to cure such conduct, the Executive shall thereupon be terminated for Cause.</w:t>
      </w:r>
    </w:p>
    <w:p>
      <w:pPr>
        <w:spacing w:after="0" w:line="56" w:lineRule="exact"/>
        <w:rPr>
          <w:sz w:val="20"/>
          <w:szCs w:val="20"/>
          <w:color w:val="auto"/>
        </w:rPr>
      </w:pPr>
    </w:p>
    <w:p>
      <w:pPr>
        <w:jc w:val="both"/>
        <w:ind w:right="60" w:firstLine="987"/>
        <w:spacing w:after="0" w:line="311" w:lineRule="auto"/>
        <w:tabs>
          <w:tab w:leader="none" w:pos="1206" w:val="left"/>
        </w:tabs>
        <w:numPr>
          <w:ilvl w:val="0"/>
          <w:numId w:val="465"/>
        </w:numPr>
        <w:rPr>
          <w:rFonts w:ascii="Arial" w:cs="Arial" w:eastAsia="Arial" w:hAnsi="Arial"/>
          <w:sz w:val="16"/>
          <w:szCs w:val="16"/>
          <w:color w:val="auto"/>
        </w:rPr>
      </w:pPr>
      <w:r>
        <w:rPr>
          <w:rFonts w:ascii="Arial" w:cs="Arial" w:eastAsia="Arial" w:hAnsi="Arial"/>
          <w:sz w:val="16"/>
          <w:szCs w:val="16"/>
          <w:u w:val="single" w:color="auto"/>
          <w:color w:val="auto"/>
        </w:rPr>
        <w:t>Termination by the Company without Cause</w:t>
      </w:r>
      <w:r>
        <w:rPr>
          <w:rFonts w:ascii="Arial" w:cs="Arial" w:eastAsia="Arial" w:hAnsi="Arial"/>
          <w:sz w:val="16"/>
          <w:szCs w:val="16"/>
          <w:color w:val="auto"/>
        </w:rPr>
        <w:t>.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3(b) shall be deemed a termination without Cause.</w:t>
      </w:r>
    </w:p>
    <w:p>
      <w:pPr>
        <w:spacing w:after="0" w:line="40" w:lineRule="exact"/>
        <w:rPr>
          <w:rFonts w:ascii="Arial" w:cs="Arial" w:eastAsia="Arial" w:hAnsi="Arial"/>
          <w:sz w:val="16"/>
          <w:szCs w:val="16"/>
          <w:color w:val="auto"/>
        </w:rPr>
      </w:pPr>
    </w:p>
    <w:p>
      <w:pPr>
        <w:ind w:right="240" w:firstLine="987"/>
        <w:spacing w:after="0" w:line="259" w:lineRule="auto"/>
        <w:tabs>
          <w:tab w:leader="none" w:pos="1296" w:val="left"/>
        </w:tabs>
        <w:numPr>
          <w:ilvl w:val="0"/>
          <w:numId w:val="465"/>
        </w:numPr>
        <w:rPr>
          <w:rFonts w:ascii="Arial" w:cs="Arial" w:eastAsia="Arial" w:hAnsi="Arial"/>
          <w:sz w:val="18"/>
          <w:szCs w:val="18"/>
          <w:color w:val="auto"/>
        </w:rPr>
      </w:pPr>
      <w:r>
        <w:rPr>
          <w:rFonts w:ascii="Arial" w:cs="Arial" w:eastAsia="Arial" w:hAnsi="Arial"/>
          <w:sz w:val="18"/>
          <w:szCs w:val="18"/>
          <w:u w:val="single" w:color="auto"/>
          <w:color w:val="auto"/>
        </w:rPr>
        <w:t>Termination by the Executive</w:t>
      </w:r>
      <w:r>
        <w:rPr>
          <w:rFonts w:ascii="Arial" w:cs="Arial" w:eastAsia="Arial" w:hAnsi="Arial"/>
          <w:sz w:val="18"/>
          <w:szCs w:val="18"/>
          <w:color w:val="auto"/>
        </w:rPr>
        <w:t>. The Executive may terminate employment hereunder at any time for any reason, including but not limited to, Good Reason. For purposes of this Agreement, “</w:t>
      </w:r>
      <w:r>
        <w:rPr>
          <w:rFonts w:ascii="Arial" w:cs="Arial" w:eastAsia="Arial" w:hAnsi="Arial"/>
          <w:sz w:val="18"/>
          <w:szCs w:val="18"/>
          <w:b w:val="1"/>
          <w:bCs w:val="1"/>
          <w:i w:val="1"/>
          <w:iCs w:val="1"/>
          <w:u w:val="single" w:color="auto"/>
          <w:color w:val="auto"/>
        </w:rPr>
        <w:t>Good Reason</w:t>
      </w:r>
      <w:r>
        <w:rPr>
          <w:rFonts w:ascii="Arial" w:cs="Arial" w:eastAsia="Arial" w:hAnsi="Arial"/>
          <w:sz w:val="18"/>
          <w:szCs w:val="18"/>
          <w:color w:val="auto"/>
        </w:rPr>
        <w:t>” shall mean that the Executive has completed all steps of the Good Reason Process (hereinafter defined) following the occurrence of any of the following events without the Executive’s consent (each, a “</w:t>
      </w:r>
      <w:r>
        <w:rPr>
          <w:rFonts w:ascii="Arial" w:cs="Arial" w:eastAsia="Arial" w:hAnsi="Arial"/>
          <w:sz w:val="18"/>
          <w:szCs w:val="18"/>
          <w:b w:val="1"/>
          <w:bCs w:val="1"/>
          <w:i w:val="1"/>
          <w:iCs w:val="1"/>
          <w:u w:val="single" w:color="auto"/>
          <w:color w:val="auto"/>
        </w:rPr>
        <w:t>Good Reason</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Condition</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980" w:right="140" w:firstLine="408"/>
        <w:spacing w:after="0" w:line="277" w:lineRule="auto"/>
        <w:tabs>
          <w:tab w:leader="none" w:pos="1596" w:val="left"/>
        </w:tabs>
        <w:numPr>
          <w:ilvl w:val="1"/>
          <w:numId w:val="465"/>
        </w:numPr>
        <w:rPr>
          <w:rFonts w:ascii="Arial" w:cs="Arial" w:eastAsia="Arial" w:hAnsi="Arial"/>
          <w:sz w:val="18"/>
          <w:szCs w:val="18"/>
          <w:color w:val="auto"/>
        </w:rPr>
      </w:pPr>
      <w:r>
        <w:rPr>
          <w:rFonts w:ascii="Arial" w:cs="Arial" w:eastAsia="Arial" w:hAnsi="Arial"/>
          <w:sz w:val="18"/>
          <w:szCs w:val="18"/>
          <w:color w:val="auto"/>
        </w:rPr>
        <w:t>a material diminution in the Executive’s title, responsibilities, authority or duties; or a material reduction in the authority, duties, or responsibilities of the CEO to whom the Executive is required to report;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3" w:right="499" w:bottom="1440" w:gutter="0" w:footer="0" w:header="0"/>
        </w:sectPr>
      </w:pPr>
    </w:p>
    <w:bookmarkStart w:id="495" w:name="page496"/>
    <w:bookmarkEnd w:id="495"/>
    <w:p>
      <w:pPr>
        <w:jc w:val="both"/>
        <w:ind w:left="984" w:right="400" w:firstLine="408"/>
        <w:spacing w:after="0" w:line="286" w:lineRule="auto"/>
        <w:tabs>
          <w:tab w:leader="none" w:pos="1650" w:val="left"/>
        </w:tabs>
        <w:numPr>
          <w:ilvl w:val="1"/>
          <w:numId w:val="46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Change in Control following which either: (A) there is a material reduction in the budget over which the Executive retains authority or (B) the Executive is not Chief Medical Officer of the Company or, if the Company becomes a subsidiary of one or more entities following the Change in Control, the post-consummation ultimate parent entity of the Company; or</w:t>
      </w:r>
    </w:p>
    <w:p>
      <w:pPr>
        <w:spacing w:after="0" w:line="57" w:lineRule="exact"/>
        <w:rPr>
          <w:rFonts w:ascii="Arial" w:cs="Arial" w:eastAsia="Arial" w:hAnsi="Arial"/>
          <w:sz w:val="17"/>
          <w:szCs w:val="17"/>
          <w:color w:val="auto"/>
        </w:rPr>
      </w:pPr>
    </w:p>
    <w:p>
      <w:pPr>
        <w:ind w:left="984" w:right="20" w:firstLine="408"/>
        <w:spacing w:after="0" w:line="257" w:lineRule="auto"/>
        <w:tabs>
          <w:tab w:leader="none" w:pos="1700" w:val="left"/>
        </w:tabs>
        <w:numPr>
          <w:ilvl w:val="1"/>
          <w:numId w:val="466"/>
        </w:numPr>
        <w:rPr>
          <w:rFonts w:ascii="Arial" w:cs="Arial" w:eastAsia="Arial" w:hAnsi="Arial"/>
          <w:sz w:val="18"/>
          <w:szCs w:val="18"/>
          <w:color w:val="auto"/>
        </w:rPr>
      </w:pPr>
      <w:r>
        <w:rPr>
          <w:rFonts w:ascii="Arial" w:cs="Arial" w:eastAsia="Arial" w:hAnsi="Arial"/>
          <w:sz w:val="18"/>
          <w:szCs w:val="18"/>
          <w:color w:val="auto"/>
        </w:rPr>
        <w:t>a material breach of this Agreement by the Company, including without limitation, a reduction of the Executive’s Base Salary or Target Bonus in violation of Section 2(a) or 2(b) (except for across-the-board salary reductions of not more than ten percent (10%) similarly affecting all or substantially all senior management employees of the Company), or the failure of the Company to obtain the assumption in writing of the Company’s obligations to the Executive under this Agreement by any successor as required under Section 13 below.</w:t>
      </w:r>
    </w:p>
    <w:p>
      <w:pPr>
        <w:spacing w:after="0" w:line="79" w:lineRule="exact"/>
        <w:rPr>
          <w:rFonts w:ascii="Arial" w:cs="Arial" w:eastAsia="Arial" w:hAnsi="Arial"/>
          <w:sz w:val="18"/>
          <w:szCs w:val="18"/>
          <w:color w:val="auto"/>
        </w:rPr>
      </w:pPr>
    </w:p>
    <w:p>
      <w:pPr>
        <w:ind w:left="1244" w:hanging="253"/>
        <w:spacing w:after="0"/>
        <w:tabs>
          <w:tab w:leader="none" w:pos="1244" w:val="left"/>
        </w:tabs>
        <w:numPr>
          <w:ilvl w:val="0"/>
          <w:numId w:val="467"/>
        </w:numPr>
        <w:rPr>
          <w:rFonts w:ascii="Arial" w:cs="Arial" w:eastAsia="Arial" w:hAnsi="Arial"/>
          <w:sz w:val="18"/>
          <w:szCs w:val="18"/>
          <w:color w:val="auto"/>
        </w:rPr>
      </w:pPr>
      <w:r>
        <w:rPr>
          <w:rFonts w:ascii="Arial" w:cs="Arial" w:eastAsia="Arial" w:hAnsi="Arial"/>
          <w:sz w:val="18"/>
          <w:szCs w:val="18"/>
          <w:u w:val="single" w:color="auto"/>
          <w:color w:val="auto"/>
        </w:rPr>
        <w:t>Good Reason Process</w:t>
      </w:r>
      <w:r>
        <w:rPr>
          <w:rFonts w:ascii="Arial" w:cs="Arial" w:eastAsia="Arial" w:hAnsi="Arial"/>
          <w:sz w:val="18"/>
          <w:szCs w:val="18"/>
          <w:color w:val="auto"/>
        </w:rPr>
        <w:t>. The “</w:t>
      </w:r>
      <w:r>
        <w:rPr>
          <w:rFonts w:ascii="Arial" w:cs="Arial" w:eastAsia="Arial" w:hAnsi="Arial"/>
          <w:sz w:val="18"/>
          <w:szCs w:val="18"/>
          <w:b w:val="1"/>
          <w:bCs w:val="1"/>
          <w:i w:val="1"/>
          <w:iCs w:val="1"/>
          <w:u w:val="single" w:color="auto"/>
          <w:color w:val="auto"/>
        </w:rPr>
        <w:t>Good Reason Process</w:t>
      </w:r>
      <w:r>
        <w:rPr>
          <w:rFonts w:ascii="Arial" w:cs="Arial" w:eastAsia="Arial" w:hAnsi="Arial"/>
          <w:sz w:val="18"/>
          <w:szCs w:val="18"/>
          <w:color w:val="auto"/>
        </w:rPr>
        <w:t>” consists of the following steps:</w:t>
      </w:r>
    </w:p>
    <w:p>
      <w:pPr>
        <w:spacing w:after="0" w:line="117" w:lineRule="exact"/>
        <w:rPr>
          <w:rFonts w:ascii="Arial" w:cs="Arial" w:eastAsia="Arial" w:hAnsi="Arial"/>
          <w:sz w:val="18"/>
          <w:szCs w:val="18"/>
          <w:color w:val="auto"/>
        </w:rPr>
      </w:pPr>
    </w:p>
    <w:p>
      <w:pPr>
        <w:ind w:left="1604" w:hanging="212"/>
        <w:spacing w:after="0"/>
        <w:tabs>
          <w:tab w:leader="none" w:pos="1604" w:val="left"/>
        </w:tabs>
        <w:numPr>
          <w:ilvl w:val="1"/>
          <w:numId w:val="467"/>
        </w:numPr>
        <w:rPr>
          <w:rFonts w:ascii="Arial" w:cs="Arial" w:eastAsia="Arial" w:hAnsi="Arial"/>
          <w:sz w:val="18"/>
          <w:szCs w:val="18"/>
          <w:color w:val="auto"/>
        </w:rPr>
      </w:pPr>
      <w:r>
        <w:rPr>
          <w:rFonts w:ascii="Arial" w:cs="Arial" w:eastAsia="Arial" w:hAnsi="Arial"/>
          <w:sz w:val="18"/>
          <w:szCs w:val="18"/>
          <w:color w:val="auto"/>
        </w:rPr>
        <w:t>the Executive reasonably determines in good faith that a Good Reason Condition has occurred;</w:t>
      </w:r>
    </w:p>
    <w:p>
      <w:pPr>
        <w:spacing w:after="0" w:line="117" w:lineRule="exact"/>
        <w:rPr>
          <w:rFonts w:ascii="Arial" w:cs="Arial" w:eastAsia="Arial" w:hAnsi="Arial"/>
          <w:sz w:val="18"/>
          <w:szCs w:val="18"/>
          <w:color w:val="auto"/>
        </w:rPr>
      </w:pPr>
    </w:p>
    <w:p>
      <w:pPr>
        <w:ind w:left="984" w:right="40" w:firstLine="408"/>
        <w:spacing w:after="0" w:line="277" w:lineRule="auto"/>
        <w:tabs>
          <w:tab w:leader="none" w:pos="1650" w:val="left"/>
        </w:tabs>
        <w:numPr>
          <w:ilvl w:val="1"/>
          <w:numId w:val="467"/>
        </w:numPr>
        <w:rPr>
          <w:rFonts w:ascii="Arial" w:cs="Arial" w:eastAsia="Arial" w:hAnsi="Arial"/>
          <w:sz w:val="18"/>
          <w:szCs w:val="18"/>
          <w:color w:val="auto"/>
        </w:rPr>
      </w:pPr>
      <w:r>
        <w:rPr>
          <w:rFonts w:ascii="Arial" w:cs="Arial" w:eastAsia="Arial" w:hAnsi="Arial"/>
          <w:sz w:val="18"/>
          <w:szCs w:val="18"/>
          <w:color w:val="auto"/>
        </w:rPr>
        <w:t>the Executive notifies the Company in writing of the first occurrence of the Good Reason Condition within sixty (60) days of the first occurrence of such condition;</w:t>
      </w:r>
    </w:p>
    <w:p>
      <w:pPr>
        <w:spacing w:after="0" w:line="62" w:lineRule="exact"/>
        <w:rPr>
          <w:rFonts w:ascii="Arial" w:cs="Arial" w:eastAsia="Arial" w:hAnsi="Arial"/>
          <w:sz w:val="18"/>
          <w:szCs w:val="18"/>
          <w:color w:val="auto"/>
        </w:rPr>
      </w:pPr>
    </w:p>
    <w:p>
      <w:pPr>
        <w:ind w:left="984" w:right="160" w:firstLine="408"/>
        <w:spacing w:after="0" w:line="277" w:lineRule="auto"/>
        <w:tabs>
          <w:tab w:leader="none" w:pos="1700" w:val="left"/>
        </w:tabs>
        <w:numPr>
          <w:ilvl w:val="1"/>
          <w:numId w:val="467"/>
        </w:numPr>
        <w:rPr>
          <w:rFonts w:ascii="Arial" w:cs="Arial" w:eastAsia="Arial" w:hAnsi="Arial"/>
          <w:sz w:val="18"/>
          <w:szCs w:val="18"/>
          <w:color w:val="auto"/>
        </w:rPr>
      </w:pPr>
      <w:r>
        <w:rPr>
          <w:rFonts w:ascii="Arial" w:cs="Arial" w:eastAsia="Arial" w:hAnsi="Arial"/>
          <w:sz w:val="18"/>
          <w:szCs w:val="18"/>
          <w:color w:val="auto"/>
        </w:rPr>
        <w:t>the Executive cooperates in good faith with the Company’s efforts, for a period of not less than thirty (30) days following such notice (the “</w:t>
      </w:r>
      <w:r>
        <w:rPr>
          <w:rFonts w:ascii="Arial" w:cs="Arial" w:eastAsia="Arial" w:hAnsi="Arial"/>
          <w:sz w:val="18"/>
          <w:szCs w:val="18"/>
          <w:b w:val="1"/>
          <w:bCs w:val="1"/>
          <w:i w:val="1"/>
          <w:iCs w:val="1"/>
          <w:u w:val="single" w:color="auto"/>
          <w:color w:val="auto"/>
        </w:rPr>
        <w:t>Cure Period</w:t>
      </w:r>
      <w:r>
        <w:rPr>
          <w:rFonts w:ascii="Arial" w:cs="Arial" w:eastAsia="Arial" w:hAnsi="Arial"/>
          <w:sz w:val="18"/>
          <w:szCs w:val="18"/>
          <w:color w:val="auto"/>
        </w:rPr>
        <w:t>”), to remedy the Good Reason Condition;</w:t>
      </w:r>
    </w:p>
    <w:p>
      <w:pPr>
        <w:spacing w:after="0" w:line="62" w:lineRule="exact"/>
        <w:rPr>
          <w:rFonts w:ascii="Arial" w:cs="Arial" w:eastAsia="Arial" w:hAnsi="Arial"/>
          <w:sz w:val="18"/>
          <w:szCs w:val="18"/>
          <w:color w:val="auto"/>
        </w:rPr>
      </w:pPr>
    </w:p>
    <w:p>
      <w:pPr>
        <w:ind w:left="1704" w:hanging="312"/>
        <w:spacing w:after="0"/>
        <w:tabs>
          <w:tab w:leader="none" w:pos="1704" w:val="left"/>
        </w:tabs>
        <w:numPr>
          <w:ilvl w:val="1"/>
          <w:numId w:val="467"/>
        </w:numPr>
        <w:rPr>
          <w:rFonts w:ascii="Arial" w:cs="Arial" w:eastAsia="Arial" w:hAnsi="Arial"/>
          <w:sz w:val="18"/>
          <w:szCs w:val="18"/>
          <w:color w:val="auto"/>
        </w:rPr>
      </w:pPr>
      <w:r>
        <w:rPr>
          <w:rFonts w:ascii="Arial" w:cs="Arial" w:eastAsia="Arial" w:hAnsi="Arial"/>
          <w:sz w:val="18"/>
          <w:szCs w:val="18"/>
          <w:color w:val="auto"/>
        </w:rPr>
        <w:t>notwithstanding such efforts, the Good Reason Condition continues to exist at the end of the Cure Period; and</w:t>
      </w:r>
    </w:p>
    <w:p>
      <w:pPr>
        <w:spacing w:after="0" w:line="117" w:lineRule="exact"/>
        <w:rPr>
          <w:rFonts w:ascii="Arial" w:cs="Arial" w:eastAsia="Arial" w:hAnsi="Arial"/>
          <w:sz w:val="18"/>
          <w:szCs w:val="18"/>
          <w:color w:val="auto"/>
        </w:rPr>
      </w:pPr>
    </w:p>
    <w:p>
      <w:pPr>
        <w:ind w:left="1644" w:hanging="252"/>
        <w:spacing w:after="0"/>
        <w:tabs>
          <w:tab w:leader="none" w:pos="1644" w:val="left"/>
        </w:tabs>
        <w:numPr>
          <w:ilvl w:val="1"/>
          <w:numId w:val="467"/>
        </w:numPr>
        <w:rPr>
          <w:rFonts w:ascii="Arial" w:cs="Arial" w:eastAsia="Arial" w:hAnsi="Arial"/>
          <w:sz w:val="18"/>
          <w:szCs w:val="18"/>
          <w:color w:val="auto"/>
        </w:rPr>
      </w:pPr>
      <w:r>
        <w:rPr>
          <w:rFonts w:ascii="Arial" w:cs="Arial" w:eastAsia="Arial" w:hAnsi="Arial"/>
          <w:sz w:val="18"/>
          <w:szCs w:val="18"/>
          <w:color w:val="auto"/>
        </w:rPr>
        <w:t>the Executive terminates employment within sixty (60) days after the end of the Cure Period.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If the Company cures the Good Reason Condition during the Cure Period, Good Reason shall be deemed not to have occurred.</w:t>
      </w:r>
    </w:p>
    <w:p>
      <w:pPr>
        <w:spacing w:after="0" w:line="225" w:lineRule="exact"/>
        <w:rPr>
          <w:sz w:val="20"/>
          <w:szCs w:val="20"/>
          <w:color w:val="auto"/>
        </w:rPr>
      </w:pPr>
    </w:p>
    <w:p>
      <w:pPr>
        <w:ind w:left="624" w:hanging="184"/>
        <w:spacing w:after="0"/>
        <w:tabs>
          <w:tab w:leader="none" w:pos="624" w:val="left"/>
        </w:tabs>
        <w:numPr>
          <w:ilvl w:val="1"/>
          <w:numId w:val="468"/>
        </w:numPr>
        <w:rPr>
          <w:rFonts w:ascii="Arial" w:cs="Arial" w:eastAsia="Arial" w:hAnsi="Arial"/>
          <w:sz w:val="18"/>
          <w:szCs w:val="18"/>
          <w:color w:val="auto"/>
        </w:rPr>
      </w:pPr>
      <w:r>
        <w:rPr>
          <w:rFonts w:ascii="Arial" w:cs="Arial" w:eastAsia="Arial" w:hAnsi="Arial"/>
          <w:sz w:val="18"/>
          <w:szCs w:val="18"/>
          <w:u w:val="single" w:color="auto"/>
          <w:color w:val="auto"/>
        </w:rPr>
        <w:t>Matters Related to Termination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160" w:firstLine="987"/>
        <w:spacing w:after="0" w:line="311" w:lineRule="auto"/>
        <w:tabs>
          <w:tab w:leader="none" w:pos="1240" w:val="left"/>
        </w:tabs>
        <w:numPr>
          <w:ilvl w:val="2"/>
          <w:numId w:val="468"/>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w:t>
      </w:r>
      <w:r>
        <w:rPr>
          <w:rFonts w:ascii="Arial" w:cs="Arial" w:eastAsia="Arial" w:hAnsi="Arial"/>
          <w:sz w:val="16"/>
          <w:szCs w:val="16"/>
          <w:b w:val="1"/>
          <w:bCs w:val="1"/>
          <w:i w:val="1"/>
          <w:iCs w:val="1"/>
          <w:u w:val="single" w:color="auto"/>
          <w:color w:val="auto"/>
        </w:rPr>
        <w:t>Notice of Termination</w:t>
      </w:r>
      <w:r>
        <w:rPr>
          <w:rFonts w:ascii="Arial" w:cs="Arial" w:eastAsia="Arial" w:hAnsi="Arial"/>
          <w:sz w:val="16"/>
          <w:szCs w:val="16"/>
          <w:color w:val="auto"/>
        </w:rPr>
        <w:t>” shall mean a notice which shall indicate the specific termination provision in this Agreement relied upon.</w:t>
      </w:r>
    </w:p>
    <w:p>
      <w:pPr>
        <w:spacing w:after="0" w:line="40" w:lineRule="exact"/>
        <w:rPr>
          <w:rFonts w:ascii="Arial" w:cs="Arial" w:eastAsia="Arial" w:hAnsi="Arial"/>
          <w:sz w:val="16"/>
          <w:szCs w:val="16"/>
          <w:color w:val="auto"/>
        </w:rPr>
      </w:pPr>
    </w:p>
    <w:p>
      <w:pPr>
        <w:ind w:left="1244" w:hanging="253"/>
        <w:spacing w:after="0"/>
        <w:tabs>
          <w:tab w:leader="none" w:pos="1244" w:val="left"/>
        </w:tabs>
        <w:numPr>
          <w:ilvl w:val="2"/>
          <w:numId w:val="468"/>
        </w:numPr>
        <w:rPr>
          <w:rFonts w:ascii="Arial" w:cs="Arial" w:eastAsia="Arial" w:hAnsi="Arial"/>
          <w:sz w:val="16"/>
          <w:szCs w:val="16"/>
          <w:color w:val="auto"/>
        </w:rPr>
      </w:pPr>
      <w:r>
        <w:rPr>
          <w:rFonts w:ascii="Arial" w:cs="Arial" w:eastAsia="Arial" w:hAnsi="Arial"/>
          <w:sz w:val="16"/>
          <w:szCs w:val="16"/>
          <w:u w:val="single" w:color="auto"/>
          <w:color w:val="auto"/>
        </w:rPr>
        <w:t>Date of Termination</w:t>
      </w:r>
      <w:r>
        <w:rPr>
          <w:rFonts w:ascii="Arial" w:cs="Arial" w:eastAsia="Arial" w:hAnsi="Arial"/>
          <w:sz w:val="16"/>
          <w:szCs w:val="16"/>
          <w:color w:val="auto"/>
        </w:rPr>
        <w:t>. “</w:t>
      </w:r>
      <w:r>
        <w:rPr>
          <w:rFonts w:ascii="Arial" w:cs="Arial" w:eastAsia="Arial" w:hAnsi="Arial"/>
          <w:sz w:val="16"/>
          <w:szCs w:val="16"/>
          <w:b w:val="1"/>
          <w:bCs w:val="1"/>
          <w:i w:val="1"/>
          <w:iCs w:val="1"/>
          <w:u w:val="single" w:color="auto"/>
          <w:color w:val="auto"/>
        </w:rPr>
        <w:t>Date of Termination</w:t>
      </w:r>
      <w:r>
        <w:rPr>
          <w:rFonts w:ascii="Arial" w:cs="Arial" w:eastAsia="Arial" w:hAnsi="Arial"/>
          <w:sz w:val="16"/>
          <w:szCs w:val="16"/>
          <w:color w:val="auto"/>
        </w:rPr>
        <w:t>” shall mean: (i) if the Executive’s employment is terminated by death, the date of death;</w:t>
      </w:r>
    </w:p>
    <w:p>
      <w:pPr>
        <w:spacing w:after="0" w:line="46" w:lineRule="exact"/>
        <w:rPr>
          <w:rFonts w:ascii="Arial" w:cs="Arial" w:eastAsia="Arial" w:hAnsi="Arial"/>
          <w:sz w:val="16"/>
          <w:szCs w:val="16"/>
          <w:color w:val="auto"/>
        </w:rPr>
      </w:pPr>
    </w:p>
    <w:p>
      <w:pPr>
        <w:ind w:left="4" w:hanging="4"/>
        <w:spacing w:after="0" w:line="323" w:lineRule="auto"/>
        <w:tabs>
          <w:tab w:leader="none" w:pos="269" w:val="left"/>
        </w:tabs>
        <w:numPr>
          <w:ilvl w:val="0"/>
          <w:numId w:val="469"/>
        </w:numPr>
        <w:rPr>
          <w:rFonts w:ascii="Arial" w:cs="Arial" w:eastAsia="Arial" w:hAnsi="Arial"/>
          <w:sz w:val="16"/>
          <w:szCs w:val="16"/>
          <w:color w:val="auto"/>
        </w:rPr>
      </w:pPr>
      <w:r>
        <w:rPr>
          <w:rFonts w:ascii="Arial" w:cs="Arial" w:eastAsia="Arial" w:hAnsi="Arial"/>
          <w:sz w:val="16"/>
          <w:szCs w:val="16"/>
          <w:color w:val="auto"/>
        </w:rPr>
        <w:t>if the Executive’s employment is terminated on account of disability under Section 3(b) or by the Company for Cause under Section 3(c), the date on which Notice of Termination is given; (iii) if the Executive’s employment is terminated by the Company without Cause under Section 3(d), thirty</w:t>
      </w:r>
    </w:p>
    <w:p>
      <w:pPr>
        <w:spacing w:after="0" w:line="7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73" w:right="479" w:bottom="1440" w:gutter="0" w:footer="0" w:header="0"/>
        </w:sectPr>
      </w:pPr>
    </w:p>
    <w:bookmarkStart w:id="496" w:name="page497"/>
    <w:bookmarkEnd w:id="496"/>
    <w:p>
      <w:pPr>
        <w:ind w:left="4" w:right="140" w:hanging="4"/>
        <w:spacing w:after="0" w:line="273" w:lineRule="auto"/>
        <w:tabs>
          <w:tab w:leader="none" w:pos="349" w:val="left"/>
        </w:tabs>
        <w:numPr>
          <w:ilvl w:val="0"/>
          <w:numId w:val="47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days after the date on which a Notice of Termination is given or a later date otherwise specified by the Company in the Notice of Termination; (iv) if the Executive’s employment is terminated by the Executive under Section 3(e) other than for Good Reason, thirty (30) days after the date on which a Notice of Termination is given, and (v) if the Executive’s employment is terminated by the Executive under Section 3(e) for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69" w:lineRule="exact"/>
        <w:rPr>
          <w:rFonts w:ascii="Arial" w:cs="Arial" w:eastAsia="Arial" w:hAnsi="Arial"/>
          <w:sz w:val="17"/>
          <w:szCs w:val="17"/>
          <w:color w:val="auto"/>
        </w:rPr>
      </w:pPr>
    </w:p>
    <w:p>
      <w:pPr>
        <w:ind w:left="4" w:firstLine="987"/>
        <w:spacing w:after="0" w:line="290" w:lineRule="auto"/>
        <w:tabs>
          <w:tab w:leader="none" w:pos="1240" w:val="left"/>
        </w:tabs>
        <w:numPr>
          <w:ilvl w:val="2"/>
          <w:numId w:val="470"/>
        </w:numPr>
        <w:rPr>
          <w:rFonts w:ascii="Arial" w:cs="Arial" w:eastAsia="Arial" w:hAnsi="Arial"/>
          <w:sz w:val="16"/>
          <w:szCs w:val="16"/>
          <w:color w:val="auto"/>
        </w:rPr>
      </w:pPr>
      <w:r>
        <w:rPr>
          <w:rFonts w:ascii="Arial" w:cs="Arial" w:eastAsia="Arial" w:hAnsi="Arial"/>
          <w:sz w:val="16"/>
          <w:szCs w:val="16"/>
          <w:u w:val="single" w:color="auto"/>
          <w:color w:val="auto"/>
        </w:rPr>
        <w:t>Accrued Obligations</w:t>
      </w:r>
      <w:r>
        <w:rPr>
          <w:rFonts w:ascii="Arial" w:cs="Arial" w:eastAsia="Arial" w:hAnsi="Arial"/>
          <w:sz w:val="16"/>
          <w:szCs w:val="16"/>
          <w:color w:val="auto"/>
        </w:rPr>
        <w:t>. If the Executive’s employment with the Company is terminated for any reason, the Company shall pay or provide to the Executive (or to the Executive’s authorized representative or estate) (i) any Base Salary earned through the Date of Termination; (ii) unpaid expense reimbursements (subject to, and in accordance with, Section 2(c) of this Agreement); and (iii) any vested benefits the Executive may have under any employee benefit plan or compensation arrangement of the Company (including equity compensation plans and insurance coverages) through the Date of Termination, which vested benefits shall be paid and/or provided in accordance with the terms of such employee benefit plans. In the event that the Executive terminates employment due to death or Disability (as defined in Section 3(b) above), the Executive (or in the case of death, the Executive’s estate) shall be entitled to receive the Earned Bonus (as defined in Section 5(a)) at the same time bonuses are paid to other employees who are actively employed by the Company. The amounts described under this Section 4(c) are referred to below as the “</w:t>
      </w:r>
      <w:r>
        <w:rPr>
          <w:rFonts w:ascii="Arial" w:cs="Arial" w:eastAsia="Arial" w:hAnsi="Arial"/>
          <w:sz w:val="16"/>
          <w:szCs w:val="16"/>
          <w:b w:val="1"/>
          <w:bCs w:val="1"/>
          <w:i w:val="1"/>
          <w:iCs w:val="1"/>
          <w:u w:val="single" w:color="auto"/>
          <w:color w:val="auto"/>
        </w:rPr>
        <w:t>Accrued Obligations</w:t>
      </w:r>
      <w:r>
        <w:rPr>
          <w:rFonts w:ascii="Arial" w:cs="Arial" w:eastAsia="Arial" w:hAnsi="Arial"/>
          <w:sz w:val="16"/>
          <w:szCs w:val="16"/>
          <w:color w:val="auto"/>
        </w:rPr>
        <w:t>.”</w:t>
      </w:r>
    </w:p>
    <w:p>
      <w:pPr>
        <w:spacing w:after="0" w:line="57" w:lineRule="exact"/>
        <w:rPr>
          <w:rFonts w:ascii="Arial" w:cs="Arial" w:eastAsia="Arial" w:hAnsi="Arial"/>
          <w:sz w:val="16"/>
          <w:szCs w:val="16"/>
          <w:color w:val="auto"/>
        </w:rPr>
      </w:pPr>
    </w:p>
    <w:p>
      <w:pPr>
        <w:ind w:left="4" w:right="60" w:firstLine="987"/>
        <w:spacing w:after="0" w:line="259" w:lineRule="auto"/>
        <w:tabs>
          <w:tab w:leader="none" w:pos="1250" w:val="left"/>
        </w:tabs>
        <w:numPr>
          <w:ilvl w:val="2"/>
          <w:numId w:val="470"/>
        </w:numPr>
        <w:rPr>
          <w:rFonts w:ascii="Arial" w:cs="Arial" w:eastAsia="Arial" w:hAnsi="Arial"/>
          <w:sz w:val="18"/>
          <w:szCs w:val="18"/>
          <w:color w:val="auto"/>
        </w:rPr>
      </w:pPr>
      <w:r>
        <w:rPr>
          <w:rFonts w:ascii="Arial" w:cs="Arial" w:eastAsia="Arial" w:hAnsi="Arial"/>
          <w:sz w:val="18"/>
          <w:szCs w:val="18"/>
          <w:u w:val="single" w:color="auto"/>
          <w:color w:val="auto"/>
        </w:rPr>
        <w:t>Resignation of All Other Positions</w:t>
      </w:r>
      <w:r>
        <w:rPr>
          <w:rFonts w:ascii="Arial" w:cs="Arial" w:eastAsia="Arial" w:hAnsi="Arial"/>
          <w:sz w:val="18"/>
          <w:szCs w:val="18"/>
          <w:color w:val="auto"/>
        </w:rPr>
        <w:t>. To the extent applicable, the Executive shall be deemed to have resigned from all officer and board member positions that the Executive holds with the Company or any of its respective subsidiaries and affiliates upon the termination of the Executive’s employment for any reason. The Executive shall execute any documents in reasonable form as may be requested to confirm or effectuate any such resignations.</w:t>
      </w:r>
    </w:p>
    <w:p>
      <w:pPr>
        <w:spacing w:after="0" w:line="186" w:lineRule="exact"/>
        <w:rPr>
          <w:rFonts w:ascii="Arial" w:cs="Arial" w:eastAsia="Arial" w:hAnsi="Arial"/>
          <w:sz w:val="18"/>
          <w:szCs w:val="18"/>
          <w:color w:val="auto"/>
        </w:rPr>
      </w:pPr>
    </w:p>
    <w:p>
      <w:pPr>
        <w:ind w:left="4" w:right="180" w:firstLine="436"/>
        <w:spacing w:after="0" w:line="293" w:lineRule="auto"/>
        <w:tabs>
          <w:tab w:leader="none" w:pos="624" w:val="left"/>
        </w:tabs>
        <w:numPr>
          <w:ilvl w:val="1"/>
          <w:numId w:val="470"/>
        </w:numPr>
        <w:rPr>
          <w:rFonts w:ascii="Arial" w:cs="Arial" w:eastAsia="Arial" w:hAnsi="Arial"/>
          <w:sz w:val="16"/>
          <w:szCs w:val="16"/>
          <w:color w:val="auto"/>
        </w:rPr>
      </w:pPr>
      <w:r>
        <w:rPr>
          <w:rFonts w:ascii="Arial" w:cs="Arial" w:eastAsia="Arial" w:hAnsi="Arial"/>
          <w:sz w:val="16"/>
          <w:szCs w:val="16"/>
          <w:u w:val="single" w:color="auto"/>
          <w:color w:val="auto"/>
        </w:rPr>
        <w:t>Severance Pay and Benefits Upon Termination by the Company without Cause or by the Executive for Good Reason</w:t>
      </w:r>
      <w:r>
        <w:rPr>
          <w:rFonts w:ascii="Arial" w:cs="Arial" w:eastAsia="Arial" w:hAnsi="Arial"/>
          <w:sz w:val="16"/>
          <w:szCs w:val="16"/>
          <w:color w:val="auto"/>
        </w:rPr>
        <w:t xml:space="preserve">. If the Executive’s employment is terminated by the Company without Cause as provided in Section 3(d), or the Executive terminates employment for Good Reason as provided in Section 3(e), then, in addition to the Accrued Obligations, and subject to (i) the Executive signing a separation agreement and release in a form substantially the same as set forth in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(the “</w:t>
      </w:r>
      <w:r>
        <w:rPr>
          <w:rFonts w:ascii="Arial" w:cs="Arial" w:eastAsia="Arial" w:hAnsi="Arial"/>
          <w:sz w:val="16"/>
          <w:szCs w:val="16"/>
          <w:b w:val="1"/>
          <w:bCs w:val="1"/>
          <w:i w:val="1"/>
          <w:iCs w:val="1"/>
          <w:u w:val="single" w:color="auto"/>
          <w:color w:val="auto"/>
        </w:rPr>
        <w:t>Separation Agreement</w:t>
      </w:r>
      <w:r>
        <w:rPr>
          <w:rFonts w:ascii="Arial" w:cs="Arial" w:eastAsia="Arial" w:hAnsi="Arial"/>
          <w:sz w:val="16"/>
          <w:szCs w:val="16"/>
          <w:color w:val="auto"/>
        </w:rPr>
        <w:t>”), which provides that if the Executive materially breaches any of the Continuing Obligations, all payments of the Severance Amount shall immediately cease, and (ii) the Separation Agreement becoming irrevocable, all within sixty (60) days after the Date of Termination (or such shorter period as set forth in the Separation Agreement):</w:t>
      </w:r>
    </w:p>
    <w:p>
      <w:pPr>
        <w:spacing w:after="0" w:line="56" w:lineRule="exact"/>
        <w:rPr>
          <w:rFonts w:ascii="Arial" w:cs="Arial" w:eastAsia="Arial" w:hAnsi="Arial"/>
          <w:sz w:val="16"/>
          <w:szCs w:val="16"/>
          <w:color w:val="auto"/>
        </w:rPr>
      </w:pPr>
    </w:p>
    <w:p>
      <w:pPr>
        <w:ind w:left="1244" w:hanging="253"/>
        <w:spacing w:after="0"/>
        <w:tabs>
          <w:tab w:leader="none" w:pos="1244" w:val="left"/>
        </w:tabs>
        <w:numPr>
          <w:ilvl w:val="2"/>
          <w:numId w:val="471"/>
        </w:numPr>
        <w:rPr>
          <w:rFonts w:ascii="Arial" w:cs="Arial" w:eastAsia="Arial" w:hAnsi="Arial"/>
          <w:sz w:val="17"/>
          <w:szCs w:val="17"/>
          <w:color w:val="auto"/>
        </w:rPr>
      </w:pPr>
      <w:r>
        <w:rPr>
          <w:rFonts w:ascii="Arial" w:cs="Arial" w:eastAsia="Arial" w:hAnsi="Arial"/>
          <w:sz w:val="17"/>
          <w:szCs w:val="17"/>
          <w:u w:val="single" w:color="auto"/>
          <w:color w:val="auto"/>
        </w:rPr>
        <w:t>Cash Severance</w:t>
      </w:r>
      <w:r>
        <w:rPr>
          <w:rFonts w:ascii="Arial" w:cs="Arial" w:eastAsia="Arial" w:hAnsi="Arial"/>
          <w:sz w:val="17"/>
          <w:szCs w:val="17"/>
          <w:color w:val="auto"/>
        </w:rPr>
        <w:t>. The Company shall pay the Executive an amount equal to nine (9) months’ of the Executive’s Base Salary (the</w:t>
      </w:r>
    </w:p>
    <w:p>
      <w:pPr>
        <w:spacing w:after="0" w:line="35" w:lineRule="exact"/>
        <w:rPr>
          <w:sz w:val="20"/>
          <w:szCs w:val="20"/>
          <w:color w:val="auto"/>
        </w:rPr>
      </w:pPr>
    </w:p>
    <w:p>
      <w:pPr>
        <w:jc w:val="both"/>
        <w:ind w:left="4" w:right="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Severance Amount</w:t>
      </w:r>
      <w:r>
        <w:rPr>
          <w:rFonts w:ascii="Arial" w:cs="Arial" w:eastAsia="Arial" w:hAnsi="Arial"/>
          <w:sz w:val="18"/>
          <w:szCs w:val="18"/>
          <w:color w:val="auto"/>
        </w:rPr>
        <w:t>”) and, in the event that the Executive’s employment is terminated after the end of the calendar year but prior to the payment of any Annual Bonus for the immediately preceding calendar year, the Executive shall be entitled to receive a lump sum payment of any unpaid Annual Bonus earned based on achievement of the applicable performance goals and objectives, without any reduction for individual performance, with respect to such immediately preceding calendar year (the “Earned Bonus”).</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3" w:right="459" w:bottom="1440" w:gutter="0" w:footer="0" w:header="0"/>
        </w:sectPr>
      </w:pPr>
    </w:p>
    <w:bookmarkStart w:id="497" w:name="page498"/>
    <w:bookmarkEnd w:id="497"/>
    <w:p>
      <w:pPr>
        <w:jc w:val="both"/>
        <w:ind w:left="4" w:right="160" w:firstLine="987"/>
        <w:spacing w:after="0" w:line="286" w:lineRule="auto"/>
        <w:tabs>
          <w:tab w:leader="none" w:pos="1250" w:val="left"/>
        </w:tabs>
        <w:numPr>
          <w:ilvl w:val="1"/>
          <w:numId w:val="47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COBRA Premiums</w:t>
      </w:r>
      <w:r>
        <w:rPr>
          <w:rFonts w:ascii="Arial" w:cs="Arial" w:eastAsia="Arial" w:hAnsi="Arial"/>
          <w:sz w:val="16"/>
          <w:szCs w:val="16"/>
          <w:color w:val="auto"/>
        </w:rPr>
        <w:t>. Subject to the Executive’s copayment of premium amounts at the applicable active employees’ rate and the Executive’s proper election to receive benefits under the Consolidated Omnibus Budget Reconciliation Act of 1985, as amended (“</w:t>
      </w:r>
      <w:r>
        <w:rPr>
          <w:rFonts w:ascii="Arial" w:cs="Arial" w:eastAsia="Arial" w:hAnsi="Arial"/>
          <w:sz w:val="16"/>
          <w:szCs w:val="16"/>
          <w:b w:val="1"/>
          <w:bCs w:val="1"/>
          <w:i w:val="1"/>
          <w:iCs w:val="1"/>
          <w:u w:val="single" w:color="auto"/>
          <w:color w:val="auto"/>
        </w:rPr>
        <w:t>COBRA</w:t>
      </w:r>
      <w:r>
        <w:rPr>
          <w:rFonts w:ascii="Arial" w:cs="Arial" w:eastAsia="Arial" w:hAnsi="Arial"/>
          <w:sz w:val="16"/>
          <w:szCs w:val="16"/>
          <w:color w:val="auto"/>
        </w:rPr>
        <w:t>”), the Company shall pay to the group health plan provider or the COBRA provider a monthly payment equal to the monthly employer contribution that the Company would have made to provide health insurance to the Executive if the Executive had remained employed by the Company until the earliest of</w:t>
      </w:r>
    </w:p>
    <w:p>
      <w:pPr>
        <w:spacing w:after="0" w:line="1" w:lineRule="exact"/>
        <w:rPr>
          <w:rFonts w:ascii="Arial" w:cs="Arial" w:eastAsia="Arial" w:hAnsi="Arial"/>
          <w:sz w:val="16"/>
          <w:szCs w:val="16"/>
          <w:color w:val="auto"/>
        </w:rPr>
      </w:pPr>
    </w:p>
    <w:p>
      <w:pPr>
        <w:ind w:left="4" w:right="120" w:hanging="4"/>
        <w:spacing w:after="0" w:line="270" w:lineRule="auto"/>
        <w:tabs>
          <w:tab w:leader="none" w:pos="299" w:val="left"/>
        </w:tabs>
        <w:numPr>
          <w:ilvl w:val="0"/>
          <w:numId w:val="473"/>
        </w:numPr>
        <w:rPr>
          <w:rFonts w:ascii="Arial" w:cs="Arial" w:eastAsia="Arial" w:hAnsi="Arial"/>
          <w:sz w:val="17"/>
          <w:szCs w:val="17"/>
          <w:color w:val="auto"/>
        </w:rPr>
      </w:pPr>
      <w:r>
        <w:rPr>
          <w:rFonts w:ascii="Arial" w:cs="Arial" w:eastAsia="Arial" w:hAnsi="Arial"/>
          <w:sz w:val="17"/>
          <w:szCs w:val="17"/>
          <w:color w:val="auto"/>
        </w:rPr>
        <w:t>the nine (9) month anniversary of the Date of Termination; (B) the date that the Executive becomes eligible for group medical plan benefits under any other employer’s group medical plan; or (C) the cessation of the Executive’s 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to the Executive shall be subject to tax-related deductions and withholdings and paid on the Company’s regular payroll dates.</w:t>
      </w:r>
    </w:p>
    <w:p>
      <w:pPr>
        <w:spacing w:after="0" w:line="70" w:lineRule="exact"/>
        <w:rPr>
          <w:rFonts w:ascii="Arial" w:cs="Arial" w:eastAsia="Arial" w:hAnsi="Arial"/>
          <w:sz w:val="17"/>
          <w:szCs w:val="17"/>
          <w:color w:val="auto"/>
        </w:rPr>
      </w:pPr>
    </w:p>
    <w:p>
      <w:pPr>
        <w:ind w:left="4" w:firstLine="987"/>
        <w:spacing w:after="0" w:line="287" w:lineRule="auto"/>
        <w:tabs>
          <w:tab w:leader="none" w:pos="1240" w:val="left"/>
        </w:tabs>
        <w:numPr>
          <w:ilvl w:val="1"/>
          <w:numId w:val="473"/>
        </w:numPr>
        <w:rPr>
          <w:rFonts w:ascii="Arial" w:cs="Arial" w:eastAsia="Arial" w:hAnsi="Arial"/>
          <w:sz w:val="16"/>
          <w:szCs w:val="16"/>
          <w:color w:val="auto"/>
        </w:rPr>
      </w:pPr>
      <w:r>
        <w:rPr>
          <w:rFonts w:ascii="Arial" w:cs="Arial" w:eastAsia="Arial" w:hAnsi="Arial"/>
          <w:sz w:val="16"/>
          <w:szCs w:val="16"/>
          <w:u w:val="single" w:color="auto"/>
          <w:color w:val="auto"/>
        </w:rPr>
        <w:t>Delayed Forfeiture of Time-Based Equity Awards</w:t>
      </w:r>
      <w:r>
        <w:rPr>
          <w:rFonts w:ascii="Arial" w:cs="Arial" w:eastAsia="Arial" w:hAnsi="Arial"/>
          <w:sz w:val="16"/>
          <w:szCs w:val="16"/>
          <w:color w:val="auto"/>
        </w:rPr>
        <w:t>. Notwithstanding anything to the contrary in any Time-Based Equity Awards, if the Separation Agreement becomes effective, the unvested portions of all Time-Based Equity Awards shall not terminate or be forfeited on the Date of Termination, but rather shall remain outstanding until ninety (90) days after the Date of Termination (the “</w:t>
      </w:r>
      <w:r>
        <w:rPr>
          <w:rFonts w:ascii="Arial" w:cs="Arial" w:eastAsia="Arial" w:hAnsi="Arial"/>
          <w:sz w:val="16"/>
          <w:szCs w:val="16"/>
          <w:b w:val="1"/>
          <w:bCs w:val="1"/>
          <w:i w:val="1"/>
          <w:iCs w:val="1"/>
          <w:u w:val="single" w:color="auto"/>
          <w:color w:val="auto"/>
        </w:rPr>
        <w:t>Pre-CIC Protection Period</w:t>
      </w:r>
      <w:r>
        <w:rPr>
          <w:rFonts w:ascii="Arial" w:cs="Arial" w:eastAsia="Arial" w:hAnsi="Arial"/>
          <w:sz w:val="16"/>
          <w:szCs w:val="16"/>
          <w:color w:val="auto"/>
        </w:rPr>
        <w:t>”). If the Company has not, prior to the end of the Pre-CIC Protection Period, entered into a definitive agreement that, if closed, would result in a Change in Control (a “</w:t>
      </w:r>
      <w:r>
        <w:rPr>
          <w:rFonts w:ascii="Arial" w:cs="Arial" w:eastAsia="Arial" w:hAnsi="Arial"/>
          <w:sz w:val="16"/>
          <w:szCs w:val="16"/>
          <w:b w:val="1"/>
          <w:bCs w:val="1"/>
          <w:i w:val="1"/>
          <w:iCs w:val="1"/>
          <w:u w:val="single" w:color="auto"/>
          <w:color w:val="auto"/>
        </w:rPr>
        <w:t>P&amp;S Agreement</w:t>
      </w:r>
      <w:r>
        <w:rPr>
          <w:rFonts w:ascii="Arial" w:cs="Arial" w:eastAsia="Arial" w:hAnsi="Arial"/>
          <w:sz w:val="16"/>
          <w:szCs w:val="16"/>
          <w:color w:val="auto"/>
        </w:rPr>
        <w:t>”), then the unvested portion of the Time-Based Equity Awards shall terminate and be forfeited. If the Company, prior the end of the Pre-CIC Protection Period, enters into a P&amp;S Agreement, then the Time-Based Equity Awards shall remain outstanding and become fully vested upon a Change in Control resulting from such agreement. Time-Based Equity Awards shall terminate and be forfeited if the Company abandons a sale of the Company as contemplated under the P&amp;S Agreement entered into during the Pre-CIC Protection Period. No additional vesting of the Time-Based Equity Awards shall occur following the Date of Termination except on account of a Change in Control during or after the Pre-CIC Protection Period as specifically provided above. For the avoidance of doubt, any unvested Performance-Based Equity Awards shall terminate and be forfeited on the Date of Termination unless otherwise provided by the terms of the Plan or the applicable award agreement.</w:t>
      </w:r>
    </w:p>
    <w:p>
      <w:pPr>
        <w:spacing w:after="0" w:line="63" w:lineRule="exact"/>
        <w:rPr>
          <w:rFonts w:ascii="Arial" w:cs="Arial" w:eastAsia="Arial" w:hAnsi="Arial"/>
          <w:sz w:val="16"/>
          <w:szCs w:val="16"/>
          <w:color w:val="auto"/>
        </w:rPr>
      </w:pPr>
    </w:p>
    <w:p>
      <w:pPr>
        <w:ind w:left="4" w:right="120" w:firstLine="987"/>
        <w:spacing w:after="0" w:line="291" w:lineRule="auto"/>
        <w:tabs>
          <w:tab w:leader="none" w:pos="1250" w:val="left"/>
        </w:tabs>
        <w:numPr>
          <w:ilvl w:val="1"/>
          <w:numId w:val="473"/>
        </w:numPr>
        <w:rPr>
          <w:rFonts w:ascii="Arial" w:cs="Arial" w:eastAsia="Arial" w:hAnsi="Arial"/>
          <w:sz w:val="16"/>
          <w:szCs w:val="16"/>
          <w:color w:val="auto"/>
        </w:rPr>
      </w:pPr>
      <w:r>
        <w:rPr>
          <w:rFonts w:ascii="Arial" w:cs="Arial" w:eastAsia="Arial" w:hAnsi="Arial"/>
          <w:sz w:val="16"/>
          <w:szCs w:val="16"/>
          <w:u w:val="single" w:color="auto"/>
          <w:color w:val="auto"/>
        </w:rPr>
        <w:t>Severance Payment Timing</w:t>
      </w:r>
      <w:r>
        <w:rPr>
          <w:rFonts w:ascii="Arial" w:cs="Arial" w:eastAsia="Arial" w:hAnsi="Arial"/>
          <w:sz w:val="16"/>
          <w:szCs w:val="16"/>
          <w:color w:val="auto"/>
        </w:rPr>
        <w:t>. The amounts payable under Section 5 (other than the Earned Bonus, as applicable), to the extent taxable, shall be paid or commence to be paid within thirty (30) days after the Date of Termination (or such longer period as required in order to have an enforceable release, but in no event later than sixty (60) days after the Date of Termination); provided, however, that if the period applicable to Executive’s termination of employment begins in one calendar year and ends in a second calendar year, such payments to the extent they qualify as “non-qualified deferred compensation” within the meaning of Section 409A of the Internal Revenue Code of 1986, as amended (the “</w:t>
      </w:r>
      <w:r>
        <w:rPr>
          <w:rFonts w:ascii="Arial" w:cs="Arial" w:eastAsia="Arial" w:hAnsi="Arial"/>
          <w:sz w:val="16"/>
          <w:szCs w:val="16"/>
          <w:b w:val="1"/>
          <w:bCs w:val="1"/>
          <w:i w:val="1"/>
          <w:iCs w:val="1"/>
          <w:u w:val="single" w:color="auto"/>
          <w:color w:val="auto"/>
        </w:rPr>
        <w:t>Code</w:t>
      </w:r>
      <w:r>
        <w:rPr>
          <w:rFonts w:ascii="Arial" w:cs="Arial" w:eastAsia="Arial" w:hAnsi="Arial"/>
          <w:sz w:val="16"/>
          <w:szCs w:val="16"/>
          <w:color w:val="auto"/>
        </w:rPr>
        <w:t>”), shall be paid or commence to be paid in the second calendar year by the last day of such period. The Severance Amount shall be paid in a single lump sum and the Earned Bonus, if any, shall be paid at the same time as if the Executive had remained employed with the Company through the payment date.</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273" w:right="479" w:bottom="1440" w:gutter="0" w:footer="0" w:header="0"/>
        </w:sectPr>
      </w:pPr>
    </w:p>
    <w:bookmarkStart w:id="498" w:name="page499"/>
    <w:bookmarkEnd w:id="498"/>
    <w:p>
      <w:pPr>
        <w:ind w:left="4" w:firstLine="436"/>
        <w:spacing w:after="0" w:line="286" w:lineRule="auto"/>
        <w:tabs>
          <w:tab w:leader="none" w:pos="624" w:val="left"/>
        </w:tabs>
        <w:numPr>
          <w:ilvl w:val="1"/>
          <w:numId w:val="47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Severance Pay and Benefits Upon Termination by the Company without Cause or by the Executive for Good Reason within the Change in Control Period</w:t>
      </w:r>
      <w:r>
        <w:rPr>
          <w:rFonts w:ascii="Arial" w:cs="Arial" w:eastAsia="Arial" w:hAnsi="Arial"/>
          <w:sz w:val="16"/>
          <w:szCs w:val="16"/>
          <w:color w:val="auto"/>
        </w:rPr>
        <w:t>. The provisions of this Section 6 shall apply in lieu of, and expressly supersede, the provisions of Section 5 if (i) the Executive’s employment is terminated either (a) by the Company without Cause as provided in Section 3(d), or (b) by the Executive for Good Reason as provided in Section 3(e), and (ii) the Date of Termination is during the Change in Control Period. The “</w:t>
      </w:r>
      <w:r>
        <w:rPr>
          <w:rFonts w:ascii="Arial" w:cs="Arial" w:eastAsia="Arial" w:hAnsi="Arial"/>
          <w:sz w:val="16"/>
          <w:szCs w:val="16"/>
          <w:b w:val="1"/>
          <w:bCs w:val="1"/>
          <w:i w:val="1"/>
          <w:iCs w:val="1"/>
          <w:u w:val="single" w:color="auto"/>
          <w:color w:val="auto"/>
        </w:rPr>
        <w:t>Change in Control Period</w:t>
      </w:r>
      <w:r>
        <w:rPr>
          <w:rFonts w:ascii="Arial" w:cs="Arial" w:eastAsia="Arial" w:hAnsi="Arial"/>
          <w:sz w:val="16"/>
          <w:szCs w:val="16"/>
          <w:color w:val="auto"/>
        </w:rPr>
        <w:t>” shall begin on the earlier of</w:t>
      </w:r>
    </w:p>
    <w:p>
      <w:pPr>
        <w:spacing w:after="0" w:line="1" w:lineRule="exact"/>
        <w:rPr>
          <w:rFonts w:ascii="Arial" w:cs="Arial" w:eastAsia="Arial" w:hAnsi="Arial"/>
          <w:sz w:val="16"/>
          <w:szCs w:val="16"/>
          <w:color w:val="auto"/>
        </w:rPr>
      </w:pPr>
    </w:p>
    <w:p>
      <w:pPr>
        <w:ind w:left="4" w:right="40" w:hanging="4"/>
        <w:spacing w:after="0" w:line="270" w:lineRule="auto"/>
        <w:tabs>
          <w:tab w:leader="none" w:pos="249" w:val="left"/>
        </w:tabs>
        <w:numPr>
          <w:ilvl w:val="0"/>
          <w:numId w:val="475"/>
        </w:numPr>
        <w:rPr>
          <w:rFonts w:ascii="Arial" w:cs="Arial" w:eastAsia="Arial" w:hAnsi="Arial"/>
          <w:sz w:val="17"/>
          <w:szCs w:val="17"/>
          <w:color w:val="auto"/>
        </w:rPr>
      </w:pPr>
      <w:r>
        <w:rPr>
          <w:rFonts w:ascii="Arial" w:cs="Arial" w:eastAsia="Arial" w:hAnsi="Arial"/>
          <w:sz w:val="17"/>
          <w:szCs w:val="17"/>
          <w:color w:val="auto"/>
        </w:rPr>
        <w:t>the signing of a P&amp;S Agreement and (b) the date that is 3 months prior to the closing of a Change in Control, and shall end on the date that is twelve (12) months after the occurrence of the first event constituting a Change in Control. These provisions shall terminate and be of no further force or effect after the Change in Control Period. In no event will the Executive be entitled to severance benefits under both Section 5 and Section 6 of this Agreement. If the Company has commenced providing severance pay and benefits to the Executive under Section 5 prior to the date that the Executive becomes eligible to receive severance pay and benefits under this Section 6, the severance pay and benefits previously provided to the Executive under Section 5 shall reduce the severance pay and benefits to be provided under this Section 6.</w:t>
      </w:r>
    </w:p>
    <w:p>
      <w:pPr>
        <w:spacing w:after="0" w:line="178" w:lineRule="exact"/>
        <w:rPr>
          <w:sz w:val="20"/>
          <w:szCs w:val="20"/>
          <w:color w:val="auto"/>
        </w:rPr>
      </w:pPr>
    </w:p>
    <w:p>
      <w:pPr>
        <w:ind w:left="4" w:right="80"/>
        <w:spacing w:after="0" w:line="301" w:lineRule="auto"/>
        <w:rPr>
          <w:sz w:val="20"/>
          <w:szCs w:val="20"/>
          <w:color w:val="auto"/>
        </w:rPr>
      </w:pPr>
      <w:r>
        <w:rPr>
          <w:rFonts w:ascii="Arial" w:cs="Arial" w:eastAsia="Arial" w:hAnsi="Arial"/>
          <w:sz w:val="16"/>
          <w:szCs w:val="16"/>
          <w:color w:val="auto"/>
        </w:rPr>
        <w:t>If the Executive’s employment is terminated by the Company without Cause as provided in Section 3(d) or the Executive terminates employment for Good Reason as provided in Section 3(e) and in each case the Date of Termination occurs during the Change in Control Period, then, in addition to the Accrued Obligations, and subject to the signing of the Separation Agreement by the Executive and the Separation Agreement becoming fully effective, all within the time frame set forth in the Separation Agreement but in no event more than sixty (60) days after the Date of Termination:</w:t>
      </w:r>
    </w:p>
    <w:p>
      <w:pPr>
        <w:spacing w:after="0" w:line="49" w:lineRule="exact"/>
        <w:rPr>
          <w:sz w:val="20"/>
          <w:szCs w:val="20"/>
          <w:color w:val="auto"/>
        </w:rPr>
      </w:pPr>
    </w:p>
    <w:p>
      <w:pPr>
        <w:jc w:val="both"/>
        <w:ind w:left="4" w:right="80" w:firstLine="987"/>
        <w:spacing w:after="0" w:line="259" w:lineRule="auto"/>
        <w:tabs>
          <w:tab w:leader="none" w:pos="1240" w:val="left"/>
        </w:tabs>
        <w:numPr>
          <w:ilvl w:val="0"/>
          <w:numId w:val="476"/>
        </w:numPr>
        <w:rPr>
          <w:rFonts w:ascii="Arial" w:cs="Arial" w:eastAsia="Arial" w:hAnsi="Arial"/>
          <w:sz w:val="18"/>
          <w:szCs w:val="18"/>
          <w:color w:val="auto"/>
        </w:rPr>
      </w:pPr>
      <w:r>
        <w:rPr>
          <w:rFonts w:ascii="Arial" w:cs="Arial" w:eastAsia="Arial" w:hAnsi="Arial"/>
          <w:sz w:val="18"/>
          <w:szCs w:val="18"/>
          <w:u w:val="single" w:color="auto"/>
          <w:color w:val="auto"/>
        </w:rPr>
        <w:t>Cash Severance</w:t>
      </w:r>
      <w:r>
        <w:rPr>
          <w:rFonts w:ascii="Arial" w:cs="Arial" w:eastAsia="Arial" w:hAnsi="Arial"/>
          <w:sz w:val="18"/>
          <w:szCs w:val="18"/>
          <w:color w:val="auto"/>
        </w:rPr>
        <w:t>. The Company shall pay the Executive a lump sum in cash in an amount equal to the sum of (A) twelve (12) months’ of the Executive’s then-current Base Salary (or the Executive’s Base Salary in effect immediately prior to the Change in Control, if higher), and (B) the Executive’s Target Bonus for the then-current year (or the Executive’s Target Bonus in effect immediately prior to the Change in Control, if higher), plus, if applicable, any Earned Bonus (the “</w:t>
      </w:r>
      <w:r>
        <w:rPr>
          <w:rFonts w:ascii="Arial" w:cs="Arial" w:eastAsia="Arial" w:hAnsi="Arial"/>
          <w:sz w:val="18"/>
          <w:szCs w:val="18"/>
          <w:b w:val="1"/>
          <w:bCs w:val="1"/>
          <w:i w:val="1"/>
          <w:iCs w:val="1"/>
          <w:u w:val="single" w:color="auto"/>
          <w:color w:val="auto"/>
        </w:rPr>
        <w:t>Change in Control Payment</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4" w:right="120" w:firstLine="987"/>
        <w:spacing w:after="0" w:line="273" w:lineRule="auto"/>
        <w:tabs>
          <w:tab w:leader="none" w:pos="1250" w:val="left"/>
        </w:tabs>
        <w:numPr>
          <w:ilvl w:val="0"/>
          <w:numId w:val="476"/>
        </w:numPr>
        <w:rPr>
          <w:rFonts w:ascii="Arial" w:cs="Arial" w:eastAsia="Arial" w:hAnsi="Arial"/>
          <w:sz w:val="17"/>
          <w:szCs w:val="17"/>
          <w:color w:val="auto"/>
        </w:rPr>
      </w:pPr>
      <w:r>
        <w:rPr>
          <w:rFonts w:ascii="Arial" w:cs="Arial" w:eastAsia="Arial" w:hAnsi="Arial"/>
          <w:sz w:val="17"/>
          <w:szCs w:val="17"/>
          <w:u w:val="single" w:color="auto"/>
          <w:color w:val="auto"/>
        </w:rPr>
        <w:t>COBRA Premiums</w:t>
      </w:r>
      <w:r>
        <w:rPr>
          <w:rFonts w:ascii="Arial" w:cs="Arial" w:eastAsia="Arial" w:hAnsi="Arial"/>
          <w:sz w:val="17"/>
          <w:szCs w:val="17"/>
          <w:color w:val="auto"/>
        </w:rPr>
        <w:t>. Subject to the Executive’s copayment of premium amounts at the applicable active employees’ rate and the Executive’s proper election to receive benefits under COBRA, the Company shall pay to the group health plan provider or the COBRA provider a monthly payment equal to the monthly employer contribution that the Company would have made to provide health insurance to the Executive if the Executive had remained employed by the Company until the earliest of (A) the twelve (12) month anniversary of the Date of Termination; (B) the date that the Executive becomes eligible for group medical plan benefits under any other employer’s group medical plan; or (C) the cessation of the Executive’s health continuation rights under COBRA; provided, however, that if the Company determines that it</w:t>
      </w:r>
    </w:p>
    <w:p>
      <w:pPr>
        <w:spacing w:after="0" w:line="11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4"/>
          </w:cols>
          <w:pgMar w:left="436" w:top="273" w:right="499" w:bottom="1440" w:gutter="0" w:footer="0" w:header="0"/>
        </w:sectPr>
      </w:pPr>
    </w:p>
    <w:bookmarkStart w:id="499" w:name="page500"/>
    <w:bookmarkEnd w:id="49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to the Executive shall be subject to tax-related deductions and withholdings and paid on the Company’s regular payroll dates.</w:t>
      </w:r>
    </w:p>
    <w:p>
      <w:pPr>
        <w:spacing w:after="0" w:line="79" w:lineRule="exact"/>
        <w:rPr>
          <w:sz w:val="20"/>
          <w:szCs w:val="20"/>
          <w:color w:val="auto"/>
        </w:rPr>
      </w:pPr>
    </w:p>
    <w:p>
      <w:pPr>
        <w:ind w:firstLine="987"/>
        <w:spacing w:after="0" w:line="270" w:lineRule="auto"/>
        <w:tabs>
          <w:tab w:leader="none" w:pos="1236" w:val="left"/>
        </w:tabs>
        <w:numPr>
          <w:ilvl w:val="1"/>
          <w:numId w:val="477"/>
        </w:numPr>
        <w:rPr>
          <w:rFonts w:ascii="Arial" w:cs="Arial" w:eastAsia="Arial" w:hAnsi="Arial"/>
          <w:sz w:val="17"/>
          <w:szCs w:val="17"/>
          <w:color w:val="auto"/>
        </w:rPr>
      </w:pPr>
      <w:r>
        <w:rPr>
          <w:rFonts w:ascii="Arial" w:cs="Arial" w:eastAsia="Arial" w:hAnsi="Arial"/>
          <w:sz w:val="17"/>
          <w:szCs w:val="17"/>
          <w:u w:val="single" w:color="auto"/>
          <w:color w:val="auto"/>
        </w:rPr>
        <w:t>Accelerated Vesting of Equity Awards</w:t>
      </w:r>
      <w:r>
        <w:rPr>
          <w:rFonts w:ascii="Arial" w:cs="Arial" w:eastAsia="Arial" w:hAnsi="Arial"/>
          <w:sz w:val="17"/>
          <w:szCs w:val="17"/>
          <w:color w:val="auto"/>
        </w:rPr>
        <w:t>. Notwithstanding anything to the contrary in any Equity Award, the Time-Based Equity Awards shall immediately accelerate and become fully vested and exercisable or nonforfeitable as if the Executive had remained employed with the Company as of the later of (i) the Date of Termination (or, if later, the Change in Control) or (ii) the effective date of the Separation Agreement (the “</w:t>
      </w:r>
      <w:r>
        <w:rPr>
          <w:rFonts w:ascii="Arial" w:cs="Arial" w:eastAsia="Arial" w:hAnsi="Arial"/>
          <w:sz w:val="17"/>
          <w:szCs w:val="17"/>
          <w:b w:val="1"/>
          <w:bCs w:val="1"/>
          <w:i w:val="1"/>
          <w:iCs w:val="1"/>
          <w:u w:val="single" w:color="auto"/>
          <w:color w:val="auto"/>
        </w:rPr>
        <w:t>Accelerated</w:t>
      </w:r>
      <w:r>
        <w:rPr>
          <w:rFonts w:ascii="Arial" w:cs="Arial" w:eastAsia="Arial" w:hAnsi="Arial"/>
          <w:sz w:val="17"/>
          <w:szCs w:val="17"/>
          <w:color w:val="auto"/>
        </w:rPr>
        <w:t xml:space="preserve"> </w:t>
      </w:r>
      <w:r>
        <w:rPr>
          <w:rFonts w:ascii="Arial" w:cs="Arial" w:eastAsia="Arial" w:hAnsi="Arial"/>
          <w:sz w:val="17"/>
          <w:szCs w:val="17"/>
          <w:b w:val="1"/>
          <w:bCs w:val="1"/>
          <w:i w:val="1"/>
          <w:iCs w:val="1"/>
          <w:u w:val="single" w:color="auto"/>
          <w:color w:val="auto"/>
        </w:rPr>
        <w:t>Vesting Date</w:t>
      </w:r>
      <w:r>
        <w:rPr>
          <w:rFonts w:ascii="Arial" w:cs="Arial" w:eastAsia="Arial" w:hAnsi="Arial"/>
          <w:sz w:val="17"/>
          <w:szCs w:val="17"/>
          <w:color w:val="auto"/>
        </w:rPr>
        <w:t>”), provided that in order to effectuate the accelerated vesting contemplated by this subsection, the unvested portion of such Equity Awards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would otherwise terminate or be forfeited on the Date of Termination will be delayed until the earlier of (A) the effective date of the Separation Agreement (at which time acceleration will occur), or (B) the date that the Separation Agreement can no longer become fully effective (at which time the unvested portion of the Executive’s Time-Based Equity Awards will terminate or be forfeited). Notwithstanding the foregoing, no additional time-based vesting of the Time-Based Equity Awards shall occur during the period between the Date of Termination and the Accelerated Vesting Date except as specifically provided in this Section 6(c).</w:t>
      </w:r>
    </w:p>
    <w:p>
      <w:pPr>
        <w:spacing w:after="0" w:line="72" w:lineRule="exact"/>
        <w:rPr>
          <w:rFonts w:ascii="Arial" w:cs="Arial" w:eastAsia="Arial" w:hAnsi="Arial"/>
          <w:sz w:val="17"/>
          <w:szCs w:val="17"/>
          <w:color w:val="auto"/>
        </w:rPr>
      </w:pPr>
    </w:p>
    <w:p>
      <w:pPr>
        <w:ind w:firstLine="987"/>
        <w:spacing w:after="0" w:line="301" w:lineRule="auto"/>
        <w:tabs>
          <w:tab w:leader="none" w:pos="1246" w:val="left"/>
        </w:tabs>
        <w:numPr>
          <w:ilvl w:val="1"/>
          <w:numId w:val="477"/>
        </w:numPr>
        <w:rPr>
          <w:rFonts w:ascii="Arial" w:cs="Arial" w:eastAsia="Arial" w:hAnsi="Arial"/>
          <w:sz w:val="16"/>
          <w:szCs w:val="16"/>
          <w:color w:val="auto"/>
        </w:rPr>
      </w:pPr>
      <w:r>
        <w:rPr>
          <w:rFonts w:ascii="Arial" w:cs="Arial" w:eastAsia="Arial" w:hAnsi="Arial"/>
          <w:sz w:val="16"/>
          <w:szCs w:val="16"/>
          <w:u w:val="single" w:color="auto"/>
          <w:color w:val="auto"/>
        </w:rPr>
        <w:t>Change in Control Payment Timing</w:t>
      </w:r>
      <w:r>
        <w:rPr>
          <w:rFonts w:ascii="Arial" w:cs="Arial" w:eastAsia="Arial" w:hAnsi="Arial"/>
          <w:sz w:val="16"/>
          <w:szCs w:val="16"/>
          <w:color w:val="auto"/>
        </w:rPr>
        <w:t>. The amounts payable under this Section 6, to the extent taxable, shall be paid or commence to be paid within sixty (60) days after the Date of Termination or, if later, the Change in Control; provided, however, that if the 60-day period begins in one calendar year and ends in a second calendar year, such payments to the extent they qualify as “non-qualified deferred compensation” within the meaning of Section 409A of the Code, shall be paid or commence to be paid in the second calendar year by the last day of such 60-day period.</w:t>
      </w:r>
    </w:p>
    <w:p>
      <w:pPr>
        <w:spacing w:after="0" w:line="157" w:lineRule="exact"/>
        <w:rPr>
          <w:rFonts w:ascii="Arial" w:cs="Arial" w:eastAsia="Arial" w:hAnsi="Arial"/>
          <w:sz w:val="16"/>
          <w:szCs w:val="16"/>
          <w:color w:val="auto"/>
        </w:rPr>
      </w:pPr>
    </w:p>
    <w:p>
      <w:pPr>
        <w:ind w:left="620" w:hanging="184"/>
        <w:spacing w:after="0"/>
        <w:tabs>
          <w:tab w:leader="none" w:pos="620" w:val="left"/>
        </w:tabs>
        <w:numPr>
          <w:ilvl w:val="0"/>
          <w:numId w:val="478"/>
        </w:numPr>
        <w:rPr>
          <w:rFonts w:ascii="Arial" w:cs="Arial" w:eastAsia="Arial" w:hAnsi="Arial"/>
          <w:sz w:val="18"/>
          <w:szCs w:val="18"/>
          <w:color w:val="auto"/>
        </w:rPr>
      </w:pPr>
      <w:r>
        <w:rPr>
          <w:rFonts w:ascii="Arial" w:cs="Arial" w:eastAsia="Arial" w:hAnsi="Arial"/>
          <w:sz w:val="18"/>
          <w:szCs w:val="18"/>
          <w:u w:val="single" w:color="auto"/>
          <w:color w:val="auto"/>
        </w:rPr>
        <w:t>280G Limitation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987"/>
        <w:spacing w:after="0" w:line="287" w:lineRule="auto"/>
        <w:tabs>
          <w:tab w:leader="none" w:pos="1226" w:val="left"/>
        </w:tabs>
        <w:numPr>
          <w:ilvl w:val="1"/>
          <w:numId w:val="478"/>
        </w:numPr>
        <w:rPr>
          <w:rFonts w:ascii="Arial" w:cs="Arial" w:eastAsia="Arial" w:hAnsi="Arial"/>
          <w:sz w:val="16"/>
          <w:szCs w:val="16"/>
          <w:color w:val="auto"/>
        </w:rPr>
      </w:pPr>
      <w:r>
        <w:rPr>
          <w:rFonts w:ascii="Arial" w:cs="Arial" w:eastAsia="Arial" w:hAnsi="Arial"/>
          <w:sz w:val="16"/>
          <w:szCs w:val="16"/>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w:t>
      </w:r>
      <w:r>
        <w:rPr>
          <w:rFonts w:ascii="Arial" w:cs="Arial" w:eastAsia="Arial" w:hAnsi="Arial"/>
          <w:sz w:val="16"/>
          <w:szCs w:val="16"/>
          <w:b w:val="1"/>
          <w:bCs w:val="1"/>
          <w:i w:val="1"/>
          <w:iCs w:val="1"/>
          <w:u w:val="single" w:color="auto"/>
          <w:color w:val="auto"/>
        </w:rPr>
        <w:t>Aggregate Payments</w:t>
      </w:r>
      <w:r>
        <w:rPr>
          <w:rFonts w:ascii="Arial" w:cs="Arial" w:eastAsia="Arial" w:hAnsi="Arial"/>
          <w:sz w:val="16"/>
          <w:szCs w:val="16"/>
          <w:color w:val="auto"/>
        </w:rPr>
        <w:t>”),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3" w:right="479" w:bottom="1440" w:gutter="0" w:footer="0" w:header="0"/>
        </w:sectPr>
      </w:pPr>
    </w:p>
    <w:bookmarkStart w:id="500" w:name="page501"/>
    <w:bookmarkEnd w:id="500"/>
    <w:p>
      <w:pPr>
        <w:ind w:right="60" w:firstLine="987"/>
        <w:spacing w:after="0" w:line="255" w:lineRule="auto"/>
        <w:tabs>
          <w:tab w:leader="none" w:pos="1246" w:val="left"/>
        </w:tabs>
        <w:numPr>
          <w:ilvl w:val="1"/>
          <w:numId w:val="4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this Section 7, the “</w:t>
      </w:r>
      <w:r>
        <w:rPr>
          <w:rFonts w:ascii="Arial" w:cs="Arial" w:eastAsia="Arial" w:hAnsi="Arial"/>
          <w:sz w:val="18"/>
          <w:szCs w:val="18"/>
          <w:b w:val="1"/>
          <w:bCs w:val="1"/>
          <w:i w:val="1"/>
          <w:iCs w:val="1"/>
          <w:u w:val="single" w:color="auto"/>
          <w:color w:val="auto"/>
        </w:rPr>
        <w:t>After Tax Amount</w:t>
      </w:r>
      <w:r>
        <w:rPr>
          <w:rFonts w:ascii="Arial" w:cs="Arial" w:eastAsia="Arial" w:hAnsi="Arial"/>
          <w:sz w:val="18"/>
          <w:szCs w:val="18"/>
          <w:color w:val="auto"/>
        </w:rPr>
        <w: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84" w:lineRule="exact"/>
        <w:rPr>
          <w:rFonts w:ascii="Arial" w:cs="Arial" w:eastAsia="Arial" w:hAnsi="Arial"/>
          <w:sz w:val="18"/>
          <w:szCs w:val="18"/>
          <w:color w:val="auto"/>
        </w:rPr>
      </w:pPr>
    </w:p>
    <w:p>
      <w:pPr>
        <w:ind w:right="20" w:firstLine="987"/>
        <w:spacing w:after="0" w:line="284" w:lineRule="auto"/>
        <w:tabs>
          <w:tab w:leader="none" w:pos="1236" w:val="left"/>
        </w:tabs>
        <w:numPr>
          <w:ilvl w:val="1"/>
          <w:numId w:val="479"/>
        </w:numPr>
        <w:rPr>
          <w:rFonts w:ascii="Arial" w:cs="Arial" w:eastAsia="Arial" w:hAnsi="Arial"/>
          <w:sz w:val="16"/>
          <w:szCs w:val="16"/>
          <w:color w:val="auto"/>
        </w:rPr>
      </w:pPr>
      <w:r>
        <w:rPr>
          <w:rFonts w:ascii="Arial" w:cs="Arial" w:eastAsia="Arial" w:hAnsi="Arial"/>
          <w:sz w:val="16"/>
          <w:szCs w:val="16"/>
          <w:color w:val="auto"/>
        </w:rPr>
        <w:t>For purposes of determining whether and the extent to which the Aggregate Payments will be subject to the excise tax, (i) no portion of the Aggregate Payments the receipt or enjoyment of which Executive shall have waived at such time and in such manner as not to constitute a “payment” within the meaning of Section 280G(b) of the Code shall be taken into account, (ii) no portion of the Aggregate Payments shall be taken into account which, in the written opinion of independent auditors or advisors of nationally recognized standing (“</w:t>
      </w:r>
      <w:r>
        <w:rPr>
          <w:rFonts w:ascii="Arial" w:cs="Arial" w:eastAsia="Arial" w:hAnsi="Arial"/>
          <w:sz w:val="16"/>
          <w:szCs w:val="16"/>
          <w:b w:val="1"/>
          <w:bCs w:val="1"/>
          <w:i w:val="1"/>
          <w:iCs w:val="1"/>
          <w:color w:val="auto"/>
        </w:rPr>
        <w:t>Independent Advisors</w:t>
      </w:r>
      <w:r>
        <w:rPr>
          <w:rFonts w:ascii="Arial" w:cs="Arial" w:eastAsia="Arial" w:hAnsi="Arial"/>
          <w:sz w:val="16"/>
          <w:szCs w:val="16"/>
          <w:color w:val="auto"/>
        </w:rPr>
        <w:t>”) selected by the Company prior to a Change in Control, does not constitute a “parachute payment” within the meaning of Section 280G(b)(2) of the Code (including by reason of Section 280G(b)(4)(A) of the Code) and, in calculating the excise tax, no portion of such Aggregate Payments shall be taken into account which, in the opinion of Independent Advisors, constitutes reasonable compensation for services actually rendered, within the meaning of</w:t>
      </w:r>
    </w:p>
    <w:p>
      <w:pPr>
        <w:spacing w:after="0" w:line="2" w:lineRule="exact"/>
        <w:rPr>
          <w:rFonts w:ascii="Arial" w:cs="Arial" w:eastAsia="Arial" w:hAnsi="Arial"/>
          <w:sz w:val="16"/>
          <w:szCs w:val="16"/>
          <w:color w:val="auto"/>
        </w:rPr>
      </w:pPr>
    </w:p>
    <w:p>
      <w:pPr>
        <w:spacing w:after="0" w:line="252" w:lineRule="auto"/>
        <w:rPr>
          <w:rFonts w:ascii="Arial" w:cs="Arial" w:eastAsia="Arial" w:hAnsi="Arial"/>
          <w:sz w:val="16"/>
          <w:szCs w:val="16"/>
          <w:color w:val="auto"/>
        </w:rPr>
      </w:pPr>
      <w:r>
        <w:rPr>
          <w:rFonts w:ascii="Arial" w:cs="Arial" w:eastAsia="Arial" w:hAnsi="Arial"/>
          <w:sz w:val="18"/>
          <w:szCs w:val="18"/>
          <w:color w:val="auto"/>
        </w:rPr>
        <w:t>Section 280G(b)(4)(B) of the Code, in excess of the “base amount” (as defined in Section 280G(b)(3) of the Code) allocable to such reasonable compensation, and (iii) the value of any non-cash benefit or any deferred payment or benefit included in the Aggregate Payments shall be determined by the Independent Advisors in accordance with the principles of Sections 280G(d)(3) and (4) of the Code. The Independent Advisors shall provide detailed supporting calculations both to the Company and the Executive within fifteen (15) business days of the Date of Termination, if applicable, or at such earlier time as is reasonably requested by the Company or the Executive. Any determination by the Independent Advisors shall be binding upon the Company and the Executive.</w:t>
      </w:r>
    </w:p>
    <w:p>
      <w:pPr>
        <w:spacing w:after="0" w:line="193" w:lineRule="exact"/>
        <w:rPr>
          <w:rFonts w:ascii="Arial" w:cs="Arial" w:eastAsia="Arial" w:hAnsi="Arial"/>
          <w:sz w:val="16"/>
          <w:szCs w:val="16"/>
          <w:color w:val="auto"/>
        </w:rPr>
      </w:pPr>
    </w:p>
    <w:p>
      <w:pPr>
        <w:ind w:left="620" w:hanging="184"/>
        <w:spacing w:after="0"/>
        <w:tabs>
          <w:tab w:leader="none" w:pos="620" w:val="left"/>
        </w:tabs>
        <w:numPr>
          <w:ilvl w:val="0"/>
          <w:numId w:val="480"/>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987"/>
        <w:spacing w:after="0" w:line="255" w:lineRule="auto"/>
        <w:tabs>
          <w:tab w:leader="none" w:pos="1236" w:val="left"/>
        </w:tabs>
        <w:numPr>
          <w:ilvl w:val="1"/>
          <w:numId w:val="480"/>
        </w:numPr>
        <w:rPr>
          <w:rFonts w:ascii="Arial" w:cs="Arial" w:eastAsia="Arial" w:hAnsi="Arial"/>
          <w:sz w:val="18"/>
          <w:szCs w:val="18"/>
          <w:color w:val="auto"/>
        </w:rPr>
      </w:pPr>
      <w:r>
        <w:rPr>
          <w:rFonts w:ascii="Arial" w:cs="Arial" w:eastAsia="Arial" w:hAnsi="Arial"/>
          <w:sz w:val="18"/>
          <w:szCs w:val="18"/>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 (B)(i) of the Code, then to the extent any payment or benefit that the Executive becomes entitled to under this Agreement or otherwise on account of the Executive’s separation from service would be considered deferred compensation otherwise subject to the 20% additional tax imposed pursuant to Section 409A(a) of the Code as a result of the application of Section 409A(a)(2)(B)(i) of the Code, such payment shall not be payable and such benefit shall not be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3" w:right="459" w:bottom="1440" w:gutter="0" w:footer="0" w:header="0"/>
        </w:sectPr>
      </w:pPr>
    </w:p>
    <w:bookmarkStart w:id="501" w:name="page502"/>
    <w:bookmarkEnd w:id="50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 until the date that is the earlier of (A) six (6)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6-month period but for the application of this provision, and the balance of the installments shall be payable in accordance with their original schedule.</w:t>
      </w:r>
    </w:p>
    <w:p>
      <w:pPr>
        <w:spacing w:after="0" w:line="79" w:lineRule="exact"/>
        <w:rPr>
          <w:sz w:val="20"/>
          <w:szCs w:val="20"/>
          <w:color w:val="auto"/>
        </w:rPr>
      </w:pPr>
    </w:p>
    <w:p>
      <w:pPr>
        <w:ind w:right="40" w:firstLine="987"/>
        <w:spacing w:after="0" w:line="273" w:lineRule="auto"/>
        <w:tabs>
          <w:tab w:leader="none" w:pos="1246" w:val="left"/>
        </w:tabs>
        <w:numPr>
          <w:ilvl w:val="0"/>
          <w:numId w:val="481"/>
        </w:numPr>
        <w:rPr>
          <w:rFonts w:ascii="Arial" w:cs="Arial" w:eastAsia="Arial" w:hAnsi="Arial"/>
          <w:sz w:val="17"/>
          <w:szCs w:val="17"/>
          <w:color w:val="auto"/>
        </w:rPr>
      </w:pPr>
      <w:r>
        <w:rPr>
          <w:rFonts w:ascii="Arial" w:cs="Arial" w:eastAsia="Arial" w:hAnsi="Arial"/>
          <w:sz w:val="17"/>
          <w:szCs w:val="17"/>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69" w:lineRule="exact"/>
        <w:rPr>
          <w:rFonts w:ascii="Arial" w:cs="Arial" w:eastAsia="Arial" w:hAnsi="Arial"/>
          <w:sz w:val="17"/>
          <w:szCs w:val="17"/>
          <w:color w:val="auto"/>
        </w:rPr>
      </w:pPr>
    </w:p>
    <w:p>
      <w:pPr>
        <w:jc w:val="both"/>
        <w:ind w:right="160" w:firstLine="987"/>
        <w:spacing w:after="0" w:line="279" w:lineRule="auto"/>
        <w:tabs>
          <w:tab w:leader="none" w:pos="1236" w:val="left"/>
        </w:tabs>
        <w:numPr>
          <w:ilvl w:val="0"/>
          <w:numId w:val="481"/>
        </w:numPr>
        <w:rPr>
          <w:rFonts w:ascii="Arial" w:cs="Arial" w:eastAsia="Arial" w:hAnsi="Arial"/>
          <w:sz w:val="17"/>
          <w:szCs w:val="17"/>
          <w:color w:val="auto"/>
        </w:rPr>
      </w:pPr>
      <w:r>
        <w:rPr>
          <w:rFonts w:ascii="Arial" w:cs="Arial" w:eastAsia="Arial" w:hAnsi="Arial"/>
          <w:sz w:val="17"/>
          <w:szCs w:val="17"/>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spacing w:after="0" w:line="63" w:lineRule="exact"/>
        <w:rPr>
          <w:rFonts w:ascii="Arial" w:cs="Arial" w:eastAsia="Arial" w:hAnsi="Arial"/>
          <w:sz w:val="17"/>
          <w:szCs w:val="17"/>
          <w:color w:val="auto"/>
        </w:rPr>
      </w:pPr>
    </w:p>
    <w:p>
      <w:pPr>
        <w:ind w:right="220" w:firstLine="987"/>
        <w:spacing w:after="0" w:line="290" w:lineRule="auto"/>
        <w:tabs>
          <w:tab w:leader="none" w:pos="1246" w:val="left"/>
        </w:tabs>
        <w:numPr>
          <w:ilvl w:val="0"/>
          <w:numId w:val="481"/>
        </w:numPr>
        <w:rPr>
          <w:rFonts w:ascii="Arial" w:cs="Arial" w:eastAsia="Arial" w:hAnsi="Arial"/>
          <w:sz w:val="16"/>
          <w:szCs w:val="16"/>
          <w:color w:val="auto"/>
        </w:rPr>
      </w:pPr>
      <w:r>
        <w:rPr>
          <w:rFonts w:ascii="Arial" w:cs="Arial" w:eastAsia="Arial" w:hAnsi="Arial"/>
          <w:sz w:val="16"/>
          <w:szCs w:val="16"/>
          <w:color w:val="auto"/>
        </w:rPr>
        <w:t>The parties intend that this Agreement will be administered in a manner not intended to violate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Any such payment that may be excluded from Section 409A either as separation pay due to an involuntary separation from service or as a short-term deferral (each as described in Treasury regulations issued under Section 409A) shall be excluded from Section 409A to the greatest extent possible.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57" w:lineRule="exact"/>
        <w:rPr>
          <w:rFonts w:ascii="Arial" w:cs="Arial" w:eastAsia="Arial" w:hAnsi="Arial"/>
          <w:sz w:val="16"/>
          <w:szCs w:val="16"/>
          <w:color w:val="auto"/>
        </w:rPr>
      </w:pPr>
    </w:p>
    <w:p>
      <w:pPr>
        <w:ind w:firstLine="987"/>
        <w:spacing w:after="0" w:line="263" w:lineRule="auto"/>
        <w:tabs>
          <w:tab w:leader="none" w:pos="1236" w:val="left"/>
        </w:tabs>
        <w:numPr>
          <w:ilvl w:val="0"/>
          <w:numId w:val="481"/>
        </w:numPr>
        <w:rPr>
          <w:rFonts w:ascii="Arial" w:cs="Arial" w:eastAsia="Arial" w:hAnsi="Arial"/>
          <w:sz w:val="18"/>
          <w:szCs w:val="18"/>
          <w:color w:val="auto"/>
        </w:rPr>
      </w:pPr>
      <w:r>
        <w:rPr>
          <w:rFonts w:ascii="Arial" w:cs="Arial" w:eastAsia="Arial" w:hAnsi="Arial"/>
          <w:sz w:val="18"/>
          <w:szCs w:val="18"/>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440" w:top="273" w:right="519" w:bottom="1440" w:gutter="0" w:footer="0" w:header="0"/>
        </w:sectPr>
      </w:pPr>
    </w:p>
    <w:bookmarkStart w:id="502" w:name="page503"/>
    <w:bookmarkEnd w:id="502"/>
    <w:p>
      <w:pPr>
        <w:ind w:left="580" w:hanging="184"/>
        <w:spacing w:after="0"/>
        <w:tabs>
          <w:tab w:leader="none" w:pos="580" w:val="left"/>
        </w:tabs>
        <w:numPr>
          <w:ilvl w:val="0"/>
          <w:numId w:val="48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Continuing Obligations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0" w:right="120" w:firstLine="987"/>
        <w:spacing w:after="0" w:line="275" w:lineRule="auto"/>
        <w:tabs>
          <w:tab w:leader="none" w:pos="1196" w:val="left"/>
        </w:tabs>
        <w:numPr>
          <w:ilvl w:val="1"/>
          <w:numId w:val="482"/>
        </w:numPr>
        <w:rPr>
          <w:rFonts w:ascii="Arial" w:cs="Arial" w:eastAsia="Arial" w:hAnsi="Arial"/>
          <w:sz w:val="17"/>
          <w:szCs w:val="17"/>
          <w:color w:val="auto"/>
        </w:rPr>
      </w:pPr>
      <w:r>
        <w:rPr>
          <w:rFonts w:ascii="Arial" w:cs="Arial" w:eastAsia="Arial" w:hAnsi="Arial"/>
          <w:sz w:val="17"/>
          <w:szCs w:val="17"/>
          <w:u w:val="single" w:color="auto"/>
          <w:color w:val="auto"/>
        </w:rPr>
        <w:t>Restrictive Covenants Agreement</w:t>
      </w:r>
      <w:r>
        <w:rPr>
          <w:rFonts w:ascii="Arial" w:cs="Arial" w:eastAsia="Arial" w:hAnsi="Arial"/>
          <w:sz w:val="17"/>
          <w:szCs w:val="17"/>
          <w:color w:val="auto"/>
        </w:rPr>
        <w:t>. By signing this Agreement, the Executive reaffirms that the terms of the Employee Proprietary Information and Inventions Assignment Agreement, dated July 12, 2020 between the Company and the Executive (the “</w:t>
      </w:r>
      <w:r>
        <w:rPr>
          <w:rFonts w:ascii="Arial" w:cs="Arial" w:eastAsia="Arial" w:hAnsi="Arial"/>
          <w:sz w:val="17"/>
          <w:szCs w:val="17"/>
          <w:b w:val="1"/>
          <w:bCs w:val="1"/>
          <w:i w:val="1"/>
          <w:iCs w:val="1"/>
          <w:u w:val="single" w:color="auto"/>
          <w:color w:val="auto"/>
        </w:rPr>
        <w:t>Restrictive Covenants</w:t>
      </w:r>
      <w:r>
        <w:rPr>
          <w:rFonts w:ascii="Arial" w:cs="Arial" w:eastAsia="Arial" w:hAnsi="Arial"/>
          <w:sz w:val="17"/>
          <w:szCs w:val="17"/>
          <w:color w:val="auto"/>
        </w:rPr>
        <w:t xml:space="preserve"> </w:t>
      </w:r>
      <w:r>
        <w:rPr>
          <w:rFonts w:ascii="Arial" w:cs="Arial" w:eastAsia="Arial" w:hAnsi="Arial"/>
          <w:sz w:val="17"/>
          <w:szCs w:val="17"/>
          <w:b w:val="1"/>
          <w:bCs w:val="1"/>
          <w:i w:val="1"/>
          <w:iCs w:val="1"/>
          <w:u w:val="single" w:color="auto"/>
          <w:color w:val="auto"/>
        </w:rPr>
        <w:t>Agreement</w:t>
      </w:r>
      <w:r>
        <w:rPr>
          <w:rFonts w:ascii="Arial" w:cs="Arial" w:eastAsia="Arial" w:hAnsi="Arial"/>
          <w:sz w:val="17"/>
          <w:szCs w:val="17"/>
          <w:color w:val="auto"/>
        </w:rPr>
        <w:t>”) continues to be in full force and effect. For purposes of this Agreement, the obligations in this Section 9 and those that arise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Restrictive Covenants Agreement and any other agreement relating to confidentiality, assignment of inventions, or other restrictive covenants that may later be agreed to by the Executive shall collectively be referred to as the “</w:t>
      </w:r>
      <w:r>
        <w:rPr>
          <w:rFonts w:ascii="Arial" w:cs="Arial" w:eastAsia="Arial" w:hAnsi="Arial"/>
          <w:sz w:val="17"/>
          <w:szCs w:val="17"/>
          <w:b w:val="1"/>
          <w:bCs w:val="1"/>
          <w:i w:val="1"/>
          <w:iCs w:val="1"/>
          <w:u w:val="single" w:color="auto"/>
          <w:color w:val="auto"/>
        </w:rPr>
        <w:t>Continuing Obligations</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ind w:left="-40" w:right="100" w:firstLine="987"/>
        <w:spacing w:after="0" w:line="254" w:lineRule="auto"/>
        <w:tabs>
          <w:tab w:leader="none" w:pos="1206" w:val="left"/>
        </w:tabs>
        <w:numPr>
          <w:ilvl w:val="1"/>
          <w:numId w:val="482"/>
        </w:numPr>
        <w:rPr>
          <w:rFonts w:ascii="Arial" w:cs="Arial" w:eastAsia="Arial" w:hAnsi="Arial"/>
          <w:sz w:val="18"/>
          <w:szCs w:val="18"/>
          <w:color w:val="auto"/>
        </w:rPr>
      </w:pPr>
      <w:r>
        <w:rPr>
          <w:rFonts w:ascii="Arial" w:cs="Arial" w:eastAsia="Arial" w:hAnsi="Arial"/>
          <w:sz w:val="18"/>
          <w:szCs w:val="18"/>
          <w:u w:val="single" w:color="auto"/>
          <w:color w:val="auto"/>
        </w:rPr>
        <w:t>Third-Party Agreements and Rights</w:t>
      </w:r>
      <w:r>
        <w:rPr>
          <w:rFonts w:ascii="Arial" w:cs="Arial" w:eastAsia="Arial" w:hAnsi="Arial"/>
          <w:sz w:val="18"/>
          <w:szCs w:val="18"/>
          <w:color w:val="auto"/>
        </w:rPr>
        <w:t>. The Executive hereby confirms that the Executive is not bound by the terms of any agreement with any previous employer or other party which restricts in any way the Executive’s use or disclosure of information, other than confidentiality restrictions (if any), or the Executive’s engagement in any business. The Executive represents to the Company that the Executive’s execution of this Agreement, the Executive’s employment with the Company and 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83" w:lineRule="exact"/>
        <w:rPr>
          <w:rFonts w:ascii="Arial" w:cs="Arial" w:eastAsia="Arial" w:hAnsi="Arial"/>
          <w:sz w:val="18"/>
          <w:szCs w:val="18"/>
          <w:color w:val="auto"/>
        </w:rPr>
      </w:pPr>
    </w:p>
    <w:p>
      <w:pPr>
        <w:ind w:left="-40" w:firstLine="987"/>
        <w:spacing w:after="0" w:line="269" w:lineRule="auto"/>
        <w:tabs>
          <w:tab w:leader="none" w:pos="1196" w:val="left"/>
        </w:tabs>
        <w:numPr>
          <w:ilvl w:val="1"/>
          <w:numId w:val="482"/>
        </w:numPr>
        <w:rPr>
          <w:rFonts w:ascii="Arial" w:cs="Arial" w:eastAsia="Arial" w:hAnsi="Arial"/>
          <w:sz w:val="17"/>
          <w:szCs w:val="17"/>
          <w:color w:val="auto"/>
        </w:rPr>
      </w:pPr>
      <w:r>
        <w:rPr>
          <w:rFonts w:ascii="Arial" w:cs="Arial" w:eastAsia="Arial" w:hAnsi="Arial"/>
          <w:sz w:val="17"/>
          <w:szCs w:val="17"/>
          <w:u w:val="single" w:color="auto"/>
          <w:color w:val="auto"/>
        </w:rPr>
        <w:t>Litigation and Regulatory Cooperation</w:t>
      </w:r>
      <w:r>
        <w:rPr>
          <w:rFonts w:ascii="Arial" w:cs="Arial" w:eastAsia="Arial" w:hAnsi="Arial"/>
          <w:sz w:val="17"/>
          <w:szCs w:val="17"/>
          <w:color w:val="auto"/>
        </w:rPr>
        <w:t>. During and after the Executive’s employment, the Executive shall cooperate fully with the Company in (i) the defense or prosecution of any claims or actions now in existence or which may be brought in the future against or on behalf of the Company which relate to events or occurrences that transpired while the Executive was employed by the Company, and (ii) the investigation, whether internal or external, of any matters about which the Company believes the Executive may have knowledge or information. The Executive’s full cooperation in connection with such claims, actions or investigations shall include, but not be limited to, being available to meet with counsel upon reasonable notice to answer questions or to prepare for discovery or trial and to act as a witness on behalf of the Company at mutually convenient times.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9(c), which shall be in addition to its obligations to provide indemnification to the Executive.</w:t>
      </w:r>
    </w:p>
    <w:p>
      <w:pPr>
        <w:spacing w:after="0" w:line="73" w:lineRule="exact"/>
        <w:rPr>
          <w:rFonts w:ascii="Arial" w:cs="Arial" w:eastAsia="Arial" w:hAnsi="Arial"/>
          <w:sz w:val="17"/>
          <w:szCs w:val="17"/>
          <w:color w:val="auto"/>
        </w:rPr>
      </w:pPr>
    </w:p>
    <w:p>
      <w:pPr>
        <w:ind w:left="-40" w:right="120" w:firstLine="987"/>
        <w:spacing w:after="0" w:line="257" w:lineRule="auto"/>
        <w:tabs>
          <w:tab w:leader="none" w:pos="1206" w:val="left"/>
        </w:tabs>
        <w:numPr>
          <w:ilvl w:val="1"/>
          <w:numId w:val="482"/>
        </w:numPr>
        <w:rPr>
          <w:rFonts w:ascii="Arial" w:cs="Arial" w:eastAsia="Arial" w:hAnsi="Arial"/>
          <w:sz w:val="18"/>
          <w:szCs w:val="18"/>
          <w:color w:val="auto"/>
        </w:rPr>
      </w:pPr>
      <w:r>
        <w:rPr>
          <w:rFonts w:ascii="Arial" w:cs="Arial" w:eastAsia="Arial" w:hAnsi="Arial"/>
          <w:sz w:val="18"/>
          <w:szCs w:val="18"/>
          <w:u w:val="single" w:color="auto"/>
          <w:color w:val="auto"/>
        </w:rPr>
        <w:t>Relief</w:t>
      </w:r>
      <w:r>
        <w:rPr>
          <w:rFonts w:ascii="Arial" w:cs="Arial" w:eastAsia="Arial" w:hAnsi="Arial"/>
          <w:sz w:val="18"/>
          <w:szCs w:val="18"/>
          <w:color w:val="auto"/>
        </w:rPr>
        <w:t>. The Executive agrees that it would be difficult to measure any damages caused to the Company which might result from any breach by the Executive of the Continuing Obligations, and that in any event monetary damages would be an inadequate remedy for any such breach. Accordingly</w:t>
      </w:r>
      <w:r>
        <w:rPr>
          <w:rFonts w:ascii="Arial" w:cs="Arial" w:eastAsia="Arial" w:hAnsi="Arial"/>
          <w:sz w:val="18"/>
          <w:szCs w:val="18"/>
          <w:b w:val="1"/>
          <w:bCs w:val="1"/>
          <w:color w:val="auto"/>
        </w:rPr>
        <w:t>,</w:t>
      </w:r>
      <w:r>
        <w:rPr>
          <w:rFonts w:ascii="Arial" w:cs="Arial" w:eastAsia="Arial" w:hAnsi="Arial"/>
          <w:sz w:val="18"/>
          <w:szCs w:val="18"/>
          <w:color w:val="auto"/>
        </w:rPr>
        <w:t xml:space="preserve"> the Executive agrees that if the Executive breaches, or proposes to breach, any portion of the Continuing Obligations, the Company shall be entitled, in addition to all other remedies that it may have, to an injunction or other appropriate equitable relief to restrain any such breach without showing or proving any actual damage to the Company.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480" w:top="273" w:right="499" w:bottom="1440" w:gutter="0" w:footer="0" w:header="0"/>
        </w:sectPr>
      </w:pPr>
    </w:p>
    <w:bookmarkStart w:id="503" w:name="page504"/>
    <w:bookmarkEnd w:id="503"/>
    <w:p>
      <w:pPr>
        <w:ind w:left="4" w:right="40" w:firstLine="436"/>
        <w:spacing w:after="0" w:line="291" w:lineRule="auto"/>
        <w:tabs>
          <w:tab w:leader="none" w:pos="624" w:val="left"/>
        </w:tabs>
        <w:numPr>
          <w:ilvl w:val="1"/>
          <w:numId w:val="48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Consent to Jurisdiction</w:t>
      </w:r>
      <w:r>
        <w:rPr>
          <w:rFonts w:ascii="Arial" w:cs="Arial" w:eastAsia="Arial" w:hAnsi="Arial"/>
          <w:sz w:val="16"/>
          <w:szCs w:val="16"/>
          <w:color w:val="auto"/>
        </w:rPr>
        <w:t>. The parties hereby consent to the jurisdiction of the state and federal courts of the California. Accordingly, with respect to any such court action, the Executive (a) submits to the exclusive personal jurisdiction of such courts; (b) consents to service of process; and</w:t>
      </w:r>
    </w:p>
    <w:p>
      <w:pPr>
        <w:ind w:left="244" w:hanging="244"/>
        <w:spacing w:after="0"/>
        <w:tabs>
          <w:tab w:leader="none" w:pos="244" w:val="left"/>
        </w:tabs>
        <w:numPr>
          <w:ilvl w:val="0"/>
          <w:numId w:val="484"/>
        </w:numPr>
        <w:rPr>
          <w:rFonts w:ascii="Arial" w:cs="Arial" w:eastAsia="Arial" w:hAnsi="Arial"/>
          <w:sz w:val="16"/>
          <w:szCs w:val="16"/>
          <w:color w:val="auto"/>
        </w:rPr>
      </w:pPr>
      <w:r>
        <w:rPr>
          <w:rFonts w:ascii="Arial" w:cs="Arial" w:eastAsia="Arial" w:hAnsi="Arial"/>
          <w:sz w:val="16"/>
          <w:szCs w:val="16"/>
          <w:color w:val="auto"/>
        </w:rPr>
        <w:t>waives any other requirement (whether imposed by statute, rule of court, or otherwise) with respect to personal jurisdiction or service of process.</w:t>
      </w:r>
    </w:p>
    <w:p>
      <w:pPr>
        <w:spacing w:after="0" w:line="233" w:lineRule="exact"/>
        <w:rPr>
          <w:rFonts w:ascii="Arial" w:cs="Arial" w:eastAsia="Arial" w:hAnsi="Arial"/>
          <w:sz w:val="16"/>
          <w:szCs w:val="16"/>
          <w:color w:val="auto"/>
        </w:rPr>
      </w:pPr>
    </w:p>
    <w:p>
      <w:pPr>
        <w:ind w:left="4" w:right="20" w:firstLine="436"/>
        <w:spacing w:after="0" w:line="263" w:lineRule="auto"/>
        <w:tabs>
          <w:tab w:leader="none" w:pos="714" w:val="left"/>
        </w:tabs>
        <w:numPr>
          <w:ilvl w:val="1"/>
          <w:numId w:val="484"/>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the subject matter hereof and supersedes all prior agreements between the parties concerning such subject matter</w:t>
      </w:r>
      <w:r>
        <w:rPr>
          <w:rFonts w:ascii="Arial" w:cs="Arial" w:eastAsia="Arial" w:hAnsi="Arial"/>
          <w:sz w:val="18"/>
          <w:szCs w:val="18"/>
          <w:b w:val="1"/>
          <w:bCs w:val="1"/>
          <w:color w:val="auto"/>
        </w:rPr>
        <w:t>,</w:t>
      </w:r>
      <w:r>
        <w:rPr>
          <w:rFonts w:ascii="Arial" w:cs="Arial" w:eastAsia="Arial" w:hAnsi="Arial"/>
          <w:sz w:val="18"/>
          <w:szCs w:val="18"/>
          <w:color w:val="auto"/>
        </w:rPr>
        <w:t xml:space="preserve"> including the Prior Agreement, provided that the Restrictive Covenants Agreement and the agreements governing any Equity Awards remain in full force and effect.</w:t>
      </w:r>
    </w:p>
    <w:p>
      <w:pPr>
        <w:spacing w:after="0" w:line="183" w:lineRule="exact"/>
        <w:rPr>
          <w:rFonts w:ascii="Arial" w:cs="Arial" w:eastAsia="Arial" w:hAnsi="Arial"/>
          <w:sz w:val="18"/>
          <w:szCs w:val="18"/>
          <w:color w:val="auto"/>
        </w:rPr>
      </w:pPr>
    </w:p>
    <w:p>
      <w:pPr>
        <w:ind w:left="4" w:right="20" w:firstLine="436"/>
        <w:spacing w:after="0" w:line="259" w:lineRule="auto"/>
        <w:tabs>
          <w:tab w:leader="none" w:pos="707" w:val="left"/>
        </w:tabs>
        <w:numPr>
          <w:ilvl w:val="1"/>
          <w:numId w:val="484"/>
        </w:numPr>
        <w:rPr>
          <w:rFonts w:ascii="Arial" w:cs="Arial" w:eastAsia="Arial" w:hAnsi="Arial"/>
          <w:sz w:val="18"/>
          <w:szCs w:val="18"/>
          <w:color w:val="auto"/>
        </w:rPr>
      </w:pPr>
      <w:r>
        <w:rPr>
          <w:rFonts w:ascii="Arial" w:cs="Arial" w:eastAsia="Arial" w:hAnsi="Arial"/>
          <w:sz w:val="18"/>
          <w:szCs w:val="18"/>
          <w:u w:val="single" w:color="auto"/>
          <w:color w:val="auto"/>
        </w:rPr>
        <w:t>Withholding; Tax Effect</w:t>
      </w:r>
      <w:r>
        <w:rPr>
          <w:rFonts w:ascii="Arial" w:cs="Arial" w:eastAsia="Arial" w:hAnsi="Arial"/>
          <w:sz w:val="18"/>
          <w:szCs w:val="18"/>
          <w:color w:val="auto"/>
        </w:rPr>
        <w:t>. All payments made by the Company to the Executive under this Agreement shall be net of any tax or other amounts required to be withheld by the Company under applicable law. Nothing in this Agreement shall be construed to require the Company to make any payments to compensate the Executive for any adverse tax effect associated with any payments or benefits or for any deduction or withholding from any payment or benefit.</w:t>
      </w:r>
    </w:p>
    <w:p>
      <w:pPr>
        <w:spacing w:after="0" w:line="186" w:lineRule="exact"/>
        <w:rPr>
          <w:rFonts w:ascii="Arial" w:cs="Arial" w:eastAsia="Arial" w:hAnsi="Arial"/>
          <w:sz w:val="18"/>
          <w:szCs w:val="18"/>
          <w:color w:val="auto"/>
        </w:rPr>
      </w:pPr>
    </w:p>
    <w:p>
      <w:pPr>
        <w:ind w:left="4" w:right="140" w:firstLine="436"/>
        <w:spacing w:after="0" w:line="291" w:lineRule="auto"/>
        <w:tabs>
          <w:tab w:leader="none" w:pos="714" w:val="left"/>
        </w:tabs>
        <w:numPr>
          <w:ilvl w:val="1"/>
          <w:numId w:val="484"/>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will be binding upon and inure to the benefit of (a) the heirs, executors, and legal representatives of Executive upon Executive’s death as well as any beneficiaries duly designated by Executive prior to death in accordance with the terms hereof, and</w:t>
      </w:r>
    </w:p>
    <w:p>
      <w:pPr>
        <w:ind w:left="4" w:hanging="4"/>
        <w:spacing w:after="0" w:line="267" w:lineRule="auto"/>
        <w:tabs>
          <w:tab w:leader="none" w:pos="259" w:val="left"/>
        </w:tabs>
        <w:numPr>
          <w:ilvl w:val="0"/>
          <w:numId w:val="485"/>
        </w:numPr>
        <w:rPr>
          <w:rFonts w:ascii="Arial" w:cs="Arial" w:eastAsia="Arial" w:hAnsi="Arial"/>
          <w:sz w:val="17"/>
          <w:szCs w:val="17"/>
          <w:color w:val="auto"/>
        </w:rPr>
      </w:pPr>
      <w:r>
        <w:rPr>
          <w:rFonts w:ascii="Arial" w:cs="Arial" w:eastAsia="Arial" w:hAnsi="Arial"/>
          <w:sz w:val="17"/>
          <w:szCs w:val="17"/>
          <w:color w:val="auto"/>
        </w:rPr>
        <w:t>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The Company shall require its respective successors to expressly assume and agree to perform this Agreement in the same manner and to the same extent that the Company would be required to perform it if no such succession had taken place. Notwithstanding the foregoing, the Company shall remain, with such successor, jointly and severally liable for all of their obligations hereunder. Except as herein provided, this Agreement may not otherwise be assigned by the Company and any attempted assignment in contravention hereof will be null and void. In the event of the Executive’s death after the Executive’s termination of employment but prior to the completion by the Company of all payments due to the Executive under this Agreement, the Company shall continue such payments to the Executive’s beneficiary designated in writing to the Company prior to the Executive’s death (or to the Executive’s estate, if the Executive fails to make such designation). The Executive may designate one or more persons or entities as the primary or contingent beneficiaries of any amounts to be received under this Agreement. Such designation must be in the form of a signed writing reasonably acceptable to the Board or the Board’s designee. Executive may make or change such designation at any time. Except as approved by the Board or the Board’s designee, none of the rights of the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1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3" w:right="459" w:bottom="1440" w:gutter="0" w:footer="0" w:header="0"/>
        </w:sectPr>
      </w:pPr>
    </w:p>
    <w:bookmarkStart w:id="504" w:name="page505"/>
    <w:bookmarkEnd w:id="504"/>
    <w:p>
      <w:pPr>
        <w:ind w:left="4" w:right="140" w:firstLine="436"/>
        <w:spacing w:after="0" w:line="279" w:lineRule="auto"/>
        <w:tabs>
          <w:tab w:leader="none" w:pos="714" w:val="left"/>
        </w:tabs>
        <w:numPr>
          <w:ilvl w:val="1"/>
          <w:numId w:val="48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Enforceability</w:t>
      </w:r>
      <w:r>
        <w:rPr>
          <w:rFonts w:ascii="Arial" w:cs="Arial" w:eastAsia="Arial" w:hAnsi="Arial"/>
          <w:sz w:val="17"/>
          <w:szCs w:val="17"/>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1" w:lineRule="exact"/>
        <w:rPr>
          <w:rFonts w:ascii="Arial" w:cs="Arial" w:eastAsia="Arial" w:hAnsi="Arial"/>
          <w:sz w:val="17"/>
          <w:szCs w:val="17"/>
          <w:color w:val="auto"/>
        </w:rPr>
      </w:pPr>
    </w:p>
    <w:p>
      <w:pPr>
        <w:ind w:left="4" w:right="80" w:firstLine="436"/>
        <w:spacing w:after="0" w:line="286" w:lineRule="auto"/>
        <w:tabs>
          <w:tab w:leader="none" w:pos="714" w:val="left"/>
        </w:tabs>
        <w:numPr>
          <w:ilvl w:val="1"/>
          <w:numId w:val="486"/>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The provisions of this Agreement shall survive the termination of this Agreement and/or the termination of the Executive’s employment to the extent necessary to effectuate the terms contained herein, including but not limited to the Company’s obligation to make severance payments or provide indemnification and the Executive’s obligations to comply with the Continuing Obligations.</w:t>
      </w:r>
    </w:p>
    <w:p>
      <w:pPr>
        <w:spacing w:after="0" w:line="165" w:lineRule="exact"/>
        <w:rPr>
          <w:rFonts w:ascii="Arial" w:cs="Arial" w:eastAsia="Arial" w:hAnsi="Arial"/>
          <w:sz w:val="17"/>
          <w:szCs w:val="17"/>
          <w:color w:val="auto"/>
        </w:rPr>
      </w:pPr>
    </w:p>
    <w:p>
      <w:pPr>
        <w:ind w:left="4" w:firstLine="436"/>
        <w:spacing w:after="0" w:line="263" w:lineRule="auto"/>
        <w:tabs>
          <w:tab w:leader="none" w:pos="714" w:val="left"/>
        </w:tabs>
        <w:numPr>
          <w:ilvl w:val="1"/>
          <w:numId w:val="486"/>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83" w:lineRule="exact"/>
        <w:rPr>
          <w:rFonts w:ascii="Arial" w:cs="Arial" w:eastAsia="Arial" w:hAnsi="Arial"/>
          <w:sz w:val="18"/>
          <w:szCs w:val="18"/>
          <w:color w:val="auto"/>
        </w:rPr>
      </w:pPr>
    </w:p>
    <w:p>
      <w:pPr>
        <w:ind w:left="704" w:hanging="264"/>
        <w:spacing w:after="0"/>
        <w:tabs>
          <w:tab w:leader="none" w:pos="704" w:val="left"/>
        </w:tabs>
        <w:numPr>
          <w:ilvl w:val="1"/>
          <w:numId w:val="486"/>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notices, requests, demands and other communications provided for by this Agreement shall be sufficient if in writing and</w:t>
      </w:r>
    </w:p>
    <w:p>
      <w:pPr>
        <w:spacing w:after="0" w:line="34" w:lineRule="exact"/>
        <w:rPr>
          <w:rFonts w:ascii="Arial" w:cs="Arial" w:eastAsia="Arial" w:hAnsi="Arial"/>
          <w:sz w:val="17"/>
          <w:szCs w:val="17"/>
          <w:color w:val="auto"/>
        </w:rPr>
      </w:pPr>
    </w:p>
    <w:p>
      <w:pPr>
        <w:jc w:val="both"/>
        <w:ind w:left="4" w:right="160" w:hanging="4"/>
        <w:spacing w:after="0" w:line="253" w:lineRule="auto"/>
        <w:tabs>
          <w:tab w:leader="none" w:pos="219" w:val="left"/>
        </w:tabs>
        <w:numPr>
          <w:ilvl w:val="0"/>
          <w:numId w:val="487"/>
        </w:numPr>
        <w:rPr>
          <w:rFonts w:ascii="Arial" w:cs="Arial" w:eastAsia="Arial" w:hAnsi="Arial"/>
          <w:sz w:val="18"/>
          <w:szCs w:val="18"/>
          <w:color w:val="auto"/>
        </w:rPr>
      </w:pPr>
      <w:r>
        <w:rPr>
          <w:rFonts w:ascii="Arial" w:cs="Arial" w:eastAsia="Arial" w:hAnsi="Arial"/>
          <w:sz w:val="18"/>
          <w:szCs w:val="18"/>
          <w:color w:val="auto"/>
        </w:rPr>
        <w:t>delivered in person, (ii)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 or (iii) sent via email to the Executive at the Executive’s Company email address or, in the case of the Company, to the CEO’s Company email address.</w:t>
      </w:r>
    </w:p>
    <w:p>
      <w:pPr>
        <w:spacing w:after="0" w:line="192" w:lineRule="exact"/>
        <w:rPr>
          <w:rFonts w:ascii="Arial" w:cs="Arial" w:eastAsia="Arial" w:hAnsi="Arial"/>
          <w:sz w:val="18"/>
          <w:szCs w:val="18"/>
          <w:color w:val="auto"/>
        </w:rPr>
      </w:pPr>
    </w:p>
    <w:p>
      <w:pPr>
        <w:ind w:left="4" w:right="200" w:firstLine="436"/>
        <w:spacing w:after="0" w:line="277" w:lineRule="auto"/>
        <w:tabs>
          <w:tab w:leader="none" w:pos="714" w:val="left"/>
        </w:tabs>
        <w:numPr>
          <w:ilvl w:val="1"/>
          <w:numId w:val="487"/>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or modified only by a written instrument signed by the Executive and by a duly authorized representative of the Company.</w:t>
      </w:r>
    </w:p>
    <w:p>
      <w:pPr>
        <w:spacing w:after="0" w:line="170" w:lineRule="exact"/>
        <w:rPr>
          <w:rFonts w:ascii="Arial" w:cs="Arial" w:eastAsia="Arial" w:hAnsi="Arial"/>
          <w:sz w:val="18"/>
          <w:szCs w:val="18"/>
          <w:color w:val="auto"/>
        </w:rPr>
      </w:pPr>
    </w:p>
    <w:p>
      <w:pPr>
        <w:ind w:left="4" w:firstLine="436"/>
        <w:spacing w:after="0" w:line="270" w:lineRule="auto"/>
        <w:tabs>
          <w:tab w:leader="none" w:pos="714" w:val="left"/>
        </w:tabs>
        <w:numPr>
          <w:ilvl w:val="1"/>
          <w:numId w:val="487"/>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The Company will (i) indemnify the Executive with respect to claims arising out of any action taken or not taken in Executive’s capacity as an officer or employee of the Company or its subsidiaries; provided, that the Executive acted in good faith and in a manner that Executive reasonably believed to be in or not opposed to the best interests of the Company and, with respect to any criminal action or proceeding, had no reasonable cause to believe that Executive’s conduct was unlawful, (ii) advance to the Executive all reasonable and documented out of pocket costs and expenses incurred by the Executive in connection with the foregoing clause (i), including but not limited to attorneys’ fees, and (iii) provide for the Executive to be covered by D&amp;O insurance, with respect to clauses (i) and (ii), on the same terms as are made available to the CEO and/or members of the Board, as applicable; provided that, this Agreement constitutes an undertaking that amounts advanced under clause (ii) shall be promptly repaid to the Company by the Executive if it shall ultimately be determined that the Executive is not entitled to be indemnified by the Company pursuant to this Section 19. Nothing</w:t>
      </w:r>
    </w:p>
    <w:p>
      <w:pPr>
        <w:spacing w:after="0" w:line="113"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84"/>
          </w:cols>
          <w:pgMar w:left="436" w:top="273" w:right="579" w:bottom="1440" w:gutter="0" w:footer="0" w:header="0"/>
        </w:sectPr>
      </w:pPr>
    </w:p>
    <w:bookmarkStart w:id="505" w:name="page506"/>
    <w:bookmarkEnd w:id="505"/>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herein shall limit any right that the Executive may have in respect of indemnification, advancement or liability insurance coverage under any other policy, plan, contract or arrangement of the Company or its subsidiaries or under applicable law with respect to his or her services as an officer or employee for the Company or its subsidiaries, and the Company shall not change any right to such indemnification or advancement with respect to the Executive after his or her termination of employment.</w:t>
      </w:r>
    </w:p>
    <w:p>
      <w:pPr>
        <w:spacing w:after="0" w:line="187" w:lineRule="exact"/>
        <w:rPr>
          <w:sz w:val="20"/>
          <w:szCs w:val="20"/>
          <w:color w:val="auto"/>
        </w:rPr>
      </w:pPr>
    </w:p>
    <w:p>
      <w:pPr>
        <w:ind w:right="280" w:firstLine="436"/>
        <w:spacing w:after="0" w:line="301" w:lineRule="auto"/>
        <w:tabs>
          <w:tab w:leader="none" w:pos="710" w:val="left"/>
        </w:tabs>
        <w:numPr>
          <w:ilvl w:val="0"/>
          <w:numId w:val="488"/>
        </w:numPr>
        <w:rPr>
          <w:rFonts w:ascii="Arial" w:cs="Arial" w:eastAsia="Arial" w:hAnsi="Arial"/>
          <w:sz w:val="16"/>
          <w:szCs w:val="16"/>
          <w:color w:val="auto"/>
        </w:rPr>
      </w:pPr>
      <w:r>
        <w:rPr>
          <w:rFonts w:ascii="Arial" w:cs="Arial" w:eastAsia="Arial" w:hAnsi="Arial"/>
          <w:sz w:val="16"/>
          <w:szCs w:val="16"/>
          <w:u w:val="single" w:color="auto"/>
          <w:color w:val="auto"/>
        </w:rPr>
        <w:t>No Mitigation; Offset</w:t>
      </w:r>
      <w:r>
        <w:rPr>
          <w:rFonts w:ascii="Arial" w:cs="Arial" w:eastAsia="Arial" w:hAnsi="Arial"/>
          <w:sz w:val="16"/>
          <w:szCs w:val="16"/>
          <w:color w:val="auto"/>
        </w:rPr>
        <w:t>. In the event of any termination of employment and service hereunder, the Executive shall be under no obligation to seek other employment, and there shall be no offset against any amounts due Executive under this Agreement on account of any remuneration attributable to any subsequent employment that Executive may obtain. The preceding sentence shall not limit the Company’s right to enforce the termination provisions set forth in Section 4 above or the repayment or recoupment provisions in Section 22(d) and Section 23 below.</w:t>
      </w:r>
    </w:p>
    <w:p>
      <w:pPr>
        <w:spacing w:after="0" w:line="157" w:lineRule="exact"/>
        <w:rPr>
          <w:rFonts w:ascii="Arial" w:cs="Arial" w:eastAsia="Arial" w:hAnsi="Arial"/>
          <w:sz w:val="16"/>
          <w:szCs w:val="16"/>
          <w:color w:val="auto"/>
        </w:rPr>
      </w:pPr>
    </w:p>
    <w:p>
      <w:pPr>
        <w:ind w:right="80" w:firstLine="436"/>
        <w:spacing w:after="0" w:line="270" w:lineRule="auto"/>
        <w:tabs>
          <w:tab w:leader="none" w:pos="710" w:val="left"/>
        </w:tabs>
        <w:numPr>
          <w:ilvl w:val="0"/>
          <w:numId w:val="488"/>
        </w:numPr>
        <w:rPr>
          <w:rFonts w:ascii="Arial" w:cs="Arial" w:eastAsia="Arial" w:hAnsi="Arial"/>
          <w:sz w:val="17"/>
          <w:szCs w:val="17"/>
          <w:color w:val="auto"/>
        </w:rPr>
      </w:pPr>
      <w:r>
        <w:rPr>
          <w:rFonts w:ascii="Arial" w:cs="Arial" w:eastAsia="Arial" w:hAnsi="Arial"/>
          <w:sz w:val="17"/>
          <w:szCs w:val="17"/>
          <w:u w:val="single" w:color="auto"/>
          <w:color w:val="auto"/>
        </w:rPr>
        <w:t>Effect on Other Plans and Agreements</w:t>
      </w:r>
      <w:r>
        <w:rPr>
          <w:rFonts w:ascii="Arial" w:cs="Arial" w:eastAsia="Arial" w:hAnsi="Arial"/>
          <w:sz w:val="17"/>
          <w:szCs w:val="17"/>
          <w:color w:val="auto"/>
        </w:rPr>
        <w:t>. An election by the Executive to resign for Good Reason under the provisions of this Agreement shall not be deemed a voluntary termination of employment by the Executive for the purpose of interpreting the provisions of any of the Company’s benefit plans, programs or policies. Nothing in this Agreement shall be construed to limit the rights of the Executive under the Company’s benefit plans, programs or policies except to the extent specifically provided in Section 7 hereof, and except that the Executive shall have no rights to continue any severance benefits under any Company severance pay plan, offer letter or otherwise. Except for the Restrictive Covenants Agreement, in the event that the Executive is party to an agreement with the Company providing for payments or benefits under such plan or agreement and under this Agreement, the terms of this Agreement shall govern and the Executive may receive payment under this Agreement only and not both. Further, Section 5 and Section 6 of this Agreement are mutually exclusive and in no event shall the Executive be entitled to cash severance payments or benefits pursuant to both Section 5 and Section 6 of this Agreement.</w:t>
      </w:r>
    </w:p>
    <w:p>
      <w:pPr>
        <w:spacing w:after="0" w:line="180" w:lineRule="exact"/>
        <w:rPr>
          <w:rFonts w:ascii="Arial" w:cs="Arial" w:eastAsia="Arial" w:hAnsi="Arial"/>
          <w:sz w:val="17"/>
          <w:szCs w:val="17"/>
          <w:color w:val="auto"/>
        </w:rPr>
      </w:pPr>
    </w:p>
    <w:p>
      <w:pPr>
        <w:ind w:left="700" w:hanging="264"/>
        <w:spacing w:after="0"/>
        <w:tabs>
          <w:tab w:leader="none" w:pos="700" w:val="left"/>
        </w:tabs>
        <w:numPr>
          <w:ilvl w:val="0"/>
          <w:numId w:val="488"/>
        </w:numPr>
        <w:rPr>
          <w:rFonts w:ascii="Arial" w:cs="Arial" w:eastAsia="Arial" w:hAnsi="Arial"/>
          <w:sz w:val="18"/>
          <w:szCs w:val="18"/>
          <w:color w:val="auto"/>
        </w:rPr>
      </w:pPr>
      <w:r>
        <w:rPr>
          <w:rFonts w:ascii="Arial" w:cs="Arial" w:eastAsia="Arial" w:hAnsi="Arial"/>
          <w:sz w:val="18"/>
          <w:szCs w:val="18"/>
          <w:u w:val="single" w:color="auto"/>
          <w:color w:val="auto"/>
        </w:rPr>
        <w:t>Governing Law; Venue and Enforcement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987"/>
        <w:spacing w:after="0" w:line="259" w:lineRule="auto"/>
        <w:tabs>
          <w:tab w:leader="none" w:pos="1236" w:val="left"/>
        </w:tabs>
        <w:numPr>
          <w:ilvl w:val="1"/>
          <w:numId w:val="488"/>
        </w:numPr>
        <w:rPr>
          <w:rFonts w:ascii="Arial" w:cs="Arial" w:eastAsia="Arial" w:hAnsi="Arial"/>
          <w:sz w:val="18"/>
          <w:szCs w:val="18"/>
          <w:color w:val="auto"/>
        </w:rPr>
      </w:pPr>
      <w:r>
        <w:rPr>
          <w:rFonts w:ascii="Arial" w:cs="Arial" w:eastAsia="Arial" w:hAnsi="Arial"/>
          <w:sz w:val="18"/>
          <w:szCs w:val="18"/>
          <w:color w:val="auto"/>
        </w:rPr>
        <w:t>This Agreement will be governed by and construed in accordance with applicable federal laws and, to the extent not inconsistent therewith or preempted thereby, with the laws of the State of California, including any applicable statutes of limitation, without regard to any otherwise applicable principles of conflicts of laws or choice of law rules (whether of California or any other jurisdiction) that would result in the application of the substantive or procedural rules or law of any other jurisdiction.</w:t>
      </w:r>
    </w:p>
    <w:p>
      <w:pPr>
        <w:spacing w:after="0" w:line="78" w:lineRule="exact"/>
        <w:rPr>
          <w:rFonts w:ascii="Arial" w:cs="Arial" w:eastAsia="Arial" w:hAnsi="Arial"/>
          <w:sz w:val="18"/>
          <w:szCs w:val="18"/>
          <w:color w:val="auto"/>
        </w:rPr>
      </w:pPr>
    </w:p>
    <w:p>
      <w:pPr>
        <w:ind w:firstLine="987"/>
        <w:spacing w:after="0" w:line="257" w:lineRule="auto"/>
        <w:tabs>
          <w:tab w:leader="none" w:pos="1246" w:val="left"/>
        </w:tabs>
        <w:numPr>
          <w:ilvl w:val="1"/>
          <w:numId w:val="488"/>
        </w:numPr>
        <w:rPr>
          <w:rFonts w:ascii="Arial" w:cs="Arial" w:eastAsia="Arial" w:hAnsi="Arial"/>
          <w:sz w:val="18"/>
          <w:szCs w:val="18"/>
          <w:color w:val="auto"/>
        </w:rPr>
      </w:pPr>
      <w:r>
        <w:rPr>
          <w:rFonts w:ascii="Arial" w:cs="Arial" w:eastAsia="Arial" w:hAnsi="Arial"/>
          <w:sz w:val="18"/>
          <w:szCs w:val="18"/>
          <w:color w:val="auto"/>
        </w:rPr>
        <w:t>Each party agrees that any controversy or claim arising out of or relating to this Agreement or the alleged breach hereof shall be instituted in the United States District Court for the Northern District of California, or if that court does not have or will not accept jurisdiction, in any court of general jurisdiction in the State of California, and Executive and the Company hereby consent to the personal and exclusive jurisdiction of such court(s) and hereby waive any objection(s) that any such party may have to personal jurisdiction, the laying of venue of any such proceedings and any claim or defense of inconvenient forum.</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440" w:top="273" w:right="519" w:bottom="1440" w:gutter="0" w:footer="0" w:header="0"/>
        </w:sectPr>
      </w:pPr>
    </w:p>
    <w:bookmarkStart w:id="506" w:name="page507"/>
    <w:bookmarkEnd w:id="506"/>
    <w:p>
      <w:pPr>
        <w:ind w:left="4" w:right="20" w:firstLine="987"/>
        <w:spacing w:after="0" w:line="259" w:lineRule="auto"/>
        <w:tabs>
          <w:tab w:leader="none" w:pos="1240" w:val="left"/>
        </w:tabs>
        <w:numPr>
          <w:ilvl w:val="2"/>
          <w:numId w:val="4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award shall be payable to Executive no later than the end of Executive’s first taxable year in which the Company either concede the amount (or portion of the amount) payable or are required to make payment pursuant to a judgment by a court, and shall include interest on any amounts due and payable to Executive from the date due to the date of payment, calculated at one hundred and ten percent (110%) of the base lending in effect at Citibank, N.A. (or any successor thereto) on the first of each month.</w:t>
      </w:r>
    </w:p>
    <w:p>
      <w:pPr>
        <w:spacing w:after="0" w:line="78" w:lineRule="exact"/>
        <w:rPr>
          <w:rFonts w:ascii="Arial" w:cs="Arial" w:eastAsia="Arial" w:hAnsi="Arial"/>
          <w:sz w:val="18"/>
          <w:szCs w:val="18"/>
          <w:color w:val="auto"/>
        </w:rPr>
      </w:pPr>
    </w:p>
    <w:p>
      <w:pPr>
        <w:ind w:left="4" w:right="20" w:firstLine="987"/>
        <w:spacing w:after="0" w:line="269" w:lineRule="auto"/>
        <w:tabs>
          <w:tab w:leader="none" w:pos="1250" w:val="left"/>
        </w:tabs>
        <w:numPr>
          <w:ilvl w:val="2"/>
          <w:numId w:val="489"/>
        </w:numPr>
        <w:rPr>
          <w:rFonts w:ascii="Arial" w:cs="Arial" w:eastAsia="Arial" w:hAnsi="Arial"/>
          <w:sz w:val="17"/>
          <w:szCs w:val="17"/>
          <w:color w:val="auto"/>
        </w:rPr>
      </w:pPr>
      <w:r>
        <w:rPr>
          <w:rFonts w:ascii="Arial" w:cs="Arial" w:eastAsia="Arial" w:hAnsi="Arial"/>
          <w:sz w:val="17"/>
          <w:szCs w:val="17"/>
          <w:color w:val="auto"/>
        </w:rPr>
        <w:t>If it is necessary or desirable for Executive to retain legal counsel or incur other costs and expenses in connection with the enforcement of any or all of Executive’s rights under this Agreement, the Company shall, within thirty (30) days after receipt of an invoice certifying payment by Executive of such attorney fees, or payment of such other costs and expenses, reimburse Executive’s reasonable attorneys’ fees and costs and such other expenses, including expenses of any expert witnesses, in connection with the enforcement of said rights in an amount not to exceed $100,000; provided, that to the extent (and only to the extent) such expenses are subject to Section 409A, in no event shall any payment of Executive’s fees, costs, and expenses be made after the last day of Executive’s taxable year following the taxable year in which the expense was incurred; provided, further, that Executive shall repay any such advance of fees, costs, and expenses (and no additional advances or reimbursements shall be made) (i) if there is a specific judicial finding that Executive’s request to litigate was frivolous, unreasonable or without foundation; (ii) if it has been finally determined that Executive’s termination of employment for Cause was proper; or (iii) if the Board determines in good faith that as of the date of Executive’s termination of employment and service, grounds for an involuntary termination for Cause had existed.</w:t>
      </w:r>
    </w:p>
    <w:p>
      <w:pPr>
        <w:spacing w:after="0" w:line="185" w:lineRule="exact"/>
        <w:rPr>
          <w:rFonts w:ascii="Arial" w:cs="Arial" w:eastAsia="Arial" w:hAnsi="Arial"/>
          <w:sz w:val="17"/>
          <w:szCs w:val="17"/>
          <w:color w:val="auto"/>
        </w:rPr>
      </w:pPr>
    </w:p>
    <w:p>
      <w:pPr>
        <w:ind w:left="4" w:firstLine="436"/>
        <w:spacing w:after="0" w:line="285" w:lineRule="auto"/>
        <w:tabs>
          <w:tab w:leader="none" w:pos="714" w:val="left"/>
        </w:tabs>
        <w:numPr>
          <w:ilvl w:val="1"/>
          <w:numId w:val="490"/>
        </w:numPr>
        <w:rPr>
          <w:rFonts w:ascii="Arial" w:cs="Arial" w:eastAsia="Arial" w:hAnsi="Arial"/>
          <w:sz w:val="16"/>
          <w:szCs w:val="16"/>
          <w:color w:val="auto"/>
        </w:rPr>
      </w:pPr>
      <w:r>
        <w:rPr>
          <w:rFonts w:ascii="Arial" w:cs="Arial" w:eastAsia="Arial" w:hAnsi="Arial"/>
          <w:sz w:val="16"/>
          <w:szCs w:val="16"/>
          <w:u w:val="single" w:color="auto"/>
          <w:color w:val="auto"/>
        </w:rPr>
        <w:t>Recoupment</w:t>
      </w:r>
      <w:r>
        <w:rPr>
          <w:rFonts w:ascii="Arial" w:cs="Arial" w:eastAsia="Arial" w:hAnsi="Arial"/>
          <w:sz w:val="16"/>
          <w:szCs w:val="16"/>
          <w:color w:val="auto"/>
        </w:rPr>
        <w:t>. Executive shall be required to repay incentive pay to the Company as described in this Section 23, and the Company may offset payments otherwise due and payable under this Agreement by the amounts required to be repaid under this Section 23. Repayment of incentive pay shall be required if, and to the extent that, the Compensation Committee determines, in its sole discretion, that repayment is due on account of a restatement of the Company’s financial statements or otherwise pursuant to any clawback or compensation recoupment policy as may be in effect or amended from time to time) (the “</w:t>
      </w:r>
      <w:r>
        <w:rPr>
          <w:rFonts w:ascii="Arial" w:cs="Arial" w:eastAsia="Arial" w:hAnsi="Arial"/>
          <w:sz w:val="16"/>
          <w:szCs w:val="16"/>
          <w:b w:val="1"/>
          <w:bCs w:val="1"/>
          <w:i w:val="1"/>
          <w:iCs w:val="1"/>
          <w:color w:val="auto"/>
        </w:rPr>
        <w:t>Recoupment Policy</w:t>
      </w:r>
      <w:r>
        <w:rPr>
          <w:rFonts w:ascii="Arial" w:cs="Arial" w:eastAsia="Arial" w:hAnsi="Arial"/>
          <w:sz w:val="16"/>
          <w:szCs w:val="16"/>
          <w:color w:val="auto"/>
        </w:rPr>
        <w:t>”). Where the result of a performance measure was a factor in determining the compensation awarded or paid, but</w:t>
      </w:r>
    </w:p>
    <w:p>
      <w:pPr>
        <w:spacing w:after="0" w:line="1" w:lineRule="exact"/>
        <w:rPr>
          <w:rFonts w:ascii="Arial" w:cs="Arial" w:eastAsia="Arial" w:hAnsi="Arial"/>
          <w:sz w:val="16"/>
          <w:szCs w:val="16"/>
          <w:color w:val="auto"/>
        </w:rPr>
      </w:pPr>
    </w:p>
    <w:p>
      <w:pPr>
        <w:ind w:left="4" w:hanging="4"/>
        <w:spacing w:after="0" w:line="288" w:lineRule="auto"/>
        <w:tabs>
          <w:tab w:leader="none" w:pos="219" w:val="left"/>
        </w:tabs>
        <w:numPr>
          <w:ilvl w:val="0"/>
          <w:numId w:val="491"/>
        </w:numPr>
        <w:rPr>
          <w:rFonts w:ascii="Arial" w:cs="Arial" w:eastAsia="Arial" w:hAnsi="Arial"/>
          <w:sz w:val="16"/>
          <w:szCs w:val="16"/>
          <w:color w:val="auto"/>
        </w:rPr>
      </w:pPr>
      <w:r>
        <w:rPr>
          <w:rFonts w:ascii="Arial" w:cs="Arial" w:eastAsia="Arial" w:hAnsi="Arial"/>
          <w:sz w:val="16"/>
          <w:szCs w:val="16"/>
          <w:color w:val="auto"/>
        </w:rPr>
        <w:t>the subsequently-restated performance measure was not the only factor used to determine the compensation awarded or paid, or (ii) the incentive-based compensation is not awarded or paid on a formulaic basis, the Committee will determine in its discretion the amount, if any, by which the payment or award should be reduced. If the Committee seeks to recover payment of incentive pay as a result of a restatement of the Company’s financial statements or otherwise under the Recoupment Policy, Executive shall pay to the Company, as applicable, (A) all or a portion (as determined by the Committee in its sole discretion) of the amount by which the payment received by Executive exceeds the amount that would have been paid to Executive based on the restated financial statements, or (B) the amount (as determined by the Committee in its sole discretion) to be repaid pursuant to the Recoupment Policy. Nothing in this Section 23 shall preclude the Company (or any other person) from taking any other action.</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3" w:right="459" w:bottom="1440" w:gutter="0" w:footer="0" w:header="0"/>
        </w:sectPr>
      </w:pPr>
    </w:p>
    <w:bookmarkStart w:id="507" w:name="page508"/>
    <w:bookmarkEnd w:id="507"/>
    <w:p>
      <w:pPr>
        <w:ind w:left="-180" w:firstLine="436"/>
        <w:spacing w:after="0" w:line="277" w:lineRule="auto"/>
        <w:tabs>
          <w:tab w:leader="none" w:pos="530" w:val="left"/>
        </w:tabs>
        <w:numPr>
          <w:ilvl w:val="0"/>
          <w:numId w:val="49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Counterparts</w:t>
      </w:r>
      <w:r>
        <w:rPr>
          <w:rFonts w:ascii="Arial" w:cs="Arial" w:eastAsia="Arial" w:hAnsi="Arial"/>
          <w:sz w:val="18"/>
          <w:szCs w:val="18"/>
          <w:color w:val="auto"/>
        </w:rPr>
        <w:t>. This Agreement may be executed in any number of counterparts, each of which when so executed and delivered shall be taken to be an original; but such counterparts shall together constitute one and the same document.</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parties have executed this Agreement effective on the Effective Date.</w:t>
      </w:r>
    </w:p>
    <w:p>
      <w:pPr>
        <w:spacing w:after="0" w:line="248"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ADAGIO THERAPEUTICS, INC.</w:t>
      </w:r>
    </w:p>
    <w:p>
      <w:pPr>
        <w:spacing w:after="0" w:line="229"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4314825</wp:posOffset>
            </wp:positionH>
            <wp:positionV relativeFrom="paragraph">
              <wp:posOffset>14605</wp:posOffset>
            </wp:positionV>
            <wp:extent cx="256286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4314825</wp:posOffset>
            </wp:positionH>
            <wp:positionV relativeFrom="paragraph">
              <wp:posOffset>14605</wp:posOffset>
            </wp:positionV>
            <wp:extent cx="256286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28"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4083685</wp:posOffset>
            </wp:positionH>
            <wp:positionV relativeFrom="paragraph">
              <wp:posOffset>154305</wp:posOffset>
            </wp:positionV>
            <wp:extent cx="279463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Lynn Connolly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660"/>
          </w:cols>
          <w:pgMar w:left="620" w:top="273" w:right="619" w:bottom="1440" w:gutter="0" w:footer="0" w:header="0"/>
        </w:sectPr>
      </w:pPr>
    </w:p>
    <w:bookmarkStart w:id="508" w:name="page509"/>
    <w:bookmarkEnd w:id="508"/>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Outside Activities</w:t>
      </w:r>
    </w:p>
    <w:p>
      <w:pPr>
        <w:sectPr>
          <w:pgSz w:w="11900" w:h="16838" w:orient="portrait"/>
          <w:cols w:equalWidth="0" w:num="1">
            <w:col w:w="9019"/>
          </w:cols>
          <w:pgMar w:left="1440" w:top="269" w:right="1440" w:bottom="1440" w:gutter="0" w:footer="0" w:header="0"/>
        </w:sectPr>
      </w:pPr>
    </w:p>
    <w:bookmarkStart w:id="509" w:name="page510"/>
    <w:bookmarkEnd w:id="50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B</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SEPARATION AGREEMENT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[Address]</w:t>
      </w:r>
    </w:p>
    <w:p>
      <w:pPr>
        <w:spacing w:after="0" w:line="234"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Separation Agreement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[Name]:</w:t>
      </w:r>
    </w:p>
    <w:p>
      <w:pPr>
        <w:spacing w:after="0" w:line="225"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This letter sets forth the substance of the separation agreement (the “Agreement”) which Adagio Therapeutics, Inc. (the “Company”) is offering to you to aid in your employment transition.</w:t>
      </w:r>
    </w:p>
    <w:p>
      <w:pPr>
        <w:spacing w:after="0" w:line="58" w:lineRule="exact"/>
        <w:rPr>
          <w:sz w:val="20"/>
          <w:szCs w:val="20"/>
          <w:color w:val="auto"/>
        </w:rPr>
      </w:pPr>
    </w:p>
    <w:p>
      <w:pPr>
        <w:ind w:left="184" w:hanging="184"/>
        <w:spacing w:after="0"/>
        <w:tabs>
          <w:tab w:leader="none" w:pos="184" w:val="left"/>
        </w:tabs>
        <w:numPr>
          <w:ilvl w:val="0"/>
          <w:numId w:val="4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Separation. </w:t>
      </w:r>
      <w:r>
        <w:rPr>
          <w:rFonts w:ascii="Arial" w:cs="Arial" w:eastAsia="Arial" w:hAnsi="Arial"/>
          <w:sz w:val="18"/>
          <w:szCs w:val="18"/>
          <w:color w:val="auto"/>
        </w:rPr>
        <w:t>Your last day of work with the Company and your employment termination date will be [Date] (the “Separation Date”).</w:t>
      </w:r>
    </w:p>
    <w:p>
      <w:pPr>
        <w:spacing w:after="0" w:line="117" w:lineRule="exact"/>
        <w:rPr>
          <w:rFonts w:ascii="Arial" w:cs="Arial" w:eastAsia="Arial" w:hAnsi="Arial"/>
          <w:sz w:val="18"/>
          <w:szCs w:val="18"/>
          <w:b w:val="1"/>
          <w:bCs w:val="1"/>
          <w:color w:val="auto"/>
        </w:rPr>
      </w:pPr>
    </w:p>
    <w:p>
      <w:pPr>
        <w:ind w:left="4" w:right="540" w:hanging="4"/>
        <w:spacing w:after="0" w:line="312" w:lineRule="auto"/>
        <w:tabs>
          <w:tab w:leader="none" w:pos="184" w:val="left"/>
        </w:tabs>
        <w:numPr>
          <w:ilvl w:val="0"/>
          <w:numId w:val="49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Accrued Salary. </w:t>
      </w:r>
      <w:r>
        <w:rPr>
          <w:rFonts w:ascii="Arial" w:cs="Arial" w:eastAsia="Arial" w:hAnsi="Arial"/>
          <w:sz w:val="17"/>
          <w:szCs w:val="17"/>
          <w:color w:val="auto"/>
        </w:rPr>
        <w:t>On the Separation Date, the Company will pay you all accrued salary earned through the Separation Date, subject to standard</w:t>
      </w:r>
      <w:r>
        <w:rPr>
          <w:rFonts w:ascii="Arial" w:cs="Arial" w:eastAsia="Arial" w:hAnsi="Arial"/>
          <w:sz w:val="17"/>
          <w:szCs w:val="17"/>
          <w:b w:val="1"/>
          <w:bCs w:val="1"/>
          <w:color w:val="auto"/>
        </w:rPr>
        <w:t xml:space="preserve"> </w:t>
      </w:r>
      <w:r>
        <w:rPr>
          <w:rFonts w:ascii="Arial" w:cs="Arial" w:eastAsia="Arial" w:hAnsi="Arial"/>
          <w:sz w:val="17"/>
          <w:szCs w:val="17"/>
          <w:color w:val="auto"/>
        </w:rPr>
        <w:t>payroll deductions and withholdings. You will receive these payments regardless of whether or not you sign this Agreement.</w:t>
      </w:r>
    </w:p>
    <w:p>
      <w:pPr>
        <w:spacing w:after="0" w:line="31" w:lineRule="exact"/>
        <w:rPr>
          <w:rFonts w:ascii="Arial" w:cs="Arial" w:eastAsia="Arial" w:hAnsi="Arial"/>
          <w:sz w:val="17"/>
          <w:szCs w:val="17"/>
          <w:b w:val="1"/>
          <w:bCs w:val="1"/>
          <w:color w:val="auto"/>
        </w:rPr>
      </w:pPr>
    </w:p>
    <w:p>
      <w:pPr>
        <w:ind w:left="4" w:right="20" w:hanging="4"/>
        <w:spacing w:after="0" w:line="282" w:lineRule="auto"/>
        <w:tabs>
          <w:tab w:leader="none" w:pos="184" w:val="left"/>
        </w:tabs>
        <w:numPr>
          <w:ilvl w:val="0"/>
          <w:numId w:val="4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Severance Benefits. </w:t>
      </w:r>
      <w:r>
        <w:rPr>
          <w:rFonts w:ascii="Arial" w:cs="Arial" w:eastAsia="Arial" w:hAnsi="Arial"/>
          <w:sz w:val="18"/>
          <w:szCs w:val="18"/>
          <w:color w:val="auto"/>
        </w:rPr>
        <w:t>If you execute and do not revoke this Agreement, the Company will provide you with the following Severance Benefits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terms of your [month, date, year] Employment Agreement.</w:t>
      </w:r>
    </w:p>
    <w:p>
      <w:pPr>
        <w:spacing w:after="0" w:line="166"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The Company is offering severance to you in reliance on Treasury Regulation Section 1.409A-1(b)(9) and the short term deferral exemption in Treasury Regulation Section 1.409A-1(b)(4). Any payments made in reliance on Treasury Regulation Section 1.409A-1(b)(4) will be made not later than March 15, 20__. For purposes of Code Section 409A,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4. Benefit Plans.</w:t>
      </w:r>
    </w:p>
    <w:p>
      <w:pPr>
        <w:spacing w:after="0" w:line="229" w:lineRule="exact"/>
        <w:rPr>
          <w:sz w:val="20"/>
          <w:szCs w:val="20"/>
          <w:color w:val="auto"/>
        </w:rPr>
      </w:pPr>
    </w:p>
    <w:p>
      <w:pPr>
        <w:ind w:left="4" w:right="60"/>
        <w:spacing w:after="0" w:line="301" w:lineRule="auto"/>
        <w:rPr>
          <w:sz w:val="20"/>
          <w:szCs w:val="20"/>
          <w:color w:val="auto"/>
        </w:rPr>
      </w:pPr>
      <w:r>
        <w:rPr>
          <w:rFonts w:ascii="Arial" w:cs="Arial" w:eastAsia="Arial" w:hAnsi="Arial"/>
          <w:sz w:val="16"/>
          <w:szCs w:val="16"/>
          <w:color w:val="auto"/>
        </w:rPr>
        <w:t xml:space="preserve">If you are currently participating in the Company’s group health insurance plans, your participation as an employee will end on [the Separation Date] </w:t>
      </w:r>
      <w:r>
        <w:rPr>
          <w:rFonts w:ascii="Arial" w:cs="Arial" w:eastAsia="Arial" w:hAnsi="Arial"/>
          <w:sz w:val="16"/>
          <w:szCs w:val="16"/>
          <w:i w:val="1"/>
          <w:iCs w:val="1"/>
          <w:color w:val="auto"/>
        </w:rPr>
        <w:t>or</w:t>
      </w:r>
      <w:r>
        <w:rPr>
          <w:rFonts w:ascii="Arial" w:cs="Arial" w:eastAsia="Arial" w:hAnsi="Arial"/>
          <w:sz w:val="16"/>
          <w:szCs w:val="16"/>
          <w:color w:val="auto"/>
        </w:rPr>
        <w:t xml:space="preserve"> [the last day of the month in which separation occurs]. Thereafter, to the extent provided by the federal COBRA law or, if applicable, state insurance laws, and by the Company’s current group health insurance policies, you will be eligible to continue your group health insurance benefits at your own expense. Later, you may be able to convert to an individual policy through the provider of the Company’s health insurance, if you wish.</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69" w:right="459" w:bottom="1440" w:gutter="0" w:footer="0" w:header="0"/>
        </w:sectPr>
      </w:pPr>
    </w:p>
    <w:bookmarkStart w:id="510" w:name="page511"/>
    <w:bookmarkEnd w:id="510"/>
    <w:p>
      <w:pPr>
        <w:ind w:left="4" w:right="7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Deductions for the 401(k) Plan will end with your last regular paycheck. You will receive information by mail concerning 401(k) plan rollover procedures should you be a participant in this program.</w:t>
      </w:r>
    </w:p>
    <w:p>
      <w:pPr>
        <w:spacing w:after="0" w:line="170"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You may be eligible for unemployment insurance benefits after the Separation Date. The Massachusetts Department of Unemployment Assistance, not the Company, will determine your eligibility for such benefits.</w:t>
      </w:r>
    </w:p>
    <w:p>
      <w:pPr>
        <w:spacing w:after="0" w:line="58" w:lineRule="exact"/>
        <w:rPr>
          <w:sz w:val="20"/>
          <w:szCs w:val="20"/>
          <w:color w:val="auto"/>
        </w:rPr>
      </w:pPr>
    </w:p>
    <w:p>
      <w:pPr>
        <w:ind w:left="4" w:right="60" w:hanging="4"/>
        <w:spacing w:after="0" w:line="347" w:lineRule="auto"/>
        <w:tabs>
          <w:tab w:leader="none" w:pos="184" w:val="left"/>
        </w:tabs>
        <w:numPr>
          <w:ilvl w:val="0"/>
          <w:numId w:val="49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 Options. </w:t>
      </w:r>
      <w:r>
        <w:rPr>
          <w:rFonts w:ascii="Arial" w:cs="Arial" w:eastAsia="Arial" w:hAnsi="Arial"/>
          <w:sz w:val="16"/>
          <w:szCs w:val="16"/>
          <w:color w:val="auto"/>
        </w:rPr>
        <w:t>You were granted an option to purchase ________ shares of the Company’s common stock, pursuant to the Company’s [correct name</w:t>
      </w:r>
      <w:r>
        <w:rPr>
          <w:rFonts w:ascii="Arial" w:cs="Arial" w:eastAsia="Arial" w:hAnsi="Arial"/>
          <w:sz w:val="16"/>
          <w:szCs w:val="16"/>
          <w:b w:val="1"/>
          <w:bCs w:val="1"/>
          <w:color w:val="auto"/>
        </w:rPr>
        <w:t xml:space="preserve"> </w:t>
      </w:r>
      <w:r>
        <w:rPr>
          <w:rFonts w:ascii="Arial" w:cs="Arial" w:eastAsia="Arial" w:hAnsi="Arial"/>
          <w:sz w:val="16"/>
          <w:szCs w:val="16"/>
          <w:color w:val="auto"/>
        </w:rPr>
        <w:t>of Stock or incentive plan] (the “Plan”). Under the terms of the Plan and your stock option grant, vesting will cease as of the Separation Date.</w:t>
      </w:r>
    </w:p>
    <w:p>
      <w:pPr>
        <w:spacing w:after="0" w:line="7" w:lineRule="exact"/>
        <w:rPr>
          <w:rFonts w:ascii="Arial" w:cs="Arial" w:eastAsia="Arial" w:hAnsi="Arial"/>
          <w:sz w:val="16"/>
          <w:szCs w:val="16"/>
          <w:b w:val="1"/>
          <w:bCs w:val="1"/>
          <w:color w:val="auto"/>
        </w:rPr>
      </w:pPr>
    </w:p>
    <w:p>
      <w:pPr>
        <w:ind w:left="4" w:right="560" w:hanging="4"/>
        <w:spacing w:after="0" w:line="282" w:lineRule="auto"/>
        <w:tabs>
          <w:tab w:leader="none" w:pos="184" w:val="left"/>
        </w:tabs>
        <w:numPr>
          <w:ilvl w:val="0"/>
          <w:numId w:val="4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Compensation or Benefits. </w:t>
      </w:r>
      <w:r>
        <w:rPr>
          <w:rFonts w:ascii="Arial" w:cs="Arial" w:eastAsia="Arial" w:hAnsi="Arial"/>
          <w:sz w:val="18"/>
          <w:szCs w:val="18"/>
          <w:color w:val="auto"/>
        </w:rPr>
        <w:t>You acknowledge that, except as expressly provided in this Agreement, you will not receive any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severance or benefits after the Separation Date.</w:t>
      </w:r>
    </w:p>
    <w:p>
      <w:pPr>
        <w:spacing w:after="0" w:line="53" w:lineRule="exact"/>
        <w:rPr>
          <w:rFonts w:ascii="Arial" w:cs="Arial" w:eastAsia="Arial" w:hAnsi="Arial"/>
          <w:sz w:val="18"/>
          <w:szCs w:val="18"/>
          <w:b w:val="1"/>
          <w:bCs w:val="1"/>
          <w:color w:val="auto"/>
        </w:rPr>
      </w:pPr>
    </w:p>
    <w:p>
      <w:pPr>
        <w:ind w:left="4" w:right="420" w:hanging="4"/>
        <w:spacing w:after="0" w:line="266" w:lineRule="auto"/>
        <w:tabs>
          <w:tab w:leader="none" w:pos="184" w:val="left"/>
        </w:tabs>
        <w:numPr>
          <w:ilvl w:val="0"/>
          <w:numId w:val="4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Expense Reimbursements. </w:t>
      </w:r>
      <w:r>
        <w:rPr>
          <w:rFonts w:ascii="Arial" w:cs="Arial" w:eastAsia="Arial" w:hAnsi="Arial"/>
          <w:sz w:val="18"/>
          <w:szCs w:val="18"/>
          <w:color w:val="auto"/>
        </w:rPr>
        <w:t>You agree that, within ten (10) days of the Separation Date, you will submit your final documented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reimbursement statement reflecting all business expenses you incurred through the Separation Date, if any, for which you seek reimbursement. The Company will reimburse you for reasonable business expenses pursuant to its regular business practice.</w:t>
      </w:r>
    </w:p>
    <w:p>
      <w:pPr>
        <w:spacing w:after="0" w:line="71" w:lineRule="exact"/>
        <w:rPr>
          <w:rFonts w:ascii="Arial" w:cs="Arial" w:eastAsia="Arial" w:hAnsi="Arial"/>
          <w:sz w:val="18"/>
          <w:szCs w:val="18"/>
          <w:b w:val="1"/>
          <w:bCs w:val="1"/>
          <w:color w:val="auto"/>
        </w:rPr>
      </w:pPr>
    </w:p>
    <w:p>
      <w:pPr>
        <w:ind w:left="4" w:right="120" w:hanging="4"/>
        <w:spacing w:after="0" w:line="293" w:lineRule="auto"/>
        <w:tabs>
          <w:tab w:leader="none" w:pos="184" w:val="left"/>
        </w:tabs>
        <w:numPr>
          <w:ilvl w:val="0"/>
          <w:numId w:val="494"/>
        </w:numPr>
        <w:rPr>
          <w:rFonts w:ascii="Arial" w:cs="Arial" w:eastAsia="Arial" w:hAnsi="Arial"/>
          <w:sz w:val="16"/>
          <w:szCs w:val="16"/>
          <w:color w:val="auto"/>
        </w:rPr>
      </w:pPr>
      <w:r>
        <w:rPr>
          <w:rFonts w:ascii="Arial" w:cs="Arial" w:eastAsia="Arial" w:hAnsi="Arial"/>
          <w:sz w:val="16"/>
          <w:szCs w:val="16"/>
          <w:color w:val="auto"/>
        </w:rPr>
        <w:t>Return of Company Property. By the Separation Date, you agree to return to the Company all Company documents (and all copies thereof) and other Company property that you have had in your possession at any time, including, but not limited to, Company files, notes, drawings, records, business plans and forecasts, financial information, specifications, computer-recorded information, tangible property (including, but not limited to, computers), credit cards, entry cards, identification badges and keys; and, any materials of any kind that contain or embody any proprietary or confidential information of the Company (and all reproductions thereof). Please coordinate return of Company property with [name/title]. Receipt of the severance benefits described in Section 3 of this Agreement is expressly conditioned upon return of all Company Property.</w:t>
      </w:r>
    </w:p>
    <w:p>
      <w:pPr>
        <w:spacing w:after="0" w:line="52" w:lineRule="exact"/>
        <w:rPr>
          <w:rFonts w:ascii="Arial" w:cs="Arial" w:eastAsia="Arial" w:hAnsi="Arial"/>
          <w:sz w:val="16"/>
          <w:szCs w:val="16"/>
          <w:color w:val="auto"/>
        </w:rPr>
      </w:pPr>
    </w:p>
    <w:p>
      <w:pPr>
        <w:ind w:left="4" w:hanging="4"/>
        <w:spacing w:after="0" w:line="284" w:lineRule="auto"/>
        <w:tabs>
          <w:tab w:leader="none" w:pos="184" w:val="left"/>
        </w:tabs>
        <w:numPr>
          <w:ilvl w:val="0"/>
          <w:numId w:val="49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Confidential Information and Post-Termination Obligations. </w:t>
      </w:r>
      <w:r>
        <w:rPr>
          <w:rFonts w:ascii="Arial" w:cs="Arial" w:eastAsia="Arial" w:hAnsi="Arial"/>
          <w:sz w:val="16"/>
          <w:szCs w:val="16"/>
          <w:color w:val="auto"/>
        </w:rPr>
        <w:t>Both during and after your employment you acknowledge your continuing</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under your Employee Proprietary Information and Inventions Assignment Agreement (“Restrictive Covenants Agreement”) not to use or disclose any confidential or proprietary information of the Company and to refrain from certain solicitation activities. A copy of your Restrictive Covenants Agreement is attached hereto. If you have any doubts as to the scope of the restrictions in your agreement, you should contact [name/title] immediately to assess your compliance. As you know, the Company will enforce its contract rights. Please familiarize yourself with the enclosed agreement which you signed. Confidential information that is also a “trade secret,” as defined by law, may be disclosed (A) if it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in the event that you file a lawsuit for retaliation by the Company for reporting a suspected violation of law, you may disclose the trade secret to your attorney and use the trade secret information in the court proceeding, if you: (A) file any document containing the trade secret under seal; and</w:t>
      </w:r>
    </w:p>
    <w:p>
      <w:pPr>
        <w:spacing w:after="0" w:line="1"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8"/>
          <w:szCs w:val="18"/>
          <w:color w:val="auto"/>
        </w:rPr>
        <w:t>(B) do not disclose the trade secret, except pursuant to court order.</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4"/>
          </w:cols>
          <w:pgMar w:left="436" w:top="273" w:right="439" w:bottom="1440" w:gutter="0" w:footer="0" w:header="0"/>
        </w:sectPr>
      </w:pPr>
    </w:p>
    <w:bookmarkStart w:id="511" w:name="page512"/>
    <w:bookmarkEnd w:id="511"/>
    <w:p>
      <w:pPr>
        <w:ind w:left="4" w:right="40" w:hanging="4"/>
        <w:spacing w:after="0" w:line="273" w:lineRule="auto"/>
        <w:tabs>
          <w:tab w:leader="none" w:pos="274" w:val="left"/>
        </w:tabs>
        <w:numPr>
          <w:ilvl w:val="0"/>
          <w:numId w:val="495"/>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Confidentiality. </w:t>
      </w:r>
      <w:r>
        <w:rPr>
          <w:rFonts w:ascii="Arial" w:cs="Arial" w:eastAsia="Arial" w:hAnsi="Arial"/>
          <w:sz w:val="17"/>
          <w:szCs w:val="17"/>
          <w:color w:val="auto"/>
        </w:rPr>
        <w:t>The provisions of this Agreement will be held in strictest confidence by you and will not be publicized or disclosed in any manner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whatsoever;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 you may disclose this Agreement to your immediate family; (b) you may disclose this Agreement in confidence to your attorney, accountant, auditor, tax preparer, and financial advisor; and (c) you may disclose this Agreement insofar as such disclosure may be required by law. Notwithstanding the foregoing, nothing in this Agreement shall limit your right to voluntarily communicate with the Equal Employment Opportunity Commission, United States Department of Labor, the National Labor Relations Board, the Securities and Exchange Commission, other federal government agency or similar state or local agency or to discuss the terms and conditions of your employment with others to the extent expressly permitted by Section 7 of the National Labor Relations Act.</w:t>
      </w:r>
    </w:p>
    <w:p>
      <w:pPr>
        <w:spacing w:after="0" w:line="63" w:lineRule="exact"/>
        <w:rPr>
          <w:rFonts w:ascii="Arial" w:cs="Arial" w:eastAsia="Arial" w:hAnsi="Arial"/>
          <w:sz w:val="17"/>
          <w:szCs w:val="17"/>
          <w:b w:val="1"/>
          <w:bCs w:val="1"/>
          <w:color w:val="auto"/>
        </w:rPr>
      </w:pPr>
    </w:p>
    <w:p>
      <w:pPr>
        <w:ind w:left="4" w:right="80" w:hanging="4"/>
        <w:spacing w:after="0" w:line="271" w:lineRule="auto"/>
        <w:tabs>
          <w:tab w:leader="none" w:pos="264" w:val="left"/>
        </w:tabs>
        <w:numPr>
          <w:ilvl w:val="0"/>
          <w:numId w:val="49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Non-Disparagement. </w:t>
      </w:r>
      <w:r>
        <w:rPr>
          <w:rFonts w:ascii="Arial" w:cs="Arial" w:eastAsia="Arial" w:hAnsi="Arial"/>
          <w:sz w:val="17"/>
          <w:szCs w:val="17"/>
          <w:color w:val="auto"/>
        </w:rPr>
        <w:t>You agree not to disparage the Company, and the Company’s attorneys, directors, managers, partners, employees, agents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affiliates, in any manner likely to be harmful to them or their business, business reputation or personal reputation; provided that you may respond accurately and fully to any question, inquiry or request for information when required by legal process. You further agree that, by no later than the Effective Date, you shall delete or otherwise remove any and all disparaging public comments or statements that you made prior to the Effective Date about or relating to the Company, including, but not limited to, comments in online forums or on websites (including, but not limited to, Facebook, Glassdoor, Yelp, and LinkedIn). Notwithstanding the foregoing, nothing in this Agreement shall limit your right to voluntarily communicate with the Equal Employment Opportunity Commission, United States Department of Labor, the National Labor Relations Board, the Securities and Exchange Commission, other federal government agency or similar state or local agency or to discuss the terms and conditions of your employment with others to the extent expressly permitted by Section 7 of the National Labor Relations Act.</w:t>
      </w:r>
    </w:p>
    <w:p>
      <w:pPr>
        <w:spacing w:after="0" w:line="65" w:lineRule="exact"/>
        <w:rPr>
          <w:rFonts w:ascii="Arial" w:cs="Arial" w:eastAsia="Arial" w:hAnsi="Arial"/>
          <w:sz w:val="17"/>
          <w:szCs w:val="17"/>
          <w:b w:val="1"/>
          <w:bCs w:val="1"/>
          <w:color w:val="auto"/>
        </w:rPr>
      </w:pPr>
    </w:p>
    <w:p>
      <w:pPr>
        <w:ind w:left="4" w:right="320" w:hanging="4"/>
        <w:spacing w:after="0" w:line="261" w:lineRule="auto"/>
        <w:tabs>
          <w:tab w:leader="none" w:pos="274" w:val="left"/>
        </w:tabs>
        <w:numPr>
          <w:ilvl w:val="0"/>
          <w:numId w:val="4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Cooperation after Termination. </w:t>
      </w:r>
      <w:r>
        <w:rPr>
          <w:rFonts w:ascii="Arial" w:cs="Arial" w:eastAsia="Arial" w:hAnsi="Arial"/>
          <w:sz w:val="18"/>
          <w:szCs w:val="18"/>
          <w:color w:val="auto"/>
        </w:rPr>
        <w:t>You agree to cooperate fully with the Company in all matters relating to the transition of your work and</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responsibilities on behalf of the Company, including, but not limited to, any present, prior or subsequent relationships and the orderly transfer of any such work and institutional knowledge to such other persons as may be designated by the Company, by making yourself reasonably available during regular business hours.</w:t>
      </w:r>
    </w:p>
    <w:p>
      <w:pPr>
        <w:spacing w:after="0" w:line="71" w:lineRule="exact"/>
        <w:rPr>
          <w:rFonts w:ascii="Arial" w:cs="Arial" w:eastAsia="Arial" w:hAnsi="Arial"/>
          <w:sz w:val="18"/>
          <w:szCs w:val="18"/>
          <w:b w:val="1"/>
          <w:bCs w:val="1"/>
          <w:color w:val="auto"/>
        </w:rPr>
      </w:pPr>
    </w:p>
    <w:p>
      <w:pPr>
        <w:ind w:left="4" w:hanging="4"/>
        <w:spacing w:after="0" w:line="294" w:lineRule="auto"/>
        <w:tabs>
          <w:tab w:leader="none" w:pos="274" w:val="left"/>
        </w:tabs>
        <w:numPr>
          <w:ilvl w:val="0"/>
          <w:numId w:val="49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Release. </w:t>
      </w:r>
      <w:r>
        <w:rPr>
          <w:rFonts w:ascii="Arial" w:cs="Arial" w:eastAsia="Arial" w:hAnsi="Arial"/>
          <w:sz w:val="16"/>
          <w:szCs w:val="16"/>
          <w:color w:val="auto"/>
        </w:rPr>
        <w:t>In exchange for the payments and other consideration under this Agreement, to which you would not otherwise be entitled, and except as</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set forth in this Agreement, you, on behalf of yourself and, to the extent permitted by law, on behalf of your spouse, heirs, executors, administrators, assigns, insurers, attorneys and other persons or entities, acting or purporting to act on your behalf (collectively, the “Employee Parties”), hereby generally and completely release, acquit and forever discharge the Company, its parents and subsidiaries, and its and their officers, directors, managers, partners, agents, representatives, employees, attorneys, shareholders, predecessors, successors, assigns, insurers and affiliates (the “Company Parties”) of and from any and all claims, liabilities, demands, contentions, actions, causes of action, suits, costs,</w:t>
      </w:r>
    </w:p>
    <w:p>
      <w:pPr>
        <w:spacing w:after="0" w:line="9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69" w:right="459" w:bottom="1440" w:gutter="0" w:footer="0" w:header="0"/>
        </w:sectPr>
      </w:pPr>
    </w:p>
    <w:bookmarkStart w:id="512" w:name="page513"/>
    <w:bookmarkEnd w:id="512"/>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expenses, attorneys’ fees, damages, indemnities, debts, judgments, levies, executions and obligations of every kind and nature, in law, equity, or otherwise, both known and unknown, suspected and unsuspected, disclosed and undisclosed, arising out of or in any way related to agreements, events, acts or conduct at any time prior to and including the execution date of this Agreement, including but not limited to: all such claims and demands directly or indirectly arising out of or in any way connected with your employment with the Company or the termination of that employment; claims or demands related to salary, bonuses, commissions, stock, stock options, or any other ownership interests in the Company, vacation pay, fringe benefits, expense reimbursements, severance pay, or any other form of compensation; claims pursuant to any federal, state or local law, statute, or cause of action; tort law; or contract law (individually a “Claim” and collectively “Claims”). The Claims you are releasing and waiving in this Agreement include, but are not limited to, any and all Claims that any of the Company Parties:</w:t>
      </w:r>
    </w:p>
    <w:p>
      <w:pPr>
        <w:spacing w:after="0" w:line="84" w:lineRule="exact"/>
        <w:rPr>
          <w:sz w:val="20"/>
          <w:szCs w:val="20"/>
          <w:color w:val="auto"/>
        </w:rPr>
      </w:pPr>
    </w:p>
    <w:p>
      <w:pPr>
        <w:ind w:left="960" w:hanging="424"/>
        <w:spacing w:after="0"/>
        <w:tabs>
          <w:tab w:leader="none" w:pos="96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has violated its personnel policies, handbooks, contracts of employment, or covenants of good faith and fair dealing;</w:t>
      </w:r>
    </w:p>
    <w:p>
      <w:pPr>
        <w:spacing w:after="0" w:line="130" w:lineRule="exact"/>
        <w:rPr>
          <w:rFonts w:ascii="Arial" w:cs="Arial" w:eastAsia="Arial" w:hAnsi="Arial"/>
          <w:sz w:val="18"/>
          <w:szCs w:val="18"/>
          <w:color w:val="auto"/>
        </w:rPr>
      </w:pPr>
    </w:p>
    <w:p>
      <w:pPr>
        <w:ind w:left="960" w:right="60" w:hanging="424"/>
        <w:spacing w:after="0" w:line="287" w:lineRule="auto"/>
        <w:tabs>
          <w:tab w:leader="none" w:pos="960" w:val="left"/>
        </w:tabs>
        <w:numPr>
          <w:ilvl w:val="0"/>
          <w:numId w:val="496"/>
        </w:numPr>
        <w:rPr>
          <w:rFonts w:ascii="Arial" w:cs="Arial" w:eastAsia="Arial" w:hAnsi="Arial"/>
          <w:sz w:val="16"/>
          <w:szCs w:val="16"/>
          <w:color w:val="auto"/>
        </w:rPr>
      </w:pPr>
      <w:r>
        <w:rPr>
          <w:rFonts w:ascii="Arial" w:cs="Arial" w:eastAsia="Arial" w:hAnsi="Arial"/>
          <w:sz w:val="16"/>
          <w:szCs w:val="16"/>
          <w:color w:val="auto"/>
        </w:rPr>
        <w:t>has discriminated against you on the basis of age, race, color, sex (including sexual harassment), national origin, ancestry, disability, religion, sexual orientation, marital status, parental status, source of income, entitlement to benefits, any union activities or other protected category in violation of any local, state or federal law, constitution, ordinance, or regulation, including but not limited to: Title VII of the Civil Rights Act of 1964, the Civil Rights Act of 1866 (42 U.S.C. 1981), the Civil Rights Act of 1991, the Genetic Information Nondiscrimination Act, Executive Order 11246, which prohibit discrimination based on race, color, national origin, religion, or sex; the Americans with Disabilities Act and Sections 503 and 504 of the Rehabilitation Act of 1973, which prohibit discrimination against the disabled, the Age Discrimination in Employment Act (ADEA), which prohibits discrimination based on age, the Older Workers Benefit Protection Act, the National Labor Relations Act, the Lily Ledbetter Fair Pay Act, the anti-retaliation provisions of the Sarbanes-Oxley Act, or any other federal or state law regarding whistleblower retaliation; the Massachusetts Fair Employment Practices Act (M.G.L. c. 151B), the Massachusetts Equal Rights Act, the Massachusetts Equal Pay Act, the Massachusetts Privacy Statute, the Massachusetts Sick Leave Law, the Massachusetts Civil Rights Act, all as amended, and any and all other federal, state or local laws, rules, regulations, constitutions, ordinances or public policies, whether known or unknown, prohibiting employment discrimination;</w:t>
      </w:r>
    </w:p>
    <w:p>
      <w:pPr>
        <w:spacing w:after="0" w:line="73" w:lineRule="exact"/>
        <w:rPr>
          <w:rFonts w:ascii="Arial" w:cs="Arial" w:eastAsia="Arial" w:hAnsi="Arial"/>
          <w:sz w:val="16"/>
          <w:szCs w:val="16"/>
          <w:color w:val="auto"/>
        </w:rPr>
      </w:pPr>
    </w:p>
    <w:p>
      <w:pPr>
        <w:ind w:left="960" w:right="120" w:hanging="424"/>
        <w:spacing w:after="0" w:line="255" w:lineRule="auto"/>
        <w:tabs>
          <w:tab w:leader="none" w:pos="96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has violated any employment statutes, such as the WARN Act, which requires that advance notice be given of certain workforce reductions; the Employee Retirement Income Security Act of 1974 (ERISA) which, among other things, protects employee benefits; the Fair Labor Standards Act of 1938, which regulates wage and hour matters; the National Labor Relations Act, which protects forms of concerted activity; the Family and Medical Leave Act of 1993, which requires employers to provide leaves of absence under certain circumstances; the Fair Credit Reporting Act, the Employee Polygraph Protection Act, the Massachusetts Payment of Wages Act (M.G.L. c. 149 sections 148 and 150), the Massachusetts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3" w:right="459" w:bottom="1440" w:gutter="0" w:footer="0" w:header="0"/>
        </w:sectPr>
      </w:pPr>
    </w:p>
    <w:bookmarkStart w:id="513" w:name="page514"/>
    <w:bookmarkEnd w:id="513"/>
    <w:p>
      <w:pPr>
        <w:jc w:val="both"/>
        <w:ind w:left="980" w:right="3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Overtime regulations (M.G.L. c. 151 sections 1A and 1B), the Massachusetts Meal Break regulations (M.G.L. c. 149 sections 100 and 101), all as amended, and any and all other federal, state or local laws, rules, regulations, constitutions, ordinances or public policies, whether known or unknown relating to employment laws, such as veterans’ reemployment rights laws;</w:t>
      </w:r>
    </w:p>
    <w:p>
      <w:pPr>
        <w:spacing w:after="0" w:line="71" w:lineRule="exact"/>
        <w:rPr>
          <w:sz w:val="20"/>
          <w:szCs w:val="20"/>
          <w:color w:val="auto"/>
        </w:rPr>
      </w:pPr>
    </w:p>
    <w:p>
      <w:pPr>
        <w:ind w:left="960" w:right="20" w:hanging="424"/>
        <w:spacing w:after="0" w:line="272" w:lineRule="auto"/>
        <w:tabs>
          <w:tab w:leader="none" w:pos="960" w:val="left"/>
        </w:tabs>
        <w:numPr>
          <w:ilvl w:val="0"/>
          <w:numId w:val="497"/>
        </w:numPr>
        <w:rPr>
          <w:rFonts w:ascii="Arial" w:cs="Arial" w:eastAsia="Arial" w:hAnsi="Arial"/>
          <w:sz w:val="17"/>
          <w:szCs w:val="17"/>
          <w:color w:val="auto"/>
        </w:rPr>
      </w:pPr>
      <w:r>
        <w:rPr>
          <w:rFonts w:ascii="Arial" w:cs="Arial" w:eastAsia="Arial" w:hAnsi="Arial"/>
          <w:sz w:val="17"/>
          <w:szCs w:val="17"/>
          <w:color w:val="auto"/>
        </w:rPr>
        <w:t>has violated any other laws, such as federal, state, or local laws providing workers’ compensation benefits, restricting an employer’s right to terminate employees, or otherwise regulating employment; any federal, state or local law enforcing express or implied employment contracts or requiring an employer to deal with employees fairly or in good faith; any other federal, state or local laws providing recourse for alleged wrongful discharge, retaliatory discharge, negligent hiring, retention, or supervision, physical or personal injury, emotional distress, assault, battery, false imprisonment, fraud, negligent misrepresentation, defamation, intentional or negligent infliction of emotional distress and/or mental anguish, intentional interference with contract, negligence, detrimental reliance, loss of consortium to you or any member of your family, whistleblowing, and similar or related claims.</w:t>
      </w:r>
    </w:p>
    <w:p>
      <w:pPr>
        <w:spacing w:after="0" w:line="17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Notwithstanding the foregoing, other than events expressly contemplated by this Agreement you do not waive or release rights or Claims that may arise from events that occur after the date this waiver is executed or your right to enforce this Agreement. Also excluded from this Agreement are any Claims which cannot be waived by law, including, without limitation, any rights you may have under applicable workers’ compensation laws and your right, if applicable, to file or participate in an investigative proceeding of any federal, state or local governmental agency. Nothing in this Agreement shall prevent you from filing, cooperating with, or participating in any proceeding or investigation before the Equal Employment Opportunity Commission, United States Department of Labor, the National Labor Relations Board, the Occupational Safety and Health Administration, the Securities and Exchange Commission or any other federal government agency, or similar state or local agency (“Government Agencies”), or exercising any rights pursuant to Section 7 of the National Labor Relations Act. You further understand this Agreement does not limit your ability to voluntarily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you are otherwise waiving, to the fullest extent permitted by law, any and all rights you may have to individual relief based on any Claims that you have released and any rights you have waived by signing this Agreement. If any Claim is not subject to release, to the extent permitted by law, you waive any right or ability to be a class or collective action representative or to otherwise participate in any putative or certified class, collective or multi-party action or proceeding based on such a Claim in which any of the Company Parties is a party. This Agreement does not abrogate your existing rights under any Company benefit plan or any plan or agreement related to equity ownership in the Company; however, it does waive, release and forever discharge Claims existing as of the date you execute this Agreement pursuant to any such plan or agreement.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3" w:right="459" w:bottom="1440" w:gutter="0" w:footer="0" w:header="0"/>
        </w:sectPr>
      </w:pPr>
    </w:p>
    <w:bookmarkStart w:id="514" w:name="page515"/>
    <w:bookmarkEnd w:id="514"/>
    <w:p>
      <w:pPr>
        <w:ind w:left="4" w:hanging="4"/>
        <w:spacing w:after="0" w:line="285" w:lineRule="auto"/>
        <w:tabs>
          <w:tab w:leader="none" w:pos="274" w:val="left"/>
        </w:tabs>
        <w:numPr>
          <w:ilvl w:val="0"/>
          <w:numId w:val="498"/>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Your Acknowledgments and Affirmations/ Effective Date of Agreement. </w:t>
      </w:r>
      <w:r>
        <w:rPr>
          <w:rFonts w:ascii="Arial" w:cs="Arial" w:eastAsia="Arial" w:hAnsi="Arial"/>
          <w:sz w:val="16"/>
          <w:szCs w:val="16"/>
          <w:color w:val="auto"/>
        </w:rPr>
        <w:t>You acknowledge that you are knowingly and voluntarily waiving and</w:t>
      </w:r>
      <w:r>
        <w:rPr>
          <w:rFonts w:ascii="Arial" w:cs="Arial" w:eastAsia="Arial" w:hAnsi="Arial"/>
          <w:sz w:val="16"/>
          <w:szCs w:val="16"/>
          <w:b w:val="1"/>
          <w:bCs w:val="1"/>
          <w:color w:val="auto"/>
        </w:rPr>
        <w:t xml:space="preserve"> </w:t>
      </w:r>
      <w:r>
        <w:rPr>
          <w:rFonts w:ascii="Arial" w:cs="Arial" w:eastAsia="Arial" w:hAnsi="Arial"/>
          <w:sz w:val="16"/>
          <w:szCs w:val="16"/>
          <w:color w:val="auto"/>
        </w:rPr>
        <w:t>releasing any and all rights you may have under the ADEA, as amended. You also acknowledge and agree that (i) the consideration given to you in exchange for the waiver and release in this Agreement is in addition to anything of value to which you were already entitled, and (ii) that you have been paid for all time worked, have received all the leave, leaves of absence and leave benefits and protections for which you are eligible, and have not suffered any on-the-job injury for which you have not already filed a Claim. You affirm that all of the decisions of the Company Parties regarding your pay and benefits through the date of your execution of this Agreement were not discriminatory based on age, disability, race, color, sex, religion, national origin or any other classification protected by law. You affirm that you have not filed or caused to be filed, and are not presently a party to, a Claim against any of the Company Parties. You further affirm that you have no known workplace injuries or occupational diseases. You acknowledge and affirm that you have not been retaliated against for reporting any allegation of corporate fraud or other wrongdoing by any of the Company Parties, or for exercising any rights protected by law, including any rights protected by the Fair Labor Standards Act, the Family Medical Leave Act or any related statute or local leave or disability accommodation laws, or any applicable state workers’ compensation law. You further acknowledge and affirm that you have been advised by this writing that: (a) your waiver and release do not apply to any rights or Claims that may arise after the execution date of this Agreement; (b) you have been advised hereby that you have the right to consult with an attorney prior to executing this Agreement; (c) you have been given twenty-one (21) days to consider this Agreement (although you may choose to voluntarily execute this Agreement earlier and if you do you will sign the Consideration Period waiver below); (d) you have seven (7) business days following your execution of this Agreement to revoke this Agreement; and (e) this Agreement shall not be effective until the date upon which the revocation period has expired unexercised (the “Effective Date”), which shall be the eighth business day after this Agreement is executed by you.</w:t>
      </w:r>
    </w:p>
    <w:p>
      <w:pPr>
        <w:spacing w:after="0" w:line="65" w:lineRule="exact"/>
        <w:rPr>
          <w:rFonts w:ascii="Arial" w:cs="Arial" w:eastAsia="Arial" w:hAnsi="Arial"/>
          <w:sz w:val="16"/>
          <w:szCs w:val="16"/>
          <w:b w:val="1"/>
          <w:bCs w:val="1"/>
          <w:color w:val="auto"/>
        </w:rPr>
      </w:pPr>
    </w:p>
    <w:p>
      <w:pPr>
        <w:jc w:val="both"/>
        <w:ind w:left="4" w:right="100" w:hanging="4"/>
        <w:spacing w:after="0" w:line="266" w:lineRule="auto"/>
        <w:tabs>
          <w:tab w:leader="none" w:pos="274" w:val="left"/>
        </w:tabs>
        <w:numPr>
          <w:ilvl w:val="0"/>
          <w:numId w:val="4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Admission. </w:t>
      </w:r>
      <w:r>
        <w:rPr>
          <w:rFonts w:ascii="Arial" w:cs="Arial" w:eastAsia="Arial" w:hAnsi="Arial"/>
          <w:sz w:val="18"/>
          <w:szCs w:val="18"/>
          <w:color w:val="auto"/>
        </w:rPr>
        <w:t>This Agreement does not constitute an admission by the Company of any wrongful action or violation of any federal, state, or local</w:t>
      </w:r>
      <w:r>
        <w:rPr>
          <w:rFonts w:ascii="Arial" w:cs="Arial" w:eastAsia="Arial" w:hAnsi="Arial"/>
          <w:sz w:val="18"/>
          <w:szCs w:val="18"/>
          <w:b w:val="1"/>
          <w:bCs w:val="1"/>
          <w:color w:val="auto"/>
        </w:rPr>
        <w:t xml:space="preserve"> </w:t>
      </w:r>
      <w:r>
        <w:rPr>
          <w:rFonts w:ascii="Arial" w:cs="Arial" w:eastAsia="Arial" w:hAnsi="Arial"/>
          <w:sz w:val="18"/>
          <w:szCs w:val="18"/>
          <w:color w:val="auto"/>
        </w:rPr>
        <w:t>statute, or common law rights, including those relating to the provisions of any law or statute concerning employment actions, or of any other possible or claimed violation of law or rights.</w:t>
      </w:r>
    </w:p>
    <w:p>
      <w:pPr>
        <w:spacing w:after="0" w:line="67" w:lineRule="exact"/>
        <w:rPr>
          <w:rFonts w:ascii="Arial" w:cs="Arial" w:eastAsia="Arial" w:hAnsi="Arial"/>
          <w:sz w:val="18"/>
          <w:szCs w:val="18"/>
          <w:b w:val="1"/>
          <w:bCs w:val="1"/>
          <w:color w:val="auto"/>
        </w:rPr>
      </w:pPr>
    </w:p>
    <w:p>
      <w:pPr>
        <w:ind w:left="4" w:right="20" w:hanging="4"/>
        <w:spacing w:after="0" w:line="254" w:lineRule="auto"/>
        <w:tabs>
          <w:tab w:leader="none" w:pos="274" w:val="left"/>
        </w:tabs>
        <w:numPr>
          <w:ilvl w:val="0"/>
          <w:numId w:val="4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Breach. </w:t>
      </w:r>
      <w:r>
        <w:rPr>
          <w:rFonts w:ascii="Arial" w:cs="Arial" w:eastAsia="Arial" w:hAnsi="Arial"/>
          <w:sz w:val="18"/>
          <w:szCs w:val="18"/>
          <w:color w:val="auto"/>
        </w:rPr>
        <w:t>You agree that upon any breach of this Agreement you will forfeit all amounts paid or owing to you under this Agreement. Further, you</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 that it may be impossible to assess the damages caused by your violation of the terms of Sections 8, 9, 10 and 11 of this Agreement and further agree that any threatened or actual violation or breach of those Sections of this Agreement will constitute immediate and irreparable injury to the Company. You therefore agree that any such breach of this Agreement is a material breach of this Agreement, and, in addition to any and all other damages and remedies available to the Company upon your breach of this Agreement, the Company shall be entitled to an injunction to prevent you from violating or breaching this Agreement. You agree that if the Company is successful in whole or part in any legal or equitable action against you under this Agreement, you agree to pay all of the costs, including reasonable attorneys’ fees, incurred by the Company in enforcing the terms of this Agreement.</w:t>
      </w:r>
    </w:p>
    <w:p>
      <w:pPr>
        <w:spacing w:after="0" w:line="12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4"/>
          </w:cols>
          <w:pgMar w:left="436" w:top="269" w:right="479" w:bottom="1440" w:gutter="0" w:footer="0" w:header="0"/>
        </w:sectPr>
      </w:pPr>
    </w:p>
    <w:bookmarkStart w:id="515" w:name="page516"/>
    <w:bookmarkEnd w:id="515"/>
    <w:p>
      <w:pPr>
        <w:ind w:left="4" w:right="100" w:hanging="4"/>
        <w:spacing w:after="0" w:line="271" w:lineRule="auto"/>
        <w:tabs>
          <w:tab w:leader="none" w:pos="274" w:val="left"/>
        </w:tabs>
        <w:numPr>
          <w:ilvl w:val="0"/>
          <w:numId w:val="499"/>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Miscellaneous. </w:t>
      </w:r>
      <w:r>
        <w:rPr>
          <w:rFonts w:ascii="Arial" w:cs="Arial" w:eastAsia="Arial" w:hAnsi="Arial"/>
          <w:sz w:val="17"/>
          <w:szCs w:val="17"/>
          <w:color w:val="auto"/>
        </w:rPr>
        <w:t>This Agreement, including any exhibits, constitutes the complete, final and exclusive embodiment of the entire agreement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you and the Company with regard to this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This Agreement will be deemed to have been entered into and will be construed and enforced in accordance with the laws of the Commonwealth of Massachusetts as applied to contracts made and to be performed entirely within Massachusetts.</w:t>
      </w:r>
    </w:p>
    <w:p>
      <w:pPr>
        <w:spacing w:after="0" w:line="69" w:lineRule="exact"/>
        <w:rPr>
          <w:rFonts w:ascii="Arial" w:cs="Arial" w:eastAsia="Arial" w:hAnsi="Arial"/>
          <w:sz w:val="17"/>
          <w:szCs w:val="17"/>
          <w:b w:val="1"/>
          <w:bCs w:val="1"/>
          <w:color w:val="auto"/>
        </w:rPr>
      </w:pPr>
    </w:p>
    <w:p>
      <w:pPr>
        <w:ind w:left="264" w:hanging="264"/>
        <w:spacing w:after="0"/>
        <w:tabs>
          <w:tab w:leader="none" w:pos="264" w:val="left"/>
        </w:tabs>
        <w:numPr>
          <w:ilvl w:val="0"/>
          <w:numId w:val="499"/>
        </w:numPr>
        <w:rPr>
          <w:rFonts w:ascii="Arial" w:cs="Arial" w:eastAsia="Arial" w:hAnsi="Arial"/>
          <w:sz w:val="17"/>
          <w:szCs w:val="17"/>
          <w:b w:val="1"/>
          <w:bCs w:val="1"/>
          <w:color w:val="auto"/>
        </w:rPr>
      </w:pPr>
      <w:r>
        <w:rPr>
          <w:rFonts w:ascii="Arial" w:cs="Arial" w:eastAsia="Arial" w:hAnsi="Arial"/>
          <w:sz w:val="17"/>
          <w:szCs w:val="17"/>
          <w:color w:val="auto"/>
        </w:rPr>
        <w:t>To ensure the rapid and economical resolution of disputes that may arise in connection with your employment with the Company, you and the</w:t>
      </w:r>
    </w:p>
    <w:p>
      <w:pPr>
        <w:spacing w:after="0" w:line="34" w:lineRule="exact"/>
        <w:rPr>
          <w:rFonts w:ascii="Arial" w:cs="Arial" w:eastAsia="Arial" w:hAnsi="Arial"/>
          <w:sz w:val="17"/>
          <w:szCs w:val="17"/>
          <w:b w:val="1"/>
          <w:bCs w:val="1"/>
          <w:color w:val="auto"/>
        </w:rPr>
      </w:pPr>
    </w:p>
    <w:p>
      <w:pPr>
        <w:ind w:left="4"/>
        <w:spacing w:after="0" w:line="267" w:lineRule="auto"/>
        <w:rPr>
          <w:rFonts w:ascii="Arial" w:cs="Arial" w:eastAsia="Arial" w:hAnsi="Arial"/>
          <w:sz w:val="17"/>
          <w:szCs w:val="17"/>
          <w:b w:val="1"/>
          <w:bCs w:val="1"/>
          <w:color w:val="auto"/>
        </w:rPr>
      </w:pPr>
      <w:r>
        <w:rPr>
          <w:rFonts w:ascii="Arial" w:cs="Arial" w:eastAsia="Arial" w:hAnsi="Arial"/>
          <w:sz w:val="17"/>
          <w:szCs w:val="17"/>
          <w:color w:val="auto"/>
        </w:rPr>
        <w:t xml:space="preserve">Company agree that any and all disputes, claims, or causes of action, in law or equity, including but not limited to statutory claims (including, but not limited to, the Massachusetts Antidiscrimination Act, Mass. Gen. Laws ch.151B and the Massachusetts Wage Act, Mass. Gen. Laws ch. 149), arising from or relating to the enforcement, breach, performance, or interpretation of this Agreement, your employment with the Company, or the termination of your employment, shall be resolved, to the fullest extent permitted by law, by final, binding and confidential arbitration conducted by JAMS or its successor, under JAMS’ then applicable rules and procedures for employment disputes (available upon request and also currently available at </w:t>
      </w:r>
      <w:r>
        <w:rPr>
          <w:rFonts w:ascii="Arial" w:cs="Arial" w:eastAsia="Arial" w:hAnsi="Arial"/>
          <w:sz w:val="17"/>
          <w:szCs w:val="17"/>
          <w:u w:val="single" w:color="auto"/>
          <w:color w:val="auto"/>
        </w:rPr>
        <w:t>http://www.jamsadr.com/rules-employment-arbitration/</w:t>
      </w:r>
      <w:r>
        <w:rPr>
          <w:rFonts w:ascii="Arial" w:cs="Arial" w:eastAsia="Arial" w:hAnsi="Arial"/>
          <w:sz w:val="17"/>
          <w:szCs w:val="17"/>
          <w:color w:val="auto"/>
        </w:rPr>
        <w:t xml:space="preserve">). </w:t>
      </w:r>
      <w:r>
        <w:rPr>
          <w:rFonts w:ascii="Arial" w:cs="Arial" w:eastAsia="Arial" w:hAnsi="Arial"/>
          <w:sz w:val="17"/>
          <w:szCs w:val="17"/>
          <w:b w:val="1"/>
          <w:bCs w:val="1"/>
          <w:color w:val="auto"/>
        </w:rPr>
        <w:t>You acknowledge that by agreeing to this arbitration procedure, both you and the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Company waive the right to resolve any such dispute through a trial by jury or judge or administrative proceeding. </w:t>
      </w:r>
      <w:r>
        <w:rPr>
          <w:rFonts w:ascii="Arial" w:cs="Arial" w:eastAsia="Arial" w:hAnsi="Arial"/>
          <w:sz w:val="17"/>
          <w:szCs w:val="17"/>
          <w:color w:val="auto"/>
        </w:rPr>
        <w:t>You will have the right to be</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represented by legal counsel at any arbitration proceeding.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 Nothing in this Agreement is intended to prevent either you or the Company from obtaining injunctive relief in court to prevent irreparable harm pending the conclusion of any such arbitration.</w:t>
      </w:r>
    </w:p>
    <w:p>
      <w:pPr>
        <w:spacing w:after="0" w:line="181" w:lineRule="exact"/>
        <w:rPr>
          <w:sz w:val="20"/>
          <w:szCs w:val="20"/>
          <w:color w:val="auto"/>
        </w:rPr>
      </w:pPr>
    </w:p>
    <w:p>
      <w:pPr>
        <w:ind w:left="4" w:right="80"/>
        <w:spacing w:after="0" w:line="308" w:lineRule="auto"/>
        <w:rPr>
          <w:sz w:val="20"/>
          <w:szCs w:val="20"/>
          <w:color w:val="auto"/>
        </w:rPr>
      </w:pPr>
      <w:r>
        <w:rPr>
          <w:rFonts w:ascii="Arial" w:cs="Arial" w:eastAsia="Arial" w:hAnsi="Arial"/>
          <w:sz w:val="17"/>
          <w:szCs w:val="17"/>
          <w:color w:val="auto"/>
        </w:rPr>
        <w:t>If this Agreement is acceptable to you, please sign below and return the original to me on or after your Separation Date, but no later than the date that is twenty-one (21) days after you receive this Agreement. This offer will expire if we have not received your executed copy by that date.</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8"/>
          <w:szCs w:val="18"/>
          <w:color w:val="auto"/>
        </w:rPr>
        <w:t>I wish you good luck in your future endeavors.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Adagio Therapeutics, Inc.</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4"/>
          </w:cols>
          <w:pgMar w:left="436" w:top="269" w:right="459" w:bottom="1440" w:gutter="0" w:footer="0" w:header="0"/>
        </w:sectPr>
      </w:pPr>
    </w:p>
    <w:bookmarkStart w:id="516" w:name="page517"/>
    <w:bookmarkEnd w:id="5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GREED TO AND</w:t>
      </w:r>
      <w:r>
        <w:rPr>
          <w:rFonts w:ascii="Arial" w:cs="Arial" w:eastAsia="Arial" w:hAnsi="Arial"/>
          <w:sz w:val="18"/>
          <w:szCs w:val="18"/>
          <w:color w:val="auto"/>
        </w:rPr>
        <w:t xml:space="preserve"> A</w:t>
      </w:r>
      <w:r>
        <w:rPr>
          <w:rFonts w:ascii="Arial" w:cs="Arial" w:eastAsia="Arial" w:hAnsi="Arial"/>
          <w:sz w:val="14"/>
          <w:szCs w:val="14"/>
          <w:color w:val="auto"/>
        </w:rPr>
        <w:t>CCEPTED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2794635"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CONSIDERATION PERIOD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 ____________________, understand that I have the right to take at least 21 days to consider whether to sign this Agreement, which I received 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___________ __, 20__. If I elect to sign this Agreement before 21 days have passed, I understand I am to sign and date below this paragraph to confirm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that I knowingly and voluntarily agree to waive the 21-day consideration period.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GREED</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279463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279463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40"/>
          </w:cols>
          <w:pgMar w:left="440" w:top="273" w:right="519" w:bottom="1440" w:gutter="0" w:footer="0" w:header="0"/>
        </w:sectPr>
      </w:pPr>
    </w:p>
    <w:bookmarkStart w:id="517" w:name="page518"/>
    <w:bookmarkEnd w:id="517"/>
    <w:p>
      <w:pPr>
        <w:jc w:val="right"/>
        <w:spacing w:after="0"/>
        <w:rPr>
          <w:sz w:val="20"/>
          <w:szCs w:val="20"/>
          <w:color w:val="auto"/>
        </w:rPr>
      </w:pPr>
      <w:r>
        <w:rPr>
          <w:rFonts w:ascii="Arial" w:cs="Arial" w:eastAsia="Arial" w:hAnsi="Arial"/>
          <w:sz w:val="18"/>
          <w:szCs w:val="18"/>
          <w:b w:val="1"/>
          <w:bCs w:val="1"/>
          <w:color w:val="auto"/>
        </w:rPr>
        <w:t>Exhibit 10.11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This Employment Agreement (“</w:t>
      </w:r>
      <w:r>
        <w:rPr>
          <w:rFonts w:ascii="Arial" w:cs="Arial" w:eastAsia="Arial" w:hAnsi="Arial"/>
          <w:sz w:val="18"/>
          <w:szCs w:val="18"/>
          <w:b w:val="1"/>
          <w:bCs w:val="1"/>
          <w:i w:val="1"/>
          <w:iCs w:val="1"/>
          <w:u w:val="single" w:color="auto"/>
          <w:color w:val="auto"/>
        </w:rPr>
        <w:t>Agreement</w:t>
      </w:r>
      <w:r>
        <w:rPr>
          <w:rFonts w:ascii="Arial" w:cs="Arial" w:eastAsia="Arial" w:hAnsi="Arial"/>
          <w:sz w:val="18"/>
          <w:szCs w:val="18"/>
          <w:color w:val="auto"/>
        </w:rPr>
        <w:t>”) is made between Adagio Therapeutics, Inc., a Delaware corporation (the “</w:t>
      </w:r>
      <w:r>
        <w:rPr>
          <w:rFonts w:ascii="Arial" w:cs="Arial" w:eastAsia="Arial" w:hAnsi="Arial"/>
          <w:sz w:val="18"/>
          <w:szCs w:val="18"/>
          <w:b w:val="1"/>
          <w:bCs w:val="1"/>
          <w:i w:val="1"/>
          <w:iCs w:val="1"/>
          <w:u w:val="single" w:color="auto"/>
          <w:color w:val="auto"/>
        </w:rPr>
        <w:t>Company</w:t>
      </w:r>
      <w:r>
        <w:rPr>
          <w:rFonts w:ascii="Arial" w:cs="Arial" w:eastAsia="Arial" w:hAnsi="Arial"/>
          <w:sz w:val="18"/>
          <w:szCs w:val="18"/>
          <w:color w:val="auto"/>
        </w:rPr>
        <w:t>”), and Rebecca Dabora (the “</w:t>
      </w:r>
      <w:r>
        <w:rPr>
          <w:rFonts w:ascii="Arial" w:cs="Arial" w:eastAsia="Arial" w:hAnsi="Arial"/>
          <w:sz w:val="18"/>
          <w:szCs w:val="18"/>
          <w:b w:val="1"/>
          <w:bCs w:val="1"/>
          <w:i w:val="1"/>
          <w:iCs w:val="1"/>
          <w:u w:val="single" w:color="auto"/>
          <w:color w:val="auto"/>
        </w:rPr>
        <w:t>Executive</w:t>
      </w:r>
      <w:r>
        <w:rPr>
          <w:rFonts w:ascii="Arial" w:cs="Arial" w:eastAsia="Arial" w:hAnsi="Arial"/>
          <w:sz w:val="18"/>
          <w:szCs w:val="18"/>
          <w:color w:val="auto"/>
        </w:rPr>
        <w:t>”), this [___] day of [_______] 2021. This Agreement supersedes in its entirety that certain Offer Letter, dated May 10, 2021 (the “</w:t>
      </w:r>
      <w:r>
        <w:rPr>
          <w:rFonts w:ascii="Arial" w:cs="Arial" w:eastAsia="Arial" w:hAnsi="Arial"/>
          <w:sz w:val="18"/>
          <w:szCs w:val="18"/>
          <w:b w:val="1"/>
          <w:bCs w:val="1"/>
          <w:i w:val="1"/>
          <w:iCs w:val="1"/>
          <w:u w:val="single" w:color="auto"/>
          <w:color w:val="auto"/>
        </w:rPr>
        <w:t>Prior Agreement</w:t>
      </w:r>
      <w:r>
        <w:rPr>
          <w:rFonts w:ascii="Arial" w:cs="Arial" w:eastAsia="Arial" w:hAnsi="Arial"/>
          <w:sz w:val="18"/>
          <w:szCs w:val="18"/>
          <w:color w:val="auto"/>
        </w:rPr>
        <w:t>”), between the Executive and the Company.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Company is planning an initial public offering (the “</w:t>
      </w:r>
      <w:r>
        <w:rPr>
          <w:rFonts w:ascii="Arial" w:cs="Arial" w:eastAsia="Arial" w:hAnsi="Arial"/>
          <w:sz w:val="18"/>
          <w:szCs w:val="18"/>
          <w:b w:val="1"/>
          <w:bCs w:val="1"/>
          <w:i w:val="1"/>
          <w:iCs w:val="1"/>
          <w:u w:val="single" w:color="auto"/>
          <w:color w:val="auto"/>
        </w:rPr>
        <w:t>Offering</w:t>
      </w:r>
      <w:r>
        <w:rPr>
          <w:rFonts w:ascii="Arial" w:cs="Arial" w:eastAsia="Arial" w:hAnsi="Arial"/>
          <w:sz w:val="18"/>
          <w:szCs w:val="18"/>
          <w:color w:val="auto"/>
        </w:rPr>
        <w:t>”) of its shares of common stock;</w:t>
      </w:r>
    </w:p>
    <w:p>
      <w:pPr>
        <w:spacing w:after="0" w:line="225" w:lineRule="exact"/>
        <w:rPr>
          <w:sz w:val="20"/>
          <w:szCs w:val="20"/>
          <w:color w:val="auto"/>
        </w:rPr>
      </w:pPr>
    </w:p>
    <w:p>
      <w:pPr>
        <w:ind w:right="200" w:firstLine="440"/>
        <w:spacing w:after="0" w:line="342" w:lineRule="auto"/>
        <w:rPr>
          <w:sz w:val="20"/>
          <w:szCs w:val="20"/>
          <w:color w:val="auto"/>
        </w:rPr>
      </w:pPr>
      <w:r>
        <w:rPr>
          <w:rFonts w:ascii="Arial" w:cs="Arial" w:eastAsia="Arial" w:hAnsi="Arial"/>
          <w:sz w:val="16"/>
          <w:szCs w:val="16"/>
          <w:color w:val="auto"/>
        </w:rPr>
        <w:t>WHEREAS, the Company and the Executive desire to enter into this Agreement and supersede in its entirety the Prior Agreement in connection with the Offering, effective as of the date on which the registration statement relating to the Offering is effective (the “</w:t>
      </w:r>
      <w:r>
        <w:rPr>
          <w:rFonts w:ascii="Arial" w:cs="Arial" w:eastAsia="Arial" w:hAnsi="Arial"/>
          <w:sz w:val="16"/>
          <w:szCs w:val="16"/>
          <w:b w:val="1"/>
          <w:bCs w:val="1"/>
          <w:i w:val="1"/>
          <w:iCs w:val="1"/>
          <w:u w:val="single" w:color="auto"/>
          <w:color w:val="auto"/>
        </w:rPr>
        <w:t>Effective Date</w:t>
      </w:r>
      <w:r>
        <w:rPr>
          <w:rFonts w:ascii="Arial" w:cs="Arial" w:eastAsia="Arial" w:hAnsi="Arial"/>
          <w:sz w:val="16"/>
          <w:szCs w:val="16"/>
          <w:color w:val="auto"/>
        </w:rPr>
        <w:t>”).</w:t>
      </w:r>
    </w:p>
    <w:p>
      <w:pPr>
        <w:spacing w:after="0" w:line="12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70" w:lineRule="exact"/>
        <w:rPr>
          <w:sz w:val="20"/>
          <w:szCs w:val="20"/>
          <w:color w:val="auto"/>
        </w:rPr>
      </w:pPr>
    </w:p>
    <w:p>
      <w:pPr>
        <w:ind w:left="620" w:hanging="184"/>
        <w:spacing w:after="0"/>
        <w:tabs>
          <w:tab w:leader="none" w:pos="620" w:val="left"/>
        </w:tabs>
        <w:numPr>
          <w:ilvl w:val="0"/>
          <w:numId w:val="500"/>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987"/>
        <w:spacing w:after="0" w:line="259" w:lineRule="auto"/>
        <w:tabs>
          <w:tab w:leader="none" w:pos="1236" w:val="left"/>
        </w:tabs>
        <w:numPr>
          <w:ilvl w:val="1"/>
          <w:numId w:val="500"/>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Company shall employ the Executive and the Executive shall be employed by the Company pursuant to this Agreement commencing as of the Effective Date and continuing until such employment is terminated in accordance with the provisions hereof (the “</w:t>
      </w:r>
      <w:r>
        <w:rPr>
          <w:rFonts w:ascii="Arial" w:cs="Arial" w:eastAsia="Arial" w:hAnsi="Arial"/>
          <w:sz w:val="18"/>
          <w:szCs w:val="18"/>
          <w:b w:val="1"/>
          <w:bCs w:val="1"/>
          <w:i w:val="1"/>
          <w:iCs w:val="1"/>
          <w:u w:val="single" w:color="auto"/>
          <w:color w:val="auto"/>
        </w:rPr>
        <w:t>Term</w:t>
      </w:r>
      <w:r>
        <w:rPr>
          <w:rFonts w:ascii="Arial" w:cs="Arial" w:eastAsia="Arial" w:hAnsi="Arial"/>
          <w:sz w:val="18"/>
          <w:szCs w:val="18"/>
          <w:color w:val="auto"/>
        </w:rPr>
        <w:t>”). The Executive’s employment with the Company shall continue to be “at will,” meaning that the Executive’s employment may be terminated by the Company or the Executive at any time and for any reason subject to the terms of this Agreement.</w:t>
      </w:r>
    </w:p>
    <w:p>
      <w:pPr>
        <w:spacing w:after="0" w:line="186" w:lineRule="exact"/>
        <w:rPr>
          <w:rFonts w:ascii="Arial" w:cs="Arial" w:eastAsia="Arial" w:hAnsi="Arial"/>
          <w:sz w:val="18"/>
          <w:szCs w:val="18"/>
          <w:color w:val="auto"/>
        </w:rPr>
      </w:pPr>
    </w:p>
    <w:p>
      <w:pPr>
        <w:ind w:left="1240" w:hanging="253"/>
        <w:spacing w:after="0"/>
        <w:tabs>
          <w:tab w:leader="none" w:pos="1240" w:val="left"/>
        </w:tabs>
        <w:numPr>
          <w:ilvl w:val="1"/>
          <w:numId w:val="500"/>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Executive shall serve as the Chief Technology and Manufacturing Officer of the Company and shall have such powers and duties as customarily associated with the office of Chief Technology and Manufacturing Officer, and as may from time to time be prescribed by the Chief Executive Officer of the Company (the “</w:t>
      </w:r>
      <w:r>
        <w:rPr>
          <w:rFonts w:ascii="Arial" w:cs="Arial" w:eastAsia="Arial" w:hAnsi="Arial"/>
          <w:sz w:val="17"/>
          <w:szCs w:val="17"/>
          <w:b w:val="1"/>
          <w:bCs w:val="1"/>
          <w:i w:val="1"/>
          <w:iCs w:val="1"/>
          <w:u w:val="single" w:color="auto"/>
          <w:color w:val="auto"/>
        </w:rPr>
        <w:t>CEO</w:t>
      </w:r>
      <w:r>
        <w:rPr>
          <w:rFonts w:ascii="Arial" w:cs="Arial" w:eastAsia="Arial" w:hAnsi="Arial"/>
          <w:sz w:val="17"/>
          <w:szCs w:val="17"/>
          <w:color w:val="auto"/>
        </w:rPr>
        <w:t>”), subject to the direction and control of the CEO. The Executive shall report to the CEO.</w:t>
      </w:r>
    </w:p>
    <w:p>
      <w:pPr>
        <w:spacing w:after="0" w:line="16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Nothing in this Agreement shall prohibit the Executive from reasonably delegating parts of the responsibilities set forth in or contemplated by this Section 1(b) to other employees of the Company or its subsidiaries. Upon the termination of Executive’s service for any reason, unless otherwise determined by the Board, Executive will be deemed to have resigned from any other positions held at the Company or any of its subsidiaries or affiliates voluntarily, without any further required action by Executive, as of the cessation of Executive’s services, and Executive, at the Board’s request, will execute any documents deemed in the discretion of the Company to be reasonably necessary to reflect Executive’s resignation(s).</w:t>
      </w:r>
    </w:p>
    <w:p>
      <w:pPr>
        <w:sectPr>
          <w:pgSz w:w="11900" w:h="16838" w:orient="portrait"/>
          <w:cols w:equalWidth="0" w:num="1">
            <w:col w:w="11020"/>
          </w:cols>
          <w:pgMar w:left="440" w:top="121" w:right="439" w:bottom="1440" w:gutter="0" w:footer="0" w:header="0"/>
        </w:sectPr>
      </w:pPr>
    </w:p>
    <w:bookmarkStart w:id="518" w:name="page519"/>
    <w:bookmarkEnd w:id="518"/>
    <w:p>
      <w:pPr>
        <w:ind w:right="520" w:firstLine="987"/>
        <w:spacing w:after="0" w:line="277" w:lineRule="auto"/>
        <w:tabs>
          <w:tab w:leader="none" w:pos="1236" w:val="left"/>
        </w:tabs>
        <w:numPr>
          <w:ilvl w:val="0"/>
          <w:numId w:val="50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Outside Activities</w:t>
      </w:r>
      <w:r>
        <w:rPr>
          <w:rFonts w:ascii="Arial" w:cs="Arial" w:eastAsia="Arial" w:hAnsi="Arial"/>
          <w:sz w:val="18"/>
          <w:szCs w:val="18"/>
          <w:color w:val="auto"/>
        </w:rPr>
        <w:t>. Executive will use good faith efforts to discharge Executive’s obligations under this Agreement to the best of Executive’s ability. Executive will devote substantially all of Executive’s business efforts and time to the Company.</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Executive agrees not to engage actively in any other employment, occupation, or consulting activity for any direct or indirect remuneration without the prior approval of the CEO; provided, however, that Executive may, without such approval, serve in any capacity with any civic, educational, or charitable organization, participate in industry affairs and manage Executive’s family’s personal passive investments, and engage in the activities set forth in Appendix A to this Agreement, provided that in each case such services do not materially interfere with Executive’s obligations to the Company, create a conflict of interest, violate any of the Executive’s Continuing Obligations (as defined in Section 9 below) or cause any reputational damage to the Company as reasonably determined by the Board.</w:t>
      </w:r>
    </w:p>
    <w:p>
      <w:pPr>
        <w:spacing w:after="0" w:line="19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Executive may retain any compensation or benefits received as a result of consented to service as a director without any offset in respect of any compensation or benefits to be provided hereunder.</w:t>
      </w:r>
    </w:p>
    <w:p>
      <w:pPr>
        <w:spacing w:after="0" w:line="170" w:lineRule="exact"/>
        <w:rPr>
          <w:sz w:val="20"/>
          <w:szCs w:val="20"/>
          <w:color w:val="auto"/>
        </w:rPr>
      </w:pPr>
    </w:p>
    <w:p>
      <w:pPr>
        <w:ind w:left="620" w:hanging="184"/>
        <w:spacing w:after="0"/>
        <w:tabs>
          <w:tab w:leader="none" w:pos="620" w:val="left"/>
        </w:tabs>
        <w:numPr>
          <w:ilvl w:val="0"/>
          <w:numId w:val="502"/>
        </w:numPr>
        <w:rPr>
          <w:rFonts w:ascii="Arial" w:cs="Arial" w:eastAsia="Arial" w:hAnsi="Arial"/>
          <w:sz w:val="16"/>
          <w:szCs w:val="16"/>
          <w:color w:val="auto"/>
        </w:rPr>
      </w:pPr>
      <w:r>
        <w:rPr>
          <w:rFonts w:ascii="Arial" w:cs="Arial" w:eastAsia="Arial" w:hAnsi="Arial"/>
          <w:sz w:val="16"/>
          <w:szCs w:val="16"/>
          <w:u w:val="single" w:color="auto"/>
          <w:color w:val="auto"/>
        </w:rPr>
        <w:t>Compensation and Related Matters</w:t>
      </w:r>
      <w:r>
        <w:rPr>
          <w:rFonts w:ascii="Arial" w:cs="Arial" w:eastAsia="Arial" w:hAnsi="Arial"/>
          <w:sz w:val="16"/>
          <w:szCs w:val="16"/>
          <w:color w:val="auto"/>
        </w:rPr>
        <w:t>. This Section 2 sets forth the compensation and benefits to be provided to the Executive during the Term.</w:t>
      </w:r>
    </w:p>
    <w:p>
      <w:pPr>
        <w:spacing w:after="0" w:line="248" w:lineRule="exact"/>
        <w:rPr>
          <w:rFonts w:ascii="Arial" w:cs="Arial" w:eastAsia="Arial" w:hAnsi="Arial"/>
          <w:sz w:val="16"/>
          <w:szCs w:val="16"/>
          <w:color w:val="auto"/>
        </w:rPr>
      </w:pPr>
    </w:p>
    <w:p>
      <w:pPr>
        <w:ind w:right="100" w:firstLine="987"/>
        <w:spacing w:after="0" w:line="275" w:lineRule="auto"/>
        <w:tabs>
          <w:tab w:leader="none" w:pos="1236" w:val="left"/>
        </w:tabs>
        <w:numPr>
          <w:ilvl w:val="1"/>
          <w:numId w:val="502"/>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The Executive will continue to pay Executive, as compensation for the performance of the Executive’s duties and obligations hereunder, salary at the rate of $400,000 per year. The Executive’s salary shall be subject to annual review not later than March 31</w:t>
      </w:r>
      <w:r>
        <w:rPr>
          <w:rFonts w:ascii="Arial" w:cs="Arial" w:eastAsia="Arial" w:hAnsi="Arial"/>
          <w:sz w:val="14"/>
          <w:szCs w:val="14"/>
          <w:color w:val="auto"/>
        </w:rPr>
        <w:t>st</w:t>
      </w:r>
      <w:r>
        <w:rPr>
          <w:rFonts w:ascii="Arial" w:cs="Arial" w:eastAsia="Arial" w:hAnsi="Arial"/>
          <w:sz w:val="17"/>
          <w:szCs w:val="17"/>
          <w:color w:val="auto"/>
        </w:rPr>
        <w:t xml:space="preserve"> of each year for possible increase by the Board or the Compensation Committee of the Board (the “</w:t>
      </w:r>
      <w:r>
        <w:rPr>
          <w:rFonts w:ascii="Arial" w:cs="Arial" w:eastAsia="Arial" w:hAnsi="Arial"/>
          <w:sz w:val="17"/>
          <w:szCs w:val="17"/>
          <w:b w:val="1"/>
          <w:bCs w:val="1"/>
          <w:i w:val="1"/>
          <w:iCs w:val="1"/>
          <w:u w:val="single" w:color="auto"/>
          <w:color w:val="auto"/>
        </w:rPr>
        <w:t>Compensation Committee</w:t>
      </w:r>
      <w:r>
        <w:rPr>
          <w:rFonts w:ascii="Arial" w:cs="Arial" w:eastAsia="Arial" w:hAnsi="Arial"/>
          <w:sz w:val="17"/>
          <w:szCs w:val="17"/>
          <w:color w:val="auto"/>
        </w:rPr>
        <w:t>”), which may be adjusted from time to time. The base salary in effect at any given time is referred to herein as “</w:t>
      </w:r>
      <w:r>
        <w:rPr>
          <w:rFonts w:ascii="Arial" w:cs="Arial" w:eastAsia="Arial" w:hAnsi="Arial"/>
          <w:sz w:val="17"/>
          <w:szCs w:val="17"/>
          <w:b w:val="1"/>
          <w:bCs w:val="1"/>
          <w:i w:val="1"/>
          <w:iCs w:val="1"/>
          <w:u w:val="single" w:color="auto"/>
          <w:color w:val="auto"/>
        </w:rPr>
        <w:t>Base Salary</w:t>
      </w:r>
      <w:r>
        <w:rPr>
          <w:rFonts w:ascii="Arial" w:cs="Arial" w:eastAsia="Arial" w:hAnsi="Arial"/>
          <w:sz w:val="17"/>
          <w:szCs w:val="17"/>
          <w:color w:val="auto"/>
        </w:rPr>
        <w:t>.” The Base Salary shall be payable in a manner that is consistent with the Company’s usual payroll practices for its executive officers</w:t>
      </w:r>
    </w:p>
    <w:p>
      <w:pPr>
        <w:spacing w:after="0" w:line="176" w:lineRule="exact"/>
        <w:rPr>
          <w:rFonts w:ascii="Arial" w:cs="Arial" w:eastAsia="Arial" w:hAnsi="Arial"/>
          <w:sz w:val="17"/>
          <w:szCs w:val="17"/>
          <w:color w:val="auto"/>
        </w:rPr>
      </w:pPr>
    </w:p>
    <w:p>
      <w:pPr>
        <w:ind w:right="20" w:firstLine="987"/>
        <w:spacing w:after="0" w:line="270" w:lineRule="auto"/>
        <w:tabs>
          <w:tab w:leader="none" w:pos="1246" w:val="left"/>
        </w:tabs>
        <w:numPr>
          <w:ilvl w:val="1"/>
          <w:numId w:val="502"/>
        </w:numPr>
        <w:rPr>
          <w:rFonts w:ascii="Arial" w:cs="Arial" w:eastAsia="Arial" w:hAnsi="Arial"/>
          <w:sz w:val="17"/>
          <w:szCs w:val="17"/>
          <w:color w:val="auto"/>
        </w:rPr>
      </w:pPr>
      <w:r>
        <w:rPr>
          <w:rFonts w:ascii="Arial" w:cs="Arial" w:eastAsia="Arial" w:hAnsi="Arial"/>
          <w:sz w:val="17"/>
          <w:szCs w:val="17"/>
          <w:u w:val="single" w:color="auto"/>
          <w:color w:val="auto"/>
        </w:rPr>
        <w:t>Incentive Compensation</w:t>
      </w:r>
      <w:r>
        <w:rPr>
          <w:rFonts w:ascii="Arial" w:cs="Arial" w:eastAsia="Arial" w:hAnsi="Arial"/>
          <w:sz w:val="17"/>
          <w:szCs w:val="17"/>
          <w:color w:val="auto"/>
        </w:rPr>
        <w:t>. The Executive shall participate in an annual cash incentive compensation plan (the “</w:t>
      </w:r>
      <w:r>
        <w:rPr>
          <w:rFonts w:ascii="Arial" w:cs="Arial" w:eastAsia="Arial" w:hAnsi="Arial"/>
          <w:sz w:val="17"/>
          <w:szCs w:val="17"/>
          <w:b w:val="1"/>
          <w:bCs w:val="1"/>
          <w:i w:val="1"/>
          <w:iCs w:val="1"/>
          <w:u w:val="single" w:color="auto"/>
          <w:color w:val="auto"/>
        </w:rPr>
        <w:t>Annual Bonus Plan</w:t>
      </w:r>
      <w:r>
        <w:rPr>
          <w:rFonts w:ascii="Arial" w:cs="Arial" w:eastAsia="Arial" w:hAnsi="Arial"/>
          <w:sz w:val="17"/>
          <w:szCs w:val="17"/>
          <w:color w:val="auto"/>
        </w:rPr>
        <w:t>”). The Executive will be eligible to earn an annual bonus for each full calendar year completed (the “</w:t>
      </w:r>
      <w:r>
        <w:rPr>
          <w:rFonts w:ascii="Arial" w:cs="Arial" w:eastAsia="Arial" w:hAnsi="Arial"/>
          <w:sz w:val="17"/>
          <w:szCs w:val="17"/>
          <w:b w:val="1"/>
          <w:bCs w:val="1"/>
          <w:i w:val="1"/>
          <w:iCs w:val="1"/>
          <w:u w:val="single" w:color="auto"/>
          <w:color w:val="auto"/>
        </w:rPr>
        <w:t>Annual Bonus</w:t>
      </w:r>
      <w:r>
        <w:rPr>
          <w:rFonts w:ascii="Arial" w:cs="Arial" w:eastAsia="Arial" w:hAnsi="Arial"/>
          <w:sz w:val="17"/>
          <w:szCs w:val="17"/>
          <w:color w:val="auto"/>
        </w:rPr>
        <w:t>”). The Executive’s target Annual Bonus will be forty percent (40%) of Executive’s Base Salary (the “</w:t>
      </w:r>
      <w:r>
        <w:rPr>
          <w:rFonts w:ascii="Arial" w:cs="Arial" w:eastAsia="Arial" w:hAnsi="Arial"/>
          <w:sz w:val="17"/>
          <w:szCs w:val="17"/>
          <w:b w:val="1"/>
          <w:bCs w:val="1"/>
          <w:i w:val="1"/>
          <w:iCs w:val="1"/>
          <w:u w:val="single" w:color="auto"/>
          <w:color w:val="auto"/>
        </w:rPr>
        <w:t>Target Bonus</w:t>
      </w:r>
      <w:r>
        <w:rPr>
          <w:rFonts w:ascii="Arial" w:cs="Arial" w:eastAsia="Arial" w:hAnsi="Arial"/>
          <w:sz w:val="17"/>
          <w:szCs w:val="17"/>
          <w:color w:val="auto"/>
        </w:rPr>
        <w:t>”) based on Base Salary in effect on January 1st of the applicable performance period. The actual Annual Bonus payable to the Executive with respect to a performance period will be determined by the Compensation Committee based on achieving performance goals and objectives for such calendar year as reasonably determined by the Compensation Committee. The Executive’s Annual Bonus shall be paid as soon as administratively practicable after the end of the performance period, but in no event later than the March 15</w:t>
      </w:r>
      <w:r>
        <w:rPr>
          <w:rFonts w:ascii="Arial" w:cs="Arial" w:eastAsia="Arial" w:hAnsi="Arial"/>
          <w:sz w:val="14"/>
          <w:szCs w:val="14"/>
          <w:color w:val="auto"/>
        </w:rPr>
        <w:t>th</w:t>
      </w:r>
      <w:r>
        <w:rPr>
          <w:rFonts w:ascii="Arial" w:cs="Arial" w:eastAsia="Arial" w:hAnsi="Arial"/>
          <w:sz w:val="17"/>
          <w:szCs w:val="17"/>
          <w:color w:val="auto"/>
        </w:rPr>
        <w:t xml:space="preserve"> immediately following such period; provided, that the Executive must remain continuously employed by the Company through the date on which the Board approves the actual Annual Bonus amount payable to the Executive to be eligible to receive bonus (except as otherwise provided in Section 4(c) or 5(a)).</w:t>
      </w:r>
    </w:p>
    <w:p>
      <w:pPr>
        <w:spacing w:after="0" w:line="180" w:lineRule="exact"/>
        <w:rPr>
          <w:rFonts w:ascii="Arial" w:cs="Arial" w:eastAsia="Arial" w:hAnsi="Arial"/>
          <w:sz w:val="17"/>
          <w:szCs w:val="17"/>
          <w:color w:val="auto"/>
        </w:rPr>
      </w:pPr>
    </w:p>
    <w:p>
      <w:pPr>
        <w:ind w:right="260" w:firstLine="987"/>
        <w:spacing w:after="0" w:line="259" w:lineRule="auto"/>
        <w:tabs>
          <w:tab w:leader="none" w:pos="1236" w:val="left"/>
        </w:tabs>
        <w:numPr>
          <w:ilvl w:val="1"/>
          <w:numId w:val="502"/>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shall promptly pay or reimburse the Executive for all reasonable expenses incurred by the Executive while performing services hereunder, including but not limited to travel expenses and attendance at industry events, in accordance with the policies and procedures then in effect and established by the Company for its executive officers, but in no event later than thirty (30) days submission of a reimbursement request in accordance with such policies or procedures.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3" w:right="459" w:bottom="1440" w:gutter="0" w:footer="0" w:header="0"/>
        </w:sectPr>
      </w:pPr>
    </w:p>
    <w:bookmarkStart w:id="519" w:name="page520"/>
    <w:bookmarkEnd w:id="519"/>
    <w:p>
      <w:pPr>
        <w:ind w:right="360" w:firstLine="987"/>
        <w:spacing w:after="0" w:line="277" w:lineRule="auto"/>
        <w:tabs>
          <w:tab w:leader="none" w:pos="1246" w:val="left"/>
        </w:tabs>
        <w:numPr>
          <w:ilvl w:val="1"/>
          <w:numId w:val="50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Benefits</w:t>
      </w:r>
      <w:r>
        <w:rPr>
          <w:rFonts w:ascii="Arial" w:cs="Arial" w:eastAsia="Arial" w:hAnsi="Arial"/>
          <w:sz w:val="18"/>
          <w:szCs w:val="18"/>
          <w:color w:val="auto"/>
        </w:rPr>
        <w:t>. The Executive shall be eligible to participate in or receive benefits under the Company’s employee benefit plans in effect from time to time, subject to the terms of such plans.</w:t>
      </w:r>
    </w:p>
    <w:p>
      <w:pPr>
        <w:spacing w:after="0" w:line="170" w:lineRule="exact"/>
        <w:rPr>
          <w:rFonts w:ascii="Arial" w:cs="Arial" w:eastAsia="Arial" w:hAnsi="Arial"/>
          <w:sz w:val="18"/>
          <w:szCs w:val="18"/>
          <w:color w:val="auto"/>
        </w:rPr>
      </w:pPr>
    </w:p>
    <w:p>
      <w:pPr>
        <w:ind w:right="140" w:firstLine="987"/>
        <w:spacing w:after="0" w:line="277" w:lineRule="auto"/>
        <w:tabs>
          <w:tab w:leader="none" w:pos="1236" w:val="left"/>
        </w:tabs>
        <w:numPr>
          <w:ilvl w:val="1"/>
          <w:numId w:val="503"/>
        </w:numPr>
        <w:rPr>
          <w:rFonts w:ascii="Arial" w:cs="Arial" w:eastAsia="Arial" w:hAnsi="Arial"/>
          <w:sz w:val="18"/>
          <w:szCs w:val="18"/>
          <w:color w:val="auto"/>
        </w:rPr>
      </w:pPr>
      <w:r>
        <w:rPr>
          <w:rFonts w:ascii="Arial" w:cs="Arial" w:eastAsia="Arial" w:hAnsi="Arial"/>
          <w:sz w:val="18"/>
          <w:szCs w:val="18"/>
          <w:u w:val="single" w:color="auto"/>
          <w:color w:val="auto"/>
        </w:rPr>
        <w:t>Paid Time Off</w:t>
      </w:r>
      <w:r>
        <w:rPr>
          <w:rFonts w:ascii="Arial" w:cs="Arial" w:eastAsia="Arial" w:hAnsi="Arial"/>
          <w:sz w:val="18"/>
          <w:szCs w:val="18"/>
          <w:color w:val="auto"/>
        </w:rPr>
        <w:t>. The Executive shall be entitled to take paid time off in accordance with the Company’s applicable paid time off policy for executives, as may be in effect from time to time.</w:t>
      </w:r>
    </w:p>
    <w:p>
      <w:pPr>
        <w:spacing w:after="0" w:line="170" w:lineRule="exact"/>
        <w:rPr>
          <w:rFonts w:ascii="Arial" w:cs="Arial" w:eastAsia="Arial" w:hAnsi="Arial"/>
          <w:sz w:val="18"/>
          <w:szCs w:val="18"/>
          <w:color w:val="auto"/>
        </w:rPr>
      </w:pPr>
    </w:p>
    <w:p>
      <w:pPr>
        <w:ind w:right="40" w:firstLine="987"/>
        <w:spacing w:after="0" w:line="277" w:lineRule="auto"/>
        <w:tabs>
          <w:tab w:leader="none" w:pos="1216" w:val="left"/>
        </w:tabs>
        <w:numPr>
          <w:ilvl w:val="1"/>
          <w:numId w:val="503"/>
        </w:numPr>
        <w:rPr>
          <w:rFonts w:ascii="Arial" w:cs="Arial" w:eastAsia="Arial" w:hAnsi="Arial"/>
          <w:sz w:val="18"/>
          <w:szCs w:val="18"/>
          <w:color w:val="auto"/>
        </w:rPr>
      </w:pPr>
      <w:r>
        <w:rPr>
          <w:rFonts w:ascii="Arial" w:cs="Arial" w:eastAsia="Arial" w:hAnsi="Arial"/>
          <w:sz w:val="18"/>
          <w:szCs w:val="18"/>
          <w:u w:val="single" w:color="auto"/>
          <w:color w:val="auto"/>
        </w:rPr>
        <w:t>Stock Ownership Guidelines</w:t>
      </w:r>
      <w:r>
        <w:rPr>
          <w:rFonts w:ascii="Arial" w:cs="Arial" w:eastAsia="Arial" w:hAnsi="Arial"/>
          <w:sz w:val="18"/>
          <w:szCs w:val="18"/>
          <w:color w:val="auto"/>
        </w:rPr>
        <w:t>. The Executive shall be subject to the Company’s Executive Stock Ownership Guidelines while providing services under this Agreement.</w:t>
      </w:r>
    </w:p>
    <w:p>
      <w:pPr>
        <w:spacing w:after="0" w:line="170" w:lineRule="exact"/>
        <w:rPr>
          <w:rFonts w:ascii="Arial" w:cs="Arial" w:eastAsia="Arial" w:hAnsi="Arial"/>
          <w:sz w:val="18"/>
          <w:szCs w:val="18"/>
          <w:color w:val="auto"/>
        </w:rPr>
      </w:pPr>
    </w:p>
    <w:p>
      <w:pPr>
        <w:ind w:firstLine="987"/>
        <w:spacing w:after="0" w:line="257" w:lineRule="auto"/>
        <w:tabs>
          <w:tab w:leader="none" w:pos="1246" w:val="left"/>
        </w:tabs>
        <w:numPr>
          <w:ilvl w:val="1"/>
          <w:numId w:val="503"/>
        </w:numPr>
        <w:rPr>
          <w:rFonts w:ascii="Arial" w:cs="Arial" w:eastAsia="Arial" w:hAnsi="Arial"/>
          <w:sz w:val="18"/>
          <w:szCs w:val="18"/>
          <w:color w:val="auto"/>
        </w:rPr>
      </w:pPr>
      <w:r>
        <w:rPr>
          <w:rFonts w:ascii="Arial" w:cs="Arial" w:eastAsia="Arial" w:hAnsi="Arial"/>
          <w:sz w:val="18"/>
          <w:szCs w:val="18"/>
          <w:u w:val="single" w:color="auto"/>
          <w:color w:val="auto"/>
        </w:rPr>
        <w:t>Treatment of Equity Awards upon a Change in Control</w:t>
      </w:r>
      <w:r>
        <w:rPr>
          <w:rFonts w:ascii="Arial" w:cs="Arial" w:eastAsia="Arial" w:hAnsi="Arial"/>
          <w:sz w:val="18"/>
          <w:szCs w:val="18"/>
          <w:color w:val="auto"/>
        </w:rPr>
        <w:t>. The following provisions shall apply to any award granted under the Adagio Therapeutics, Inc. 2021 Equity Incentive Plan (the “</w:t>
      </w:r>
      <w:r>
        <w:rPr>
          <w:rFonts w:ascii="Arial" w:cs="Arial" w:eastAsia="Arial" w:hAnsi="Arial"/>
          <w:sz w:val="18"/>
          <w:szCs w:val="18"/>
          <w:b w:val="1"/>
          <w:bCs w:val="1"/>
          <w:i w:val="1"/>
          <w:iCs w:val="1"/>
          <w:u w:val="single" w:color="auto"/>
          <w:color w:val="auto"/>
        </w:rPr>
        <w:t>Plan</w:t>
      </w:r>
      <w:r>
        <w:rPr>
          <w:rFonts w:ascii="Arial" w:cs="Arial" w:eastAsia="Arial" w:hAnsi="Arial"/>
          <w:sz w:val="18"/>
          <w:szCs w:val="18"/>
          <w:color w:val="auto"/>
        </w:rPr>
        <w:t>”) or any other plan, agreement or arrangement based on the value of a share of the Company’s common stock on or after the Effective Date (collectively, the “</w:t>
      </w:r>
      <w:r>
        <w:rPr>
          <w:rFonts w:ascii="Arial" w:cs="Arial" w:eastAsia="Arial" w:hAnsi="Arial"/>
          <w:sz w:val="18"/>
          <w:szCs w:val="18"/>
          <w:b w:val="1"/>
          <w:bCs w:val="1"/>
          <w:i w:val="1"/>
          <w:iCs w:val="1"/>
          <w:u w:val="single" w:color="auto"/>
          <w:color w:val="auto"/>
        </w:rPr>
        <w:t>Equity Awards</w:t>
      </w:r>
      <w:r>
        <w:rPr>
          <w:rFonts w:ascii="Arial" w:cs="Arial" w:eastAsia="Arial" w:hAnsi="Arial"/>
          <w:sz w:val="18"/>
          <w:szCs w:val="18"/>
          <w:color w:val="auto"/>
        </w:rPr>
        <w:t>”) to the extent the Equity Awards are assumed, continued or substituted by the surviving or acquiring entity (or its parent) in connection with a Change in Control (as defined in the Plan) and the Executive continues to provide services to the Company or its successor following such Change in Control:</w:t>
      </w:r>
    </w:p>
    <w:p>
      <w:pPr>
        <w:spacing w:after="0" w:line="79" w:lineRule="exact"/>
        <w:rPr>
          <w:rFonts w:ascii="Arial" w:cs="Arial" w:eastAsia="Arial" w:hAnsi="Arial"/>
          <w:sz w:val="18"/>
          <w:szCs w:val="18"/>
          <w:color w:val="auto"/>
        </w:rPr>
      </w:pPr>
    </w:p>
    <w:p>
      <w:pPr>
        <w:ind w:left="440" w:right="20" w:firstLine="948"/>
        <w:spacing w:after="0" w:line="259" w:lineRule="auto"/>
        <w:tabs>
          <w:tab w:leader="none" w:pos="1607" w:val="left"/>
        </w:tabs>
        <w:numPr>
          <w:ilvl w:val="2"/>
          <w:numId w:val="503"/>
        </w:numPr>
        <w:rPr>
          <w:rFonts w:ascii="Arial" w:cs="Arial" w:eastAsia="Arial" w:hAnsi="Arial"/>
          <w:sz w:val="18"/>
          <w:szCs w:val="18"/>
          <w:color w:val="auto"/>
        </w:rPr>
      </w:pPr>
      <w:r>
        <w:rPr>
          <w:rFonts w:ascii="Arial" w:cs="Arial" w:eastAsia="Arial" w:hAnsi="Arial"/>
          <w:sz w:val="18"/>
          <w:szCs w:val="18"/>
          <w:color w:val="auto"/>
        </w:rPr>
        <w:t>Except as otherwise provided in the Change in Control transaction’s definitive agreement, the Plan or the applicable award agreement, or as set forth in Section 6 below, Equity Awards subject to vesting solely on account of completing periods of covered employment or service (collectively, the “</w:t>
      </w:r>
      <w:r>
        <w:rPr>
          <w:rFonts w:ascii="Arial" w:cs="Arial" w:eastAsia="Arial" w:hAnsi="Arial"/>
          <w:sz w:val="18"/>
          <w:szCs w:val="18"/>
          <w:b w:val="1"/>
          <w:bCs w:val="1"/>
          <w:i w:val="1"/>
          <w:iCs w:val="1"/>
          <w:u w:val="single" w:color="auto"/>
          <w:color w:val="auto"/>
        </w:rPr>
        <w:t>Time-Based Equity Awards</w:t>
      </w:r>
      <w:r>
        <w:rPr>
          <w:rFonts w:ascii="Arial" w:cs="Arial" w:eastAsia="Arial" w:hAnsi="Arial"/>
          <w:sz w:val="18"/>
          <w:szCs w:val="18"/>
          <w:color w:val="auto"/>
        </w:rPr>
        <w:t>”) shall not immediately accelerate and become fully vested and exercisable or non-forfeitable on such a Change in Control, and</w:t>
      </w:r>
    </w:p>
    <w:p>
      <w:pPr>
        <w:spacing w:after="0" w:line="78" w:lineRule="exact"/>
        <w:rPr>
          <w:rFonts w:ascii="Arial" w:cs="Arial" w:eastAsia="Arial" w:hAnsi="Arial"/>
          <w:sz w:val="18"/>
          <w:szCs w:val="18"/>
          <w:color w:val="auto"/>
        </w:rPr>
      </w:pPr>
    </w:p>
    <w:p>
      <w:pPr>
        <w:ind w:left="440" w:right="200" w:firstLine="948"/>
        <w:spacing w:after="0" w:line="263" w:lineRule="auto"/>
        <w:tabs>
          <w:tab w:leader="none" w:pos="1657" w:val="left"/>
        </w:tabs>
        <w:numPr>
          <w:ilvl w:val="2"/>
          <w:numId w:val="503"/>
        </w:numPr>
        <w:rPr>
          <w:rFonts w:ascii="Arial" w:cs="Arial" w:eastAsia="Arial" w:hAnsi="Arial"/>
          <w:sz w:val="18"/>
          <w:szCs w:val="18"/>
          <w:color w:val="auto"/>
        </w:rPr>
      </w:pPr>
      <w:r>
        <w:rPr>
          <w:rFonts w:ascii="Arial" w:cs="Arial" w:eastAsia="Arial" w:hAnsi="Arial"/>
          <w:sz w:val="18"/>
          <w:szCs w:val="18"/>
          <w:color w:val="auto"/>
        </w:rPr>
        <w:t>all other Equity Awards, including but not limited to performance stock units vesting based on achieving pre-established performance goals (collectively, the “</w:t>
      </w:r>
      <w:r>
        <w:rPr>
          <w:rFonts w:ascii="Arial" w:cs="Arial" w:eastAsia="Arial" w:hAnsi="Arial"/>
          <w:sz w:val="18"/>
          <w:szCs w:val="18"/>
          <w:b w:val="1"/>
          <w:bCs w:val="1"/>
          <w:i w:val="1"/>
          <w:iCs w:val="1"/>
          <w:u w:val="single" w:color="auto"/>
          <w:color w:val="auto"/>
        </w:rPr>
        <w:t>Performance-Based Equity Awards</w:t>
      </w:r>
      <w:r>
        <w:rPr>
          <w:rFonts w:ascii="Arial" w:cs="Arial" w:eastAsia="Arial" w:hAnsi="Arial"/>
          <w:sz w:val="18"/>
          <w:szCs w:val="18"/>
          <w:color w:val="auto"/>
        </w:rPr>
        <w:t>”) shall be governed by the terms of the Plan and the applicable award agreement.</w:t>
      </w:r>
    </w:p>
    <w:p>
      <w:pPr>
        <w:spacing w:after="0" w:line="183" w:lineRule="exact"/>
        <w:rPr>
          <w:rFonts w:ascii="Arial" w:cs="Arial" w:eastAsia="Arial" w:hAnsi="Arial"/>
          <w:sz w:val="18"/>
          <w:szCs w:val="18"/>
          <w:color w:val="auto"/>
        </w:rPr>
      </w:pPr>
    </w:p>
    <w:p>
      <w:pPr>
        <w:ind w:right="920" w:firstLine="436"/>
        <w:spacing w:after="0" w:line="277" w:lineRule="auto"/>
        <w:tabs>
          <w:tab w:leader="none" w:pos="620" w:val="left"/>
        </w:tabs>
        <w:numPr>
          <w:ilvl w:val="0"/>
          <w:numId w:val="504"/>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The Executive’s employment hereunder may be terminated without any breach of this Agreement under the following circumstances:</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1"/>
          <w:numId w:val="504"/>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The Executive’s employment hereunder shall terminate upon death.</w:t>
      </w:r>
    </w:p>
    <w:p>
      <w:pPr>
        <w:spacing w:after="0" w:line="225" w:lineRule="exact"/>
        <w:rPr>
          <w:rFonts w:ascii="Arial" w:cs="Arial" w:eastAsia="Arial" w:hAnsi="Arial"/>
          <w:sz w:val="18"/>
          <w:szCs w:val="18"/>
          <w:color w:val="auto"/>
        </w:rPr>
      </w:pPr>
    </w:p>
    <w:p>
      <w:pPr>
        <w:ind w:right="60" w:firstLine="987"/>
        <w:spacing w:after="0" w:line="259" w:lineRule="auto"/>
        <w:tabs>
          <w:tab w:leader="none" w:pos="1246" w:val="left"/>
        </w:tabs>
        <w:numPr>
          <w:ilvl w:val="1"/>
          <w:numId w:val="504"/>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The Company may terminate the Executive’s employment if the Executive is disabled and unable to perform or expected to be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3" w:right="459" w:bottom="1440" w:gutter="0" w:footer="0" w:header="0"/>
        </w:sectPr>
      </w:pPr>
    </w:p>
    <w:bookmarkStart w:id="520" w:name="page521"/>
    <w:bookmarkEnd w:id="520"/>
    <w:p>
      <w:pPr>
        <w:ind w:right="1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and the Americans with Disabilities Act, 42 U.S.C. §12101 </w:t>
      </w:r>
      <w:r>
        <w:rPr>
          <w:rFonts w:ascii="Arial" w:cs="Arial" w:eastAsia="Arial" w:hAnsi="Arial"/>
          <w:sz w:val="17"/>
          <w:szCs w:val="17"/>
          <w:i w:val="1"/>
          <w:iCs w:val="1"/>
          <w:color w:val="auto"/>
        </w:rPr>
        <w:t>et seq.</w:t>
      </w:r>
    </w:p>
    <w:p>
      <w:pPr>
        <w:spacing w:after="0" w:line="178" w:lineRule="exact"/>
        <w:rPr>
          <w:sz w:val="20"/>
          <w:szCs w:val="20"/>
          <w:color w:val="auto"/>
        </w:rPr>
      </w:pPr>
    </w:p>
    <w:p>
      <w:pPr>
        <w:ind w:right="60" w:firstLine="987"/>
        <w:spacing w:after="0" w:line="277" w:lineRule="auto"/>
        <w:tabs>
          <w:tab w:leader="none" w:pos="1236" w:val="left"/>
        </w:tabs>
        <w:numPr>
          <w:ilvl w:val="0"/>
          <w:numId w:val="505"/>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w:t>
      </w:r>
      <w:r>
        <w:rPr>
          <w:rFonts w:ascii="Arial" w:cs="Arial" w:eastAsia="Arial" w:hAnsi="Arial"/>
          <w:sz w:val="18"/>
          <w:szCs w:val="18"/>
          <w:color w:val="auto"/>
        </w:rPr>
        <w:t>. The Company may terminate the Executive’s employment hereunder for Cause. For purposes of this Agreement, “</w:t>
      </w:r>
      <w:r>
        <w:rPr>
          <w:rFonts w:ascii="Arial" w:cs="Arial" w:eastAsia="Arial" w:hAnsi="Arial"/>
          <w:sz w:val="18"/>
          <w:szCs w:val="18"/>
          <w:b w:val="1"/>
          <w:bCs w:val="1"/>
          <w:i w:val="1"/>
          <w:iCs w:val="1"/>
          <w:u w:val="single" w:color="auto"/>
          <w:color w:val="auto"/>
        </w:rPr>
        <w:t>Cause</w:t>
      </w:r>
      <w:r>
        <w:rPr>
          <w:rFonts w:ascii="Arial" w:cs="Arial" w:eastAsia="Arial" w:hAnsi="Arial"/>
          <w:sz w:val="18"/>
          <w:szCs w:val="18"/>
          <w:color w:val="auto"/>
        </w:rPr>
        <w:t>” shall mean any of the following:</w:t>
      </w:r>
    </w:p>
    <w:p>
      <w:pPr>
        <w:spacing w:after="0" w:line="62" w:lineRule="exact"/>
        <w:rPr>
          <w:rFonts w:ascii="Arial" w:cs="Arial" w:eastAsia="Arial" w:hAnsi="Arial"/>
          <w:sz w:val="18"/>
          <w:szCs w:val="18"/>
          <w:color w:val="auto"/>
        </w:rPr>
      </w:pPr>
    </w:p>
    <w:p>
      <w:pPr>
        <w:ind w:left="980" w:firstLine="408"/>
        <w:spacing w:after="0" w:line="263" w:lineRule="auto"/>
        <w:tabs>
          <w:tab w:leader="none" w:pos="1596" w:val="left"/>
        </w:tabs>
        <w:numPr>
          <w:ilvl w:val="1"/>
          <w:numId w:val="505"/>
        </w:numPr>
        <w:rPr>
          <w:rFonts w:ascii="Arial" w:cs="Arial" w:eastAsia="Arial" w:hAnsi="Arial"/>
          <w:sz w:val="18"/>
          <w:szCs w:val="18"/>
          <w:color w:val="auto"/>
        </w:rPr>
      </w:pPr>
      <w:r>
        <w:rPr>
          <w:rFonts w:ascii="Arial" w:cs="Arial" w:eastAsia="Arial" w:hAnsi="Arial"/>
          <w:sz w:val="18"/>
          <w:szCs w:val="18"/>
          <w:color w:val="auto"/>
        </w:rPr>
        <w:t>the Executive’s unauthorized use or disclosure of confidential information or trade secrets of the Company for Executive’s benefit or any material breach of a written agreement between the Executive and the Company, including without limitation a material breach of this Agreement or the Restrictive Covenants Agreement;</w:t>
      </w:r>
    </w:p>
    <w:p>
      <w:pPr>
        <w:spacing w:after="0" w:line="75" w:lineRule="exact"/>
        <w:rPr>
          <w:rFonts w:ascii="Arial" w:cs="Arial" w:eastAsia="Arial" w:hAnsi="Arial"/>
          <w:sz w:val="18"/>
          <w:szCs w:val="18"/>
          <w:color w:val="auto"/>
        </w:rPr>
      </w:pPr>
    </w:p>
    <w:p>
      <w:pPr>
        <w:ind w:left="980" w:firstLine="408"/>
        <w:spacing w:after="0" w:line="263" w:lineRule="auto"/>
        <w:tabs>
          <w:tab w:leader="none" w:pos="1646" w:val="left"/>
        </w:tabs>
        <w:numPr>
          <w:ilvl w:val="1"/>
          <w:numId w:val="505"/>
        </w:numPr>
        <w:rPr>
          <w:rFonts w:ascii="Arial" w:cs="Arial" w:eastAsia="Arial" w:hAnsi="Arial"/>
          <w:sz w:val="18"/>
          <w:szCs w:val="18"/>
          <w:color w:val="auto"/>
        </w:rPr>
      </w:pPr>
      <w:r>
        <w:rPr>
          <w:rFonts w:ascii="Arial" w:cs="Arial" w:eastAsia="Arial" w:hAnsi="Arial"/>
          <w:sz w:val="18"/>
          <w:szCs w:val="18"/>
          <w:color w:val="auto"/>
        </w:rPr>
        <w:t>the Executive’s conviction of, or pleading no contest to, a felony under the laws of the United States or any state thereof (other than in connection with a traffic violation that does not result in imprisonment) or any crime that results in the Executive’s incarceration in a federal, state, or local jail or prison;</w:t>
      </w:r>
    </w:p>
    <w:p>
      <w:pPr>
        <w:spacing w:after="0" w:line="75" w:lineRule="exact"/>
        <w:rPr>
          <w:rFonts w:ascii="Arial" w:cs="Arial" w:eastAsia="Arial" w:hAnsi="Arial"/>
          <w:sz w:val="18"/>
          <w:szCs w:val="18"/>
          <w:color w:val="auto"/>
        </w:rPr>
      </w:pPr>
    </w:p>
    <w:p>
      <w:pPr>
        <w:ind w:left="980" w:right="160" w:firstLine="408"/>
        <w:spacing w:after="0" w:line="275" w:lineRule="auto"/>
        <w:tabs>
          <w:tab w:leader="none" w:pos="1696" w:val="left"/>
        </w:tabs>
        <w:numPr>
          <w:ilvl w:val="1"/>
          <w:numId w:val="505"/>
        </w:numPr>
        <w:rPr>
          <w:rFonts w:ascii="Arial" w:cs="Arial" w:eastAsia="Arial" w:hAnsi="Arial"/>
          <w:sz w:val="17"/>
          <w:szCs w:val="17"/>
          <w:color w:val="auto"/>
        </w:rPr>
      </w:pPr>
      <w:r>
        <w:rPr>
          <w:rFonts w:ascii="Arial" w:cs="Arial" w:eastAsia="Arial" w:hAnsi="Arial"/>
          <w:sz w:val="17"/>
          <w:szCs w:val="17"/>
          <w:color w:val="auto"/>
        </w:rPr>
        <w:t>the Executive’s material and willful misconduct in the performance of the Executive’s duties or the Executive’s willful or repeated failure or refusal to substantially perform assigned duties (other than any such failure of refusal resulting from the Executive’s incapacity due to physical or mental illness or any such actual or anticipated failure after the issuance of a notice of Good Reason by the Executive pursuant to Section 3(e) hereof), in any case, which willful misconduct, failure or refusal has continued for more than thirty (30) days following written notice from the CEO of such willful misconduct, failure or refusal;</w:t>
      </w:r>
    </w:p>
    <w:p>
      <w:pPr>
        <w:spacing w:after="0" w:line="68" w:lineRule="exact"/>
        <w:rPr>
          <w:rFonts w:ascii="Arial" w:cs="Arial" w:eastAsia="Arial" w:hAnsi="Arial"/>
          <w:sz w:val="17"/>
          <w:szCs w:val="17"/>
          <w:color w:val="auto"/>
        </w:rPr>
      </w:pPr>
    </w:p>
    <w:p>
      <w:pPr>
        <w:ind w:left="980" w:right="40" w:firstLine="408"/>
        <w:spacing w:after="0" w:line="277" w:lineRule="auto"/>
        <w:tabs>
          <w:tab w:leader="none" w:pos="1686" w:val="left"/>
        </w:tabs>
        <w:numPr>
          <w:ilvl w:val="1"/>
          <w:numId w:val="505"/>
        </w:numPr>
        <w:rPr>
          <w:rFonts w:ascii="Arial" w:cs="Arial" w:eastAsia="Arial" w:hAnsi="Arial"/>
          <w:sz w:val="18"/>
          <w:szCs w:val="18"/>
          <w:color w:val="auto"/>
        </w:rPr>
      </w:pPr>
      <w:r>
        <w:rPr>
          <w:rFonts w:ascii="Arial" w:cs="Arial" w:eastAsia="Arial" w:hAnsi="Arial"/>
          <w:sz w:val="18"/>
          <w:szCs w:val="18"/>
          <w:color w:val="auto"/>
        </w:rPr>
        <w:t>any act of fraud, embezzlement or material misappropriation committed by the Executive against the Company (other than good faith expense account disputes);</w:t>
      </w:r>
    </w:p>
    <w:p>
      <w:pPr>
        <w:spacing w:after="0" w:line="62" w:lineRule="exact"/>
        <w:rPr>
          <w:rFonts w:ascii="Arial" w:cs="Arial" w:eastAsia="Arial" w:hAnsi="Arial"/>
          <w:sz w:val="18"/>
          <w:szCs w:val="18"/>
          <w:color w:val="auto"/>
        </w:rPr>
      </w:pPr>
    </w:p>
    <w:p>
      <w:pPr>
        <w:ind w:left="980" w:firstLine="408"/>
        <w:spacing w:after="0" w:line="277" w:lineRule="auto"/>
        <w:tabs>
          <w:tab w:leader="none" w:pos="1636" w:val="left"/>
        </w:tabs>
        <w:numPr>
          <w:ilvl w:val="1"/>
          <w:numId w:val="505"/>
        </w:numPr>
        <w:rPr>
          <w:rFonts w:ascii="Arial" w:cs="Arial" w:eastAsia="Arial" w:hAnsi="Arial"/>
          <w:sz w:val="18"/>
          <w:szCs w:val="18"/>
          <w:color w:val="auto"/>
        </w:rPr>
      </w:pPr>
      <w:r>
        <w:rPr>
          <w:rFonts w:ascii="Arial" w:cs="Arial" w:eastAsia="Arial" w:hAnsi="Arial"/>
          <w:sz w:val="18"/>
          <w:szCs w:val="18"/>
          <w:color w:val="auto"/>
        </w:rPr>
        <w:t>willful engaging by the Executive in any act that brings the Company into public disrepute or disgrace or causes material harm to the customer relations, operations or business prospects of the Company;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3" w:right="499" w:bottom="1440" w:gutter="0" w:footer="0" w:header="0"/>
        </w:sectPr>
      </w:pPr>
    </w:p>
    <w:bookmarkStart w:id="521" w:name="page522"/>
    <w:bookmarkEnd w:id="521"/>
    <w:p>
      <w:pPr>
        <w:ind w:left="980" w:right="100" w:firstLine="408"/>
        <w:spacing w:after="0" w:line="259" w:lineRule="auto"/>
        <w:tabs>
          <w:tab w:leader="none" w:pos="1686" w:val="left"/>
        </w:tabs>
        <w:numPr>
          <w:ilvl w:val="0"/>
          <w:numId w:val="5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Executive’s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87"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For purposes of this Section 3(c), no act, or failure to act, on the Executive’s part shall be deemed “willful” if done, or omitted to be done, by the Executive in good faith and with reasonable belief that the Executive’s act, or failure to act, was in the best interest of the Company.</w:t>
      </w:r>
    </w:p>
    <w:p>
      <w:pPr>
        <w:spacing w:after="0" w:line="146"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In the case of any termination for Cause, the Company shall provide written notice to the Executive setting forth to a reasonable extent at least the principal acts or omissions of the Executive giving rise to Cause for termination. It is agreed to by the parties that the below par or below average financial performance of the Company and/or its subsidiaries, in and of itself shall not constitute Cause for employment termination under this Agreement.</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 termination for Cause under this Section 3(c) (other than with respect to Section 3(c)(ii) shall in no event become effective under the Agreement unless the provisions of this paragraph are complied with. The Executive must be given written notice by the Board of the intention to terminate Executive’s employment for Cause, such notice (A) to state in detail the act or acts or failure or failures to act that constitute the grounds on which the proposed termination for Cause is based and (B) to be given within three (3) months of the Board learning of such act or acts or failure or failures to act. The Executive shall have ten (10) days after the date that such written notice has been given to the Executive in which to cure such conduct, to the extent such cure is possible. If the Executive fails to cure such conduct, the Executive shall thereupon be terminated for Cause.</w:t>
      </w:r>
    </w:p>
    <w:p>
      <w:pPr>
        <w:spacing w:after="0" w:line="164" w:lineRule="exact"/>
        <w:rPr>
          <w:sz w:val="20"/>
          <w:szCs w:val="20"/>
          <w:color w:val="auto"/>
        </w:rPr>
      </w:pPr>
    </w:p>
    <w:p>
      <w:pPr>
        <w:jc w:val="both"/>
        <w:ind w:right="40" w:firstLine="987"/>
        <w:spacing w:after="0" w:line="311" w:lineRule="auto"/>
        <w:tabs>
          <w:tab w:leader="none" w:pos="1246" w:val="left"/>
        </w:tabs>
        <w:numPr>
          <w:ilvl w:val="0"/>
          <w:numId w:val="507"/>
        </w:numPr>
        <w:rPr>
          <w:rFonts w:ascii="Arial" w:cs="Arial" w:eastAsia="Arial" w:hAnsi="Arial"/>
          <w:sz w:val="16"/>
          <w:szCs w:val="16"/>
          <w:color w:val="auto"/>
        </w:rPr>
      </w:pPr>
      <w:r>
        <w:rPr>
          <w:rFonts w:ascii="Arial" w:cs="Arial" w:eastAsia="Arial" w:hAnsi="Arial"/>
          <w:sz w:val="16"/>
          <w:szCs w:val="16"/>
          <w:u w:val="single" w:color="auto"/>
          <w:color w:val="auto"/>
        </w:rPr>
        <w:t>Termination by the Company without Cause</w:t>
      </w:r>
      <w:r>
        <w:rPr>
          <w:rFonts w:ascii="Arial" w:cs="Arial" w:eastAsia="Arial" w:hAnsi="Arial"/>
          <w:sz w:val="16"/>
          <w:szCs w:val="16"/>
          <w:color w:val="auto"/>
        </w:rPr>
        <w:t>.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3(b) shall be deemed a termination without Cause.</w:t>
      </w:r>
    </w:p>
    <w:p>
      <w:pPr>
        <w:spacing w:after="0" w:line="148" w:lineRule="exact"/>
        <w:rPr>
          <w:rFonts w:ascii="Arial" w:cs="Arial" w:eastAsia="Arial" w:hAnsi="Arial"/>
          <w:sz w:val="16"/>
          <w:szCs w:val="16"/>
          <w:color w:val="auto"/>
        </w:rPr>
      </w:pPr>
    </w:p>
    <w:p>
      <w:pPr>
        <w:ind w:right="240" w:firstLine="987"/>
        <w:spacing w:after="0" w:line="259" w:lineRule="auto"/>
        <w:tabs>
          <w:tab w:leader="none" w:pos="1236" w:val="left"/>
        </w:tabs>
        <w:numPr>
          <w:ilvl w:val="0"/>
          <w:numId w:val="507"/>
        </w:numPr>
        <w:rPr>
          <w:rFonts w:ascii="Arial" w:cs="Arial" w:eastAsia="Arial" w:hAnsi="Arial"/>
          <w:sz w:val="18"/>
          <w:szCs w:val="18"/>
          <w:color w:val="auto"/>
        </w:rPr>
      </w:pPr>
      <w:r>
        <w:rPr>
          <w:rFonts w:ascii="Arial" w:cs="Arial" w:eastAsia="Arial" w:hAnsi="Arial"/>
          <w:sz w:val="18"/>
          <w:szCs w:val="18"/>
          <w:u w:val="single" w:color="auto"/>
          <w:color w:val="auto"/>
        </w:rPr>
        <w:t>Termination by the Executive</w:t>
      </w:r>
      <w:r>
        <w:rPr>
          <w:rFonts w:ascii="Arial" w:cs="Arial" w:eastAsia="Arial" w:hAnsi="Arial"/>
          <w:sz w:val="18"/>
          <w:szCs w:val="18"/>
          <w:color w:val="auto"/>
        </w:rPr>
        <w:t>. The Executive may terminate employment hereunder at any time for any reason, including but not limited to, Good Reason. For purposes of this Agreement, “</w:t>
      </w:r>
      <w:r>
        <w:rPr>
          <w:rFonts w:ascii="Arial" w:cs="Arial" w:eastAsia="Arial" w:hAnsi="Arial"/>
          <w:sz w:val="18"/>
          <w:szCs w:val="18"/>
          <w:b w:val="1"/>
          <w:bCs w:val="1"/>
          <w:i w:val="1"/>
          <w:iCs w:val="1"/>
          <w:u w:val="single" w:color="auto"/>
          <w:color w:val="auto"/>
        </w:rPr>
        <w:t>Good Reason</w:t>
      </w:r>
      <w:r>
        <w:rPr>
          <w:rFonts w:ascii="Arial" w:cs="Arial" w:eastAsia="Arial" w:hAnsi="Arial"/>
          <w:sz w:val="18"/>
          <w:szCs w:val="18"/>
          <w:color w:val="auto"/>
        </w:rPr>
        <w:t>” shall mean that the Executive has completed all steps of the Good Reason Process (hereinafter defined) following the occurrence of any of the following events without the Executive’s consent (each, a “</w:t>
      </w:r>
      <w:r>
        <w:rPr>
          <w:rFonts w:ascii="Arial" w:cs="Arial" w:eastAsia="Arial" w:hAnsi="Arial"/>
          <w:sz w:val="18"/>
          <w:szCs w:val="18"/>
          <w:b w:val="1"/>
          <w:bCs w:val="1"/>
          <w:i w:val="1"/>
          <w:iCs w:val="1"/>
          <w:u w:val="single" w:color="auto"/>
          <w:color w:val="auto"/>
        </w:rPr>
        <w:t>Good Reason</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Condition</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980" w:right="140" w:firstLine="408"/>
        <w:spacing w:after="0" w:line="277" w:lineRule="auto"/>
        <w:tabs>
          <w:tab w:leader="none" w:pos="1596" w:val="left"/>
        </w:tabs>
        <w:numPr>
          <w:ilvl w:val="1"/>
          <w:numId w:val="507"/>
        </w:numPr>
        <w:rPr>
          <w:rFonts w:ascii="Arial" w:cs="Arial" w:eastAsia="Arial" w:hAnsi="Arial"/>
          <w:sz w:val="18"/>
          <w:szCs w:val="18"/>
          <w:color w:val="auto"/>
        </w:rPr>
      </w:pPr>
      <w:r>
        <w:rPr>
          <w:rFonts w:ascii="Arial" w:cs="Arial" w:eastAsia="Arial" w:hAnsi="Arial"/>
          <w:sz w:val="18"/>
          <w:szCs w:val="18"/>
          <w:color w:val="auto"/>
        </w:rPr>
        <w:t>a material diminution in the Executive’s title, responsibilities, authority or duties; or a material reduction in the authority, duties, or responsibilities of the CEO to whom the Executive is required to report;</w:t>
      </w:r>
    </w:p>
    <w:p>
      <w:pPr>
        <w:spacing w:after="0" w:line="62" w:lineRule="exact"/>
        <w:rPr>
          <w:rFonts w:ascii="Arial" w:cs="Arial" w:eastAsia="Arial" w:hAnsi="Arial"/>
          <w:sz w:val="18"/>
          <w:szCs w:val="18"/>
          <w:color w:val="auto"/>
        </w:rPr>
      </w:pPr>
    </w:p>
    <w:p>
      <w:pPr>
        <w:ind w:left="980" w:right="360" w:firstLine="408"/>
        <w:spacing w:after="0" w:line="311" w:lineRule="auto"/>
        <w:tabs>
          <w:tab w:leader="none" w:pos="1646" w:val="left"/>
        </w:tabs>
        <w:numPr>
          <w:ilvl w:val="1"/>
          <w:numId w:val="507"/>
        </w:numPr>
        <w:rPr>
          <w:rFonts w:ascii="Arial" w:cs="Arial" w:eastAsia="Arial" w:hAnsi="Arial"/>
          <w:sz w:val="16"/>
          <w:szCs w:val="16"/>
          <w:color w:val="auto"/>
        </w:rPr>
      </w:pPr>
      <w:r>
        <w:rPr>
          <w:rFonts w:ascii="Arial" w:cs="Arial" w:eastAsia="Arial" w:hAnsi="Arial"/>
          <w:sz w:val="16"/>
          <w:szCs w:val="16"/>
          <w:color w:val="auto"/>
        </w:rPr>
        <w:t>a Change in Control following which either: (A) there is a material reduction in the budget over which the Executive retains authority or (B) the Executive is not Chief Technology and Manufacturing Officer of the Company or, if the Company becomes a subsidiary of one or more entities following the Change in Control, the post-consummation ultimate parent entity of the Company; or</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3" w:right="499" w:bottom="1440" w:gutter="0" w:footer="0" w:header="0"/>
        </w:sectPr>
      </w:pPr>
    </w:p>
    <w:bookmarkStart w:id="522" w:name="page523"/>
    <w:bookmarkEnd w:id="522"/>
    <w:p>
      <w:pPr>
        <w:ind w:left="984" w:right="20" w:firstLine="408"/>
        <w:spacing w:after="0" w:line="257" w:lineRule="auto"/>
        <w:tabs>
          <w:tab w:leader="none" w:pos="1700" w:val="left"/>
        </w:tabs>
        <w:numPr>
          <w:ilvl w:val="1"/>
          <w:numId w:val="5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material breach of this Agreement by the Company, including without limitation, a reduction of the Executive’s Base Salary or Target Bonus in violation of Section 2(a) or 2(b) (except for across-the-board salary reductions of not more than ten percent (10%) similarly affecting all or substantially all senior management employees of the Company), or the failure of the Company to obtain the assumption in writing of the Company’s obligations to the Executive under this Agreement by any successor as required under Section 13 below.</w:t>
      </w:r>
    </w:p>
    <w:p>
      <w:pPr>
        <w:spacing w:after="0" w:line="187" w:lineRule="exact"/>
        <w:rPr>
          <w:rFonts w:ascii="Arial" w:cs="Arial" w:eastAsia="Arial" w:hAnsi="Arial"/>
          <w:sz w:val="18"/>
          <w:szCs w:val="18"/>
          <w:color w:val="auto"/>
        </w:rPr>
      </w:pPr>
    </w:p>
    <w:p>
      <w:pPr>
        <w:ind w:left="1224" w:hanging="233"/>
        <w:spacing w:after="0"/>
        <w:tabs>
          <w:tab w:leader="none" w:pos="1224" w:val="left"/>
        </w:tabs>
        <w:numPr>
          <w:ilvl w:val="0"/>
          <w:numId w:val="509"/>
        </w:numPr>
        <w:rPr>
          <w:rFonts w:ascii="Arial" w:cs="Arial" w:eastAsia="Arial" w:hAnsi="Arial"/>
          <w:sz w:val="18"/>
          <w:szCs w:val="18"/>
          <w:color w:val="auto"/>
        </w:rPr>
      </w:pPr>
      <w:r>
        <w:rPr>
          <w:rFonts w:ascii="Arial" w:cs="Arial" w:eastAsia="Arial" w:hAnsi="Arial"/>
          <w:sz w:val="18"/>
          <w:szCs w:val="18"/>
          <w:u w:val="single" w:color="auto"/>
          <w:color w:val="auto"/>
        </w:rPr>
        <w:t>Good Reason Process</w:t>
      </w:r>
      <w:r>
        <w:rPr>
          <w:rFonts w:ascii="Arial" w:cs="Arial" w:eastAsia="Arial" w:hAnsi="Arial"/>
          <w:sz w:val="18"/>
          <w:szCs w:val="18"/>
          <w:color w:val="auto"/>
        </w:rPr>
        <w:t>. The “</w:t>
      </w:r>
      <w:r>
        <w:rPr>
          <w:rFonts w:ascii="Arial" w:cs="Arial" w:eastAsia="Arial" w:hAnsi="Arial"/>
          <w:sz w:val="18"/>
          <w:szCs w:val="18"/>
          <w:b w:val="1"/>
          <w:bCs w:val="1"/>
          <w:i w:val="1"/>
          <w:iCs w:val="1"/>
          <w:u w:val="single" w:color="auto"/>
          <w:color w:val="auto"/>
        </w:rPr>
        <w:t>Good Reason Process</w:t>
      </w:r>
      <w:r>
        <w:rPr>
          <w:rFonts w:ascii="Arial" w:cs="Arial" w:eastAsia="Arial" w:hAnsi="Arial"/>
          <w:sz w:val="18"/>
          <w:szCs w:val="18"/>
          <w:color w:val="auto"/>
        </w:rPr>
        <w:t>” consists of the following steps:</w:t>
      </w:r>
    </w:p>
    <w:p>
      <w:pPr>
        <w:spacing w:after="0" w:line="117" w:lineRule="exact"/>
        <w:rPr>
          <w:rFonts w:ascii="Arial" w:cs="Arial" w:eastAsia="Arial" w:hAnsi="Arial"/>
          <w:sz w:val="18"/>
          <w:szCs w:val="18"/>
          <w:color w:val="auto"/>
        </w:rPr>
      </w:pPr>
    </w:p>
    <w:p>
      <w:pPr>
        <w:ind w:left="1604" w:hanging="212"/>
        <w:spacing w:after="0"/>
        <w:tabs>
          <w:tab w:leader="none" w:pos="1604" w:val="left"/>
        </w:tabs>
        <w:numPr>
          <w:ilvl w:val="1"/>
          <w:numId w:val="509"/>
        </w:numPr>
        <w:rPr>
          <w:rFonts w:ascii="Arial" w:cs="Arial" w:eastAsia="Arial" w:hAnsi="Arial"/>
          <w:sz w:val="18"/>
          <w:szCs w:val="18"/>
          <w:color w:val="auto"/>
        </w:rPr>
      </w:pPr>
      <w:r>
        <w:rPr>
          <w:rFonts w:ascii="Arial" w:cs="Arial" w:eastAsia="Arial" w:hAnsi="Arial"/>
          <w:sz w:val="18"/>
          <w:szCs w:val="18"/>
          <w:color w:val="auto"/>
        </w:rPr>
        <w:t>the Executive reasonably determines in good faith that a Good Reason Condition has occurred;</w:t>
      </w:r>
    </w:p>
    <w:p>
      <w:pPr>
        <w:spacing w:after="0" w:line="117" w:lineRule="exact"/>
        <w:rPr>
          <w:sz w:val="20"/>
          <w:szCs w:val="20"/>
          <w:color w:val="auto"/>
        </w:rPr>
      </w:pPr>
    </w:p>
    <w:p>
      <w:pPr>
        <w:ind w:left="984" w:right="40" w:firstLine="408"/>
        <w:spacing w:after="0" w:line="277" w:lineRule="auto"/>
        <w:tabs>
          <w:tab w:leader="none" w:pos="165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the Executive notifies the Company in writing of the first occurrence of the Good Reason Condition within sixty (60) days of the first occurrence of such condition;</w:t>
      </w:r>
    </w:p>
    <w:p>
      <w:pPr>
        <w:spacing w:after="0" w:line="62" w:lineRule="exact"/>
        <w:rPr>
          <w:rFonts w:ascii="Arial" w:cs="Arial" w:eastAsia="Arial" w:hAnsi="Arial"/>
          <w:sz w:val="18"/>
          <w:szCs w:val="18"/>
          <w:color w:val="auto"/>
        </w:rPr>
      </w:pPr>
    </w:p>
    <w:p>
      <w:pPr>
        <w:ind w:left="984" w:right="160" w:firstLine="408"/>
        <w:spacing w:after="0" w:line="277" w:lineRule="auto"/>
        <w:tabs>
          <w:tab w:leader="none" w:pos="170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the Executive cooperates in good faith with the Company’s efforts, for a period of not less than thirty (30) days following such notice (the “</w:t>
      </w:r>
      <w:r>
        <w:rPr>
          <w:rFonts w:ascii="Arial" w:cs="Arial" w:eastAsia="Arial" w:hAnsi="Arial"/>
          <w:sz w:val="18"/>
          <w:szCs w:val="18"/>
          <w:b w:val="1"/>
          <w:bCs w:val="1"/>
          <w:i w:val="1"/>
          <w:iCs w:val="1"/>
          <w:u w:val="single" w:color="auto"/>
          <w:color w:val="auto"/>
        </w:rPr>
        <w:t>Cure Period</w:t>
      </w:r>
      <w:r>
        <w:rPr>
          <w:rFonts w:ascii="Arial" w:cs="Arial" w:eastAsia="Arial" w:hAnsi="Arial"/>
          <w:sz w:val="18"/>
          <w:szCs w:val="18"/>
          <w:color w:val="auto"/>
        </w:rPr>
        <w:t>”), to remedy the Good Reason Condition;</w:t>
      </w:r>
    </w:p>
    <w:p>
      <w:pPr>
        <w:spacing w:after="0" w:line="62" w:lineRule="exact"/>
        <w:rPr>
          <w:rFonts w:ascii="Arial" w:cs="Arial" w:eastAsia="Arial" w:hAnsi="Arial"/>
          <w:sz w:val="18"/>
          <w:szCs w:val="18"/>
          <w:color w:val="auto"/>
        </w:rPr>
      </w:pPr>
    </w:p>
    <w:p>
      <w:pPr>
        <w:ind w:left="1704" w:hanging="312"/>
        <w:spacing w:after="0"/>
        <w:tabs>
          <w:tab w:leader="none" w:pos="1704" w:val="left"/>
        </w:tabs>
        <w:numPr>
          <w:ilvl w:val="0"/>
          <w:numId w:val="510"/>
        </w:numPr>
        <w:rPr>
          <w:rFonts w:ascii="Arial" w:cs="Arial" w:eastAsia="Arial" w:hAnsi="Arial"/>
          <w:sz w:val="18"/>
          <w:szCs w:val="18"/>
          <w:color w:val="auto"/>
        </w:rPr>
      </w:pPr>
      <w:r>
        <w:rPr>
          <w:rFonts w:ascii="Arial" w:cs="Arial" w:eastAsia="Arial" w:hAnsi="Arial"/>
          <w:sz w:val="18"/>
          <w:szCs w:val="18"/>
          <w:color w:val="auto"/>
        </w:rPr>
        <w:t>notwithstanding such efforts, the Good Reason Condition continues to exist at the end of the Cure Period; and</w:t>
      </w:r>
    </w:p>
    <w:p>
      <w:pPr>
        <w:spacing w:after="0" w:line="117" w:lineRule="exact"/>
        <w:rPr>
          <w:rFonts w:ascii="Arial" w:cs="Arial" w:eastAsia="Arial" w:hAnsi="Arial"/>
          <w:sz w:val="18"/>
          <w:szCs w:val="18"/>
          <w:color w:val="auto"/>
        </w:rPr>
      </w:pPr>
    </w:p>
    <w:p>
      <w:pPr>
        <w:ind w:left="1644" w:hanging="252"/>
        <w:spacing w:after="0"/>
        <w:tabs>
          <w:tab w:leader="none" w:pos="1644" w:val="left"/>
        </w:tabs>
        <w:numPr>
          <w:ilvl w:val="0"/>
          <w:numId w:val="510"/>
        </w:numPr>
        <w:rPr>
          <w:rFonts w:ascii="Arial" w:cs="Arial" w:eastAsia="Arial" w:hAnsi="Arial"/>
          <w:sz w:val="18"/>
          <w:szCs w:val="18"/>
          <w:color w:val="auto"/>
        </w:rPr>
      </w:pPr>
      <w:r>
        <w:rPr>
          <w:rFonts w:ascii="Arial" w:cs="Arial" w:eastAsia="Arial" w:hAnsi="Arial"/>
          <w:sz w:val="18"/>
          <w:szCs w:val="18"/>
          <w:color w:val="auto"/>
        </w:rPr>
        <w:t>the Executive terminates employment within sixty (60) days after the end of the Cure Period.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If the Company cures the Good Reason Condition during the Cure Period, Good Reason shall be deemed not to have occurred.</w:t>
      </w:r>
    </w:p>
    <w:p>
      <w:pPr>
        <w:spacing w:after="0" w:line="225" w:lineRule="exact"/>
        <w:rPr>
          <w:sz w:val="20"/>
          <w:szCs w:val="20"/>
          <w:color w:val="auto"/>
        </w:rPr>
      </w:pPr>
    </w:p>
    <w:p>
      <w:pPr>
        <w:ind w:left="624" w:hanging="184"/>
        <w:spacing w:after="0"/>
        <w:tabs>
          <w:tab w:leader="none" w:pos="624" w:val="left"/>
        </w:tabs>
        <w:numPr>
          <w:ilvl w:val="1"/>
          <w:numId w:val="511"/>
        </w:numPr>
        <w:rPr>
          <w:rFonts w:ascii="Arial" w:cs="Arial" w:eastAsia="Arial" w:hAnsi="Arial"/>
          <w:sz w:val="18"/>
          <w:szCs w:val="18"/>
          <w:color w:val="auto"/>
        </w:rPr>
      </w:pPr>
      <w:r>
        <w:rPr>
          <w:rFonts w:ascii="Arial" w:cs="Arial" w:eastAsia="Arial" w:hAnsi="Arial"/>
          <w:sz w:val="18"/>
          <w:szCs w:val="18"/>
          <w:u w:val="single" w:color="auto"/>
          <w:color w:val="auto"/>
        </w:rPr>
        <w:t>Matters Related to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160" w:firstLine="987"/>
        <w:spacing w:after="0" w:line="311" w:lineRule="auto"/>
        <w:tabs>
          <w:tab w:leader="none" w:pos="1240" w:val="left"/>
        </w:tabs>
        <w:numPr>
          <w:ilvl w:val="2"/>
          <w:numId w:val="511"/>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w:t>
      </w:r>
      <w:r>
        <w:rPr>
          <w:rFonts w:ascii="Arial" w:cs="Arial" w:eastAsia="Arial" w:hAnsi="Arial"/>
          <w:sz w:val="16"/>
          <w:szCs w:val="16"/>
          <w:b w:val="1"/>
          <w:bCs w:val="1"/>
          <w:i w:val="1"/>
          <w:iCs w:val="1"/>
          <w:u w:val="single" w:color="auto"/>
          <w:color w:val="auto"/>
        </w:rPr>
        <w:t>Notice of Termination</w:t>
      </w:r>
      <w:r>
        <w:rPr>
          <w:rFonts w:ascii="Arial" w:cs="Arial" w:eastAsia="Arial" w:hAnsi="Arial"/>
          <w:sz w:val="16"/>
          <w:szCs w:val="16"/>
          <w:color w:val="auto"/>
        </w:rPr>
        <w:t>” shall mean a notice which shall indicate the specific termination provision in this Agreement relied upon.</w:t>
      </w:r>
    </w:p>
    <w:p>
      <w:pPr>
        <w:spacing w:after="0" w:line="148" w:lineRule="exact"/>
        <w:rPr>
          <w:rFonts w:ascii="Arial" w:cs="Arial" w:eastAsia="Arial" w:hAnsi="Arial"/>
          <w:sz w:val="16"/>
          <w:szCs w:val="16"/>
          <w:color w:val="auto"/>
        </w:rPr>
      </w:pPr>
    </w:p>
    <w:p>
      <w:pPr>
        <w:ind w:left="1244" w:hanging="253"/>
        <w:spacing w:after="0"/>
        <w:tabs>
          <w:tab w:leader="none" w:pos="1244" w:val="left"/>
        </w:tabs>
        <w:numPr>
          <w:ilvl w:val="2"/>
          <w:numId w:val="511"/>
        </w:numPr>
        <w:rPr>
          <w:rFonts w:ascii="Arial" w:cs="Arial" w:eastAsia="Arial" w:hAnsi="Arial"/>
          <w:sz w:val="16"/>
          <w:szCs w:val="16"/>
          <w:color w:val="auto"/>
        </w:rPr>
      </w:pPr>
      <w:r>
        <w:rPr>
          <w:rFonts w:ascii="Arial" w:cs="Arial" w:eastAsia="Arial" w:hAnsi="Arial"/>
          <w:sz w:val="16"/>
          <w:szCs w:val="16"/>
          <w:u w:val="single" w:color="auto"/>
          <w:color w:val="auto"/>
        </w:rPr>
        <w:t>Date of Termination</w:t>
      </w:r>
      <w:r>
        <w:rPr>
          <w:rFonts w:ascii="Arial" w:cs="Arial" w:eastAsia="Arial" w:hAnsi="Arial"/>
          <w:sz w:val="16"/>
          <w:szCs w:val="16"/>
          <w:color w:val="auto"/>
        </w:rPr>
        <w:t>. “</w:t>
      </w:r>
      <w:r>
        <w:rPr>
          <w:rFonts w:ascii="Arial" w:cs="Arial" w:eastAsia="Arial" w:hAnsi="Arial"/>
          <w:sz w:val="16"/>
          <w:szCs w:val="16"/>
          <w:b w:val="1"/>
          <w:bCs w:val="1"/>
          <w:i w:val="1"/>
          <w:iCs w:val="1"/>
          <w:u w:val="single" w:color="auto"/>
          <w:color w:val="auto"/>
        </w:rPr>
        <w:t>Date of Termination</w:t>
      </w:r>
      <w:r>
        <w:rPr>
          <w:rFonts w:ascii="Arial" w:cs="Arial" w:eastAsia="Arial" w:hAnsi="Arial"/>
          <w:sz w:val="16"/>
          <w:szCs w:val="16"/>
          <w:color w:val="auto"/>
        </w:rPr>
        <w:t>” shall mean: (i) if the Executive’s employment is terminated by death, the date of death;</w:t>
      </w:r>
    </w:p>
    <w:p>
      <w:pPr>
        <w:spacing w:after="0" w:line="46" w:lineRule="exact"/>
        <w:rPr>
          <w:rFonts w:ascii="Arial" w:cs="Arial" w:eastAsia="Arial" w:hAnsi="Arial"/>
          <w:sz w:val="16"/>
          <w:szCs w:val="16"/>
          <w:color w:val="auto"/>
        </w:rPr>
      </w:pPr>
    </w:p>
    <w:p>
      <w:pPr>
        <w:ind w:left="4" w:hanging="4"/>
        <w:spacing w:after="0" w:line="260" w:lineRule="auto"/>
        <w:tabs>
          <w:tab w:leader="none" w:pos="269" w:val="left"/>
        </w:tabs>
        <w:numPr>
          <w:ilvl w:val="0"/>
          <w:numId w:val="512"/>
        </w:numPr>
        <w:rPr>
          <w:rFonts w:ascii="Arial" w:cs="Arial" w:eastAsia="Arial" w:hAnsi="Arial"/>
          <w:sz w:val="18"/>
          <w:szCs w:val="18"/>
          <w:color w:val="auto"/>
        </w:rPr>
      </w:pPr>
      <w:r>
        <w:rPr>
          <w:rFonts w:ascii="Arial" w:cs="Arial" w:eastAsia="Arial" w:hAnsi="Arial"/>
          <w:sz w:val="18"/>
          <w:szCs w:val="18"/>
          <w:color w:val="auto"/>
        </w:rPr>
        <w:t>if the Executive’s employment is terminated on account of disability under Section 3(b) or by the Company for Cause under Section 3(c), the date on which Notice of Termination is given; (iii) if the</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73" w:right="479" w:bottom="1440" w:gutter="0" w:footer="0" w:header="0"/>
        </w:sectPr>
      </w:pPr>
    </w:p>
    <w:bookmarkStart w:id="523" w:name="page524"/>
    <w:bookmarkEnd w:id="523"/>
    <w:p>
      <w:pPr>
        <w:ind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Executive’s employment is terminated by the Company without Cause under Section 3(d), thirty (30) days after the date on which a Notice of Termination is given or a later date otherwise specified by the Company in the Notice of Termination; (iv) if the Executive’s employment is terminated by the Executive under Section 3(e) other than for Good Reason, thirty (30) days after the date on which a Notice of Termination is given, and (v) if the Executive’s employment is terminated by the Executive under Section 3(e) for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195" w:lineRule="exact"/>
        <w:rPr>
          <w:sz w:val="20"/>
          <w:szCs w:val="20"/>
          <w:color w:val="auto"/>
        </w:rPr>
      </w:pPr>
    </w:p>
    <w:p>
      <w:pPr>
        <w:ind w:firstLine="987"/>
        <w:spacing w:after="0" w:line="290" w:lineRule="auto"/>
        <w:tabs>
          <w:tab w:leader="none" w:pos="1236" w:val="left"/>
        </w:tabs>
        <w:numPr>
          <w:ilvl w:val="1"/>
          <w:numId w:val="513"/>
        </w:numPr>
        <w:rPr>
          <w:rFonts w:ascii="Arial" w:cs="Arial" w:eastAsia="Arial" w:hAnsi="Arial"/>
          <w:sz w:val="16"/>
          <w:szCs w:val="16"/>
          <w:color w:val="auto"/>
        </w:rPr>
      </w:pPr>
      <w:r>
        <w:rPr>
          <w:rFonts w:ascii="Arial" w:cs="Arial" w:eastAsia="Arial" w:hAnsi="Arial"/>
          <w:sz w:val="16"/>
          <w:szCs w:val="16"/>
          <w:u w:val="single" w:color="auto"/>
          <w:color w:val="auto"/>
        </w:rPr>
        <w:t>Accrued Obligations</w:t>
      </w:r>
      <w:r>
        <w:rPr>
          <w:rFonts w:ascii="Arial" w:cs="Arial" w:eastAsia="Arial" w:hAnsi="Arial"/>
          <w:sz w:val="16"/>
          <w:szCs w:val="16"/>
          <w:color w:val="auto"/>
        </w:rPr>
        <w:t>. If the Executive’s employment with the Company is terminated for any reason, the Company shall pay or provide to the Executive (or to the Executive’s authorized representative or estate) (i) any Base Salary earned through the Date of Termination; (ii) unpaid expense reimbursements (subject to, and in accordance with, Section 2(c) of this Agreement); and (iii) any vested benefits the Executive may have under any employee benefit plan or compensation arrangement of the Company (including equity compensation plans and insurance coverages) through the Date of Termination, which vested benefits shall be paid and/or provided in accordance with the terms of such employee benefit plans. In the event that the Executive terminates employment due to death or Disability (as defined in Section 3(b) above), the Executive (or in the case of death, the Executive’s estate) shall be entitled to receive the Earned Bonus (as defined in Section 5(a)) at the same time bonuses are paid to other employees who are actively employed by the Company. The amounts described under this Section 4(c) are referred to below as the “</w:t>
      </w:r>
      <w:r>
        <w:rPr>
          <w:rFonts w:ascii="Arial" w:cs="Arial" w:eastAsia="Arial" w:hAnsi="Arial"/>
          <w:sz w:val="16"/>
          <w:szCs w:val="16"/>
          <w:b w:val="1"/>
          <w:bCs w:val="1"/>
          <w:i w:val="1"/>
          <w:iCs w:val="1"/>
          <w:u w:val="single" w:color="auto"/>
          <w:color w:val="auto"/>
        </w:rPr>
        <w:t>Accrued Obligations</w:t>
      </w:r>
      <w:r>
        <w:rPr>
          <w:rFonts w:ascii="Arial" w:cs="Arial" w:eastAsia="Arial" w:hAnsi="Arial"/>
          <w:sz w:val="16"/>
          <w:szCs w:val="16"/>
          <w:color w:val="auto"/>
        </w:rPr>
        <w:t>.”</w:t>
      </w:r>
    </w:p>
    <w:p>
      <w:pPr>
        <w:spacing w:after="0" w:line="165" w:lineRule="exact"/>
        <w:rPr>
          <w:rFonts w:ascii="Arial" w:cs="Arial" w:eastAsia="Arial" w:hAnsi="Arial"/>
          <w:sz w:val="16"/>
          <w:szCs w:val="16"/>
          <w:color w:val="auto"/>
        </w:rPr>
      </w:pPr>
    </w:p>
    <w:p>
      <w:pPr>
        <w:ind w:right="60" w:firstLine="987"/>
        <w:spacing w:after="0" w:line="259" w:lineRule="auto"/>
        <w:tabs>
          <w:tab w:leader="none" w:pos="1246" w:val="left"/>
        </w:tabs>
        <w:numPr>
          <w:ilvl w:val="1"/>
          <w:numId w:val="513"/>
        </w:numPr>
        <w:rPr>
          <w:rFonts w:ascii="Arial" w:cs="Arial" w:eastAsia="Arial" w:hAnsi="Arial"/>
          <w:sz w:val="18"/>
          <w:szCs w:val="18"/>
          <w:color w:val="auto"/>
        </w:rPr>
      </w:pPr>
      <w:r>
        <w:rPr>
          <w:rFonts w:ascii="Arial" w:cs="Arial" w:eastAsia="Arial" w:hAnsi="Arial"/>
          <w:sz w:val="18"/>
          <w:szCs w:val="18"/>
          <w:u w:val="single" w:color="auto"/>
          <w:color w:val="auto"/>
        </w:rPr>
        <w:t>Resignation of All Other Positions</w:t>
      </w:r>
      <w:r>
        <w:rPr>
          <w:rFonts w:ascii="Arial" w:cs="Arial" w:eastAsia="Arial" w:hAnsi="Arial"/>
          <w:sz w:val="18"/>
          <w:szCs w:val="18"/>
          <w:color w:val="auto"/>
        </w:rPr>
        <w:t>. To the extent applicable, the Executive shall be deemed to have resigned from all officer and board member positions that the Executive holds with the Company or any of its respective subsidiaries and affiliates upon the termination of the Executive’s employment for any reason. The Executive shall execute any documents in reasonable form as may be requested to confirm or effectuate any such resignations.</w:t>
      </w:r>
    </w:p>
    <w:p>
      <w:pPr>
        <w:spacing w:after="0" w:line="186" w:lineRule="exact"/>
        <w:rPr>
          <w:rFonts w:ascii="Arial" w:cs="Arial" w:eastAsia="Arial" w:hAnsi="Arial"/>
          <w:sz w:val="18"/>
          <w:szCs w:val="18"/>
          <w:color w:val="auto"/>
        </w:rPr>
      </w:pPr>
    </w:p>
    <w:p>
      <w:pPr>
        <w:ind w:right="180" w:firstLine="436"/>
        <w:spacing w:after="0" w:line="293" w:lineRule="auto"/>
        <w:tabs>
          <w:tab w:leader="none" w:pos="620" w:val="left"/>
        </w:tabs>
        <w:numPr>
          <w:ilvl w:val="0"/>
          <w:numId w:val="514"/>
        </w:numPr>
        <w:rPr>
          <w:rFonts w:ascii="Arial" w:cs="Arial" w:eastAsia="Arial" w:hAnsi="Arial"/>
          <w:sz w:val="16"/>
          <w:szCs w:val="16"/>
          <w:color w:val="auto"/>
        </w:rPr>
      </w:pPr>
      <w:r>
        <w:rPr>
          <w:rFonts w:ascii="Arial" w:cs="Arial" w:eastAsia="Arial" w:hAnsi="Arial"/>
          <w:sz w:val="16"/>
          <w:szCs w:val="16"/>
          <w:u w:val="single" w:color="auto"/>
          <w:color w:val="auto"/>
        </w:rPr>
        <w:t>Severance Pay and Benefits Upon Termination by the Company without Cause or by the Executive for Good Reason</w:t>
      </w:r>
      <w:r>
        <w:rPr>
          <w:rFonts w:ascii="Arial" w:cs="Arial" w:eastAsia="Arial" w:hAnsi="Arial"/>
          <w:sz w:val="16"/>
          <w:szCs w:val="16"/>
          <w:color w:val="auto"/>
        </w:rPr>
        <w:t xml:space="preserve">. If the Executive’s employment is terminated by the Company without Cause as provided in Section 3(d), or the Executive terminates employment for Good Reason as provided in Section 3(e), then, in addition to the Accrued Obligations, and subject to (i) the Executive signing a separation agreement and release in a form substantially the same as set forth in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(the “</w:t>
      </w:r>
      <w:r>
        <w:rPr>
          <w:rFonts w:ascii="Arial" w:cs="Arial" w:eastAsia="Arial" w:hAnsi="Arial"/>
          <w:sz w:val="16"/>
          <w:szCs w:val="16"/>
          <w:b w:val="1"/>
          <w:bCs w:val="1"/>
          <w:i w:val="1"/>
          <w:iCs w:val="1"/>
          <w:u w:val="single" w:color="auto"/>
          <w:color w:val="auto"/>
        </w:rPr>
        <w:t>Separation Agreement</w:t>
      </w:r>
      <w:r>
        <w:rPr>
          <w:rFonts w:ascii="Arial" w:cs="Arial" w:eastAsia="Arial" w:hAnsi="Arial"/>
          <w:sz w:val="16"/>
          <w:szCs w:val="16"/>
          <w:color w:val="auto"/>
        </w:rPr>
        <w:t>”), which provides that if the Executive materially breaches any of the Continuing Obligations, all payments of the Severance Amount shall immediately cease, and (ii) the Separation Agreement becoming irrevocable, all within sixty (60) days after the Date of Termination (or such shorter period as set forth in the Separation Agreement):</w:t>
      </w:r>
    </w:p>
    <w:p>
      <w:pPr>
        <w:spacing w:after="0" w:line="56" w:lineRule="exact"/>
        <w:rPr>
          <w:rFonts w:ascii="Arial" w:cs="Arial" w:eastAsia="Arial" w:hAnsi="Arial"/>
          <w:sz w:val="16"/>
          <w:szCs w:val="16"/>
          <w:color w:val="auto"/>
        </w:rPr>
      </w:pPr>
    </w:p>
    <w:p>
      <w:pPr>
        <w:ind w:left="1240" w:hanging="253"/>
        <w:spacing w:after="0"/>
        <w:tabs>
          <w:tab w:leader="none" w:pos="1240" w:val="left"/>
        </w:tabs>
        <w:numPr>
          <w:ilvl w:val="1"/>
          <w:numId w:val="514"/>
        </w:numPr>
        <w:rPr>
          <w:rFonts w:ascii="Arial" w:cs="Arial" w:eastAsia="Arial" w:hAnsi="Arial"/>
          <w:sz w:val="17"/>
          <w:szCs w:val="17"/>
          <w:color w:val="auto"/>
        </w:rPr>
      </w:pPr>
      <w:r>
        <w:rPr>
          <w:rFonts w:ascii="Arial" w:cs="Arial" w:eastAsia="Arial" w:hAnsi="Arial"/>
          <w:sz w:val="17"/>
          <w:szCs w:val="17"/>
          <w:u w:val="single" w:color="auto"/>
          <w:color w:val="auto"/>
        </w:rPr>
        <w:t>Cash Severance</w:t>
      </w:r>
      <w:r>
        <w:rPr>
          <w:rFonts w:ascii="Arial" w:cs="Arial" w:eastAsia="Arial" w:hAnsi="Arial"/>
          <w:sz w:val="17"/>
          <w:szCs w:val="17"/>
          <w:color w:val="auto"/>
        </w:rPr>
        <w:t>. The Company shall pay the Executive an amount equal to nine (9) months’ of the Executive’s Base Salary (the</w:t>
      </w:r>
    </w:p>
    <w:p>
      <w:pPr>
        <w:spacing w:after="0" w:line="3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Severance Amount</w:t>
      </w:r>
      <w:r>
        <w:rPr>
          <w:rFonts w:ascii="Arial" w:cs="Arial" w:eastAsia="Arial" w:hAnsi="Arial"/>
          <w:sz w:val="18"/>
          <w:szCs w:val="18"/>
          <w:color w:val="auto"/>
        </w:rPr>
        <w:t>”) and, in the event that the Executive’s employment is terminated after the end of the calendar year but prior to the payment of any Annual Bonus for the immediately preceding calendar year, the Executive shall be entitled to receive a lump sum payment of any unpaid Annual Bonus earned based on achievement of the applicable performance goals and objectives, without any reduction for individual performance, with respect to such immediately preceding calendar year (the “</w:t>
      </w:r>
      <w:r>
        <w:rPr>
          <w:rFonts w:ascii="Arial" w:cs="Arial" w:eastAsia="Arial" w:hAnsi="Arial"/>
          <w:sz w:val="18"/>
          <w:szCs w:val="18"/>
          <w:b w:val="1"/>
          <w:bCs w:val="1"/>
          <w:i w:val="1"/>
          <w:iCs w:val="1"/>
          <w:u w:val="single" w:color="auto"/>
          <w:color w:val="auto"/>
        </w:rPr>
        <w:t>Earned Bonus</w:t>
      </w:r>
      <w:r>
        <w:rPr>
          <w:rFonts w:ascii="Arial" w:cs="Arial" w:eastAsia="Arial" w:hAnsi="Arial"/>
          <w:sz w:val="18"/>
          <w:szCs w:val="18"/>
          <w:color w:val="auto"/>
        </w:rPr>
        <w: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3" w:right="459" w:bottom="1440" w:gutter="0" w:footer="0" w:header="0"/>
        </w:sectPr>
      </w:pPr>
    </w:p>
    <w:bookmarkStart w:id="524" w:name="page525"/>
    <w:bookmarkEnd w:id="524"/>
    <w:p>
      <w:pPr>
        <w:jc w:val="both"/>
        <w:ind w:left="4" w:right="160" w:firstLine="987"/>
        <w:spacing w:after="0" w:line="286" w:lineRule="auto"/>
        <w:tabs>
          <w:tab w:leader="none" w:pos="1250" w:val="left"/>
        </w:tabs>
        <w:numPr>
          <w:ilvl w:val="1"/>
          <w:numId w:val="51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COBRA Premiums</w:t>
      </w:r>
      <w:r>
        <w:rPr>
          <w:rFonts w:ascii="Arial" w:cs="Arial" w:eastAsia="Arial" w:hAnsi="Arial"/>
          <w:sz w:val="16"/>
          <w:szCs w:val="16"/>
          <w:color w:val="auto"/>
        </w:rPr>
        <w:t>. Subject to the Executive’s copayment of premium amounts at the applicable active employees’ rate and the Executive’s proper election to receive benefits under the Consolidated Omnibus Budget Reconciliation Act of 1985, as amended (“</w:t>
      </w:r>
      <w:r>
        <w:rPr>
          <w:rFonts w:ascii="Arial" w:cs="Arial" w:eastAsia="Arial" w:hAnsi="Arial"/>
          <w:sz w:val="16"/>
          <w:szCs w:val="16"/>
          <w:b w:val="1"/>
          <w:bCs w:val="1"/>
          <w:i w:val="1"/>
          <w:iCs w:val="1"/>
          <w:u w:val="single" w:color="auto"/>
          <w:color w:val="auto"/>
        </w:rPr>
        <w:t>COBRA</w:t>
      </w:r>
      <w:r>
        <w:rPr>
          <w:rFonts w:ascii="Arial" w:cs="Arial" w:eastAsia="Arial" w:hAnsi="Arial"/>
          <w:sz w:val="16"/>
          <w:szCs w:val="16"/>
          <w:color w:val="auto"/>
        </w:rPr>
        <w:t>”), the Company shall pay to the group health plan provider or the COBRA provider a monthly payment equal to the monthly employer contribution that the Company would have made to provide health insurance to the Executive if the Executive had remained employed by the Company until the earliest of</w:t>
      </w:r>
    </w:p>
    <w:p>
      <w:pPr>
        <w:spacing w:after="0" w:line="1" w:lineRule="exact"/>
        <w:rPr>
          <w:rFonts w:ascii="Arial" w:cs="Arial" w:eastAsia="Arial" w:hAnsi="Arial"/>
          <w:sz w:val="16"/>
          <w:szCs w:val="16"/>
          <w:color w:val="auto"/>
        </w:rPr>
      </w:pPr>
    </w:p>
    <w:p>
      <w:pPr>
        <w:ind w:left="4" w:right="120" w:hanging="4"/>
        <w:spacing w:after="0" w:line="270" w:lineRule="auto"/>
        <w:tabs>
          <w:tab w:leader="none" w:pos="299" w:val="left"/>
        </w:tabs>
        <w:numPr>
          <w:ilvl w:val="0"/>
          <w:numId w:val="516"/>
        </w:numPr>
        <w:rPr>
          <w:rFonts w:ascii="Arial" w:cs="Arial" w:eastAsia="Arial" w:hAnsi="Arial"/>
          <w:sz w:val="17"/>
          <w:szCs w:val="17"/>
          <w:color w:val="auto"/>
        </w:rPr>
      </w:pPr>
      <w:r>
        <w:rPr>
          <w:rFonts w:ascii="Arial" w:cs="Arial" w:eastAsia="Arial" w:hAnsi="Arial"/>
          <w:sz w:val="17"/>
          <w:szCs w:val="17"/>
          <w:color w:val="auto"/>
        </w:rPr>
        <w:t>the nine (9) month anniversary of the Date of Termination; (B) the date that the Executive becomes eligible for group medical plan benefits under any other employer’s group medical plan; or (C) the cessation of the Executive’s 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to the Executive shall be subject to tax-related deductions and withholdings and paid on the Company’s regular payroll dates.</w:t>
      </w:r>
    </w:p>
    <w:p>
      <w:pPr>
        <w:spacing w:after="0" w:line="178" w:lineRule="exact"/>
        <w:rPr>
          <w:rFonts w:ascii="Arial" w:cs="Arial" w:eastAsia="Arial" w:hAnsi="Arial"/>
          <w:sz w:val="17"/>
          <w:szCs w:val="17"/>
          <w:color w:val="auto"/>
        </w:rPr>
      </w:pPr>
    </w:p>
    <w:p>
      <w:pPr>
        <w:ind w:left="4" w:firstLine="987"/>
        <w:spacing w:after="0" w:line="287" w:lineRule="auto"/>
        <w:tabs>
          <w:tab w:leader="none" w:pos="1240" w:val="left"/>
        </w:tabs>
        <w:numPr>
          <w:ilvl w:val="1"/>
          <w:numId w:val="516"/>
        </w:numPr>
        <w:rPr>
          <w:rFonts w:ascii="Arial" w:cs="Arial" w:eastAsia="Arial" w:hAnsi="Arial"/>
          <w:sz w:val="16"/>
          <w:szCs w:val="16"/>
          <w:color w:val="auto"/>
        </w:rPr>
      </w:pPr>
      <w:r>
        <w:rPr>
          <w:rFonts w:ascii="Arial" w:cs="Arial" w:eastAsia="Arial" w:hAnsi="Arial"/>
          <w:sz w:val="16"/>
          <w:szCs w:val="16"/>
          <w:u w:val="single" w:color="auto"/>
          <w:color w:val="auto"/>
        </w:rPr>
        <w:t>Delayed Forfeiture of Time-Based Equity Awards</w:t>
      </w:r>
      <w:r>
        <w:rPr>
          <w:rFonts w:ascii="Arial" w:cs="Arial" w:eastAsia="Arial" w:hAnsi="Arial"/>
          <w:sz w:val="16"/>
          <w:szCs w:val="16"/>
          <w:color w:val="auto"/>
        </w:rPr>
        <w:t>. Notwithstanding anything to the contrary in any Time-Based Equity Awards, if the Separation Agreement becomes effective, the unvested portions of all Time-Based Equity Awards shall not terminate or be forfeited on the Date of Termination, but rather shall remain outstanding until ninety (90) days after the Date of Termination (the “</w:t>
      </w:r>
      <w:r>
        <w:rPr>
          <w:rFonts w:ascii="Arial" w:cs="Arial" w:eastAsia="Arial" w:hAnsi="Arial"/>
          <w:sz w:val="16"/>
          <w:szCs w:val="16"/>
          <w:b w:val="1"/>
          <w:bCs w:val="1"/>
          <w:i w:val="1"/>
          <w:iCs w:val="1"/>
          <w:u w:val="single" w:color="auto"/>
          <w:color w:val="auto"/>
        </w:rPr>
        <w:t>Pre-CIC Protection Period</w:t>
      </w:r>
      <w:r>
        <w:rPr>
          <w:rFonts w:ascii="Arial" w:cs="Arial" w:eastAsia="Arial" w:hAnsi="Arial"/>
          <w:sz w:val="16"/>
          <w:szCs w:val="16"/>
          <w:color w:val="auto"/>
        </w:rPr>
        <w:t>”). If the Company has not, prior to the end of the Pre-CIC Protection Period, entered into a definitive agreement that, if closed, would result in a Change in Control (a “</w:t>
      </w:r>
      <w:r>
        <w:rPr>
          <w:rFonts w:ascii="Arial" w:cs="Arial" w:eastAsia="Arial" w:hAnsi="Arial"/>
          <w:sz w:val="16"/>
          <w:szCs w:val="16"/>
          <w:b w:val="1"/>
          <w:bCs w:val="1"/>
          <w:i w:val="1"/>
          <w:iCs w:val="1"/>
          <w:u w:val="single" w:color="auto"/>
          <w:color w:val="auto"/>
        </w:rPr>
        <w:t>P&amp;S Agreement</w:t>
      </w:r>
      <w:r>
        <w:rPr>
          <w:rFonts w:ascii="Arial" w:cs="Arial" w:eastAsia="Arial" w:hAnsi="Arial"/>
          <w:sz w:val="16"/>
          <w:szCs w:val="16"/>
          <w:color w:val="auto"/>
        </w:rPr>
        <w:t>”), then the unvested portion of the Time-Based Equity Awards shall terminate and be forfeited. If the Company, prior the end of the Pre-CIC Protection Period, enters into a P&amp;S Agreement, then the Time-Based Equity Awards shall remain outstanding and become fully vested upon a Change in Control resulting from such agreement. Time-Based Equity Awards shall terminate and be forfeited if the Company abandons a sale of the Company as contemplated under the P&amp;S Agreement entered into during the Pre-CIC Protection Period. No additional vesting of the Time-Based Equity Awards shall occur following the Date of Termination except on account of a Change in Control during or after the Pre-CIC Protection Period as specifically provided above. For the avoidance of doubt, any unvested Performance-Based Equity Awards shall terminate and be forfeited on the Date of Termination unless otherwise provided by the terms of Plan or the applicable the award agreement.</w:t>
      </w:r>
    </w:p>
    <w:p>
      <w:pPr>
        <w:spacing w:after="0" w:line="171" w:lineRule="exact"/>
        <w:rPr>
          <w:rFonts w:ascii="Arial" w:cs="Arial" w:eastAsia="Arial" w:hAnsi="Arial"/>
          <w:sz w:val="16"/>
          <w:szCs w:val="16"/>
          <w:color w:val="auto"/>
        </w:rPr>
      </w:pPr>
    </w:p>
    <w:p>
      <w:pPr>
        <w:ind w:left="4" w:right="120" w:firstLine="987"/>
        <w:spacing w:after="0" w:line="279" w:lineRule="auto"/>
        <w:tabs>
          <w:tab w:leader="none" w:pos="1250" w:val="left"/>
        </w:tabs>
        <w:numPr>
          <w:ilvl w:val="1"/>
          <w:numId w:val="516"/>
        </w:numPr>
        <w:rPr>
          <w:rFonts w:ascii="Arial" w:cs="Arial" w:eastAsia="Arial" w:hAnsi="Arial"/>
          <w:sz w:val="17"/>
          <w:szCs w:val="17"/>
          <w:color w:val="auto"/>
        </w:rPr>
      </w:pPr>
      <w:r>
        <w:rPr>
          <w:rFonts w:ascii="Arial" w:cs="Arial" w:eastAsia="Arial" w:hAnsi="Arial"/>
          <w:sz w:val="17"/>
          <w:szCs w:val="17"/>
          <w:u w:val="single" w:color="auto"/>
          <w:color w:val="auto"/>
        </w:rPr>
        <w:t>Severance Payment Timing</w:t>
      </w:r>
      <w:r>
        <w:rPr>
          <w:rFonts w:ascii="Arial" w:cs="Arial" w:eastAsia="Arial" w:hAnsi="Arial"/>
          <w:sz w:val="17"/>
          <w:szCs w:val="17"/>
          <w:color w:val="auto"/>
        </w:rPr>
        <w:t>. The amounts payable under Section 5 (other than the Earned Bonus, as applicable), to the extent taxable, shall be paid or commence to be paid within thirty (30) days after the Date of Termination (or such longer period as required in order to have an enforceable release, but in no event later than sixty (60) days after the Date of Termination); provided, however, that if the period applicable to Executive’s termination of employment begins in one calendar year and ends in a second calendar year, such payments to</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273" w:right="479" w:bottom="1440" w:gutter="0" w:footer="0" w:header="0"/>
        </w:sectPr>
      </w:pPr>
    </w:p>
    <w:bookmarkStart w:id="525" w:name="page526"/>
    <w:bookmarkEnd w:id="525"/>
    <w:p>
      <w:pPr>
        <w:ind w:left="4"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extent they qualify as “non-qualified deferred compensation” within the meaning of Section 409A of the Internal Revenue Code of 1986, as amended (the “</w:t>
      </w:r>
      <w:r>
        <w:rPr>
          <w:rFonts w:ascii="Arial" w:cs="Arial" w:eastAsia="Arial" w:hAnsi="Arial"/>
          <w:sz w:val="18"/>
          <w:szCs w:val="18"/>
          <w:b w:val="1"/>
          <w:bCs w:val="1"/>
          <w:i w:val="1"/>
          <w:iCs w:val="1"/>
          <w:u w:val="single" w:color="auto"/>
          <w:color w:val="auto"/>
        </w:rPr>
        <w:t>Code</w:t>
      </w:r>
      <w:r>
        <w:rPr>
          <w:rFonts w:ascii="Arial" w:cs="Arial" w:eastAsia="Arial" w:hAnsi="Arial"/>
          <w:sz w:val="18"/>
          <w:szCs w:val="18"/>
          <w:color w:val="auto"/>
        </w:rPr>
        <w:t>”), shall be paid or commence to be paid in the second calendar year by the last day of such period. The Severance Amount shall be paid in a single lump sum and the Earned Bonus, if any, shall be paid at the same time as if the Executive had remained employed with the Company through the payment date.</w:t>
      </w:r>
    </w:p>
    <w:p>
      <w:pPr>
        <w:spacing w:after="0" w:line="187" w:lineRule="exact"/>
        <w:rPr>
          <w:sz w:val="20"/>
          <w:szCs w:val="20"/>
          <w:color w:val="auto"/>
        </w:rPr>
      </w:pPr>
    </w:p>
    <w:p>
      <w:pPr>
        <w:ind w:left="4" w:firstLine="436"/>
        <w:spacing w:after="0" w:line="286" w:lineRule="auto"/>
        <w:tabs>
          <w:tab w:leader="none" w:pos="624" w:val="left"/>
        </w:tabs>
        <w:numPr>
          <w:ilvl w:val="1"/>
          <w:numId w:val="517"/>
        </w:numPr>
        <w:rPr>
          <w:rFonts w:ascii="Arial" w:cs="Arial" w:eastAsia="Arial" w:hAnsi="Arial"/>
          <w:sz w:val="16"/>
          <w:szCs w:val="16"/>
          <w:color w:val="auto"/>
        </w:rPr>
      </w:pPr>
      <w:r>
        <w:rPr>
          <w:rFonts w:ascii="Arial" w:cs="Arial" w:eastAsia="Arial" w:hAnsi="Arial"/>
          <w:sz w:val="16"/>
          <w:szCs w:val="16"/>
          <w:u w:val="single" w:color="auto"/>
          <w:color w:val="auto"/>
        </w:rPr>
        <w:t>Severance Pay and Benefits Upon Termination by the Company without Cause or by the Executive for Good Reason within the Change in Control Period</w:t>
      </w:r>
      <w:r>
        <w:rPr>
          <w:rFonts w:ascii="Arial" w:cs="Arial" w:eastAsia="Arial" w:hAnsi="Arial"/>
          <w:sz w:val="16"/>
          <w:szCs w:val="16"/>
          <w:color w:val="auto"/>
        </w:rPr>
        <w:t>. The provisions of this Section 6 shall apply in lieu of, and expressly supersede, the provisions of Section 5 if (i) the Executive’s employment is terminated either (a) by the Company without Cause as provided in Section 3(d), or (b) by the Executive for Good Reason as provided in Section 3(e), and (ii) the Date of Termination is during the Change in Control Period. The “</w:t>
      </w:r>
      <w:r>
        <w:rPr>
          <w:rFonts w:ascii="Arial" w:cs="Arial" w:eastAsia="Arial" w:hAnsi="Arial"/>
          <w:sz w:val="16"/>
          <w:szCs w:val="16"/>
          <w:b w:val="1"/>
          <w:bCs w:val="1"/>
          <w:i w:val="1"/>
          <w:iCs w:val="1"/>
          <w:u w:val="single" w:color="auto"/>
          <w:color w:val="auto"/>
        </w:rPr>
        <w:t>Change in Control Period</w:t>
      </w:r>
      <w:r>
        <w:rPr>
          <w:rFonts w:ascii="Arial" w:cs="Arial" w:eastAsia="Arial" w:hAnsi="Arial"/>
          <w:sz w:val="16"/>
          <w:szCs w:val="16"/>
          <w:color w:val="auto"/>
        </w:rPr>
        <w:t>” shall begin on the earlier of</w:t>
      </w:r>
    </w:p>
    <w:p>
      <w:pPr>
        <w:spacing w:after="0" w:line="1" w:lineRule="exact"/>
        <w:rPr>
          <w:rFonts w:ascii="Arial" w:cs="Arial" w:eastAsia="Arial" w:hAnsi="Arial"/>
          <w:sz w:val="16"/>
          <w:szCs w:val="16"/>
          <w:color w:val="auto"/>
        </w:rPr>
      </w:pPr>
    </w:p>
    <w:p>
      <w:pPr>
        <w:ind w:left="4" w:right="40" w:hanging="4"/>
        <w:spacing w:after="0" w:line="270" w:lineRule="auto"/>
        <w:tabs>
          <w:tab w:leader="none" w:pos="249" w:val="left"/>
        </w:tabs>
        <w:numPr>
          <w:ilvl w:val="0"/>
          <w:numId w:val="518"/>
        </w:numPr>
        <w:rPr>
          <w:rFonts w:ascii="Arial" w:cs="Arial" w:eastAsia="Arial" w:hAnsi="Arial"/>
          <w:sz w:val="17"/>
          <w:szCs w:val="17"/>
          <w:color w:val="auto"/>
        </w:rPr>
      </w:pPr>
      <w:r>
        <w:rPr>
          <w:rFonts w:ascii="Arial" w:cs="Arial" w:eastAsia="Arial" w:hAnsi="Arial"/>
          <w:sz w:val="17"/>
          <w:szCs w:val="17"/>
          <w:color w:val="auto"/>
        </w:rPr>
        <w:t>the signing of a P&amp;S Agreement and (b) the date that is 3 months prior to the closing of a Change in Control, and shall end on the date that is twelve (12) months after the occurrence of the first event constituting a Change in Control. These provisions shall terminate and be of no further force or effect after the Change in Control Period. In no event will the Executive be entitled to severance benefits under both Section 5 and Section 6 of this Agreement. If the Company has commenced providing severance pay and benefits to the Executive under Section 5 prior to the date that the Executive becomes eligible to receive severance pay and benefits under this Section 6, the severance pay and benefits previously provided to the Executive under Section 5 shall reduce the severance pay and benefits to be provided under this Section 6.</w:t>
      </w:r>
    </w:p>
    <w:p>
      <w:pPr>
        <w:spacing w:after="0" w:line="178" w:lineRule="exact"/>
        <w:rPr>
          <w:sz w:val="20"/>
          <w:szCs w:val="20"/>
          <w:color w:val="auto"/>
        </w:rPr>
      </w:pPr>
    </w:p>
    <w:p>
      <w:pPr>
        <w:ind w:left="4" w:right="80"/>
        <w:spacing w:after="0" w:line="301" w:lineRule="auto"/>
        <w:rPr>
          <w:sz w:val="20"/>
          <w:szCs w:val="20"/>
          <w:color w:val="auto"/>
        </w:rPr>
      </w:pPr>
      <w:r>
        <w:rPr>
          <w:rFonts w:ascii="Arial" w:cs="Arial" w:eastAsia="Arial" w:hAnsi="Arial"/>
          <w:sz w:val="16"/>
          <w:szCs w:val="16"/>
          <w:color w:val="auto"/>
        </w:rPr>
        <w:t>If the Executive’s employment is terminated by the Company without Cause as provided in Section 3(d) or the Executive terminates employment for Good Reason as provided in Section 3(e) and in each case the Date of Termination occurs during the Change in Control Period, then, in addition to the Accrued Obligations, and subject to the signing of the Separation Agreement by the Executive and the Separation Agreement becoming fully effective, all within the time frame set forth in the Separation Agreement but in no event more than sixty (60) days after the Date of Termination:</w:t>
      </w:r>
    </w:p>
    <w:p>
      <w:pPr>
        <w:spacing w:after="0" w:line="49" w:lineRule="exact"/>
        <w:rPr>
          <w:sz w:val="20"/>
          <w:szCs w:val="20"/>
          <w:color w:val="auto"/>
        </w:rPr>
      </w:pPr>
    </w:p>
    <w:p>
      <w:pPr>
        <w:jc w:val="both"/>
        <w:ind w:left="4" w:right="80" w:firstLine="987"/>
        <w:spacing w:after="0" w:line="259" w:lineRule="auto"/>
        <w:tabs>
          <w:tab w:leader="none" w:pos="1240" w:val="left"/>
        </w:tabs>
        <w:numPr>
          <w:ilvl w:val="0"/>
          <w:numId w:val="519"/>
        </w:numPr>
        <w:rPr>
          <w:rFonts w:ascii="Arial" w:cs="Arial" w:eastAsia="Arial" w:hAnsi="Arial"/>
          <w:sz w:val="18"/>
          <w:szCs w:val="18"/>
          <w:color w:val="auto"/>
        </w:rPr>
      </w:pPr>
      <w:r>
        <w:rPr>
          <w:rFonts w:ascii="Arial" w:cs="Arial" w:eastAsia="Arial" w:hAnsi="Arial"/>
          <w:sz w:val="18"/>
          <w:szCs w:val="18"/>
          <w:u w:val="single" w:color="auto"/>
          <w:color w:val="auto"/>
        </w:rPr>
        <w:t>Cash Severance</w:t>
      </w:r>
      <w:r>
        <w:rPr>
          <w:rFonts w:ascii="Arial" w:cs="Arial" w:eastAsia="Arial" w:hAnsi="Arial"/>
          <w:sz w:val="18"/>
          <w:szCs w:val="18"/>
          <w:color w:val="auto"/>
        </w:rPr>
        <w:t>. The Company shall pay the Executive a lump sum in cash in an amount equal to the sum of (A) twelve (12) months’ of the Executive’s then-current Base Salary (or the Executive’s Base Salary in effect immediately prior to the Change in Control, if higher), and (B) the Executive’s Target Bonus for the then-current year (or the Executive’s Target Bonus in effect immediately prior to the Change in Control, if higher), plus, if applicable, any Earned Bonus (the “</w:t>
      </w:r>
      <w:r>
        <w:rPr>
          <w:rFonts w:ascii="Arial" w:cs="Arial" w:eastAsia="Arial" w:hAnsi="Arial"/>
          <w:sz w:val="18"/>
          <w:szCs w:val="18"/>
          <w:b w:val="1"/>
          <w:bCs w:val="1"/>
          <w:i w:val="1"/>
          <w:iCs w:val="1"/>
          <w:u w:val="single" w:color="auto"/>
          <w:color w:val="auto"/>
        </w:rPr>
        <w:t>Change in Control Payment</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4" w:right="120" w:firstLine="987"/>
        <w:spacing w:after="0" w:line="255" w:lineRule="auto"/>
        <w:tabs>
          <w:tab w:leader="none" w:pos="1250" w:val="left"/>
        </w:tabs>
        <w:numPr>
          <w:ilvl w:val="0"/>
          <w:numId w:val="519"/>
        </w:numPr>
        <w:rPr>
          <w:rFonts w:ascii="Arial" w:cs="Arial" w:eastAsia="Arial" w:hAnsi="Arial"/>
          <w:sz w:val="18"/>
          <w:szCs w:val="18"/>
          <w:color w:val="auto"/>
        </w:rPr>
      </w:pPr>
      <w:r>
        <w:rPr>
          <w:rFonts w:ascii="Arial" w:cs="Arial" w:eastAsia="Arial" w:hAnsi="Arial"/>
          <w:sz w:val="18"/>
          <w:szCs w:val="18"/>
          <w:u w:val="single" w:color="auto"/>
          <w:color w:val="auto"/>
        </w:rPr>
        <w:t>COBRA Premiums</w:t>
      </w:r>
      <w:r>
        <w:rPr>
          <w:rFonts w:ascii="Arial" w:cs="Arial" w:eastAsia="Arial" w:hAnsi="Arial"/>
          <w:sz w:val="18"/>
          <w:szCs w:val="18"/>
          <w:color w:val="auto"/>
        </w:rPr>
        <w:t>. Subject to the Executive’s copayment of premium amounts at the applicable active employees’ rate and the Executive’s proper election to receive benefits under COBRA, the Company shall pay to the group health plan provider or the COBRA provider a monthly payment equal to the monthly employer contribution that the Company would have made to provide health insurance to the Executive if the Executive had remained employed by the Company until the earliest of (A) the twelve (12) month anniversary of the Date of Termination; (B) the date that the Executive becomes eligible for group medical plan benefits under any other employer’s group medical plan; or (C) the cessation of the Executive’s health</w:t>
      </w:r>
    </w:p>
    <w:p>
      <w:pPr>
        <w:spacing w:after="0" w:line="12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4"/>
          </w:cols>
          <w:pgMar w:left="436" w:top="273" w:right="499" w:bottom="1440" w:gutter="0" w:footer="0" w:header="0"/>
        </w:sectPr>
      </w:pPr>
    </w:p>
    <w:bookmarkStart w:id="526" w:name="page527"/>
    <w:bookmarkEnd w:id="526"/>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to the Executive shall be subject to tax-related deductions and withholdings and paid on the Company’s regular payroll dates.</w:t>
      </w:r>
    </w:p>
    <w:p>
      <w:pPr>
        <w:spacing w:after="0" w:line="157" w:lineRule="exact"/>
        <w:rPr>
          <w:sz w:val="20"/>
          <w:szCs w:val="20"/>
          <w:color w:val="auto"/>
        </w:rPr>
      </w:pPr>
    </w:p>
    <w:p>
      <w:pPr>
        <w:ind w:right="20" w:firstLine="987"/>
        <w:spacing w:after="0" w:line="270" w:lineRule="auto"/>
        <w:tabs>
          <w:tab w:leader="none" w:pos="1236" w:val="left"/>
        </w:tabs>
        <w:numPr>
          <w:ilvl w:val="1"/>
          <w:numId w:val="520"/>
        </w:numPr>
        <w:rPr>
          <w:rFonts w:ascii="Arial" w:cs="Arial" w:eastAsia="Arial" w:hAnsi="Arial"/>
          <w:sz w:val="17"/>
          <w:szCs w:val="17"/>
          <w:color w:val="auto"/>
        </w:rPr>
      </w:pPr>
      <w:r>
        <w:rPr>
          <w:rFonts w:ascii="Arial" w:cs="Arial" w:eastAsia="Arial" w:hAnsi="Arial"/>
          <w:sz w:val="17"/>
          <w:szCs w:val="17"/>
          <w:u w:val="single" w:color="auto"/>
          <w:color w:val="auto"/>
        </w:rPr>
        <w:t>Accelerated Vesting of Equity Awards</w:t>
      </w:r>
      <w:r>
        <w:rPr>
          <w:rFonts w:ascii="Arial" w:cs="Arial" w:eastAsia="Arial" w:hAnsi="Arial"/>
          <w:sz w:val="17"/>
          <w:szCs w:val="17"/>
          <w:color w:val="auto"/>
        </w:rPr>
        <w:t>. Notwithstanding anything to the contrary in any Equity Award, the Time-Based Equity Awards shall immediately accelerate and become fully vested and exercisable or nonforfeitable as if the Executive had remained employed with the Company as of the later of (i) the Date of Termination (or, if later, the Change in Control) or (ii) the effective date of the Separation Agreement (the “</w:t>
      </w:r>
      <w:r>
        <w:rPr>
          <w:rFonts w:ascii="Arial" w:cs="Arial" w:eastAsia="Arial" w:hAnsi="Arial"/>
          <w:sz w:val="17"/>
          <w:szCs w:val="17"/>
          <w:b w:val="1"/>
          <w:bCs w:val="1"/>
          <w:i w:val="1"/>
          <w:iCs w:val="1"/>
          <w:u w:val="single" w:color="auto"/>
          <w:color w:val="auto"/>
        </w:rPr>
        <w:t>Accelerated</w:t>
      </w:r>
      <w:r>
        <w:rPr>
          <w:rFonts w:ascii="Arial" w:cs="Arial" w:eastAsia="Arial" w:hAnsi="Arial"/>
          <w:sz w:val="17"/>
          <w:szCs w:val="17"/>
          <w:color w:val="auto"/>
        </w:rPr>
        <w:t xml:space="preserve"> </w:t>
      </w:r>
      <w:r>
        <w:rPr>
          <w:rFonts w:ascii="Arial" w:cs="Arial" w:eastAsia="Arial" w:hAnsi="Arial"/>
          <w:sz w:val="17"/>
          <w:szCs w:val="17"/>
          <w:b w:val="1"/>
          <w:bCs w:val="1"/>
          <w:i w:val="1"/>
          <w:iCs w:val="1"/>
          <w:u w:val="single" w:color="auto"/>
          <w:color w:val="auto"/>
        </w:rPr>
        <w:t>Vesting Date</w:t>
      </w:r>
      <w:r>
        <w:rPr>
          <w:rFonts w:ascii="Arial" w:cs="Arial" w:eastAsia="Arial" w:hAnsi="Arial"/>
          <w:sz w:val="17"/>
          <w:szCs w:val="17"/>
          <w:color w:val="auto"/>
        </w:rPr>
        <w:t>”), provided that in order to effectuate the accelerated vesting contemplated by this subsection, the unvested portion of such Equity Awards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would otherwise terminate or be forfeited on the Date of Termination will be delayed until the earlier of (A) the effective date of the Separation Agreement (at which time acceleration will occur), or (B) the date that the Separation Agreement can no longer become fully effective (at which time the unvested portion of the Executive’s Time-Based Equity Awards will terminate or be forfeited). Notwithstanding the foregoing, no additional time-based vesting of the Time-Based Equity Awards shall occur during the period between the Date of Termination and the Accelerated Vesting Date except as specifically provided in this Section 6(c).</w:t>
      </w:r>
    </w:p>
    <w:p>
      <w:pPr>
        <w:spacing w:after="0" w:line="180" w:lineRule="exact"/>
        <w:rPr>
          <w:rFonts w:ascii="Arial" w:cs="Arial" w:eastAsia="Arial" w:hAnsi="Arial"/>
          <w:sz w:val="17"/>
          <w:szCs w:val="17"/>
          <w:color w:val="auto"/>
        </w:rPr>
      </w:pPr>
    </w:p>
    <w:p>
      <w:pPr>
        <w:ind w:right="20" w:firstLine="987"/>
        <w:spacing w:after="0" w:line="301" w:lineRule="auto"/>
        <w:tabs>
          <w:tab w:leader="none" w:pos="1246" w:val="left"/>
        </w:tabs>
        <w:numPr>
          <w:ilvl w:val="1"/>
          <w:numId w:val="520"/>
        </w:numPr>
        <w:rPr>
          <w:rFonts w:ascii="Arial" w:cs="Arial" w:eastAsia="Arial" w:hAnsi="Arial"/>
          <w:sz w:val="16"/>
          <w:szCs w:val="16"/>
          <w:color w:val="auto"/>
        </w:rPr>
      </w:pPr>
      <w:r>
        <w:rPr>
          <w:rFonts w:ascii="Arial" w:cs="Arial" w:eastAsia="Arial" w:hAnsi="Arial"/>
          <w:sz w:val="16"/>
          <w:szCs w:val="16"/>
          <w:u w:val="single" w:color="auto"/>
          <w:color w:val="auto"/>
        </w:rPr>
        <w:t>Change in Control Payment Timing</w:t>
      </w:r>
      <w:r>
        <w:rPr>
          <w:rFonts w:ascii="Arial" w:cs="Arial" w:eastAsia="Arial" w:hAnsi="Arial"/>
          <w:sz w:val="16"/>
          <w:szCs w:val="16"/>
          <w:color w:val="auto"/>
        </w:rPr>
        <w:t>. The amounts payable under this Section 6, to the extent taxable, shall be paid or commence to be paid within sixty (60) days after the Date of Termination or, if later, the Change in Control; provided, however, that if the 60-day period begins in one calendar year and ends in a second calendar year, such payments to the extent they qualify as “non-qualified deferred compensation” within the meaning of Section 409A of the Code, shall be paid or commence to be paid in the second calendar year by the last day of such 60-day period.</w:t>
      </w:r>
    </w:p>
    <w:p>
      <w:pPr>
        <w:spacing w:after="0" w:line="157" w:lineRule="exact"/>
        <w:rPr>
          <w:rFonts w:ascii="Arial" w:cs="Arial" w:eastAsia="Arial" w:hAnsi="Arial"/>
          <w:sz w:val="16"/>
          <w:szCs w:val="16"/>
          <w:color w:val="auto"/>
        </w:rPr>
      </w:pPr>
    </w:p>
    <w:p>
      <w:pPr>
        <w:ind w:left="620" w:hanging="184"/>
        <w:spacing w:after="0"/>
        <w:tabs>
          <w:tab w:leader="none" w:pos="620" w:val="left"/>
        </w:tabs>
        <w:numPr>
          <w:ilvl w:val="0"/>
          <w:numId w:val="521"/>
        </w:numPr>
        <w:rPr>
          <w:rFonts w:ascii="Arial" w:cs="Arial" w:eastAsia="Arial" w:hAnsi="Arial"/>
          <w:sz w:val="18"/>
          <w:szCs w:val="18"/>
          <w:color w:val="auto"/>
        </w:rPr>
      </w:pPr>
      <w:r>
        <w:rPr>
          <w:rFonts w:ascii="Arial" w:cs="Arial" w:eastAsia="Arial" w:hAnsi="Arial"/>
          <w:sz w:val="18"/>
          <w:szCs w:val="18"/>
          <w:u w:val="single" w:color="auto"/>
          <w:color w:val="auto"/>
        </w:rPr>
        <w:t>280G Limitation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987"/>
        <w:spacing w:after="0" w:line="289" w:lineRule="auto"/>
        <w:tabs>
          <w:tab w:leader="none" w:pos="1236" w:val="left"/>
        </w:tabs>
        <w:numPr>
          <w:ilvl w:val="1"/>
          <w:numId w:val="521"/>
        </w:numPr>
        <w:rPr>
          <w:rFonts w:ascii="Arial" w:cs="Arial" w:eastAsia="Arial" w:hAnsi="Arial"/>
          <w:sz w:val="16"/>
          <w:szCs w:val="16"/>
          <w:color w:val="auto"/>
        </w:rPr>
      </w:pPr>
      <w:r>
        <w:rPr>
          <w:rFonts w:ascii="Arial" w:cs="Arial" w:eastAsia="Arial" w:hAnsi="Arial"/>
          <w:sz w:val="16"/>
          <w:szCs w:val="16"/>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w:t>
      </w:r>
      <w:r>
        <w:rPr>
          <w:rFonts w:ascii="Arial" w:cs="Arial" w:eastAsia="Arial" w:hAnsi="Arial"/>
          <w:sz w:val="16"/>
          <w:szCs w:val="16"/>
          <w:b w:val="1"/>
          <w:bCs w:val="1"/>
          <w:i w:val="1"/>
          <w:iCs w:val="1"/>
          <w:u w:val="single" w:color="auto"/>
          <w:color w:val="auto"/>
        </w:rPr>
        <w:t>Aggregate Payments</w:t>
      </w:r>
      <w:r>
        <w:rPr>
          <w:rFonts w:ascii="Arial" w:cs="Arial" w:eastAsia="Arial" w:hAnsi="Arial"/>
          <w:sz w:val="16"/>
          <w:szCs w:val="16"/>
          <w:color w:val="auto"/>
        </w:rPr>
        <w:t>”),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3" w:right="459" w:bottom="1440" w:gutter="0" w:footer="0" w:header="0"/>
        </w:sectPr>
      </w:pPr>
    </w:p>
    <w:bookmarkStart w:id="527" w:name="page528"/>
    <w:bookmarkEnd w:id="527"/>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87" w:lineRule="exact"/>
        <w:rPr>
          <w:sz w:val="20"/>
          <w:szCs w:val="20"/>
          <w:color w:val="auto"/>
        </w:rPr>
      </w:pPr>
    </w:p>
    <w:p>
      <w:pPr>
        <w:ind w:right="60" w:firstLine="987"/>
        <w:spacing w:after="0" w:line="255" w:lineRule="auto"/>
        <w:tabs>
          <w:tab w:leader="none" w:pos="1246" w:val="left"/>
        </w:tabs>
        <w:numPr>
          <w:ilvl w:val="1"/>
          <w:numId w:val="522"/>
        </w:numPr>
        <w:rPr>
          <w:rFonts w:ascii="Arial" w:cs="Arial" w:eastAsia="Arial" w:hAnsi="Arial"/>
          <w:sz w:val="18"/>
          <w:szCs w:val="18"/>
          <w:color w:val="auto"/>
        </w:rPr>
      </w:pPr>
      <w:r>
        <w:rPr>
          <w:rFonts w:ascii="Arial" w:cs="Arial" w:eastAsia="Arial" w:hAnsi="Arial"/>
          <w:sz w:val="18"/>
          <w:szCs w:val="18"/>
          <w:color w:val="auto"/>
        </w:rPr>
        <w:t>For purposes of this Section 7, the “</w:t>
      </w:r>
      <w:r>
        <w:rPr>
          <w:rFonts w:ascii="Arial" w:cs="Arial" w:eastAsia="Arial" w:hAnsi="Arial"/>
          <w:sz w:val="18"/>
          <w:szCs w:val="18"/>
          <w:b w:val="1"/>
          <w:bCs w:val="1"/>
          <w:i w:val="1"/>
          <w:iCs w:val="1"/>
          <w:u w:val="single" w:color="auto"/>
          <w:color w:val="auto"/>
        </w:rPr>
        <w:t>After Tax Amount</w:t>
      </w:r>
      <w:r>
        <w:rPr>
          <w:rFonts w:ascii="Arial" w:cs="Arial" w:eastAsia="Arial" w:hAnsi="Arial"/>
          <w:sz w:val="18"/>
          <w:szCs w:val="18"/>
          <w:color w:val="auto"/>
        </w:rPr>
        <w: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92" w:lineRule="exact"/>
        <w:rPr>
          <w:rFonts w:ascii="Arial" w:cs="Arial" w:eastAsia="Arial" w:hAnsi="Arial"/>
          <w:sz w:val="18"/>
          <w:szCs w:val="18"/>
          <w:color w:val="auto"/>
        </w:rPr>
      </w:pPr>
    </w:p>
    <w:p>
      <w:pPr>
        <w:ind w:right="20" w:firstLine="987"/>
        <w:spacing w:after="0" w:line="284" w:lineRule="auto"/>
        <w:tabs>
          <w:tab w:leader="none" w:pos="1236" w:val="left"/>
        </w:tabs>
        <w:numPr>
          <w:ilvl w:val="1"/>
          <w:numId w:val="522"/>
        </w:numPr>
        <w:rPr>
          <w:rFonts w:ascii="Arial" w:cs="Arial" w:eastAsia="Arial" w:hAnsi="Arial"/>
          <w:sz w:val="16"/>
          <w:szCs w:val="16"/>
          <w:color w:val="auto"/>
        </w:rPr>
      </w:pPr>
      <w:r>
        <w:rPr>
          <w:rFonts w:ascii="Arial" w:cs="Arial" w:eastAsia="Arial" w:hAnsi="Arial"/>
          <w:sz w:val="16"/>
          <w:szCs w:val="16"/>
          <w:color w:val="auto"/>
        </w:rPr>
        <w:t>For purposes of determining whether and the extent to which the Aggregate Payments will be subject to the excise tax, (i) no portion of the Aggregate Payments the receipt or enjoyment of which Executive shall have waived at such time and in such manner as not to constitute a “payment” within the meaning of Section 280G(b) of the Code shall be taken into account, (ii) no portion of the Aggregate Payments shall be taken into account which, in the written opinion of independent auditors or advisors of nationally recognized standing (“</w:t>
      </w:r>
      <w:r>
        <w:rPr>
          <w:rFonts w:ascii="Arial" w:cs="Arial" w:eastAsia="Arial" w:hAnsi="Arial"/>
          <w:sz w:val="16"/>
          <w:szCs w:val="16"/>
          <w:b w:val="1"/>
          <w:bCs w:val="1"/>
          <w:i w:val="1"/>
          <w:iCs w:val="1"/>
          <w:color w:val="auto"/>
        </w:rPr>
        <w:t>Independent Advisors</w:t>
      </w:r>
      <w:r>
        <w:rPr>
          <w:rFonts w:ascii="Arial" w:cs="Arial" w:eastAsia="Arial" w:hAnsi="Arial"/>
          <w:sz w:val="16"/>
          <w:szCs w:val="16"/>
          <w:color w:val="auto"/>
        </w:rPr>
        <w:t>”) selected by the Company prior to a Change in Control, does not constitute a “parachute payment” within the meaning of Section 280G(b)(2) of the Code (including by reason of Section 280G(b)(4)(A) of the Code) and, in calculating the excise tax, no portion of such Aggregate Payments shall be taken into account which, in the opinion of Independent Advisors, constitutes reasonable compensation for services actually rendered, within the meaning of</w:t>
      </w:r>
    </w:p>
    <w:p>
      <w:pPr>
        <w:spacing w:after="0" w:line="2" w:lineRule="exact"/>
        <w:rPr>
          <w:rFonts w:ascii="Arial" w:cs="Arial" w:eastAsia="Arial" w:hAnsi="Arial"/>
          <w:sz w:val="16"/>
          <w:szCs w:val="16"/>
          <w:color w:val="auto"/>
        </w:rPr>
      </w:pPr>
    </w:p>
    <w:p>
      <w:pPr>
        <w:spacing w:after="0" w:line="252" w:lineRule="auto"/>
        <w:rPr>
          <w:rFonts w:ascii="Arial" w:cs="Arial" w:eastAsia="Arial" w:hAnsi="Arial"/>
          <w:sz w:val="16"/>
          <w:szCs w:val="16"/>
          <w:color w:val="auto"/>
        </w:rPr>
      </w:pPr>
      <w:r>
        <w:rPr>
          <w:rFonts w:ascii="Arial" w:cs="Arial" w:eastAsia="Arial" w:hAnsi="Arial"/>
          <w:sz w:val="18"/>
          <w:szCs w:val="18"/>
          <w:color w:val="auto"/>
        </w:rPr>
        <w:t>Section 280G(b)(4)(B) of the Code, in excess of the “base amount” (as defined in Section 280G(b)(3) of the Code) allocable to such reasonable compensation, and (iii) the value of any non-cash benefit or any deferred payment or benefit included in the Aggregate Payments shall be determined by the Independent Advisors in accordance with the principles of Sections 280G(d)(3) and (4) of the Code. The Independent Advisors shall provide detailed supporting calculations both to the Company and the Executive within fifteen (15) business days of the Date of Termination, if applicable, or at such earlier time as is reasonably requested by the Company or the Executive. Any determination by the Independent Advisors shall be binding upon the Company and the Executive.</w:t>
      </w:r>
    </w:p>
    <w:p>
      <w:pPr>
        <w:spacing w:after="0" w:line="193" w:lineRule="exact"/>
        <w:rPr>
          <w:rFonts w:ascii="Arial" w:cs="Arial" w:eastAsia="Arial" w:hAnsi="Arial"/>
          <w:sz w:val="16"/>
          <w:szCs w:val="16"/>
          <w:color w:val="auto"/>
        </w:rPr>
      </w:pPr>
    </w:p>
    <w:p>
      <w:pPr>
        <w:ind w:left="620" w:hanging="184"/>
        <w:spacing w:after="0"/>
        <w:tabs>
          <w:tab w:leader="none" w:pos="620" w:val="left"/>
        </w:tabs>
        <w:numPr>
          <w:ilvl w:val="0"/>
          <w:numId w:val="523"/>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987"/>
        <w:spacing w:after="0" w:line="257" w:lineRule="auto"/>
        <w:tabs>
          <w:tab w:leader="none" w:pos="1236" w:val="left"/>
        </w:tabs>
        <w:numPr>
          <w:ilvl w:val="1"/>
          <w:numId w:val="523"/>
        </w:numPr>
        <w:rPr>
          <w:rFonts w:ascii="Arial" w:cs="Arial" w:eastAsia="Arial" w:hAnsi="Arial"/>
          <w:sz w:val="18"/>
          <w:szCs w:val="18"/>
          <w:color w:val="auto"/>
        </w:rPr>
      </w:pPr>
      <w:r>
        <w:rPr>
          <w:rFonts w:ascii="Arial" w:cs="Arial" w:eastAsia="Arial" w:hAnsi="Arial"/>
          <w:sz w:val="18"/>
          <w:szCs w:val="18"/>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 (B)(i) of the Code, then to the extent any payment or benefit that the Executive becomes entitled to under this Agreement or otherwise on account of the Executive’s separation from service would be considered deferred compensation otherwise subject to the 20% additional tax imposed pursuant to Section 409A(a) of the Code as a result of the application of Section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3" w:right="459" w:bottom="1440" w:gutter="0" w:footer="0" w:header="0"/>
        </w:sectPr>
      </w:pPr>
    </w:p>
    <w:bookmarkStart w:id="528" w:name="page529"/>
    <w:bookmarkEnd w:id="528"/>
    <w:p>
      <w:pPr>
        <w:ind w:right="1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409A(a)(2)(B)(i) of the Code, such payment shall not be payable and such benefit shall not be provided until the date that is the earlier of (A) six (6)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6-month period but for the application of this provision, and the balance of the installments shall be payable in accordance with their original schedule.</w:t>
      </w:r>
    </w:p>
    <w:p>
      <w:pPr>
        <w:spacing w:after="0" w:line="157" w:lineRule="exact"/>
        <w:rPr>
          <w:sz w:val="20"/>
          <w:szCs w:val="20"/>
          <w:color w:val="auto"/>
        </w:rPr>
      </w:pPr>
    </w:p>
    <w:p>
      <w:pPr>
        <w:ind w:right="40" w:firstLine="987"/>
        <w:spacing w:after="0" w:line="273" w:lineRule="auto"/>
        <w:tabs>
          <w:tab w:leader="none" w:pos="1246" w:val="left"/>
        </w:tabs>
        <w:numPr>
          <w:ilvl w:val="0"/>
          <w:numId w:val="524"/>
        </w:numPr>
        <w:rPr>
          <w:rFonts w:ascii="Arial" w:cs="Arial" w:eastAsia="Arial" w:hAnsi="Arial"/>
          <w:sz w:val="17"/>
          <w:szCs w:val="17"/>
          <w:color w:val="auto"/>
        </w:rPr>
      </w:pPr>
      <w:r>
        <w:rPr>
          <w:rFonts w:ascii="Arial" w:cs="Arial" w:eastAsia="Arial" w:hAnsi="Arial"/>
          <w:sz w:val="17"/>
          <w:szCs w:val="17"/>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77" w:lineRule="exact"/>
        <w:rPr>
          <w:rFonts w:ascii="Arial" w:cs="Arial" w:eastAsia="Arial" w:hAnsi="Arial"/>
          <w:sz w:val="17"/>
          <w:szCs w:val="17"/>
          <w:color w:val="auto"/>
        </w:rPr>
      </w:pPr>
    </w:p>
    <w:p>
      <w:pPr>
        <w:jc w:val="both"/>
        <w:ind w:right="160" w:firstLine="987"/>
        <w:spacing w:after="0" w:line="279" w:lineRule="auto"/>
        <w:tabs>
          <w:tab w:leader="none" w:pos="1236" w:val="left"/>
        </w:tabs>
        <w:numPr>
          <w:ilvl w:val="0"/>
          <w:numId w:val="524"/>
        </w:numPr>
        <w:rPr>
          <w:rFonts w:ascii="Arial" w:cs="Arial" w:eastAsia="Arial" w:hAnsi="Arial"/>
          <w:sz w:val="17"/>
          <w:szCs w:val="17"/>
          <w:color w:val="auto"/>
        </w:rPr>
      </w:pPr>
      <w:r>
        <w:rPr>
          <w:rFonts w:ascii="Arial" w:cs="Arial" w:eastAsia="Arial" w:hAnsi="Arial"/>
          <w:sz w:val="17"/>
          <w:szCs w:val="17"/>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spacing w:after="0" w:line="171" w:lineRule="exact"/>
        <w:rPr>
          <w:rFonts w:ascii="Arial" w:cs="Arial" w:eastAsia="Arial" w:hAnsi="Arial"/>
          <w:sz w:val="17"/>
          <w:szCs w:val="17"/>
          <w:color w:val="auto"/>
        </w:rPr>
      </w:pPr>
    </w:p>
    <w:p>
      <w:pPr>
        <w:ind w:right="220" w:firstLine="987"/>
        <w:spacing w:after="0" w:line="290" w:lineRule="auto"/>
        <w:tabs>
          <w:tab w:leader="none" w:pos="1246" w:val="left"/>
        </w:tabs>
        <w:numPr>
          <w:ilvl w:val="0"/>
          <w:numId w:val="524"/>
        </w:numPr>
        <w:rPr>
          <w:rFonts w:ascii="Arial" w:cs="Arial" w:eastAsia="Arial" w:hAnsi="Arial"/>
          <w:sz w:val="16"/>
          <w:szCs w:val="16"/>
          <w:color w:val="auto"/>
        </w:rPr>
      </w:pPr>
      <w:r>
        <w:rPr>
          <w:rFonts w:ascii="Arial" w:cs="Arial" w:eastAsia="Arial" w:hAnsi="Arial"/>
          <w:sz w:val="16"/>
          <w:szCs w:val="16"/>
          <w:color w:val="auto"/>
        </w:rPr>
        <w:t>The parties intend that this Agreement will be administered in a manner not intended to violate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Any such payment that may be excluded from Section 409A either as separation pay due to an involuntary separation from service or as a short-term deferral (each as described in Treasury regulations issued under Section 409A) shall be excluded from Section 409A to the greatest extent possible.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65" w:lineRule="exact"/>
        <w:rPr>
          <w:rFonts w:ascii="Arial" w:cs="Arial" w:eastAsia="Arial" w:hAnsi="Arial"/>
          <w:sz w:val="16"/>
          <w:szCs w:val="16"/>
          <w:color w:val="auto"/>
        </w:rPr>
      </w:pPr>
    </w:p>
    <w:p>
      <w:pPr>
        <w:ind w:firstLine="987"/>
        <w:spacing w:after="0" w:line="263" w:lineRule="auto"/>
        <w:tabs>
          <w:tab w:leader="none" w:pos="1236" w:val="left"/>
        </w:tabs>
        <w:numPr>
          <w:ilvl w:val="0"/>
          <w:numId w:val="524"/>
        </w:numPr>
        <w:rPr>
          <w:rFonts w:ascii="Arial" w:cs="Arial" w:eastAsia="Arial" w:hAnsi="Arial"/>
          <w:sz w:val="18"/>
          <w:szCs w:val="18"/>
          <w:color w:val="auto"/>
        </w:rPr>
      </w:pPr>
      <w:r>
        <w:rPr>
          <w:rFonts w:ascii="Arial" w:cs="Arial" w:eastAsia="Arial" w:hAnsi="Arial"/>
          <w:sz w:val="18"/>
          <w:szCs w:val="18"/>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440" w:top="273" w:right="519" w:bottom="1440" w:gutter="0" w:footer="0" w:header="0"/>
        </w:sectPr>
      </w:pPr>
    </w:p>
    <w:bookmarkStart w:id="529" w:name="page530"/>
    <w:bookmarkEnd w:id="529"/>
    <w:p>
      <w:pPr>
        <w:ind w:left="620" w:hanging="184"/>
        <w:spacing w:after="0"/>
        <w:tabs>
          <w:tab w:leader="none" w:pos="620" w:val="left"/>
        </w:tabs>
        <w:numPr>
          <w:ilvl w:val="0"/>
          <w:numId w:val="52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Continuing Obligations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87"/>
        <w:spacing w:after="0" w:line="259" w:lineRule="auto"/>
        <w:tabs>
          <w:tab w:leader="none" w:pos="1236" w:val="left"/>
        </w:tabs>
        <w:numPr>
          <w:ilvl w:val="1"/>
          <w:numId w:val="525"/>
        </w:numPr>
        <w:rPr>
          <w:rFonts w:ascii="Arial" w:cs="Arial" w:eastAsia="Arial" w:hAnsi="Arial"/>
          <w:sz w:val="18"/>
          <w:szCs w:val="18"/>
          <w:color w:val="auto"/>
        </w:rPr>
      </w:pPr>
      <w:r>
        <w:rPr>
          <w:rFonts w:ascii="Arial" w:cs="Arial" w:eastAsia="Arial" w:hAnsi="Arial"/>
          <w:sz w:val="18"/>
          <w:szCs w:val="18"/>
          <w:u w:val="single" w:color="auto"/>
          <w:color w:val="auto"/>
        </w:rPr>
        <w:t>Restrictive Covenants Agreement</w:t>
      </w:r>
      <w:r>
        <w:rPr>
          <w:rFonts w:ascii="Arial" w:cs="Arial" w:eastAsia="Arial" w:hAnsi="Arial"/>
          <w:sz w:val="18"/>
          <w:szCs w:val="18"/>
          <w:color w:val="auto"/>
        </w:rPr>
        <w:t>. By signing this Agreement, the Executive reaffirms that the terms of the Employee Proprietary Information and Inventions Assignment Agreement, dated May 10, 2021, between the Company and the Executive (the “</w:t>
      </w:r>
      <w:r>
        <w:rPr>
          <w:rFonts w:ascii="Arial" w:cs="Arial" w:eastAsia="Arial" w:hAnsi="Arial"/>
          <w:sz w:val="18"/>
          <w:szCs w:val="18"/>
          <w:b w:val="1"/>
          <w:bCs w:val="1"/>
          <w:i w:val="1"/>
          <w:iCs w:val="1"/>
          <w:u w:val="single" w:color="auto"/>
          <w:color w:val="auto"/>
        </w:rPr>
        <w:t>Restrictive Covenants</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Agreement</w:t>
      </w:r>
      <w:r>
        <w:rPr>
          <w:rFonts w:ascii="Arial" w:cs="Arial" w:eastAsia="Arial" w:hAnsi="Arial"/>
          <w:sz w:val="18"/>
          <w:szCs w:val="18"/>
          <w:color w:val="auto"/>
        </w:rPr>
        <w:t>”) continues to be in full force and effect, except for Section 6.1(a), which is hereby superseded in its entirety and replaced with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paragraph</w:t>
      </w:r>
      <w:r>
        <w:rPr>
          <w:rFonts w:ascii="Arial" w:cs="Arial" w:eastAsia="Arial" w:hAnsi="Arial"/>
          <w:sz w:val="15"/>
          <w:szCs w:val="15"/>
          <w:color w:val="auto"/>
        </w:rPr>
        <w:t>1</w:t>
      </w:r>
      <w:r>
        <w:rPr>
          <w:rFonts w:ascii="Arial" w:cs="Arial" w:eastAsia="Arial" w:hAnsi="Arial"/>
          <w:sz w:val="18"/>
          <w:szCs w:val="18"/>
          <w:color w:val="auto"/>
        </w:rPr>
        <w:t>:</w:t>
      </w:r>
    </w:p>
    <w:p>
      <w:pPr>
        <w:spacing w:after="0" w:line="79" w:lineRule="exact"/>
        <w:rPr>
          <w:sz w:val="20"/>
          <w:szCs w:val="20"/>
          <w:color w:val="auto"/>
        </w:rPr>
      </w:pPr>
    </w:p>
    <w:p>
      <w:pPr>
        <w:ind w:left="440" w:right="20" w:hanging="4"/>
        <w:spacing w:after="0" w:line="268" w:lineRule="auto"/>
        <w:tabs>
          <w:tab w:leader="none" w:pos="685" w:val="left"/>
        </w:tabs>
        <w:numPr>
          <w:ilvl w:val="1"/>
          <w:numId w:val="526"/>
        </w:numPr>
        <w:rPr>
          <w:rFonts w:ascii="Arial" w:cs="Arial" w:eastAsia="Arial" w:hAnsi="Arial"/>
          <w:sz w:val="17"/>
          <w:szCs w:val="17"/>
          <w:color w:val="auto"/>
        </w:rPr>
      </w:pPr>
      <w:r>
        <w:rPr>
          <w:rFonts w:ascii="Arial" w:cs="Arial" w:eastAsia="Arial" w:hAnsi="Arial"/>
          <w:sz w:val="17"/>
          <w:szCs w:val="17"/>
          <w:color w:val="auto"/>
        </w:rPr>
        <w:t>As a condition of entering into this Agreement, and in further consideration of the bonus and salary increase to be provided pursuant to an employment agreement to be entered into between the Company and Executive, which Executive acknowledges is fair and reasonable consideration independent from Executive’s employment, Executive agrees that, during the period of Executive’s employment and for the one year period after the termination of Executive’s employment relationship with the Company due to voluntary termination by Executive or involuntary termination by the Company for Cause (defined below), Executive will not, whether paid or not: (i) serve as a partner, principal, licensor, licensee, employee, consultant, officer, director, manager, agent, affiliate, representative, advisor, promoter, associate, investor, or otherwise for, (ii) directly or indirectly, own, purchase, organize or take preparatory steps for the organization of, or (iii) build, design, finance, acquire, lease, operate, manage, control, invest in, work or consult for or otherwise join, participate in or affiliate with, any business whose business, products or operations are in any respect involved in Conflicting Services (defined below) anywhere in the Restricted Territory (defined below). Should Executive obtain other employment during Executive’s employment with the Company or within 12 months immediately following the termination of Executive’s relationship with the Company, Executive agrees to provide written notification to the Company as to the name and address of Executive’s new employer, the position that Executive expects to hold, and a general description of Executive’s duties and responsibilities, at least three business days prior to starting such employment.</w:t>
      </w:r>
    </w:p>
    <w:p>
      <w:pPr>
        <w:spacing w:after="0" w:line="74" w:lineRule="exact"/>
        <w:rPr>
          <w:rFonts w:ascii="Arial" w:cs="Arial" w:eastAsia="Arial" w:hAnsi="Arial"/>
          <w:sz w:val="17"/>
          <w:szCs w:val="17"/>
          <w:color w:val="auto"/>
        </w:rPr>
      </w:pPr>
    </w:p>
    <w:p>
      <w:pPr>
        <w:ind w:left="980" w:right="240" w:firstLine="408"/>
        <w:spacing w:after="0" w:line="282" w:lineRule="auto"/>
        <w:tabs>
          <w:tab w:leader="none" w:pos="1596" w:val="left"/>
        </w:tabs>
        <w:numPr>
          <w:ilvl w:val="2"/>
          <w:numId w:val="526"/>
        </w:numPr>
        <w:rPr>
          <w:rFonts w:ascii="Arial" w:cs="Arial" w:eastAsia="Arial" w:hAnsi="Arial"/>
          <w:sz w:val="18"/>
          <w:szCs w:val="18"/>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i w:val="1"/>
          <w:iCs w:val="1"/>
          <w:u w:val="single" w:color="auto"/>
          <w:color w:val="auto"/>
        </w:rPr>
        <w:t>Conflicting Service</w:t>
      </w:r>
      <w:r>
        <w:rPr>
          <w:rFonts w:ascii="Arial" w:cs="Arial" w:eastAsia="Arial" w:hAnsi="Arial"/>
          <w:sz w:val="18"/>
          <w:szCs w:val="18"/>
          <w:b w:val="1"/>
          <w:bCs w:val="1"/>
          <w:u w:val="single" w:color="auto"/>
          <w:color w:val="auto"/>
        </w:rPr>
        <w:t>s</w:t>
      </w:r>
      <w:r>
        <w:rPr>
          <w:rFonts w:ascii="Arial" w:cs="Arial" w:eastAsia="Arial" w:hAnsi="Arial"/>
          <w:sz w:val="18"/>
          <w:szCs w:val="18"/>
          <w:color w:val="auto"/>
        </w:rPr>
        <w:t>” means any business in which the Company is engaged, or in which the Company has plans to be engaged, or any service that the Company provides or has plans to provide.</w:t>
      </w:r>
    </w:p>
    <w:p>
      <w:pPr>
        <w:spacing w:after="0" w:line="57" w:lineRule="exact"/>
        <w:rPr>
          <w:rFonts w:ascii="Arial" w:cs="Arial" w:eastAsia="Arial" w:hAnsi="Arial"/>
          <w:sz w:val="18"/>
          <w:szCs w:val="18"/>
          <w:color w:val="auto"/>
        </w:rPr>
      </w:pPr>
    </w:p>
    <w:p>
      <w:pPr>
        <w:ind w:left="980" w:right="100" w:firstLine="408"/>
        <w:spacing w:after="0" w:line="263" w:lineRule="auto"/>
        <w:tabs>
          <w:tab w:leader="none" w:pos="1646" w:val="left"/>
        </w:tabs>
        <w:numPr>
          <w:ilvl w:val="2"/>
          <w:numId w:val="526"/>
        </w:numPr>
        <w:rPr>
          <w:rFonts w:ascii="Arial" w:cs="Arial" w:eastAsia="Arial" w:hAnsi="Arial"/>
          <w:sz w:val="18"/>
          <w:szCs w:val="18"/>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i w:val="1"/>
          <w:iCs w:val="1"/>
          <w:u w:val="single" w:color="auto"/>
          <w:color w:val="auto"/>
        </w:rPr>
        <w:t>Restricted Territory</w:t>
      </w:r>
      <w:r>
        <w:rPr>
          <w:rFonts w:ascii="Arial" w:cs="Arial" w:eastAsia="Arial" w:hAnsi="Arial"/>
          <w:sz w:val="18"/>
          <w:szCs w:val="18"/>
          <w:color w:val="auto"/>
        </w:rPr>
        <w:t>” means the geographic areas in which Executive provided services for the Company or had a material presence or influence, during any time within the last two years prior to the termination of Executive’s relationship with the Company.</w:t>
      </w:r>
    </w:p>
    <w:p>
      <w:pPr>
        <w:spacing w:after="0" w:line="156" w:lineRule="exact"/>
        <w:rPr>
          <w:rFonts w:ascii="Arial" w:cs="Arial" w:eastAsia="Arial" w:hAnsi="Arial"/>
          <w:sz w:val="18"/>
          <w:szCs w:val="18"/>
          <w:color w:val="auto"/>
        </w:rPr>
      </w:pPr>
    </w:p>
    <w:p>
      <w:pPr>
        <w:ind w:left="420" w:hanging="432"/>
        <w:spacing w:after="0" w:line="279" w:lineRule="auto"/>
        <w:rPr>
          <w:rFonts w:ascii="Arial" w:cs="Arial" w:eastAsia="Arial" w:hAnsi="Arial"/>
          <w:sz w:val="18"/>
          <w:szCs w:val="18"/>
          <w:color w:val="auto"/>
        </w:rPr>
      </w:pPr>
      <w:r>
        <w:rPr>
          <w:rFonts w:ascii="Arial" w:cs="Arial" w:eastAsia="Arial" w:hAnsi="Arial"/>
          <w:sz w:val="15"/>
          <w:szCs w:val="15"/>
          <w:color w:val="auto"/>
        </w:rPr>
        <w:t>1</w:t>
      </w:r>
      <w:r>
        <w:rPr>
          <w:rFonts w:ascii="Arial" w:cs="Arial" w:eastAsia="Arial" w:hAnsi="Arial"/>
          <w:sz w:val="17"/>
          <w:szCs w:val="17"/>
          <w:color w:val="auto"/>
        </w:rPr>
        <w:t>Note to Draft: Dr. Dabora’s noncompete in her PIIA is potentially unenforceable as it does not comply with the MA Noncompete Agreement Act. Although Dr. Dabora is a Vermont-based resident and the PIIA is governed by DE law, the PIIA includes a Massachusetts venue provision. It’s not clear if a Massachusetts court would enforce a DE choice of law clause. Given this risk, we have reaffirmed the PIIA here, except for the noncompete provision which is replaced in its entirety with the MA compliant noncompete provision included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-601980</wp:posOffset>
            </wp:positionV>
            <wp:extent cx="77152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3" w:right="459" w:bottom="1440" w:gutter="0" w:footer="0" w:header="0"/>
        </w:sectPr>
      </w:pPr>
    </w:p>
    <w:bookmarkStart w:id="530" w:name="page531"/>
    <w:bookmarkEnd w:id="530"/>
    <w:p>
      <w:pPr>
        <w:ind w:left="960" w:right="440" w:firstLine="408"/>
        <w:spacing w:after="0" w:line="277" w:lineRule="auto"/>
        <w:tabs>
          <w:tab w:leader="none" w:pos="1676" w:val="left"/>
        </w:tabs>
        <w:numPr>
          <w:ilvl w:val="0"/>
          <w:numId w:val="5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this Agreement, “</w:t>
      </w:r>
      <w:r>
        <w:rPr>
          <w:rFonts w:ascii="Arial" w:cs="Arial" w:eastAsia="Arial" w:hAnsi="Arial"/>
          <w:sz w:val="18"/>
          <w:szCs w:val="18"/>
          <w:b w:val="1"/>
          <w:bCs w:val="1"/>
          <w:i w:val="1"/>
          <w:iCs w:val="1"/>
          <w:u w:val="single" w:color="auto"/>
          <w:color w:val="auto"/>
        </w:rPr>
        <w:t>Cause</w:t>
      </w:r>
      <w:r>
        <w:rPr>
          <w:rFonts w:ascii="Arial" w:cs="Arial" w:eastAsia="Arial" w:hAnsi="Arial"/>
          <w:sz w:val="18"/>
          <w:szCs w:val="18"/>
          <w:color w:val="auto"/>
        </w:rPr>
        <w:t>” shall mean a termination of Executive’s employment by the Company due to my misconduct or failure to meet the Company’s performance expectations.</w:t>
      </w:r>
    </w:p>
    <w:p>
      <w:pPr>
        <w:spacing w:after="0" w:line="62" w:lineRule="exact"/>
        <w:rPr>
          <w:rFonts w:ascii="Arial" w:cs="Arial" w:eastAsia="Arial" w:hAnsi="Arial"/>
          <w:sz w:val="18"/>
          <w:szCs w:val="18"/>
          <w:color w:val="auto"/>
        </w:rPr>
      </w:pPr>
    </w:p>
    <w:p>
      <w:pPr>
        <w:ind w:left="960" w:firstLine="408"/>
        <w:spacing w:after="0" w:line="285" w:lineRule="auto"/>
        <w:tabs>
          <w:tab w:leader="none" w:pos="1666" w:val="left"/>
        </w:tabs>
        <w:numPr>
          <w:ilvl w:val="0"/>
          <w:numId w:val="527"/>
        </w:numPr>
        <w:rPr>
          <w:rFonts w:ascii="Arial" w:cs="Arial" w:eastAsia="Arial" w:hAnsi="Arial"/>
          <w:sz w:val="16"/>
          <w:szCs w:val="16"/>
          <w:color w:val="auto"/>
        </w:rPr>
      </w:pPr>
      <w:r>
        <w:rPr>
          <w:rFonts w:ascii="Arial" w:cs="Arial" w:eastAsia="Arial" w:hAnsi="Arial"/>
          <w:sz w:val="16"/>
          <w:szCs w:val="16"/>
          <w:color w:val="auto"/>
        </w:rPr>
        <w:t>The Company may elect to enforce the provisions of this Section 6 or waive them at its sole discretion. If the Company elects to waive the provisions of this Section 6, such waiver may be accomplished by the Company providing Executive with written notice of its election to waive: (A) on or before the last day of Executive’s employment with the Company pursuant to an involuntary termination by the Company for Cause, or (B) within 2 weeks after the Company’s receipt of written notice from Executive of Executive’s resignation from employment. If the Company does not elect to waive the provisions of this Section 6 then the Company must either: (i) accelerate the vesting of Executive’s Company stock options by 12 months (“</w:t>
      </w:r>
      <w:r>
        <w:rPr>
          <w:rFonts w:ascii="Arial" w:cs="Arial" w:eastAsia="Arial" w:hAnsi="Arial"/>
          <w:sz w:val="16"/>
          <w:szCs w:val="16"/>
          <w:b w:val="1"/>
          <w:bCs w:val="1"/>
          <w:i w:val="1"/>
          <w:iCs w:val="1"/>
          <w:color w:val="auto"/>
        </w:rPr>
        <w:t>Mutually Agreed Upon Consideration</w:t>
      </w:r>
      <w:r>
        <w:rPr>
          <w:rFonts w:ascii="Arial" w:cs="Arial" w:eastAsia="Arial" w:hAnsi="Arial"/>
          <w:sz w:val="16"/>
          <w:szCs w:val="16"/>
          <w:color w:val="auto"/>
        </w:rPr>
        <w:t>”), or, in the event Executive does not have any Company stock options, (ii) pay Executive continuing salary payments for one year following termination of Executive’s employment at a rate equal to no less than 50% of the highest annualized base salary paid to Executive by the Company within the two years prior to the termination of Executive’s relationship with the Company (“</w:t>
      </w:r>
      <w:r>
        <w:rPr>
          <w:rFonts w:ascii="Arial" w:cs="Arial" w:eastAsia="Arial" w:hAnsi="Arial"/>
          <w:sz w:val="16"/>
          <w:szCs w:val="16"/>
          <w:b w:val="1"/>
          <w:bCs w:val="1"/>
          <w:i w:val="1"/>
          <w:iCs w:val="1"/>
          <w:color w:val="auto"/>
        </w:rPr>
        <w:t>Garden Leave Payments</w:t>
      </w:r>
      <w:r>
        <w:rPr>
          <w:rFonts w:ascii="Arial" w:cs="Arial" w:eastAsia="Arial" w:hAnsi="Arial"/>
          <w:sz w:val="16"/>
          <w:szCs w:val="16"/>
          <w:color w:val="auto"/>
        </w:rPr>
        <w:t>”). Notwithstanding anything to the contrary above, the Company may enforce the covenants in this Section 6 without providing the Garden Leave Payments, if applicable, if it determines in good faith that Executive breached this Section 6 or unlawfully misappropriated the Company’s physical or electronic property. For avoidance of doubt, the Company’s failure to timely waive the provisions of this Section 6 shall be construed as its election to enforce the provisions of this Section 6. For further avoidance of doubt, if the Company elects to waive, Executive is classified as nonexempt under the Fair Labor Standards Act, 29 U.S.C. 201-219, or the Company is otherwise prohibited by law or a court from enforcing, the provisions of this Section 6, Executive will not be subject to the restrictions in this Section 6 nor will Executive be entitled to any Mutually Agreed Upon Consideration or Garden Leave Payments.</w:t>
      </w:r>
    </w:p>
    <w:p>
      <w:pPr>
        <w:spacing w:after="0" w:line="68" w:lineRule="exact"/>
        <w:rPr>
          <w:rFonts w:ascii="Arial" w:cs="Arial" w:eastAsia="Arial" w:hAnsi="Arial"/>
          <w:sz w:val="16"/>
          <w:szCs w:val="16"/>
          <w:color w:val="auto"/>
        </w:rPr>
      </w:pPr>
    </w:p>
    <w:p>
      <w:pPr>
        <w:ind w:left="960" w:right="40" w:firstLine="408"/>
        <w:spacing w:after="0" w:line="263" w:lineRule="auto"/>
        <w:tabs>
          <w:tab w:leader="none" w:pos="1616" w:val="left"/>
        </w:tabs>
        <w:numPr>
          <w:ilvl w:val="0"/>
          <w:numId w:val="527"/>
        </w:numPr>
        <w:rPr>
          <w:rFonts w:ascii="Arial" w:cs="Arial" w:eastAsia="Arial" w:hAnsi="Arial"/>
          <w:sz w:val="18"/>
          <w:szCs w:val="18"/>
          <w:color w:val="auto"/>
        </w:rPr>
      </w:pPr>
      <w:r>
        <w:rPr>
          <w:rFonts w:ascii="Arial" w:cs="Arial" w:eastAsia="Arial" w:hAnsi="Arial"/>
          <w:sz w:val="18"/>
          <w:szCs w:val="18"/>
          <w:color w:val="auto"/>
        </w:rPr>
        <w:t>For purposes of this Agreement, the obligations in this Section 9 and those that arise in the Restrictive Covenants Agreement and any other agreement relating to confidentiality, assignment of inventions, or other restrictive covenants that may later be agreed to by the Executive shall collectively be referred to as the “</w:t>
      </w:r>
      <w:r>
        <w:rPr>
          <w:rFonts w:ascii="Arial" w:cs="Arial" w:eastAsia="Arial" w:hAnsi="Arial"/>
          <w:sz w:val="18"/>
          <w:szCs w:val="18"/>
          <w:b w:val="1"/>
          <w:bCs w:val="1"/>
          <w:i w:val="1"/>
          <w:iCs w:val="1"/>
          <w:u w:val="single" w:color="auto"/>
          <w:color w:val="auto"/>
        </w:rPr>
        <w:t>Continuing Obligations</w:t>
      </w:r>
      <w:r>
        <w:rPr>
          <w:rFonts w:ascii="Arial" w:cs="Arial" w:eastAsia="Arial" w:hAnsi="Arial"/>
          <w:sz w:val="18"/>
          <w:szCs w:val="18"/>
          <w:color w:val="auto"/>
        </w:rPr>
        <w:t>.”</w:t>
      </w:r>
    </w:p>
    <w:p>
      <w:pPr>
        <w:spacing w:after="0" w:line="184" w:lineRule="exact"/>
        <w:rPr>
          <w:sz w:val="20"/>
          <w:szCs w:val="20"/>
          <w:color w:val="auto"/>
        </w:rPr>
      </w:pPr>
    </w:p>
    <w:p>
      <w:pPr>
        <w:ind w:left="-20" w:right="300" w:firstLine="987"/>
        <w:spacing w:after="0" w:line="263" w:lineRule="auto"/>
        <w:tabs>
          <w:tab w:leader="none" w:pos="1226" w:val="left"/>
        </w:tabs>
        <w:numPr>
          <w:ilvl w:val="0"/>
          <w:numId w:val="528"/>
        </w:numPr>
        <w:rPr>
          <w:rFonts w:ascii="Arial" w:cs="Arial" w:eastAsia="Arial" w:hAnsi="Arial"/>
          <w:sz w:val="18"/>
          <w:szCs w:val="18"/>
          <w:color w:val="auto"/>
        </w:rPr>
      </w:pPr>
      <w:r>
        <w:rPr>
          <w:rFonts w:ascii="Arial" w:cs="Arial" w:eastAsia="Arial" w:hAnsi="Arial"/>
          <w:sz w:val="18"/>
          <w:szCs w:val="18"/>
          <w:u w:val="single" w:color="auto"/>
          <w:color w:val="auto"/>
        </w:rPr>
        <w:t>Third-Party Agreements and Rights</w:t>
      </w:r>
      <w:r>
        <w:rPr>
          <w:rFonts w:ascii="Arial" w:cs="Arial" w:eastAsia="Arial" w:hAnsi="Arial"/>
          <w:sz w:val="18"/>
          <w:szCs w:val="18"/>
          <w:color w:val="auto"/>
        </w:rPr>
        <w:t>. The Executive hereby confirms that the Executive is not bound by the terms of any agreement with any previous employer or other party which restricts in any way the Executive’s use or disclosure of information, other than confidentiality restrictions (if any), or the Executive’s engagement in any business.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60" w:top="273" w:right="479" w:bottom="1440" w:gutter="0" w:footer="0" w:header="0"/>
        </w:sectPr>
      </w:pPr>
    </w:p>
    <w:bookmarkStart w:id="531" w:name="page532"/>
    <w:bookmarkEnd w:id="531"/>
    <w:p>
      <w:pPr>
        <w:ind w:left="4"/>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Executive represents to the Company that the Executive’s execution of this Agreement, the Executive’s employment with the Company and 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176" w:lineRule="exact"/>
        <w:rPr>
          <w:sz w:val="20"/>
          <w:szCs w:val="20"/>
          <w:color w:val="auto"/>
        </w:rPr>
      </w:pPr>
    </w:p>
    <w:p>
      <w:pPr>
        <w:ind w:left="4" w:right="40" w:firstLine="987"/>
        <w:spacing w:after="0" w:line="269" w:lineRule="auto"/>
        <w:tabs>
          <w:tab w:leader="none" w:pos="1240" w:val="left"/>
        </w:tabs>
        <w:numPr>
          <w:ilvl w:val="2"/>
          <w:numId w:val="529"/>
        </w:numPr>
        <w:rPr>
          <w:rFonts w:ascii="Arial" w:cs="Arial" w:eastAsia="Arial" w:hAnsi="Arial"/>
          <w:sz w:val="17"/>
          <w:szCs w:val="17"/>
          <w:color w:val="auto"/>
        </w:rPr>
      </w:pPr>
      <w:r>
        <w:rPr>
          <w:rFonts w:ascii="Arial" w:cs="Arial" w:eastAsia="Arial" w:hAnsi="Arial"/>
          <w:sz w:val="17"/>
          <w:szCs w:val="17"/>
          <w:u w:val="single" w:color="auto"/>
          <w:color w:val="auto"/>
        </w:rPr>
        <w:t>Litigation and Regulatory Cooperation</w:t>
      </w:r>
      <w:r>
        <w:rPr>
          <w:rFonts w:ascii="Arial" w:cs="Arial" w:eastAsia="Arial" w:hAnsi="Arial"/>
          <w:sz w:val="17"/>
          <w:szCs w:val="17"/>
          <w:color w:val="auto"/>
        </w:rPr>
        <w:t>. During and after the Executive’s employment, the Executive shall cooperate fully with the Company in (i) the defense or prosecution of any claims or actions now in existence or which may be brought in the future against or on behalf of the Company which relate to events or occurrences that transpired while the Executive was employed by the Company, and (ii) the investigation, whether internal or external, of any matters about which the Company believes the Executive may have knowledge or information. The Executive’s full cooperation in connection with such claims, actions or investigations shall include, but not be limited to, being available to meet with counsel upon reasonable notice to answer questions or to prepare for discovery or trial and to act as a witness on behalf of the Company at mutually convenient times.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9(c), which shall be in addition to its obligations to provide indemnification to the Executive.</w:t>
      </w:r>
    </w:p>
    <w:p>
      <w:pPr>
        <w:spacing w:after="0" w:line="181" w:lineRule="exact"/>
        <w:rPr>
          <w:rFonts w:ascii="Arial" w:cs="Arial" w:eastAsia="Arial" w:hAnsi="Arial"/>
          <w:sz w:val="17"/>
          <w:szCs w:val="17"/>
          <w:color w:val="auto"/>
        </w:rPr>
      </w:pPr>
    </w:p>
    <w:p>
      <w:pPr>
        <w:ind w:left="4" w:right="160" w:firstLine="987"/>
        <w:spacing w:after="0" w:line="257" w:lineRule="auto"/>
        <w:tabs>
          <w:tab w:leader="none" w:pos="1250" w:val="left"/>
        </w:tabs>
        <w:numPr>
          <w:ilvl w:val="2"/>
          <w:numId w:val="529"/>
        </w:numPr>
        <w:rPr>
          <w:rFonts w:ascii="Arial" w:cs="Arial" w:eastAsia="Arial" w:hAnsi="Arial"/>
          <w:sz w:val="18"/>
          <w:szCs w:val="18"/>
          <w:color w:val="auto"/>
        </w:rPr>
      </w:pPr>
      <w:r>
        <w:rPr>
          <w:rFonts w:ascii="Arial" w:cs="Arial" w:eastAsia="Arial" w:hAnsi="Arial"/>
          <w:sz w:val="18"/>
          <w:szCs w:val="18"/>
          <w:u w:val="single" w:color="auto"/>
          <w:color w:val="auto"/>
        </w:rPr>
        <w:t>Relief</w:t>
      </w:r>
      <w:r>
        <w:rPr>
          <w:rFonts w:ascii="Arial" w:cs="Arial" w:eastAsia="Arial" w:hAnsi="Arial"/>
          <w:sz w:val="18"/>
          <w:szCs w:val="18"/>
          <w:color w:val="auto"/>
        </w:rPr>
        <w:t>. The Executive agrees that it would be difficult to measure any damages caused to the Company which might result from any breach by the Executive of the Continuing Obligations, and that in any event monetary damages would be an inadequate remedy for any such breach. Accordingly</w:t>
      </w:r>
      <w:r>
        <w:rPr>
          <w:rFonts w:ascii="Arial" w:cs="Arial" w:eastAsia="Arial" w:hAnsi="Arial"/>
          <w:sz w:val="18"/>
          <w:szCs w:val="18"/>
          <w:b w:val="1"/>
          <w:bCs w:val="1"/>
          <w:color w:val="auto"/>
        </w:rPr>
        <w:t>,</w:t>
      </w:r>
      <w:r>
        <w:rPr>
          <w:rFonts w:ascii="Arial" w:cs="Arial" w:eastAsia="Arial" w:hAnsi="Arial"/>
          <w:sz w:val="18"/>
          <w:szCs w:val="18"/>
          <w:color w:val="auto"/>
        </w:rPr>
        <w:t xml:space="preserve"> the Executive agrees that if the Executive breaches, or proposes to breach, any portion of the Continuing Obligations, the Company shall be entitled, in addition to all other remedies that it may have, to an injunction or other appropriate equitable relief to restrain any such breach without showing or proving any actual damage to the Company.</w:t>
      </w:r>
    </w:p>
    <w:p>
      <w:pPr>
        <w:spacing w:after="0" w:line="187" w:lineRule="exact"/>
        <w:rPr>
          <w:rFonts w:ascii="Arial" w:cs="Arial" w:eastAsia="Arial" w:hAnsi="Arial"/>
          <w:sz w:val="18"/>
          <w:szCs w:val="18"/>
          <w:color w:val="auto"/>
        </w:rPr>
      </w:pPr>
    </w:p>
    <w:p>
      <w:pPr>
        <w:ind w:left="4" w:right="20" w:firstLine="436"/>
        <w:spacing w:after="0" w:line="291" w:lineRule="auto"/>
        <w:tabs>
          <w:tab w:leader="none" w:pos="714" w:val="left"/>
        </w:tabs>
        <w:numPr>
          <w:ilvl w:val="1"/>
          <w:numId w:val="530"/>
        </w:numPr>
        <w:rPr>
          <w:rFonts w:ascii="Arial" w:cs="Arial" w:eastAsia="Arial" w:hAnsi="Arial"/>
          <w:sz w:val="16"/>
          <w:szCs w:val="16"/>
          <w:color w:val="auto"/>
        </w:rPr>
      </w:pPr>
      <w:r>
        <w:rPr>
          <w:rFonts w:ascii="Arial" w:cs="Arial" w:eastAsia="Arial" w:hAnsi="Arial"/>
          <w:sz w:val="16"/>
          <w:szCs w:val="16"/>
          <w:u w:val="single" w:color="auto"/>
          <w:color w:val="auto"/>
        </w:rPr>
        <w:t>Consent to Jurisdiction</w:t>
      </w:r>
      <w:r>
        <w:rPr>
          <w:rFonts w:ascii="Arial" w:cs="Arial" w:eastAsia="Arial" w:hAnsi="Arial"/>
          <w:sz w:val="16"/>
          <w:szCs w:val="16"/>
          <w:color w:val="auto"/>
        </w:rPr>
        <w:t>. The parties hereby consent to the jurisdiction of the state and federal courts of the State of Vermont. Accordingly, with respect to any such court action, the Executive (a) submits to the exclusive personal jurisdiction of such courts; (b) consents to service of process; and</w:t>
      </w:r>
    </w:p>
    <w:p>
      <w:pPr>
        <w:ind w:left="244" w:hanging="244"/>
        <w:spacing w:after="0"/>
        <w:tabs>
          <w:tab w:leader="none" w:pos="244" w:val="left"/>
        </w:tabs>
        <w:numPr>
          <w:ilvl w:val="0"/>
          <w:numId w:val="531"/>
        </w:numPr>
        <w:rPr>
          <w:rFonts w:ascii="Arial" w:cs="Arial" w:eastAsia="Arial" w:hAnsi="Arial"/>
          <w:sz w:val="16"/>
          <w:szCs w:val="16"/>
          <w:color w:val="auto"/>
        </w:rPr>
      </w:pPr>
      <w:r>
        <w:rPr>
          <w:rFonts w:ascii="Arial" w:cs="Arial" w:eastAsia="Arial" w:hAnsi="Arial"/>
          <w:sz w:val="16"/>
          <w:szCs w:val="16"/>
          <w:color w:val="auto"/>
        </w:rPr>
        <w:t>waives any other requirement (whether imposed by statute, rule of court, or otherwise) with respect to personal jurisdiction or service of process.</w:t>
      </w:r>
    </w:p>
    <w:p>
      <w:pPr>
        <w:spacing w:after="0" w:line="233" w:lineRule="exact"/>
        <w:rPr>
          <w:rFonts w:ascii="Arial" w:cs="Arial" w:eastAsia="Arial" w:hAnsi="Arial"/>
          <w:sz w:val="16"/>
          <w:szCs w:val="16"/>
          <w:color w:val="auto"/>
        </w:rPr>
      </w:pPr>
    </w:p>
    <w:p>
      <w:pPr>
        <w:ind w:left="4" w:right="20" w:firstLine="436"/>
        <w:spacing w:after="0" w:line="263" w:lineRule="auto"/>
        <w:tabs>
          <w:tab w:leader="none" w:pos="707" w:val="left"/>
        </w:tabs>
        <w:numPr>
          <w:ilvl w:val="1"/>
          <w:numId w:val="531"/>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the subject matter hereof and supersedes all prior agreements between the parties concerning such subject matter</w:t>
      </w:r>
      <w:r>
        <w:rPr>
          <w:rFonts w:ascii="Arial" w:cs="Arial" w:eastAsia="Arial" w:hAnsi="Arial"/>
          <w:sz w:val="18"/>
          <w:szCs w:val="18"/>
          <w:b w:val="1"/>
          <w:bCs w:val="1"/>
          <w:color w:val="auto"/>
        </w:rPr>
        <w:t>,</w:t>
      </w:r>
      <w:r>
        <w:rPr>
          <w:rFonts w:ascii="Arial" w:cs="Arial" w:eastAsia="Arial" w:hAnsi="Arial"/>
          <w:sz w:val="18"/>
          <w:szCs w:val="18"/>
          <w:color w:val="auto"/>
        </w:rPr>
        <w:t xml:space="preserve"> including the Prior Agreement, provided that the Restrictive Covenants Agreement and the agreements governing any Equity Awards remain in full force and effect.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3" w:right="459" w:bottom="1440" w:gutter="0" w:footer="0" w:header="0"/>
        </w:sectPr>
      </w:pPr>
    </w:p>
    <w:bookmarkStart w:id="532" w:name="page533"/>
    <w:bookmarkEnd w:id="532"/>
    <w:p>
      <w:pPr>
        <w:ind w:left="4" w:right="20" w:firstLine="436"/>
        <w:spacing w:after="0" w:line="259" w:lineRule="auto"/>
        <w:tabs>
          <w:tab w:leader="none" w:pos="714" w:val="left"/>
        </w:tabs>
        <w:numPr>
          <w:ilvl w:val="1"/>
          <w:numId w:val="53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Withholding; Tax Effect</w:t>
      </w:r>
      <w:r>
        <w:rPr>
          <w:rFonts w:ascii="Arial" w:cs="Arial" w:eastAsia="Arial" w:hAnsi="Arial"/>
          <w:sz w:val="18"/>
          <w:szCs w:val="18"/>
          <w:color w:val="auto"/>
        </w:rPr>
        <w:t>. All payments made by the Company to the Executive under this Agreement shall be net of any tax or other amounts required to be withheld by the Company under applicable law. Nothing in this Agreement shall be construed to require the Company to make any payments to compensate the Executive for any adverse tax effect associated with any payments or benefits or for any deduction or withholding from any payment or benefit.</w:t>
      </w:r>
    </w:p>
    <w:p>
      <w:pPr>
        <w:spacing w:after="0" w:line="186" w:lineRule="exact"/>
        <w:rPr>
          <w:rFonts w:ascii="Arial" w:cs="Arial" w:eastAsia="Arial" w:hAnsi="Arial"/>
          <w:sz w:val="18"/>
          <w:szCs w:val="18"/>
          <w:color w:val="auto"/>
        </w:rPr>
      </w:pPr>
    </w:p>
    <w:p>
      <w:pPr>
        <w:ind w:left="4" w:right="140" w:firstLine="436"/>
        <w:spacing w:after="0" w:line="291" w:lineRule="auto"/>
        <w:tabs>
          <w:tab w:leader="none" w:pos="714" w:val="left"/>
        </w:tabs>
        <w:numPr>
          <w:ilvl w:val="1"/>
          <w:numId w:val="532"/>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will be binding upon and inure to the benefit of (a) the heirs, executors, and legal representatives of Executive upon Executive’s death as well as any beneficiaries duly designated by Executive prior to death in accordance with the terms hereof, and</w:t>
      </w:r>
    </w:p>
    <w:p>
      <w:pPr>
        <w:ind w:left="4" w:hanging="4"/>
        <w:spacing w:after="0" w:line="267" w:lineRule="auto"/>
        <w:tabs>
          <w:tab w:leader="none" w:pos="259" w:val="left"/>
        </w:tabs>
        <w:numPr>
          <w:ilvl w:val="0"/>
          <w:numId w:val="533"/>
        </w:numPr>
        <w:rPr>
          <w:rFonts w:ascii="Arial" w:cs="Arial" w:eastAsia="Arial" w:hAnsi="Arial"/>
          <w:sz w:val="17"/>
          <w:szCs w:val="17"/>
          <w:color w:val="auto"/>
        </w:rPr>
      </w:pPr>
      <w:r>
        <w:rPr>
          <w:rFonts w:ascii="Arial" w:cs="Arial" w:eastAsia="Arial" w:hAnsi="Arial"/>
          <w:sz w:val="17"/>
          <w:szCs w:val="17"/>
          <w:color w:val="auto"/>
        </w:rPr>
        <w:t>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The Company shall require its respective successors to expressly assume and agree to perform this Agreement in the same manner and to the same extent that the Company would be required to perform it if no such succession had taken place. Notwithstanding the foregoing, the Company shall remain, with such successor, jointly and severally liable for all of their obligations hereunder. Except as herein provided, this Agreement may not otherwise be assigned by the Company and any attempted assignment in contravention hereof will be null and void. In the event of the Executive’s death after the Executive’s termination of employment but prior to the completion by the Company of all payments due to the Executive under this Agreement, the Company shall continue such payments to the Executive’s beneficiary designated in writing to the Company prior to the Executive’s death (or to the Executive’s estate, if the Executive fails to make such designation). The Executive may designate one or more persons or entities as the primary or contingent beneficiaries of any amounts to be received under this Agreement. Such designation must be in the form of a signed writing reasonably acceptable to the Board or the Board’s designee. Executive may make or change such designation at any time. Except as approved by the Board or the Board’s designee, none of the rights of the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79" w:lineRule="exact"/>
        <w:rPr>
          <w:rFonts w:ascii="Arial" w:cs="Arial" w:eastAsia="Arial" w:hAnsi="Arial"/>
          <w:sz w:val="17"/>
          <w:szCs w:val="17"/>
          <w:color w:val="auto"/>
        </w:rPr>
      </w:pPr>
    </w:p>
    <w:p>
      <w:pPr>
        <w:ind w:left="4" w:right="260" w:firstLine="436"/>
        <w:spacing w:after="0" w:line="279" w:lineRule="auto"/>
        <w:tabs>
          <w:tab w:leader="none" w:pos="714" w:val="left"/>
        </w:tabs>
        <w:numPr>
          <w:ilvl w:val="1"/>
          <w:numId w:val="533"/>
        </w:numPr>
        <w:rPr>
          <w:rFonts w:ascii="Arial" w:cs="Arial" w:eastAsia="Arial" w:hAnsi="Arial"/>
          <w:sz w:val="17"/>
          <w:szCs w:val="17"/>
          <w:color w:val="auto"/>
        </w:rPr>
      </w:pPr>
      <w:r>
        <w:rPr>
          <w:rFonts w:ascii="Arial" w:cs="Arial" w:eastAsia="Arial" w:hAnsi="Arial"/>
          <w:sz w:val="17"/>
          <w:szCs w:val="17"/>
          <w:u w:val="single" w:color="auto"/>
          <w:color w:val="auto"/>
        </w:rPr>
        <w:t>Enforceability</w:t>
      </w:r>
      <w:r>
        <w:rPr>
          <w:rFonts w:ascii="Arial" w:cs="Arial" w:eastAsia="Arial" w:hAnsi="Arial"/>
          <w:sz w:val="17"/>
          <w:szCs w:val="17"/>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1" w:lineRule="exact"/>
        <w:rPr>
          <w:rFonts w:ascii="Arial" w:cs="Arial" w:eastAsia="Arial" w:hAnsi="Arial"/>
          <w:sz w:val="17"/>
          <w:szCs w:val="17"/>
          <w:color w:val="auto"/>
        </w:rPr>
      </w:pPr>
    </w:p>
    <w:p>
      <w:pPr>
        <w:ind w:left="4" w:right="200" w:firstLine="436"/>
        <w:spacing w:after="0" w:line="286" w:lineRule="auto"/>
        <w:tabs>
          <w:tab w:leader="none" w:pos="714" w:val="left"/>
        </w:tabs>
        <w:numPr>
          <w:ilvl w:val="1"/>
          <w:numId w:val="533"/>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The provisions of this Agreement shall survive the termination of this Agreement and/or the termination of the Executive’s employment to the extent necessary to effectuate the terms contained herein, including but not limited to the Company’s obligation to make severance payments or provide indemnification and the Executive’s obligations to comply with the Continuing Obligations.</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3" w:right="459" w:bottom="1440" w:gutter="0" w:footer="0" w:header="0"/>
        </w:sectPr>
      </w:pPr>
    </w:p>
    <w:bookmarkStart w:id="533" w:name="page534"/>
    <w:bookmarkEnd w:id="533"/>
    <w:p>
      <w:pPr>
        <w:ind w:left="4" w:right="40" w:firstLine="436"/>
        <w:spacing w:after="0" w:line="263" w:lineRule="auto"/>
        <w:tabs>
          <w:tab w:leader="none" w:pos="714" w:val="left"/>
        </w:tabs>
        <w:numPr>
          <w:ilvl w:val="1"/>
          <w:numId w:val="53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Waiver</w:t>
      </w:r>
      <w:r>
        <w:rPr>
          <w:rFonts w:ascii="Arial" w:cs="Arial" w:eastAsia="Arial" w:hAnsi="Arial"/>
          <w:sz w:val="18"/>
          <w:szCs w:val="18"/>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83" w:lineRule="exact"/>
        <w:rPr>
          <w:rFonts w:ascii="Arial" w:cs="Arial" w:eastAsia="Arial" w:hAnsi="Arial"/>
          <w:sz w:val="18"/>
          <w:szCs w:val="18"/>
          <w:color w:val="auto"/>
        </w:rPr>
      </w:pPr>
    </w:p>
    <w:p>
      <w:pPr>
        <w:ind w:left="704" w:hanging="264"/>
        <w:spacing w:after="0"/>
        <w:tabs>
          <w:tab w:leader="none" w:pos="704" w:val="left"/>
        </w:tabs>
        <w:numPr>
          <w:ilvl w:val="1"/>
          <w:numId w:val="534"/>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notices, requests, demands and other communications provided for by this Agreement shall be sufficient if in writing and</w:t>
      </w:r>
    </w:p>
    <w:p>
      <w:pPr>
        <w:spacing w:after="0" w:line="34" w:lineRule="exact"/>
        <w:rPr>
          <w:rFonts w:ascii="Arial" w:cs="Arial" w:eastAsia="Arial" w:hAnsi="Arial"/>
          <w:sz w:val="17"/>
          <w:szCs w:val="17"/>
          <w:color w:val="auto"/>
        </w:rPr>
      </w:pPr>
    </w:p>
    <w:p>
      <w:pPr>
        <w:jc w:val="both"/>
        <w:ind w:left="4" w:right="200" w:hanging="4"/>
        <w:spacing w:after="0" w:line="253" w:lineRule="auto"/>
        <w:tabs>
          <w:tab w:leader="none" w:pos="219" w:val="left"/>
        </w:tabs>
        <w:numPr>
          <w:ilvl w:val="0"/>
          <w:numId w:val="535"/>
        </w:numPr>
        <w:rPr>
          <w:rFonts w:ascii="Arial" w:cs="Arial" w:eastAsia="Arial" w:hAnsi="Arial"/>
          <w:sz w:val="18"/>
          <w:szCs w:val="18"/>
          <w:color w:val="auto"/>
        </w:rPr>
      </w:pPr>
      <w:r>
        <w:rPr>
          <w:rFonts w:ascii="Arial" w:cs="Arial" w:eastAsia="Arial" w:hAnsi="Arial"/>
          <w:sz w:val="18"/>
          <w:szCs w:val="18"/>
          <w:color w:val="auto"/>
        </w:rPr>
        <w:t>delivered in person, (ii)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 or (iii) sent via email to the Executive at the Executive’s Company email address or, in the case of the Company, to the CEO’s Company email address.</w:t>
      </w:r>
    </w:p>
    <w:p>
      <w:pPr>
        <w:spacing w:after="0" w:line="192" w:lineRule="exact"/>
        <w:rPr>
          <w:rFonts w:ascii="Arial" w:cs="Arial" w:eastAsia="Arial" w:hAnsi="Arial"/>
          <w:sz w:val="18"/>
          <w:szCs w:val="18"/>
          <w:color w:val="auto"/>
        </w:rPr>
      </w:pPr>
    </w:p>
    <w:p>
      <w:pPr>
        <w:ind w:left="4" w:right="240" w:firstLine="436"/>
        <w:spacing w:after="0" w:line="277" w:lineRule="auto"/>
        <w:tabs>
          <w:tab w:leader="none" w:pos="714" w:val="left"/>
        </w:tabs>
        <w:numPr>
          <w:ilvl w:val="1"/>
          <w:numId w:val="535"/>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or modified only by a written instrument signed by the Executive and by a duly authorized representative of the Company.</w:t>
      </w:r>
    </w:p>
    <w:p>
      <w:pPr>
        <w:spacing w:after="0" w:line="170" w:lineRule="exact"/>
        <w:rPr>
          <w:rFonts w:ascii="Arial" w:cs="Arial" w:eastAsia="Arial" w:hAnsi="Arial"/>
          <w:sz w:val="18"/>
          <w:szCs w:val="18"/>
          <w:color w:val="auto"/>
        </w:rPr>
      </w:pPr>
    </w:p>
    <w:p>
      <w:pPr>
        <w:ind w:left="4" w:firstLine="436"/>
        <w:spacing w:after="0" w:line="287" w:lineRule="auto"/>
        <w:tabs>
          <w:tab w:leader="none" w:pos="714" w:val="left"/>
        </w:tabs>
        <w:numPr>
          <w:ilvl w:val="1"/>
          <w:numId w:val="535"/>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The Company will (i) indemnify the Executive with respect to claims arising out of any action taken or not taken in Executive’s capacity as an officer or employee of the Company or its subsidiaries; provided, that the Executive acted in good faith and in a manner that Executive reasonably believed to be in or not opposed to the best interests of the Company and, with respect to any criminal action or proceeding, had no reasonable cause to believe that Executive’s conduct was unlawful, (ii) advance to the Executive all reasonable and documented out of pocket costs and expenses incurred by the Executive in connection with the foregoing clause (i), including but not limited to attorneys’ fees, and (iii) provide for the Executive to be covered by D&amp;O insurance, with respect to clauses (i) and (ii), on the same terms as are made available to the CEO and/or members of the Board, as applicable; provided that, this Agreement constitutes an undertaking that amounts advanced under clause (ii) shall be promptly repaid to the Company by the Executive if it shall ultimately be determined that the Executive is not entitled to be indemnified by the Company pursuant to this Section 19. Nothing herein shall limit any right that the Executive may have in respect of indemnification, advancement or liability insurance coverage under any other policy, plan, contract or arrangement of the Company or its subsidiaries or under applicable law with respect to his or her services as an officer or employee for the Company or its subsidiaries, and the Company shall not change any right to such indemnification or advancement with respect to the Executive after his or her termination of employment.</w:t>
      </w:r>
    </w:p>
    <w:p>
      <w:pPr>
        <w:spacing w:after="0" w:line="167" w:lineRule="exact"/>
        <w:rPr>
          <w:rFonts w:ascii="Arial" w:cs="Arial" w:eastAsia="Arial" w:hAnsi="Arial"/>
          <w:sz w:val="16"/>
          <w:szCs w:val="16"/>
          <w:color w:val="auto"/>
        </w:rPr>
      </w:pPr>
    </w:p>
    <w:p>
      <w:pPr>
        <w:ind w:left="4" w:right="260" w:firstLine="436"/>
        <w:spacing w:after="0" w:line="301" w:lineRule="auto"/>
        <w:tabs>
          <w:tab w:leader="none" w:pos="714" w:val="left"/>
        </w:tabs>
        <w:numPr>
          <w:ilvl w:val="1"/>
          <w:numId w:val="535"/>
        </w:numPr>
        <w:rPr>
          <w:rFonts w:ascii="Arial" w:cs="Arial" w:eastAsia="Arial" w:hAnsi="Arial"/>
          <w:sz w:val="16"/>
          <w:szCs w:val="16"/>
          <w:color w:val="auto"/>
        </w:rPr>
      </w:pPr>
      <w:r>
        <w:rPr>
          <w:rFonts w:ascii="Arial" w:cs="Arial" w:eastAsia="Arial" w:hAnsi="Arial"/>
          <w:sz w:val="16"/>
          <w:szCs w:val="16"/>
          <w:u w:val="single" w:color="auto"/>
          <w:color w:val="auto"/>
        </w:rPr>
        <w:t>No Mitigation; Offset</w:t>
      </w:r>
      <w:r>
        <w:rPr>
          <w:rFonts w:ascii="Arial" w:cs="Arial" w:eastAsia="Arial" w:hAnsi="Arial"/>
          <w:sz w:val="16"/>
          <w:szCs w:val="16"/>
          <w:color w:val="auto"/>
        </w:rPr>
        <w:t>. In the event of any termination of employment and service hereunder, the Executive shall be under no obligation to seek other employment, and there shall be no offset against any amounts due Executive under this Agreement on account of any remuneration attributable to any subsequent employment that Executive may obtain. The preceding sentence shall not limit the Company’s right to enforce the termination provisions set forth in Section 4 above or the repayment or recoupment provisions in Section 22(d) and Section 23 below.</w:t>
      </w:r>
    </w:p>
    <w:p>
      <w:pPr>
        <w:spacing w:after="0" w:line="90"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4"/>
          </w:cols>
          <w:pgMar w:left="436" w:top="273" w:right="539" w:bottom="1440" w:gutter="0" w:footer="0" w:header="0"/>
        </w:sectPr>
      </w:pPr>
    </w:p>
    <w:bookmarkStart w:id="534" w:name="page535"/>
    <w:bookmarkEnd w:id="534"/>
    <w:p>
      <w:pPr>
        <w:ind w:left="-20" w:right="120" w:firstLine="436"/>
        <w:spacing w:after="0" w:line="270" w:lineRule="auto"/>
        <w:tabs>
          <w:tab w:leader="none" w:pos="690" w:val="left"/>
        </w:tabs>
        <w:numPr>
          <w:ilvl w:val="0"/>
          <w:numId w:val="53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 on Other Plans and Agreements</w:t>
      </w:r>
      <w:r>
        <w:rPr>
          <w:rFonts w:ascii="Arial" w:cs="Arial" w:eastAsia="Arial" w:hAnsi="Arial"/>
          <w:sz w:val="17"/>
          <w:szCs w:val="17"/>
          <w:color w:val="auto"/>
        </w:rPr>
        <w:t>. An election by the Executive to resign for Good Reason under the provisions of this Agreement shall not be deemed a voluntary termination of employment by the Executive for the purpose of interpreting the provisions of any of the Company’s benefit plans, programs or policies. Nothing in this Agreement shall be construed to limit the rights of the Executive under the Company’s benefit plans, programs or policies except to the extent specifically provided in Section 7 hereof, and except that the Executive shall have no rights to continue any severance benefits under any Company severance pay plan, offer letter or otherwise. Except for the Restrictive Covenants Agreement, in the event that the Executive is party to an agreement with the Company providing for payments or benefits under such plan or agreement and under this Agreement, the terms of this Agreement shall govern and the Executive may receive payment under this Agreement only and not both. Further, Section 5 and Section 6 of this Agreement are mutually exclusive and in no event shall the Executive be entitled to cash severance payments or benefits pursuant to both Section 5 and Section 6 of this Agreement.</w:t>
      </w:r>
    </w:p>
    <w:p>
      <w:pPr>
        <w:spacing w:after="0" w:line="180" w:lineRule="exact"/>
        <w:rPr>
          <w:rFonts w:ascii="Arial" w:cs="Arial" w:eastAsia="Arial" w:hAnsi="Arial"/>
          <w:sz w:val="17"/>
          <w:szCs w:val="17"/>
          <w:color w:val="auto"/>
        </w:rPr>
      </w:pPr>
    </w:p>
    <w:p>
      <w:pPr>
        <w:ind w:left="680" w:hanging="264"/>
        <w:spacing w:after="0"/>
        <w:tabs>
          <w:tab w:leader="none" w:pos="680" w:val="left"/>
        </w:tabs>
        <w:numPr>
          <w:ilvl w:val="0"/>
          <w:numId w:val="536"/>
        </w:numPr>
        <w:rPr>
          <w:rFonts w:ascii="Arial" w:cs="Arial" w:eastAsia="Arial" w:hAnsi="Arial"/>
          <w:sz w:val="18"/>
          <w:szCs w:val="18"/>
          <w:color w:val="auto"/>
        </w:rPr>
      </w:pPr>
      <w:r>
        <w:rPr>
          <w:rFonts w:ascii="Arial" w:cs="Arial" w:eastAsia="Arial" w:hAnsi="Arial"/>
          <w:sz w:val="18"/>
          <w:szCs w:val="18"/>
          <w:u w:val="single" w:color="auto"/>
          <w:color w:val="auto"/>
        </w:rPr>
        <w:t>Governing Law; Venue and Enforcement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200" w:firstLine="987"/>
        <w:spacing w:after="0" w:line="259" w:lineRule="auto"/>
        <w:tabs>
          <w:tab w:leader="none" w:pos="1216" w:val="left"/>
        </w:tabs>
        <w:numPr>
          <w:ilvl w:val="1"/>
          <w:numId w:val="536"/>
        </w:numPr>
        <w:rPr>
          <w:rFonts w:ascii="Arial" w:cs="Arial" w:eastAsia="Arial" w:hAnsi="Arial"/>
          <w:sz w:val="18"/>
          <w:szCs w:val="18"/>
          <w:color w:val="auto"/>
        </w:rPr>
      </w:pPr>
      <w:r>
        <w:rPr>
          <w:rFonts w:ascii="Arial" w:cs="Arial" w:eastAsia="Arial" w:hAnsi="Arial"/>
          <w:sz w:val="18"/>
          <w:szCs w:val="18"/>
          <w:color w:val="auto"/>
        </w:rPr>
        <w:t>This Agreement will be governed by and construed in accordance with applicable federal laws and, to the extent not inconsistent therewith or preempted thereby, with the laws of the State of Vermont, including any applicable statutes of limitation, without regard to any otherwise applicable principles of conflicts of laws or choice of law rules (whether of the State of Vermont or any other jurisdiction) that would result in the application of the substantive or procedural rules or law of any other jurisdiction.</w:t>
      </w:r>
    </w:p>
    <w:p>
      <w:pPr>
        <w:spacing w:after="0" w:line="186" w:lineRule="exact"/>
        <w:rPr>
          <w:rFonts w:ascii="Arial" w:cs="Arial" w:eastAsia="Arial" w:hAnsi="Arial"/>
          <w:sz w:val="18"/>
          <w:szCs w:val="18"/>
          <w:color w:val="auto"/>
        </w:rPr>
      </w:pPr>
    </w:p>
    <w:p>
      <w:pPr>
        <w:ind w:left="-20" w:right="140" w:firstLine="987"/>
        <w:spacing w:after="0" w:line="257" w:lineRule="auto"/>
        <w:tabs>
          <w:tab w:leader="none" w:pos="1226" w:val="left"/>
        </w:tabs>
        <w:numPr>
          <w:ilvl w:val="1"/>
          <w:numId w:val="536"/>
        </w:numPr>
        <w:rPr>
          <w:rFonts w:ascii="Arial" w:cs="Arial" w:eastAsia="Arial" w:hAnsi="Arial"/>
          <w:sz w:val="18"/>
          <w:szCs w:val="18"/>
          <w:color w:val="auto"/>
        </w:rPr>
      </w:pPr>
      <w:r>
        <w:rPr>
          <w:rFonts w:ascii="Arial" w:cs="Arial" w:eastAsia="Arial" w:hAnsi="Arial"/>
          <w:sz w:val="18"/>
          <w:szCs w:val="18"/>
          <w:color w:val="auto"/>
        </w:rPr>
        <w:t>Each party agrees that any controversy or claim arising out of or relating to this Agreement or the alleged breach hereof shall be instituted in the United States District Court for the District of Vermont, or if that court does not have or will not accept jurisdiction, in any court of general jurisdiction in the State of Vermont, and Executive and the Company hereby consent to the personal and exclusive jurisdiction of such court(s) and hereby waive any objection(s) that any such party may have to personal jurisdiction, the laying of venue of any such proceedings and any claim or defense of inconvenient forum.</w:t>
      </w:r>
    </w:p>
    <w:p>
      <w:pPr>
        <w:spacing w:after="0" w:line="187" w:lineRule="exact"/>
        <w:rPr>
          <w:rFonts w:ascii="Arial" w:cs="Arial" w:eastAsia="Arial" w:hAnsi="Arial"/>
          <w:sz w:val="18"/>
          <w:szCs w:val="18"/>
          <w:color w:val="auto"/>
        </w:rPr>
      </w:pPr>
    </w:p>
    <w:p>
      <w:pPr>
        <w:ind w:left="-20" w:firstLine="987"/>
        <w:spacing w:after="0" w:line="259" w:lineRule="auto"/>
        <w:tabs>
          <w:tab w:leader="none" w:pos="1216" w:val="left"/>
        </w:tabs>
        <w:numPr>
          <w:ilvl w:val="1"/>
          <w:numId w:val="536"/>
        </w:numPr>
        <w:rPr>
          <w:rFonts w:ascii="Arial" w:cs="Arial" w:eastAsia="Arial" w:hAnsi="Arial"/>
          <w:sz w:val="18"/>
          <w:szCs w:val="18"/>
          <w:color w:val="auto"/>
        </w:rPr>
      </w:pPr>
      <w:r>
        <w:rPr>
          <w:rFonts w:ascii="Arial" w:cs="Arial" w:eastAsia="Arial" w:hAnsi="Arial"/>
          <w:sz w:val="18"/>
          <w:szCs w:val="18"/>
          <w:color w:val="auto"/>
        </w:rPr>
        <w:t>Any award shall be payable to Executive no later than the end of Executive’s first taxable year in which the Company either concede the amount (or portion of the amount) payable or are required to make payment pursuant to a judgment by a court, and shall include interest on any amounts due and payable to Executive from the date due to the date of payment, calculated at one hundred and ten percent (110%) of the base lending in effect at Citibank, N.A. (or any successor thereto) on the first of each month.</w:t>
      </w:r>
    </w:p>
    <w:p>
      <w:pPr>
        <w:spacing w:after="0" w:line="186" w:lineRule="exact"/>
        <w:rPr>
          <w:rFonts w:ascii="Arial" w:cs="Arial" w:eastAsia="Arial" w:hAnsi="Arial"/>
          <w:sz w:val="18"/>
          <w:szCs w:val="18"/>
          <w:color w:val="auto"/>
        </w:rPr>
      </w:pPr>
    </w:p>
    <w:p>
      <w:pPr>
        <w:ind w:left="-20" w:firstLine="987"/>
        <w:spacing w:after="0" w:line="254" w:lineRule="auto"/>
        <w:tabs>
          <w:tab w:leader="none" w:pos="1226" w:val="left"/>
        </w:tabs>
        <w:numPr>
          <w:ilvl w:val="1"/>
          <w:numId w:val="536"/>
        </w:numPr>
        <w:rPr>
          <w:rFonts w:ascii="Arial" w:cs="Arial" w:eastAsia="Arial" w:hAnsi="Arial"/>
          <w:sz w:val="18"/>
          <w:szCs w:val="18"/>
          <w:color w:val="auto"/>
        </w:rPr>
      </w:pPr>
      <w:r>
        <w:rPr>
          <w:rFonts w:ascii="Arial" w:cs="Arial" w:eastAsia="Arial" w:hAnsi="Arial"/>
          <w:sz w:val="18"/>
          <w:szCs w:val="18"/>
          <w:color w:val="auto"/>
        </w:rPr>
        <w:t>If it is necessary or desirable for Executive to retain legal counsel or incur other costs and expenses in connection with the enforcement of any or all of Executive’s rights under this Agreement, the Company shall, within thirty (30) days after receipt of an invoice certifying payment by Executive of such attorney fees, or payment of such other costs and expenses, reimburse Executive’s reasonable attorneys’ fees and costs and such other expenses, including expenses of any expert witnesses, in connection with the enforcement of said rights in an amount not to exceed $100,000; provided, that to the extent (and only to the extent) such expenses are subject to Section 409A, in no event shall any payment of Executive’s fees, costs, and expenses be made after the last day of Executive’s taxable year following the taxable year in which the expense was incurred; provided, further, that Executive shall repay any such advance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460" w:top="273" w:right="479" w:bottom="1440" w:gutter="0" w:footer="0" w:header="0"/>
        </w:sectPr>
      </w:pPr>
    </w:p>
    <w:bookmarkStart w:id="535" w:name="page536"/>
    <w:bookmarkEnd w:id="535"/>
    <w:p>
      <w:pPr>
        <w:ind w:left="4"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fees, costs, and expenses (and no additional advances or reimbursements shall be made) (i) if there is a specific judicial finding that Executive’s request to litigate was frivolous, unreasonable or without foundation; (ii) if it has been finally determined that Executive’s termination of employment for Cause was proper; or (iii) if the Board determines in good faith that as of the date of Executive’s termination of employment and service, grounds for an involuntary termination for Cause had existed.</w:t>
      </w:r>
    </w:p>
    <w:p>
      <w:pPr>
        <w:spacing w:after="0" w:line="187" w:lineRule="exact"/>
        <w:rPr>
          <w:sz w:val="20"/>
          <w:szCs w:val="20"/>
          <w:color w:val="auto"/>
        </w:rPr>
      </w:pPr>
    </w:p>
    <w:p>
      <w:pPr>
        <w:ind w:left="4" w:firstLine="436"/>
        <w:spacing w:after="0" w:line="285" w:lineRule="auto"/>
        <w:tabs>
          <w:tab w:leader="none" w:pos="714" w:val="left"/>
        </w:tabs>
        <w:numPr>
          <w:ilvl w:val="1"/>
          <w:numId w:val="537"/>
        </w:numPr>
        <w:rPr>
          <w:rFonts w:ascii="Arial" w:cs="Arial" w:eastAsia="Arial" w:hAnsi="Arial"/>
          <w:sz w:val="16"/>
          <w:szCs w:val="16"/>
          <w:color w:val="auto"/>
        </w:rPr>
      </w:pPr>
      <w:r>
        <w:rPr>
          <w:rFonts w:ascii="Arial" w:cs="Arial" w:eastAsia="Arial" w:hAnsi="Arial"/>
          <w:sz w:val="16"/>
          <w:szCs w:val="16"/>
          <w:u w:val="single" w:color="auto"/>
          <w:color w:val="auto"/>
        </w:rPr>
        <w:t>Recoupment</w:t>
      </w:r>
      <w:r>
        <w:rPr>
          <w:rFonts w:ascii="Arial" w:cs="Arial" w:eastAsia="Arial" w:hAnsi="Arial"/>
          <w:sz w:val="16"/>
          <w:szCs w:val="16"/>
          <w:color w:val="auto"/>
        </w:rPr>
        <w:t>. Executive shall be required to repay incentive pay to the Company as described in this Section 23, and the Company may offset payments otherwise due and payable under this Agreement by the amounts required to be repaid under this Section 23. Repayment of incentive pay shall be required if, and to the extent that, the Compensation Committee determines, in its sole discretion, that repayment is due on account of a restatement of the Company’s financial statements or otherwise pursuant to any clawback or compensation recoupment policy as may be in effect or amended from time to time) (the “</w:t>
      </w:r>
      <w:r>
        <w:rPr>
          <w:rFonts w:ascii="Arial" w:cs="Arial" w:eastAsia="Arial" w:hAnsi="Arial"/>
          <w:sz w:val="16"/>
          <w:szCs w:val="16"/>
          <w:b w:val="1"/>
          <w:bCs w:val="1"/>
          <w:i w:val="1"/>
          <w:iCs w:val="1"/>
          <w:color w:val="auto"/>
        </w:rPr>
        <w:t>Recoupment Policy</w:t>
      </w:r>
      <w:r>
        <w:rPr>
          <w:rFonts w:ascii="Arial" w:cs="Arial" w:eastAsia="Arial" w:hAnsi="Arial"/>
          <w:sz w:val="16"/>
          <w:szCs w:val="16"/>
          <w:color w:val="auto"/>
        </w:rPr>
        <w:t>”). Where the result of a performance measure was a factor in determining the compensation awarded or paid, but</w:t>
      </w:r>
    </w:p>
    <w:p>
      <w:pPr>
        <w:spacing w:after="0" w:line="1" w:lineRule="exact"/>
        <w:rPr>
          <w:rFonts w:ascii="Arial" w:cs="Arial" w:eastAsia="Arial" w:hAnsi="Arial"/>
          <w:sz w:val="16"/>
          <w:szCs w:val="16"/>
          <w:color w:val="auto"/>
        </w:rPr>
      </w:pPr>
    </w:p>
    <w:p>
      <w:pPr>
        <w:ind w:left="4" w:hanging="4"/>
        <w:spacing w:after="0" w:line="288" w:lineRule="auto"/>
        <w:tabs>
          <w:tab w:leader="none" w:pos="219" w:val="left"/>
        </w:tabs>
        <w:numPr>
          <w:ilvl w:val="0"/>
          <w:numId w:val="538"/>
        </w:numPr>
        <w:rPr>
          <w:rFonts w:ascii="Arial" w:cs="Arial" w:eastAsia="Arial" w:hAnsi="Arial"/>
          <w:sz w:val="16"/>
          <w:szCs w:val="16"/>
          <w:color w:val="auto"/>
        </w:rPr>
      </w:pPr>
      <w:r>
        <w:rPr>
          <w:rFonts w:ascii="Arial" w:cs="Arial" w:eastAsia="Arial" w:hAnsi="Arial"/>
          <w:sz w:val="16"/>
          <w:szCs w:val="16"/>
          <w:color w:val="auto"/>
        </w:rPr>
        <w:t>the subsequently-restated performance measure was not the only factor used to determine the compensation awarded or paid, or (ii) the incentive-based compensation is not awarded or paid on a formulaic basis, the Committee will determine in its discretion the amount, if any, by which the payment or award should be reduced. If the Committee seeks to recover payment of incentive pay as a result of a restatement of the Company’s financial statements or otherwise under the Recoupment Policy, Executive shall pay to the Company, as applicable, (A) all or a portion (as determined by the Committee in its sole discretion) of the amount by which the payment received by Executive exceeds the amount that would have been paid to Executive based on the restated financial statements, or (B) the amount (as determined by the Committee in its sole discretion) to be repaid pursuant to the Recoupment Policy. Nothing in this Section 23 shall preclude the Company (or any other person) from taking any other action.</w:t>
      </w:r>
    </w:p>
    <w:p>
      <w:pPr>
        <w:spacing w:after="0" w:line="168" w:lineRule="exact"/>
        <w:rPr>
          <w:rFonts w:ascii="Arial" w:cs="Arial" w:eastAsia="Arial" w:hAnsi="Arial"/>
          <w:sz w:val="16"/>
          <w:szCs w:val="16"/>
          <w:color w:val="auto"/>
        </w:rPr>
      </w:pPr>
    </w:p>
    <w:p>
      <w:pPr>
        <w:ind w:left="4" w:right="160" w:firstLine="436"/>
        <w:spacing w:after="0" w:line="277" w:lineRule="auto"/>
        <w:tabs>
          <w:tab w:leader="none" w:pos="714" w:val="left"/>
        </w:tabs>
        <w:numPr>
          <w:ilvl w:val="1"/>
          <w:numId w:val="53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when so executed and delivered shall be taken to be an original; but such counterparts shall together constitute one and the same document.</w:t>
      </w:r>
    </w:p>
    <w:p>
      <w:pPr>
        <w:spacing w:after="0" w:line="166" w:lineRule="exact"/>
        <w:rPr>
          <w:rFonts w:ascii="Arial" w:cs="Arial" w:eastAsia="Arial" w:hAnsi="Arial"/>
          <w:sz w:val="18"/>
          <w:szCs w:val="18"/>
          <w:color w:val="auto"/>
        </w:rPr>
      </w:pPr>
    </w:p>
    <w:p>
      <w:pPr>
        <w:ind w:left="704" w:hanging="264"/>
        <w:spacing w:after="0"/>
        <w:tabs>
          <w:tab w:leader="none" w:pos="704" w:val="left"/>
        </w:tabs>
        <w:numPr>
          <w:ilvl w:val="1"/>
          <w:numId w:val="538"/>
        </w:numPr>
        <w:rPr>
          <w:rFonts w:ascii="Arial" w:cs="Arial" w:eastAsia="Arial" w:hAnsi="Arial"/>
          <w:sz w:val="18"/>
          <w:szCs w:val="18"/>
          <w:color w:val="auto"/>
        </w:rPr>
      </w:pPr>
      <w:r>
        <w:rPr>
          <w:rFonts w:ascii="Arial" w:cs="Arial" w:eastAsia="Arial" w:hAnsi="Arial"/>
          <w:sz w:val="18"/>
          <w:szCs w:val="18"/>
          <w:b w:val="1"/>
          <w:bCs w:val="1"/>
          <w:color w:val="auto"/>
        </w:rPr>
        <w:t>Advice of Counsel</w:t>
      </w:r>
      <w:r>
        <w:rPr>
          <w:rFonts w:ascii="Arial" w:cs="Arial" w:eastAsia="Arial" w:hAnsi="Arial"/>
          <w:sz w:val="18"/>
          <w:szCs w:val="18"/>
          <w:color w:val="auto"/>
        </w:rPr>
        <w:t>.</w:t>
      </w:r>
      <w:r>
        <w:rPr>
          <w:rFonts w:ascii="Arial" w:cs="Arial" w:eastAsia="Arial" w:hAnsi="Arial"/>
          <w:sz w:val="18"/>
          <w:szCs w:val="18"/>
          <w:b w:val="1"/>
          <w:bCs w:val="1"/>
          <w:color w:val="auto"/>
        </w:rPr>
        <w:t xml:space="preserve"> I ACKNOWLEDGE THAT, IN EXECUTING THIS AGREEMENT, I HAVE HAD THE RIGHT TO SEEK THE</w:t>
      </w:r>
    </w:p>
    <w:p>
      <w:pPr>
        <w:spacing w:after="0" w:line="27" w:lineRule="exact"/>
        <w:rPr>
          <w:rFonts w:ascii="Arial" w:cs="Arial" w:eastAsia="Arial" w:hAnsi="Arial"/>
          <w:sz w:val="18"/>
          <w:szCs w:val="18"/>
          <w:color w:val="auto"/>
        </w:rPr>
      </w:pPr>
    </w:p>
    <w:p>
      <w:pPr>
        <w:ind w:left="4" w:right="140"/>
        <w:spacing w:after="0" w:line="255" w:lineRule="auto"/>
        <w:rPr>
          <w:rFonts w:ascii="Arial" w:cs="Arial" w:eastAsia="Arial" w:hAnsi="Arial"/>
          <w:sz w:val="18"/>
          <w:szCs w:val="18"/>
          <w:color w:val="auto"/>
        </w:rPr>
      </w:pPr>
      <w:r>
        <w:rPr>
          <w:rFonts w:ascii="Arial" w:cs="Arial" w:eastAsia="Arial" w:hAnsi="Arial"/>
          <w:sz w:val="18"/>
          <w:szCs w:val="18"/>
          <w:b w:val="1"/>
          <w:bCs w:val="1"/>
          <w:color w:val="auto"/>
        </w:rPr>
        <w:t>ADVICE OF INDEPENDENT LEGAL COUNSEL, AND I HAVE READ AND UNDERSTOOD ALL OF THE TERMS AND PROVISIONS OF THIS AGREEMENT. THIS AGREEMENT WILL NOT BE CONSTRUED AGAINST ANY PARTY BY REASON OF THE DRAFTING OR PREPARATION OF THIS AGREEMENT.</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3" w:right="459" w:bottom="1440" w:gutter="0" w:footer="0" w:header="0"/>
        </w:sectPr>
      </w:pPr>
    </w:p>
    <w:bookmarkStart w:id="536" w:name="page537"/>
    <w:bookmarkEnd w:id="5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effective on the Effective Date.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ADAGIO THERAPEUTICS,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4081145</wp:posOffset>
            </wp:positionH>
            <wp:positionV relativeFrom="paragraph">
              <wp:posOffset>14605</wp:posOffset>
            </wp:positionV>
            <wp:extent cx="263144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3">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24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EXECUTIVE</w:t>
      </w:r>
    </w:p>
    <w:p>
      <w:pPr>
        <w:spacing w:after="0" w:line="200" w:lineRule="exact"/>
        <w:rPr>
          <w:sz w:val="20"/>
          <w:szCs w:val="20"/>
          <w:color w:val="auto"/>
        </w:rPr>
      </w:pPr>
    </w:p>
    <w:p>
      <w:pPr>
        <w:spacing w:after="0" w:line="25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Rebecca Dabora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-130175</wp:posOffset>
            </wp:positionV>
            <wp:extent cx="279463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5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9579"/>
          </w:cols>
          <w:pgMar w:left="880" w:top="273" w:right="1440" w:bottom="1440" w:gutter="0" w:footer="0" w:header="0"/>
        </w:sectPr>
      </w:pPr>
    </w:p>
    <w:bookmarkStart w:id="537" w:name="page538"/>
    <w:bookmarkEnd w:id="537"/>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Outside Activities</w:t>
      </w:r>
    </w:p>
    <w:p>
      <w:pPr>
        <w:sectPr>
          <w:pgSz w:w="11900" w:h="16838" w:orient="portrait"/>
          <w:cols w:equalWidth="0" w:num="1">
            <w:col w:w="9019"/>
          </w:cols>
          <w:pgMar w:left="1440" w:top="269" w:right="1440" w:bottom="1440" w:gutter="0" w:footer="0" w:header="0"/>
        </w:sectPr>
      </w:pPr>
    </w:p>
    <w:bookmarkStart w:id="538" w:name="page539"/>
    <w:bookmarkEnd w:id="53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B</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SEPARATION AGREEMENT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[Address]</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 Separation Agreement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[Name]:</w:t>
      </w:r>
    </w:p>
    <w:p>
      <w:pPr>
        <w:spacing w:after="0" w:line="117"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This letter sets forth the substance of the separation agreement (the “Agreement”) which Adagio Therapeutics, Inc. (the “Company”) is offering to you to aid in your employment transition.</w:t>
      </w:r>
    </w:p>
    <w:p>
      <w:pPr>
        <w:spacing w:after="0" w:line="166" w:lineRule="exact"/>
        <w:rPr>
          <w:sz w:val="20"/>
          <w:szCs w:val="20"/>
          <w:color w:val="auto"/>
        </w:rPr>
      </w:pPr>
    </w:p>
    <w:p>
      <w:pPr>
        <w:ind w:left="184" w:hanging="184"/>
        <w:spacing w:after="0"/>
        <w:tabs>
          <w:tab w:leader="none" w:pos="184" w:val="left"/>
        </w:tabs>
        <w:numPr>
          <w:ilvl w:val="0"/>
          <w:numId w:val="5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Separation. </w:t>
      </w:r>
      <w:r>
        <w:rPr>
          <w:rFonts w:ascii="Arial" w:cs="Arial" w:eastAsia="Arial" w:hAnsi="Arial"/>
          <w:sz w:val="18"/>
          <w:szCs w:val="18"/>
          <w:color w:val="auto"/>
        </w:rPr>
        <w:t>Your last day of work with the Company and your employment termination date will be [Date] (the “Separation Date”).</w:t>
      </w:r>
    </w:p>
    <w:p>
      <w:pPr>
        <w:spacing w:after="0" w:line="225" w:lineRule="exact"/>
        <w:rPr>
          <w:rFonts w:ascii="Arial" w:cs="Arial" w:eastAsia="Arial" w:hAnsi="Arial"/>
          <w:sz w:val="18"/>
          <w:szCs w:val="18"/>
          <w:b w:val="1"/>
          <w:bCs w:val="1"/>
          <w:color w:val="auto"/>
        </w:rPr>
      </w:pPr>
    </w:p>
    <w:p>
      <w:pPr>
        <w:ind w:left="4" w:right="540" w:hanging="4"/>
        <w:spacing w:after="0" w:line="312" w:lineRule="auto"/>
        <w:tabs>
          <w:tab w:leader="none" w:pos="184" w:val="left"/>
        </w:tabs>
        <w:numPr>
          <w:ilvl w:val="0"/>
          <w:numId w:val="53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Accrued Salary. </w:t>
      </w:r>
      <w:r>
        <w:rPr>
          <w:rFonts w:ascii="Arial" w:cs="Arial" w:eastAsia="Arial" w:hAnsi="Arial"/>
          <w:sz w:val="17"/>
          <w:szCs w:val="17"/>
          <w:color w:val="auto"/>
        </w:rPr>
        <w:t>On the Separation Date, the Company will pay you all accrued salary earned through the Separation Date, subject to standard</w:t>
      </w:r>
      <w:r>
        <w:rPr>
          <w:rFonts w:ascii="Arial" w:cs="Arial" w:eastAsia="Arial" w:hAnsi="Arial"/>
          <w:sz w:val="17"/>
          <w:szCs w:val="17"/>
          <w:b w:val="1"/>
          <w:bCs w:val="1"/>
          <w:color w:val="auto"/>
        </w:rPr>
        <w:t xml:space="preserve"> </w:t>
      </w:r>
      <w:r>
        <w:rPr>
          <w:rFonts w:ascii="Arial" w:cs="Arial" w:eastAsia="Arial" w:hAnsi="Arial"/>
          <w:sz w:val="17"/>
          <w:szCs w:val="17"/>
          <w:color w:val="auto"/>
        </w:rPr>
        <w:t>payroll deductions and withholdings. You will receive these payments regardless of whether or not you sign this Agreement.</w:t>
      </w:r>
    </w:p>
    <w:p>
      <w:pPr>
        <w:spacing w:after="0" w:line="139" w:lineRule="exact"/>
        <w:rPr>
          <w:rFonts w:ascii="Arial" w:cs="Arial" w:eastAsia="Arial" w:hAnsi="Arial"/>
          <w:sz w:val="17"/>
          <w:szCs w:val="17"/>
          <w:b w:val="1"/>
          <w:bCs w:val="1"/>
          <w:color w:val="auto"/>
        </w:rPr>
      </w:pPr>
    </w:p>
    <w:p>
      <w:pPr>
        <w:ind w:left="4" w:right="20" w:hanging="4"/>
        <w:spacing w:after="0" w:line="282" w:lineRule="auto"/>
        <w:tabs>
          <w:tab w:leader="none" w:pos="184" w:val="left"/>
        </w:tabs>
        <w:numPr>
          <w:ilvl w:val="0"/>
          <w:numId w:val="5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Severance Benefits. </w:t>
      </w:r>
      <w:r>
        <w:rPr>
          <w:rFonts w:ascii="Arial" w:cs="Arial" w:eastAsia="Arial" w:hAnsi="Arial"/>
          <w:sz w:val="18"/>
          <w:szCs w:val="18"/>
          <w:color w:val="auto"/>
        </w:rPr>
        <w:t>If you execute and do not revoke this Agreement, the Company will provide you with the following Severance Benefits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terms of your [month, date, year] Employment Agreement.</w:t>
      </w:r>
    </w:p>
    <w:p>
      <w:pPr>
        <w:spacing w:after="0" w:line="166"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The Company is offering severance to you in reliance on Treasury Regulation Section 1.409A-1(b)(9) and the short term deferral exemption in Treasury Regulation Section 1.409A-1(b)(4). Any payments made in reliance on Treasury Regulation Section 1.409A-1(b)(4) will be made not later than March 15, 20__. For purposes of Code Section 409A,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4. Benefit Plans.</w:t>
      </w:r>
    </w:p>
    <w:p>
      <w:pPr>
        <w:spacing w:after="0" w:line="229" w:lineRule="exact"/>
        <w:rPr>
          <w:sz w:val="20"/>
          <w:szCs w:val="20"/>
          <w:color w:val="auto"/>
        </w:rPr>
      </w:pPr>
    </w:p>
    <w:p>
      <w:pPr>
        <w:ind w:left="4" w:right="60"/>
        <w:spacing w:after="0" w:line="301" w:lineRule="auto"/>
        <w:rPr>
          <w:sz w:val="20"/>
          <w:szCs w:val="20"/>
          <w:color w:val="auto"/>
        </w:rPr>
      </w:pPr>
      <w:r>
        <w:rPr>
          <w:rFonts w:ascii="Arial" w:cs="Arial" w:eastAsia="Arial" w:hAnsi="Arial"/>
          <w:sz w:val="16"/>
          <w:szCs w:val="16"/>
          <w:color w:val="auto"/>
        </w:rPr>
        <w:t xml:space="preserve">If you are currently participating in the Company’s group health insurance plans, your participation as an employee will end on [the Separation Date] </w:t>
      </w:r>
      <w:r>
        <w:rPr>
          <w:rFonts w:ascii="Arial" w:cs="Arial" w:eastAsia="Arial" w:hAnsi="Arial"/>
          <w:sz w:val="16"/>
          <w:szCs w:val="16"/>
          <w:i w:val="1"/>
          <w:iCs w:val="1"/>
          <w:color w:val="auto"/>
        </w:rPr>
        <w:t>or</w:t>
      </w:r>
      <w:r>
        <w:rPr>
          <w:rFonts w:ascii="Arial" w:cs="Arial" w:eastAsia="Arial" w:hAnsi="Arial"/>
          <w:sz w:val="16"/>
          <w:szCs w:val="16"/>
          <w:color w:val="auto"/>
        </w:rPr>
        <w:t xml:space="preserve"> [the last day of the month in which separation occurs]. Thereafter, to the extent provided by the federal COBRA law or, if applicable, state insurance laws, and by the Company’s current group health insurance policies, you will be eligible to continue your group health insurance benefits at your own expense. Later, you may be able to convert to an individual policy through the provider of the Company’s health insurance, if you wish.</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69" w:right="459" w:bottom="1440" w:gutter="0" w:footer="0" w:header="0"/>
        </w:sectPr>
      </w:pPr>
    </w:p>
    <w:bookmarkStart w:id="539" w:name="page540"/>
    <w:bookmarkEnd w:id="539"/>
    <w:p>
      <w:pPr>
        <w:ind w:left="4" w:right="7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Deductions for the 401(k) Plan will end with your last regular paycheck. You will receive information by mail concerning 401(k) plan rollover procedures should you be a participant in this program.</w:t>
      </w:r>
    </w:p>
    <w:p>
      <w:pPr>
        <w:spacing w:after="0" w:line="170"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You may be eligible for unemployment insurance benefits after the Separation Date. The Massachusetts Department of Unemployment Assistance, not the Company, will determine your eligibility for such benefits.</w:t>
      </w:r>
    </w:p>
    <w:p>
      <w:pPr>
        <w:spacing w:after="0" w:line="166" w:lineRule="exact"/>
        <w:rPr>
          <w:sz w:val="20"/>
          <w:szCs w:val="20"/>
          <w:color w:val="auto"/>
        </w:rPr>
      </w:pPr>
    </w:p>
    <w:p>
      <w:pPr>
        <w:ind w:left="4" w:right="60" w:hanging="4"/>
        <w:spacing w:after="0" w:line="347" w:lineRule="auto"/>
        <w:tabs>
          <w:tab w:leader="none" w:pos="184" w:val="left"/>
        </w:tabs>
        <w:numPr>
          <w:ilvl w:val="0"/>
          <w:numId w:val="5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 Options. </w:t>
      </w:r>
      <w:r>
        <w:rPr>
          <w:rFonts w:ascii="Arial" w:cs="Arial" w:eastAsia="Arial" w:hAnsi="Arial"/>
          <w:sz w:val="16"/>
          <w:szCs w:val="16"/>
          <w:color w:val="auto"/>
        </w:rPr>
        <w:t>You were granted an option to purchase ________ shares of the Company’s common stock, pursuant to the Company’s [correct name</w:t>
      </w:r>
      <w:r>
        <w:rPr>
          <w:rFonts w:ascii="Arial" w:cs="Arial" w:eastAsia="Arial" w:hAnsi="Arial"/>
          <w:sz w:val="16"/>
          <w:szCs w:val="16"/>
          <w:b w:val="1"/>
          <w:bCs w:val="1"/>
          <w:color w:val="auto"/>
        </w:rPr>
        <w:t xml:space="preserve"> </w:t>
      </w:r>
      <w:r>
        <w:rPr>
          <w:rFonts w:ascii="Arial" w:cs="Arial" w:eastAsia="Arial" w:hAnsi="Arial"/>
          <w:sz w:val="16"/>
          <w:szCs w:val="16"/>
          <w:color w:val="auto"/>
        </w:rPr>
        <w:t>of Stock or incentive plan] (the “Plan”). Under the terms of the Plan and your stock option grant, vesting will cease as of the Separation Date.</w:t>
      </w:r>
    </w:p>
    <w:p>
      <w:pPr>
        <w:spacing w:after="0" w:line="115" w:lineRule="exact"/>
        <w:rPr>
          <w:rFonts w:ascii="Arial" w:cs="Arial" w:eastAsia="Arial" w:hAnsi="Arial"/>
          <w:sz w:val="16"/>
          <w:szCs w:val="16"/>
          <w:b w:val="1"/>
          <w:bCs w:val="1"/>
          <w:color w:val="auto"/>
        </w:rPr>
      </w:pPr>
    </w:p>
    <w:p>
      <w:pPr>
        <w:ind w:left="4" w:right="560" w:hanging="4"/>
        <w:spacing w:after="0" w:line="282" w:lineRule="auto"/>
        <w:tabs>
          <w:tab w:leader="none" w:pos="184" w:val="left"/>
        </w:tabs>
        <w:numPr>
          <w:ilvl w:val="0"/>
          <w:numId w:val="5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Compensation or Benefits. </w:t>
      </w:r>
      <w:r>
        <w:rPr>
          <w:rFonts w:ascii="Arial" w:cs="Arial" w:eastAsia="Arial" w:hAnsi="Arial"/>
          <w:sz w:val="18"/>
          <w:szCs w:val="18"/>
          <w:color w:val="auto"/>
        </w:rPr>
        <w:t>You acknowledge that, except as expressly provided in this Agreement, you will not receive any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severance or benefits after the Separation Date.</w:t>
      </w:r>
    </w:p>
    <w:p>
      <w:pPr>
        <w:spacing w:after="0" w:line="161" w:lineRule="exact"/>
        <w:rPr>
          <w:rFonts w:ascii="Arial" w:cs="Arial" w:eastAsia="Arial" w:hAnsi="Arial"/>
          <w:sz w:val="18"/>
          <w:szCs w:val="18"/>
          <w:b w:val="1"/>
          <w:bCs w:val="1"/>
          <w:color w:val="auto"/>
        </w:rPr>
      </w:pPr>
    </w:p>
    <w:p>
      <w:pPr>
        <w:ind w:left="4" w:right="420" w:hanging="4"/>
        <w:spacing w:after="0" w:line="266" w:lineRule="auto"/>
        <w:tabs>
          <w:tab w:leader="none" w:pos="184" w:val="left"/>
        </w:tabs>
        <w:numPr>
          <w:ilvl w:val="0"/>
          <w:numId w:val="5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Expense Reimbursements. </w:t>
      </w:r>
      <w:r>
        <w:rPr>
          <w:rFonts w:ascii="Arial" w:cs="Arial" w:eastAsia="Arial" w:hAnsi="Arial"/>
          <w:sz w:val="18"/>
          <w:szCs w:val="18"/>
          <w:color w:val="auto"/>
        </w:rPr>
        <w:t>You agree that, within ten (10) days of the Separation Date, you will submit your final documented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reimbursement statement reflecting all business expenses you incurred through the Separation Date, if any, for which you seek reimbursement. The Company will reimburse you for reasonable business expenses pursuant to its regular business practice.</w:t>
      </w:r>
    </w:p>
    <w:p>
      <w:pPr>
        <w:spacing w:after="0" w:line="175" w:lineRule="exact"/>
        <w:rPr>
          <w:rFonts w:ascii="Arial" w:cs="Arial" w:eastAsia="Arial" w:hAnsi="Arial"/>
          <w:sz w:val="18"/>
          <w:szCs w:val="18"/>
          <w:b w:val="1"/>
          <w:bCs w:val="1"/>
          <w:color w:val="auto"/>
        </w:rPr>
      </w:pPr>
    </w:p>
    <w:p>
      <w:pPr>
        <w:ind w:left="4" w:right="300" w:hanging="4"/>
        <w:spacing w:after="0" w:line="294" w:lineRule="auto"/>
        <w:tabs>
          <w:tab w:leader="none" w:pos="184" w:val="left"/>
        </w:tabs>
        <w:numPr>
          <w:ilvl w:val="0"/>
          <w:numId w:val="5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Return of Company Property. </w:t>
      </w:r>
      <w:r>
        <w:rPr>
          <w:rFonts w:ascii="Arial" w:cs="Arial" w:eastAsia="Arial" w:hAnsi="Arial"/>
          <w:sz w:val="16"/>
          <w:szCs w:val="16"/>
          <w:color w:val="auto"/>
        </w:rPr>
        <w:t>By the Separation Date, you agree to return to the Company all Company documents (and all copies thereof)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Company property that you have had in your possession at any time, including, but not limited to, Company files, notes, drawings, records, business plans and forecasts, financial information, specifications, computer-recorded information, tangible property (including, but not limited to, computers), credit cards, entry cards, identification badges and keys; and, any materials of any kind that contain or embody any proprietary or confidential information of the Company (and all reproductions thereof). Please coordinate return of Company property with [name/title]. </w:t>
      </w:r>
      <w:r>
        <w:rPr>
          <w:rFonts w:ascii="Arial" w:cs="Arial" w:eastAsia="Arial" w:hAnsi="Arial"/>
          <w:sz w:val="16"/>
          <w:szCs w:val="16"/>
          <w:b w:val="1"/>
          <w:bCs w:val="1"/>
          <w:color w:val="auto"/>
        </w:rPr>
        <w:t>Receipt of</w:t>
      </w:r>
      <w:r>
        <w:rPr>
          <w:rFonts w:ascii="Arial" w:cs="Arial" w:eastAsia="Arial" w:hAnsi="Arial"/>
          <w:sz w:val="16"/>
          <w:szCs w:val="16"/>
          <w:color w:val="auto"/>
        </w:rPr>
        <w:t xml:space="preserve"> </w:t>
      </w:r>
      <w:r>
        <w:rPr>
          <w:rFonts w:ascii="Arial" w:cs="Arial" w:eastAsia="Arial" w:hAnsi="Arial"/>
          <w:sz w:val="16"/>
          <w:szCs w:val="16"/>
          <w:b w:val="1"/>
          <w:bCs w:val="1"/>
          <w:color w:val="auto"/>
        </w:rPr>
        <w:t>the severance benefits described in Section 3 of this Agreement is expressly conditioned upon return of all Company Property.</w:t>
      </w:r>
    </w:p>
    <w:p>
      <w:pPr>
        <w:spacing w:after="0" w:line="159" w:lineRule="exact"/>
        <w:rPr>
          <w:rFonts w:ascii="Arial" w:cs="Arial" w:eastAsia="Arial" w:hAnsi="Arial"/>
          <w:sz w:val="16"/>
          <w:szCs w:val="16"/>
          <w:b w:val="1"/>
          <w:bCs w:val="1"/>
          <w:color w:val="auto"/>
        </w:rPr>
      </w:pPr>
    </w:p>
    <w:p>
      <w:pPr>
        <w:ind w:left="4" w:hanging="4"/>
        <w:spacing w:after="0" w:line="271" w:lineRule="auto"/>
        <w:tabs>
          <w:tab w:leader="none" w:pos="184" w:val="left"/>
        </w:tabs>
        <w:numPr>
          <w:ilvl w:val="0"/>
          <w:numId w:val="54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Confidential Information and Post-Termination Obligations. </w:t>
      </w:r>
      <w:r>
        <w:rPr>
          <w:rFonts w:ascii="Arial" w:cs="Arial" w:eastAsia="Arial" w:hAnsi="Arial"/>
          <w:sz w:val="17"/>
          <w:szCs w:val="17"/>
          <w:color w:val="auto"/>
        </w:rPr>
        <w:t>Both during and after your employment you acknowledge your continuing</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under your Employee Proprietary Information and Inventions Assignment Agreement (“Restrictive Covenants Agreement”) not to use or disclose any confidential or proprietary information of the Company and to refrain from certain solicitation activities. A copy of your Restrictive Covenants Agreement is attached hereto. If you have any doubts as to the scope of the restrictions in your agreement, you should contact [name/title] immediately to assess your compliance. As you know, the Company will enforce its contract rights. Please familiarize yourself with the enclosed agreement which you signed. Confidential information that is also a “trade secret,” as defined by law, may be disclosed (A) if it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in the event that you file a lawsuit for</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4"/>
          </w:cols>
          <w:pgMar w:left="436" w:top="273" w:right="439" w:bottom="1440" w:gutter="0" w:footer="0" w:header="0"/>
        </w:sectPr>
      </w:pPr>
    </w:p>
    <w:bookmarkStart w:id="540" w:name="page541"/>
    <w:bookmarkEnd w:id="540"/>
    <w:p>
      <w:pPr>
        <w:ind w:left="4"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retaliation by the Company for reporting a suspected violation of law, you may disclose the trade secret to your attorney and use the trade secret information in the court proceeding, if you: (A) file any document containing the trade secret under seal; and (B) do not disclose the trade secret, except pursuant to court order.</w:t>
      </w:r>
    </w:p>
    <w:p>
      <w:pPr>
        <w:spacing w:after="0" w:line="180" w:lineRule="exact"/>
        <w:rPr>
          <w:sz w:val="20"/>
          <w:szCs w:val="20"/>
          <w:color w:val="auto"/>
        </w:rPr>
      </w:pPr>
    </w:p>
    <w:p>
      <w:pPr>
        <w:ind w:left="4" w:right="60" w:hanging="4"/>
        <w:spacing w:after="0" w:line="271" w:lineRule="auto"/>
        <w:tabs>
          <w:tab w:leader="none" w:pos="274" w:val="left"/>
        </w:tabs>
        <w:numPr>
          <w:ilvl w:val="0"/>
          <w:numId w:val="5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Non-Compete. </w:t>
      </w:r>
      <w:r>
        <w:rPr>
          <w:rFonts w:ascii="Arial" w:cs="Arial" w:eastAsia="Arial" w:hAnsi="Arial"/>
          <w:sz w:val="17"/>
          <w:szCs w:val="17"/>
          <w:color w:val="auto"/>
        </w:rPr>
        <w:t>In exchange for the payments and other consideration under this Agreement, to which you would not otherwise be entitled, you</w:t>
      </w:r>
      <w:r>
        <w:rPr>
          <w:rFonts w:ascii="Arial" w:cs="Arial" w:eastAsia="Arial" w:hAnsi="Arial"/>
          <w:sz w:val="17"/>
          <w:szCs w:val="17"/>
          <w:b w:val="1"/>
          <w:bCs w:val="1"/>
          <w:color w:val="auto"/>
        </w:rPr>
        <w:t xml:space="preserve"> </w:t>
      </w:r>
      <w:r>
        <w:rPr>
          <w:rFonts w:ascii="Arial" w:cs="Arial" w:eastAsia="Arial" w:hAnsi="Arial"/>
          <w:sz w:val="17"/>
          <w:szCs w:val="17"/>
          <w:color w:val="auto"/>
        </w:rPr>
        <w:t>agree that during the one year period after the Separation Date, you will not, whether paid or not: (i) serve as a partner, principal, licensor, licensee, employee, consultant, officer, director, manager, agent, affiliate, representative, advisor, promoter, associate, investor, or otherwise for, (ii) directly or indirectly, own, purchase, organize or take preparatory steps for the organization of, or (iii) build, design, finance, acquire, lease, operate, manage, control, invest in, work or consult for or otherwise join, participate in or affiliate yourself with, any business whose business, products or operations are in any respect involved in Conflicting Services (defined below) anywhere in the Restricted Territory (defined below). Should you obtain other employment within 12 months immediately following the Separation Date, you agree to provide written notification to the Company as to the name and address of your new employer, the position that you expect to hold, and a general description of your duties and responsibilities, at least three business days prior to starting such employment.</w:t>
      </w:r>
    </w:p>
    <w:p>
      <w:pPr>
        <w:spacing w:after="0" w:line="177" w:lineRule="exact"/>
        <w:rPr>
          <w:rFonts w:ascii="Arial" w:cs="Arial" w:eastAsia="Arial" w:hAnsi="Arial"/>
          <w:sz w:val="17"/>
          <w:szCs w:val="17"/>
          <w:b w:val="1"/>
          <w:bCs w:val="1"/>
          <w:color w:val="auto"/>
        </w:rPr>
      </w:pPr>
    </w:p>
    <w:p>
      <w:pPr>
        <w:ind w:left="4" w:right="440" w:firstLine="436"/>
        <w:spacing w:after="0" w:line="277" w:lineRule="auto"/>
        <w:tabs>
          <w:tab w:leader="none" w:pos="639" w:val="left"/>
        </w:tabs>
        <w:numPr>
          <w:ilvl w:val="1"/>
          <w:numId w:val="541"/>
        </w:numPr>
        <w:rPr>
          <w:rFonts w:ascii="Arial" w:cs="Arial" w:eastAsia="Arial" w:hAnsi="Arial"/>
          <w:sz w:val="18"/>
          <w:szCs w:val="18"/>
          <w:b w:val="1"/>
          <w:bCs w:val="1"/>
          <w:color w:val="auto"/>
        </w:rPr>
      </w:pPr>
      <w:r>
        <w:rPr>
          <w:rFonts w:ascii="Arial" w:cs="Arial" w:eastAsia="Arial" w:hAnsi="Arial"/>
          <w:sz w:val="18"/>
          <w:szCs w:val="18"/>
          <w:color w:val="auto"/>
        </w:rPr>
        <w:t>The parties agree that for purposes of this Agreement, “Conflicting Services” means any business in which the Company is engaged, or in which the Company has plans to be engaged, or any service that the Company provides or has plans to provide.</w:t>
      </w:r>
    </w:p>
    <w:p>
      <w:pPr>
        <w:spacing w:after="0" w:line="170" w:lineRule="exact"/>
        <w:rPr>
          <w:rFonts w:ascii="Arial" w:cs="Arial" w:eastAsia="Arial" w:hAnsi="Arial"/>
          <w:sz w:val="18"/>
          <w:szCs w:val="18"/>
          <w:b w:val="1"/>
          <w:bCs w:val="1"/>
          <w:color w:val="auto"/>
        </w:rPr>
      </w:pPr>
    </w:p>
    <w:p>
      <w:pPr>
        <w:ind w:left="4" w:firstLine="436"/>
        <w:spacing w:after="0" w:line="308" w:lineRule="auto"/>
        <w:tabs>
          <w:tab w:leader="none" w:pos="649" w:val="left"/>
        </w:tabs>
        <w:numPr>
          <w:ilvl w:val="1"/>
          <w:numId w:val="541"/>
        </w:numPr>
        <w:rPr>
          <w:rFonts w:ascii="Arial" w:cs="Arial" w:eastAsia="Arial" w:hAnsi="Arial"/>
          <w:sz w:val="17"/>
          <w:szCs w:val="17"/>
          <w:b w:val="1"/>
          <w:bCs w:val="1"/>
          <w:color w:val="auto"/>
        </w:rPr>
      </w:pPr>
      <w:r>
        <w:rPr>
          <w:rFonts w:ascii="Arial" w:cs="Arial" w:eastAsia="Arial" w:hAnsi="Arial"/>
          <w:sz w:val="17"/>
          <w:szCs w:val="17"/>
          <w:color w:val="auto"/>
        </w:rPr>
        <w:t>The parties further agree that for purposes of this Agreement, “Restricted Territory” means the geographic areas in which you provided services for the Company or had a material presence or influence, during any time within the last two years prior to the Separation Date.</w:t>
      </w:r>
    </w:p>
    <w:p>
      <w:pPr>
        <w:spacing w:after="0" w:line="142" w:lineRule="exact"/>
        <w:rPr>
          <w:rFonts w:ascii="Arial" w:cs="Arial" w:eastAsia="Arial" w:hAnsi="Arial"/>
          <w:sz w:val="17"/>
          <w:szCs w:val="17"/>
          <w:b w:val="1"/>
          <w:bCs w:val="1"/>
          <w:color w:val="auto"/>
        </w:rPr>
      </w:pPr>
    </w:p>
    <w:p>
      <w:pPr>
        <w:ind w:left="4" w:right="40" w:hanging="4"/>
        <w:spacing w:after="0" w:line="273" w:lineRule="auto"/>
        <w:tabs>
          <w:tab w:leader="none" w:pos="264" w:val="left"/>
        </w:tabs>
        <w:numPr>
          <w:ilvl w:val="0"/>
          <w:numId w:val="5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Confidentiality. </w:t>
      </w:r>
      <w:r>
        <w:rPr>
          <w:rFonts w:ascii="Arial" w:cs="Arial" w:eastAsia="Arial" w:hAnsi="Arial"/>
          <w:sz w:val="17"/>
          <w:szCs w:val="17"/>
          <w:color w:val="auto"/>
        </w:rPr>
        <w:t>The provisions of this Agreement will be held in strictest confidence by you and will not be publicized or disclosed in any manner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whatsoever;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 you may disclose this Agreement to your immediate family; (b) you may disclose this Agreement in confidence to your attorney, accountant, auditor, tax preparer, and financial advisor; and (c) you may disclose this Agreement insofar as such disclosure may be required by law. Notwithstanding the foregoing, nothing in this Agreement shall limit your right to voluntarily communicate with the Equal Employment Opportunity Commission, United States Department of Labor, the National Labor Relations Board, the Securities and Exchange Commission, other federal government agency or similar state or local agency or to discuss the terms and conditions of your employment with others to the extent expressly permitted by Section 7 of the National Labor Relations Act.</w:t>
      </w:r>
    </w:p>
    <w:p>
      <w:pPr>
        <w:spacing w:after="0" w:line="171" w:lineRule="exact"/>
        <w:rPr>
          <w:rFonts w:ascii="Arial" w:cs="Arial" w:eastAsia="Arial" w:hAnsi="Arial"/>
          <w:sz w:val="17"/>
          <w:szCs w:val="17"/>
          <w:b w:val="1"/>
          <w:bCs w:val="1"/>
          <w:color w:val="auto"/>
        </w:rPr>
      </w:pPr>
    </w:p>
    <w:p>
      <w:pPr>
        <w:ind w:left="4" w:right="120" w:hanging="4"/>
        <w:spacing w:after="0" w:line="256" w:lineRule="auto"/>
        <w:tabs>
          <w:tab w:leader="none" w:pos="274" w:val="left"/>
        </w:tabs>
        <w:numPr>
          <w:ilvl w:val="0"/>
          <w:numId w:val="5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Non-Disparagement. </w:t>
      </w:r>
      <w:r>
        <w:rPr>
          <w:rFonts w:ascii="Arial" w:cs="Arial" w:eastAsia="Arial" w:hAnsi="Arial"/>
          <w:sz w:val="18"/>
          <w:szCs w:val="18"/>
          <w:color w:val="auto"/>
        </w:rPr>
        <w:t>You agree not to disparage the Company, and the Company’s attorneys, directors, managers, partners, employees, agents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in any manner likely to be harmful to them or their business, business reputation or personal reputation; provided that you may respond accurately and fully to any question, inquiry or request for information when required by legal process. You further agree that, by no later than the Effective Date, you shall delete or otherwise remove any and all disparaging public comments or statements that you made prior to the Effective Date about or relating to the Company, including, but not limited to, comments in online forums or on websites (including, but not limited to, Facebook, Glassdoor, Yelp, and</w:t>
      </w:r>
    </w:p>
    <w:p>
      <w:pPr>
        <w:spacing w:after="0" w:line="12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4"/>
          </w:cols>
          <w:pgMar w:left="436" w:top="273" w:right="459" w:bottom="1440" w:gutter="0" w:footer="0" w:header="0"/>
        </w:sectPr>
      </w:pPr>
    </w:p>
    <w:bookmarkStart w:id="541" w:name="page542"/>
    <w:bookmarkEnd w:id="541"/>
    <w:p>
      <w:pPr>
        <w:ind w:left="4"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LinkedIn). Notwithstanding the foregoing, nothing in this Agreement shall limit your right to voluntarily communicate with the Equal Employment Opportunity Commission, United States Department of Labor, the National Labor Relations Board, the Securities and Exchange Commission, other federal government agency or similar state or local agency or to discuss the terms and conditions of your employment with others to the extent expressly permitted by Section 7 of the National Labor Relations Act.</w:t>
      </w:r>
    </w:p>
    <w:p>
      <w:pPr>
        <w:spacing w:after="0" w:line="183" w:lineRule="exact"/>
        <w:rPr>
          <w:sz w:val="20"/>
          <w:szCs w:val="20"/>
          <w:color w:val="auto"/>
        </w:rPr>
      </w:pPr>
    </w:p>
    <w:p>
      <w:pPr>
        <w:ind w:left="4" w:right="320" w:hanging="4"/>
        <w:spacing w:after="0" w:line="261" w:lineRule="auto"/>
        <w:tabs>
          <w:tab w:leader="none" w:pos="274" w:val="left"/>
        </w:tabs>
        <w:numPr>
          <w:ilvl w:val="0"/>
          <w:numId w:val="5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Cooperation after Termination. </w:t>
      </w:r>
      <w:r>
        <w:rPr>
          <w:rFonts w:ascii="Arial" w:cs="Arial" w:eastAsia="Arial" w:hAnsi="Arial"/>
          <w:sz w:val="18"/>
          <w:szCs w:val="18"/>
          <w:color w:val="auto"/>
        </w:rPr>
        <w:t>You agree to cooperate fully with the Company in all matters relating to the transition of your work and</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responsibilities on behalf of the Company, including, but not limited to, any present, prior or subsequent relationships and the orderly transfer of any such work and institutional knowledge to such other persons as may be designated by the Company, by making yourself reasonably available during regular business hours.</w:t>
      </w:r>
    </w:p>
    <w:p>
      <w:pPr>
        <w:spacing w:after="0" w:line="179" w:lineRule="exact"/>
        <w:rPr>
          <w:rFonts w:ascii="Arial" w:cs="Arial" w:eastAsia="Arial" w:hAnsi="Arial"/>
          <w:sz w:val="18"/>
          <w:szCs w:val="18"/>
          <w:b w:val="1"/>
          <w:bCs w:val="1"/>
          <w:color w:val="auto"/>
        </w:rPr>
      </w:pPr>
    </w:p>
    <w:p>
      <w:pPr>
        <w:ind w:left="4" w:hanging="4"/>
        <w:spacing w:after="0" w:line="268" w:lineRule="auto"/>
        <w:tabs>
          <w:tab w:leader="none" w:pos="274" w:val="left"/>
        </w:tabs>
        <w:numPr>
          <w:ilvl w:val="0"/>
          <w:numId w:val="54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Release. </w:t>
      </w:r>
      <w:r>
        <w:rPr>
          <w:rFonts w:ascii="Arial" w:cs="Arial" w:eastAsia="Arial" w:hAnsi="Arial"/>
          <w:sz w:val="17"/>
          <w:szCs w:val="17"/>
          <w:color w:val="auto"/>
        </w:rPr>
        <w:t>In exchange for the payments and other consideration under this Agreement, to which you would not otherwise be entitled, and except as</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set forth in this Agreement, you, on behalf of yourself and, to the extent permitted by law, on behalf of your spouse, heirs, executors, administrators, assigns, insurers, attorneys and other persons or entities, acting or purporting to act on your behalf (collectively, the “Employee Parties”), hereby generally and completely release, acquit and forever discharge the Company, its parents and subsidiaries, and its and their officers, directors, managers, partners, agents, representatives, employees, attorneys, shareholders, predecessors, successors, assigns, insurers and affiliates (the “Company Parties”) of and from any and all claims, liabilities, demands, contentions, actions, causes of action, suits, costs, expenses, attorneys’ fees, damages, indemnities, debts, judgments, levies, executions and obligations of every kind and nature, in law, equity, or otherwise, both known and unknown, suspected and unsuspected, disclosed and undisclosed, arising out of or in any way related to agreements, events, acts or conduct at any time prior to and including the execution date of this Agreement, including but not limited to: all such claims and demands directly or indirectly arising out of or in any way connected with your employment with the Company or the termination of that employment; claims or demands related to salary, bonuses, commissions, stock, stock options, or any other ownership interests in the Company, vacation pay, fringe benefits, expense reimbursements, severance pay, or any other form of compensation; claims pursuant to any federal, state or local law, statute, or cause of action; tort law; or contract law (individually a “Claim” and collectively “Claims”). The Claims you are releasing and waiving in this Agreement include, but are not limited to, any and all Claims that any of the Company Parties:</w:t>
      </w:r>
    </w:p>
    <w:p>
      <w:pPr>
        <w:spacing w:after="0" w:line="93" w:lineRule="exact"/>
        <w:rPr>
          <w:rFonts w:ascii="Arial" w:cs="Arial" w:eastAsia="Arial" w:hAnsi="Arial"/>
          <w:sz w:val="17"/>
          <w:szCs w:val="17"/>
          <w:b w:val="1"/>
          <w:bCs w:val="1"/>
          <w:color w:val="auto"/>
        </w:rPr>
      </w:pPr>
    </w:p>
    <w:p>
      <w:pPr>
        <w:ind w:left="964" w:hanging="424"/>
        <w:spacing w:after="0"/>
        <w:tabs>
          <w:tab w:leader="none" w:pos="964" w:val="left"/>
        </w:tabs>
        <w:numPr>
          <w:ilvl w:val="1"/>
          <w:numId w:val="542"/>
        </w:numPr>
        <w:rPr>
          <w:rFonts w:ascii="Arial" w:cs="Arial" w:eastAsia="Arial" w:hAnsi="Arial"/>
          <w:sz w:val="18"/>
          <w:szCs w:val="18"/>
          <w:color w:val="auto"/>
        </w:rPr>
      </w:pPr>
      <w:r>
        <w:rPr>
          <w:rFonts w:ascii="Arial" w:cs="Arial" w:eastAsia="Arial" w:hAnsi="Arial"/>
          <w:sz w:val="18"/>
          <w:szCs w:val="18"/>
          <w:color w:val="auto"/>
        </w:rPr>
        <w:t>has violated its personnel policies, handbooks, contracts of employment, or covenants of good faith and fair dealing;</w:t>
      </w:r>
    </w:p>
    <w:p>
      <w:pPr>
        <w:spacing w:after="0" w:line="130" w:lineRule="exact"/>
        <w:rPr>
          <w:rFonts w:ascii="Arial" w:cs="Arial" w:eastAsia="Arial" w:hAnsi="Arial"/>
          <w:sz w:val="18"/>
          <w:szCs w:val="18"/>
          <w:color w:val="auto"/>
        </w:rPr>
      </w:pPr>
    </w:p>
    <w:p>
      <w:pPr>
        <w:ind w:left="964" w:right="60" w:hanging="424"/>
        <w:spacing w:after="0" w:line="255" w:lineRule="auto"/>
        <w:tabs>
          <w:tab w:leader="none" w:pos="964" w:val="left"/>
        </w:tabs>
        <w:numPr>
          <w:ilvl w:val="1"/>
          <w:numId w:val="542"/>
        </w:numPr>
        <w:rPr>
          <w:rFonts w:ascii="Arial" w:cs="Arial" w:eastAsia="Arial" w:hAnsi="Arial"/>
          <w:sz w:val="18"/>
          <w:szCs w:val="18"/>
          <w:color w:val="auto"/>
        </w:rPr>
      </w:pPr>
      <w:r>
        <w:rPr>
          <w:rFonts w:ascii="Arial" w:cs="Arial" w:eastAsia="Arial" w:hAnsi="Arial"/>
          <w:sz w:val="18"/>
          <w:szCs w:val="18"/>
          <w:color w:val="auto"/>
        </w:rPr>
        <w:t>has discriminated against you on the basis of age, race, color, sex (including sexual harassment), national origin, ancestry, disability, religion, sexual orientation, marital status, parental status, source of income, entitlement to benefits, any union activities or other protected category in violation of any local, state or federal law, constitution, ordinance, or regulation, including but not limited to: Title VII of the Civil Rights Act of 1964, the Civil Rights Act of 1866 (42 U.S.C. 1981), the Civil Rights Act of 1991, the Genetic Information Nondiscrimination Act, Executive Order 11246, which prohibit discrimination based on race, color, national origin, religion, or sex; the Americans with</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3" w:right="459" w:bottom="1440" w:gutter="0" w:footer="0" w:header="0"/>
        </w:sectPr>
      </w:pPr>
    </w:p>
    <w:bookmarkStart w:id="542" w:name="page543"/>
    <w:bookmarkEnd w:id="542"/>
    <w:p>
      <w:pPr>
        <w:ind w:left="980"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Disabilities Act and Sections 503 and 504 of the Rehabilitation Act of 1973, which prohibit discrimination against the disabled, the Age Discrimination in Employment Act (ADEA), which prohibits discrimination based on age, the Older Workers Benefit Protection Act, the National Labor Relations Act, the Lily Ledbetter Fair Pay Act, the anti-retaliation provisions of the Sarbanes-Oxley Act, or any other federal or state law regarding whistleblower retaliation; the Massachusetts Fair Employment Practices Act (M.G.L. c. 151B), the Massachusetts Equal Rights Act, the Massachusetts Equal Pay Act, the Massachusetts Privacy Statute, the Massachusetts Sick Leave Law, the Massachusetts Civil Rights Act, all as amended, and any and all other federal, state or local laws, rules, regulations, constitutions, ordinances or public policies, whether known or unknown, prohibiting employment discrimination;</w:t>
      </w:r>
    </w:p>
    <w:p>
      <w:pPr>
        <w:spacing w:after="0" w:line="72" w:lineRule="exact"/>
        <w:rPr>
          <w:sz w:val="20"/>
          <w:szCs w:val="20"/>
          <w:color w:val="auto"/>
        </w:rPr>
      </w:pPr>
    </w:p>
    <w:p>
      <w:pPr>
        <w:ind w:left="960" w:right="80" w:hanging="424"/>
        <w:spacing w:after="0" w:line="253" w:lineRule="auto"/>
        <w:tabs>
          <w:tab w:leader="none" w:pos="96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has violated any employment statutes, such as the WARN Act, which requires that advance notice be given of certain workforce reductions; the Employee Retirement Income Security Act of 1974 (ERISA) which, among other things, protects employee benefits; the Fair Labor Standards Act of 1938, which regulates wage and hour matters; the National Labor Relations Act, which protects forms of concerted activity; the Family and Medical Leave Act of 1993, which requires employers to provide leaves of absence under certain circumstances; the Fair Credit Reporting Act, the Employee Polygraph Protection Act, the Massachusetts Payment of Wages Act (M.G.L. c. 149 sections 148 and 150), the Massachusetts Overtime regulations (M.G.L. c. 151 sections 1A and 1B), the Massachusetts Meal Break regulations (M.G.L. c. 149 sections 100 and 101), all as amended, and any and all other federal, state or local laws, rules, regulations, constitutions, ordinances or public policies, whether known or unknown relating to employment laws, such as veterans’ reemployment rights laws;</w:t>
      </w:r>
    </w:p>
    <w:p>
      <w:pPr>
        <w:spacing w:after="0" w:line="101" w:lineRule="exact"/>
        <w:rPr>
          <w:rFonts w:ascii="Arial" w:cs="Arial" w:eastAsia="Arial" w:hAnsi="Arial"/>
          <w:sz w:val="18"/>
          <w:szCs w:val="18"/>
          <w:color w:val="auto"/>
        </w:rPr>
      </w:pPr>
    </w:p>
    <w:p>
      <w:pPr>
        <w:ind w:left="960" w:hanging="424"/>
        <w:spacing w:after="0" w:line="272" w:lineRule="auto"/>
        <w:tabs>
          <w:tab w:leader="none" w:pos="960" w:val="left"/>
        </w:tabs>
        <w:numPr>
          <w:ilvl w:val="0"/>
          <w:numId w:val="543"/>
        </w:numPr>
        <w:rPr>
          <w:rFonts w:ascii="Arial" w:cs="Arial" w:eastAsia="Arial" w:hAnsi="Arial"/>
          <w:sz w:val="17"/>
          <w:szCs w:val="17"/>
          <w:color w:val="auto"/>
        </w:rPr>
      </w:pPr>
      <w:r>
        <w:rPr>
          <w:rFonts w:ascii="Arial" w:cs="Arial" w:eastAsia="Arial" w:hAnsi="Arial"/>
          <w:sz w:val="17"/>
          <w:szCs w:val="17"/>
          <w:color w:val="auto"/>
        </w:rPr>
        <w:t>has violated any other laws, such as federal, state, or local laws providing workers’ compensation benefits, restricting an employer’s right to terminate employees, or otherwise regulating employment; any federal, state or local law enforcing express or implied employment contracts or requiring an employer to deal with employees fairly or in good faith; any other federal, state or local laws providing recourse for alleged wrongful discharge, retaliatory discharge, negligent hiring, retention, or supervision, physical or personal injury, emotional distress, assault, battery, false imprisonment, fraud, negligent misrepresentation, defamation, intentional or negligent infliction of emotional distress and/or mental anguish, intentional interference with contract, negligence, detrimental reliance, loss of consortium to you or any member of your family, whistleblowing, and similar or related claims.</w:t>
      </w:r>
    </w:p>
    <w:p>
      <w:pPr>
        <w:spacing w:after="0" w:line="177" w:lineRule="exact"/>
        <w:rPr>
          <w:sz w:val="20"/>
          <w:szCs w:val="20"/>
          <w:color w:val="auto"/>
        </w:rPr>
      </w:pPr>
    </w:p>
    <w:p>
      <w:pPr>
        <w:jc w:val="both"/>
        <w:ind w:right="40"/>
        <w:spacing w:after="0" w:line="301" w:lineRule="auto"/>
        <w:rPr>
          <w:sz w:val="20"/>
          <w:szCs w:val="20"/>
          <w:color w:val="auto"/>
        </w:rPr>
      </w:pPr>
      <w:r>
        <w:rPr>
          <w:rFonts w:ascii="Arial" w:cs="Arial" w:eastAsia="Arial" w:hAnsi="Arial"/>
          <w:sz w:val="16"/>
          <w:szCs w:val="16"/>
          <w:color w:val="auto"/>
        </w:rPr>
        <w:t>Notwithstanding the foregoing, other than events expressly contemplated by this Agreement you do not waive or release rights or Claims that may arise from events that occur after the date this waiver is executed or your right to enforce this Agreement. Also excluded from this Agreement are any Claims which cannot be waived by law, including, without limitation, any rights you may have under applicable workers’ compensation laws and your right, if applicable, to file or participate in an investigative proceeding of any federal, state or local governmental agency.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3" w:right="479" w:bottom="1440" w:gutter="0" w:footer="0" w:header="0"/>
        </w:sectPr>
      </w:pPr>
    </w:p>
    <w:bookmarkStart w:id="543" w:name="page544"/>
    <w:bookmarkEnd w:id="543"/>
    <w:p>
      <w:pPr>
        <w:ind w:left="4"/>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Nothing in this Agreement shall prevent you from filing, cooperating with, or participating in any proceeding or investigation before the Equal Employment Opportunity Commission, United States Department of Labor, the National Labor Relations Board, the Occupational Safety and Health Administration, the Securities and Exchange Commission or any other federal government agency, or similar state or local agency (“Government Agencies”), or exercising any rights pursuant to Section 7 of the National Labor Relations Act. You further understand this Agreement does not limit your ability to voluntarily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you are otherwise waiving, to the fullest extent permitted by law, any and all rights you may have to individual relief based on any Claims that you have released and any rights you have waived by signing this Agreement. If any Claim is not subject to release, to the extent permitted by law, you waive any right or ability to be a class or collective action representative or to otherwise participate in any putative or certified class, collective or multi-party action or proceeding based on such a Claim in which any of the Company Parties is a party. This Agreement does not abrogate your existing rights under any Company benefit plan or any plan or agreement related to equity ownership in the Company; however, it does waive, release and forever discharge Claims existing as of the date you execute this Agreement pursuant to any such plan or agreement.</w:t>
      </w:r>
    </w:p>
    <w:p>
      <w:pPr>
        <w:spacing w:after="0" w:line="170" w:lineRule="exact"/>
        <w:rPr>
          <w:sz w:val="20"/>
          <w:szCs w:val="20"/>
          <w:color w:val="auto"/>
        </w:rPr>
      </w:pPr>
    </w:p>
    <w:p>
      <w:pPr>
        <w:ind w:left="4" w:right="20" w:hanging="4"/>
        <w:spacing w:after="0" w:line="285" w:lineRule="auto"/>
        <w:tabs>
          <w:tab w:leader="none" w:pos="274" w:val="left"/>
        </w:tabs>
        <w:numPr>
          <w:ilvl w:val="0"/>
          <w:numId w:val="54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Your Acknowledgments and Affirmations/ Effective Date of Agreement. </w:t>
      </w:r>
      <w:r>
        <w:rPr>
          <w:rFonts w:ascii="Arial" w:cs="Arial" w:eastAsia="Arial" w:hAnsi="Arial"/>
          <w:sz w:val="16"/>
          <w:szCs w:val="16"/>
          <w:color w:val="auto"/>
        </w:rPr>
        <w:t>You acknowledge that you are knowingly and voluntarily waiving and</w:t>
      </w:r>
      <w:r>
        <w:rPr>
          <w:rFonts w:ascii="Arial" w:cs="Arial" w:eastAsia="Arial" w:hAnsi="Arial"/>
          <w:sz w:val="16"/>
          <w:szCs w:val="16"/>
          <w:b w:val="1"/>
          <w:bCs w:val="1"/>
          <w:color w:val="auto"/>
        </w:rPr>
        <w:t xml:space="preserve"> </w:t>
      </w:r>
      <w:r>
        <w:rPr>
          <w:rFonts w:ascii="Arial" w:cs="Arial" w:eastAsia="Arial" w:hAnsi="Arial"/>
          <w:sz w:val="16"/>
          <w:szCs w:val="16"/>
          <w:color w:val="auto"/>
        </w:rPr>
        <w:t>releasing any and all rights you may have under the ADEA, as amended. You also acknowledge and agree that (i) the consideration given to you in exchange for the waiver and release in this Agreement is in addition to anything of value to which you were already entitled, and (ii) that you have been paid for all time worked, have received all the leave, leaves of absence and leave benefits and protections for which you are eligible, and have not suffered any on-the-job injury for which you have not already filed a Claim. You affirm that all of the decisions of the Company Parties regarding your pay and benefits through the date of your execution of this Agreement were not discriminatory based on age, disability, race, color, sex, religion, national origin or any other classification protected by law. You affirm that you have not filed or caused to be filed, and are not presently a party to, a Claim against any of the Company Parties. You further affirm that you have no known workplace injuries or occupational diseases. You acknowledge and affirm that you have not been retaliated against for reporting any allegation of corporate fraud or other wrongdoing by any of the Company Parties, or for exercising any rights protected by law, including any rights protected by the Fair Labor Standards Act, the Family Medical Leave Act or any related statute or local leave or disability accommodation laws, or any applicable state workers’ compensation law. You further acknowledge and affirm that you have been advised by this writing that: (a) your waiver and release do not apply to any rights or Claims that may arise after the execution date of this Agreement; (b) you have been advised hereby that you have the right to consult with an attorney prior to executing this Agreement; (c) you have been given twenty-one (21) days to consider this Agreement (although you may choose to voluntarily execute this Agreement earlier and if you do you will sign the Consideration Period waiver below); (d) you have seven (7) business days following your execution of this Agreement to revoke this Agreement; and (e) this Agreement shall not be effective until the date upon which the revocation period has expired unexercised (the “Effective Date”), which shall be the eighth business day after this Agreement is executed by you.</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4"/>
          </w:cols>
          <w:pgMar w:left="436" w:top="273" w:right="459" w:bottom="1440" w:gutter="0" w:footer="0" w:header="0"/>
        </w:sectPr>
      </w:pPr>
    </w:p>
    <w:bookmarkStart w:id="544" w:name="page545"/>
    <w:bookmarkEnd w:id="544"/>
    <w:p>
      <w:pPr>
        <w:jc w:val="both"/>
        <w:ind w:left="4" w:right="100" w:hanging="4"/>
        <w:spacing w:after="0" w:line="266" w:lineRule="auto"/>
        <w:tabs>
          <w:tab w:leader="none" w:pos="274" w:val="left"/>
        </w:tabs>
        <w:numPr>
          <w:ilvl w:val="0"/>
          <w:numId w:val="54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Admission. </w:t>
      </w:r>
      <w:r>
        <w:rPr>
          <w:rFonts w:ascii="Arial" w:cs="Arial" w:eastAsia="Arial" w:hAnsi="Arial"/>
          <w:sz w:val="18"/>
          <w:szCs w:val="18"/>
          <w:color w:val="auto"/>
        </w:rPr>
        <w:t>This Agreement does not constitute an admission by the Company of any wrongful action or violation of any federal, state, or local</w:t>
      </w:r>
      <w:r>
        <w:rPr>
          <w:rFonts w:ascii="Arial" w:cs="Arial" w:eastAsia="Arial" w:hAnsi="Arial"/>
          <w:sz w:val="18"/>
          <w:szCs w:val="18"/>
          <w:b w:val="1"/>
          <w:bCs w:val="1"/>
          <w:color w:val="auto"/>
        </w:rPr>
        <w:t xml:space="preserve"> </w:t>
      </w:r>
      <w:r>
        <w:rPr>
          <w:rFonts w:ascii="Arial" w:cs="Arial" w:eastAsia="Arial" w:hAnsi="Arial"/>
          <w:sz w:val="18"/>
          <w:szCs w:val="18"/>
          <w:color w:val="auto"/>
        </w:rPr>
        <w:t>statute, or common law rights, including those relating to the provisions of any law or statute concerning employment actions, or of any other possible or claimed violation of law or rights.</w:t>
      </w:r>
    </w:p>
    <w:p>
      <w:pPr>
        <w:spacing w:after="0" w:line="175" w:lineRule="exact"/>
        <w:rPr>
          <w:rFonts w:ascii="Arial" w:cs="Arial" w:eastAsia="Arial" w:hAnsi="Arial"/>
          <w:sz w:val="18"/>
          <w:szCs w:val="18"/>
          <w:b w:val="1"/>
          <w:bCs w:val="1"/>
          <w:color w:val="auto"/>
        </w:rPr>
      </w:pPr>
    </w:p>
    <w:p>
      <w:pPr>
        <w:ind w:left="4" w:right="20" w:hanging="4"/>
        <w:spacing w:after="0" w:line="254" w:lineRule="auto"/>
        <w:tabs>
          <w:tab w:leader="none" w:pos="274" w:val="left"/>
        </w:tabs>
        <w:numPr>
          <w:ilvl w:val="0"/>
          <w:numId w:val="5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Breach. </w:t>
      </w:r>
      <w:r>
        <w:rPr>
          <w:rFonts w:ascii="Arial" w:cs="Arial" w:eastAsia="Arial" w:hAnsi="Arial"/>
          <w:sz w:val="18"/>
          <w:szCs w:val="18"/>
          <w:color w:val="auto"/>
        </w:rPr>
        <w:t>You agree that upon any breach of this Agreement you will forfeit all amounts paid or owing to you under this Agreement. Further, you</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 that it may be impossible to assess the damages caused by your violation of the terms of Sections 8, 9, 10 and 11 of this Agreement and further agree that any threatened or actual violation or breach of those Sections of this Agreement will constitute immediate and irreparable injury to the Company. You therefore agree that any such breach of this Agreement is a material breach of this Agreement, and, in addition to any and all other damages and remedies available to the Company upon your breach of this Agreement, the Company shall be entitled to an injunction to prevent you from violating or breaching this Agreement. You agree that if the Company is successful in whole or part in any legal or equitable action against you under this Agreement, you agree to pay all of the costs, including reasonable attorneys’ fees, incurred by the Company in enforcing the terms of this Agreement.</w:t>
      </w:r>
    </w:p>
    <w:p>
      <w:pPr>
        <w:spacing w:after="0" w:line="191" w:lineRule="exact"/>
        <w:rPr>
          <w:rFonts w:ascii="Arial" w:cs="Arial" w:eastAsia="Arial" w:hAnsi="Arial"/>
          <w:sz w:val="18"/>
          <w:szCs w:val="18"/>
          <w:b w:val="1"/>
          <w:bCs w:val="1"/>
          <w:color w:val="auto"/>
        </w:rPr>
      </w:pPr>
    </w:p>
    <w:p>
      <w:pPr>
        <w:ind w:left="4" w:right="80" w:hanging="4"/>
        <w:spacing w:after="0" w:line="271" w:lineRule="auto"/>
        <w:tabs>
          <w:tab w:leader="none" w:pos="274" w:val="left"/>
        </w:tabs>
        <w:numPr>
          <w:ilvl w:val="0"/>
          <w:numId w:val="54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Miscellaneous. </w:t>
      </w:r>
      <w:r>
        <w:rPr>
          <w:rFonts w:ascii="Arial" w:cs="Arial" w:eastAsia="Arial" w:hAnsi="Arial"/>
          <w:sz w:val="17"/>
          <w:szCs w:val="17"/>
          <w:color w:val="auto"/>
        </w:rPr>
        <w:t>This Agreement, including any exhibits, constitutes the complete, final and exclusive embodiment of the entire agreement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you and the Company with regard to this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This Agreement will be deemed to have been entered into and will be construed and enforced in accordance with the laws of the Commonwealth of Massachusetts as applied to contracts made and to be performed entirely within Massachusetts.</w:t>
      </w:r>
    </w:p>
    <w:p>
      <w:pPr>
        <w:spacing w:after="0" w:line="177" w:lineRule="exact"/>
        <w:rPr>
          <w:rFonts w:ascii="Arial" w:cs="Arial" w:eastAsia="Arial" w:hAnsi="Arial"/>
          <w:sz w:val="17"/>
          <w:szCs w:val="17"/>
          <w:b w:val="1"/>
          <w:bCs w:val="1"/>
          <w:color w:val="auto"/>
        </w:rPr>
      </w:pPr>
    </w:p>
    <w:p>
      <w:pPr>
        <w:ind w:left="264" w:hanging="264"/>
        <w:spacing w:after="0"/>
        <w:tabs>
          <w:tab w:leader="none" w:pos="264" w:val="left"/>
        </w:tabs>
        <w:numPr>
          <w:ilvl w:val="0"/>
          <w:numId w:val="545"/>
        </w:numPr>
        <w:rPr>
          <w:rFonts w:ascii="Arial" w:cs="Arial" w:eastAsia="Arial" w:hAnsi="Arial"/>
          <w:sz w:val="17"/>
          <w:szCs w:val="17"/>
          <w:b w:val="1"/>
          <w:bCs w:val="1"/>
          <w:color w:val="auto"/>
        </w:rPr>
      </w:pPr>
      <w:r>
        <w:rPr>
          <w:rFonts w:ascii="Arial" w:cs="Arial" w:eastAsia="Arial" w:hAnsi="Arial"/>
          <w:sz w:val="17"/>
          <w:szCs w:val="17"/>
          <w:color w:val="auto"/>
        </w:rPr>
        <w:t>To ensure the rapid and economical resolution of disputes that may arise in connection with your employment with the Company, you and the</w:t>
      </w:r>
    </w:p>
    <w:p>
      <w:pPr>
        <w:spacing w:after="0" w:line="34" w:lineRule="exact"/>
        <w:rPr>
          <w:rFonts w:ascii="Arial" w:cs="Arial" w:eastAsia="Arial" w:hAnsi="Arial"/>
          <w:sz w:val="17"/>
          <w:szCs w:val="17"/>
          <w:b w:val="1"/>
          <w:bCs w:val="1"/>
          <w:color w:val="auto"/>
        </w:rPr>
      </w:pPr>
    </w:p>
    <w:p>
      <w:pPr>
        <w:ind w:left="4"/>
        <w:spacing w:after="0" w:line="281" w:lineRule="auto"/>
        <w:rPr>
          <w:rFonts w:ascii="Arial" w:cs="Arial" w:eastAsia="Arial" w:hAnsi="Arial"/>
          <w:sz w:val="17"/>
          <w:szCs w:val="17"/>
          <w:b w:val="1"/>
          <w:bCs w:val="1"/>
          <w:color w:val="auto"/>
        </w:rPr>
      </w:pPr>
      <w:r>
        <w:rPr>
          <w:rFonts w:ascii="Arial" w:cs="Arial" w:eastAsia="Arial" w:hAnsi="Arial"/>
          <w:sz w:val="16"/>
          <w:szCs w:val="16"/>
          <w:color w:val="auto"/>
        </w:rPr>
        <w:t xml:space="preserve">Company agree that any and all disputes, claims, or causes of action, in law or equity, including but not limited to statutory claims (including, but not limited to, the Massachusetts Antidiscrimination Act, Mass. Gen. Laws ch.151B and the Massachusetts Wage Act, Mass. Gen. Laws ch. 149), arising from or relating to the enforcement, breach, performance, or interpretation of this Agreement, your employment with the Company, or the termination of your employment, shall be resolved, to the fullest extent permitted by law, by final, binding and confidential arbitration conducted by JAMS or its successor, under JAMS’ then applicable rules and procedures for employment disputes (available upon request and also currently available at </w:t>
      </w:r>
      <w:r>
        <w:rPr>
          <w:rFonts w:ascii="Arial" w:cs="Arial" w:eastAsia="Arial" w:hAnsi="Arial"/>
          <w:sz w:val="16"/>
          <w:szCs w:val="16"/>
          <w:u w:val="single" w:color="auto"/>
          <w:color w:val="auto"/>
        </w:rPr>
        <w:t>http://www.jamsadr.com/rules-employment-arbitration/</w:t>
      </w:r>
      <w:r>
        <w:rPr>
          <w:rFonts w:ascii="Arial" w:cs="Arial" w:eastAsia="Arial" w:hAnsi="Arial"/>
          <w:sz w:val="16"/>
          <w:szCs w:val="16"/>
          <w:color w:val="auto"/>
        </w:rPr>
        <w:t xml:space="preserve">). </w:t>
      </w:r>
      <w:r>
        <w:rPr>
          <w:rFonts w:ascii="Arial" w:cs="Arial" w:eastAsia="Arial" w:hAnsi="Arial"/>
          <w:sz w:val="16"/>
          <w:szCs w:val="16"/>
          <w:b w:val="1"/>
          <w:bCs w:val="1"/>
          <w:color w:val="auto"/>
        </w:rPr>
        <w:t>You acknowledge that by agreeing to this arbitration procedure, both you and the</w:t>
      </w:r>
    </w:p>
    <w:p>
      <w:pPr>
        <w:spacing w:after="0" w:line="3" w:lineRule="exact"/>
        <w:rPr>
          <w:rFonts w:ascii="Arial" w:cs="Arial" w:eastAsia="Arial" w:hAnsi="Arial"/>
          <w:sz w:val="17"/>
          <w:szCs w:val="17"/>
          <w:b w:val="1"/>
          <w:bCs w:val="1"/>
          <w:color w:val="auto"/>
        </w:rPr>
      </w:pPr>
    </w:p>
    <w:p>
      <w:pPr>
        <w:ind w:left="4"/>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Company</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4"/>
          </w:cols>
          <w:pgMar w:left="436" w:top="269" w:right="479" w:bottom="1440" w:gutter="0" w:footer="0" w:header="0"/>
        </w:sectPr>
      </w:pPr>
    </w:p>
    <w:bookmarkStart w:id="545" w:name="page546"/>
    <w:bookmarkEnd w:id="545"/>
    <w:p>
      <w:pPr>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waive the right to resolve any such dispute through a trial by jury or judge or administrative proceeding. </w:t>
      </w:r>
      <w:r>
        <w:rPr>
          <w:rFonts w:ascii="Arial" w:cs="Arial" w:eastAsia="Arial" w:hAnsi="Arial"/>
          <w:sz w:val="18"/>
          <w:szCs w:val="18"/>
          <w:color w:val="auto"/>
        </w:rPr>
        <w:t>You will have the right to be represented</w:t>
      </w:r>
      <w:r>
        <w:rPr>
          <w:rFonts w:ascii="Arial" w:cs="Arial" w:eastAsia="Arial" w:hAnsi="Arial"/>
          <w:sz w:val="18"/>
          <w:szCs w:val="18"/>
          <w:b w:val="1"/>
          <w:bCs w:val="1"/>
          <w:color w:val="auto"/>
        </w:rPr>
        <w:t xml:space="preserve"> </w:t>
      </w:r>
      <w:r>
        <w:rPr>
          <w:rFonts w:ascii="Arial" w:cs="Arial" w:eastAsia="Arial" w:hAnsi="Arial"/>
          <w:sz w:val="18"/>
          <w:szCs w:val="18"/>
          <w:color w:val="auto"/>
        </w:rPr>
        <w:t>by legal counsel at any arbitration proceeding.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 Nothing in this Agreement is intended to prevent either you or the Company from obtaining injunctive relief in court to prevent irreparable harm pending the conclusion of any such arbitration.</w:t>
      </w:r>
    </w:p>
    <w:p>
      <w:pPr>
        <w:spacing w:after="0" w:line="196"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If this Agreement is acceptable to you, please sign below and return the original to me on or after your Separation Date, but no later than the date that is twenty-one (21) days after you receive this Agreement. This offer will expire if we have not received your executed copy by that date.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 wish you good luck in your future endeavors.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Adagio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9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GREED TO AND</w:t>
      </w:r>
      <w:r>
        <w:rPr>
          <w:rFonts w:ascii="Arial" w:cs="Arial" w:eastAsia="Arial" w:hAnsi="Arial"/>
          <w:sz w:val="18"/>
          <w:szCs w:val="18"/>
          <w:color w:val="auto"/>
        </w:rPr>
        <w:t xml:space="preserve"> A</w:t>
      </w:r>
      <w:r>
        <w:rPr>
          <w:rFonts w:ascii="Arial" w:cs="Arial" w:eastAsia="Arial" w:hAnsi="Arial"/>
          <w:sz w:val="14"/>
          <w:szCs w:val="14"/>
          <w:color w:val="auto"/>
        </w:rPr>
        <w:t>CCEPTED</w:t>
      </w:r>
      <w:r>
        <w:rPr>
          <w:rFonts w:ascii="Arial" w:cs="Arial" w:eastAsia="Arial" w:hAnsi="Arial"/>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79463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9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69" w:right="459" w:bottom="1440" w:gutter="0" w:footer="0" w:header="0"/>
        </w:sectPr>
      </w:pPr>
    </w:p>
    <w:bookmarkStart w:id="546" w:name="page547"/>
    <w:bookmarkEnd w:id="54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CONSIDERATION PERIOD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 ____________________, understand that I have the right to take at least 21 days to consider whether to sign this Agreement, which I received 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___________ __, 20__. If I elect to sign this Agreement before 21 days have passed, I understand I am to sign and date below this paragraph to confirm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that I knowingly and voluntarily agree to waive the 21-day consideration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GREED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79463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79463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40"/>
          </w:cols>
          <w:pgMar w:left="440" w:top="269" w:right="519" w:bottom="1440" w:gutter="0" w:footer="0" w:header="0"/>
        </w:sectPr>
      </w:pPr>
    </w:p>
    <w:bookmarkStart w:id="547" w:name="page548"/>
    <w:bookmarkEnd w:id="54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We hereby consent to the use in this Amendment No. 1 to the Registration Statement on Form S-1 of Adagio Therapeutics, Inc. of our report dated May 21, 2021, except for the effects of the stock split discussed in Note 15 to the consolidated financial statements, as to which the date is August 2, 2021, relating to the financial statements of Adagio Therapeutics, Inc., which appears in this Registration Statement. We also consent to the reference to us under the heading “Experts” in such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82503"/>
    <w:multiLevelType w:val="hybridMultilevel"/>
    <w:lvl w:ilvl="0">
      <w:lvlJc w:val="left"/>
      <w:lvlText w:val="(%1)"/>
      <w:numFmt w:val="decimal"/>
      <w:start w:val="1"/>
    </w:lvl>
  </w:abstractNum>
  <w:abstractNum w:abstractNumId="1">
    <w:nsid w:val="59B76E28"/>
    <w:multiLevelType w:val="hybridMultilevel"/>
    <w:lvl w:ilvl="0">
      <w:lvlJc w:val="left"/>
      <w:lvlText w:val="(%1)"/>
      <w:numFmt w:val="decimal"/>
      <w:start w:val="1"/>
    </w:lvl>
  </w:abstractNum>
  <w:abstractNum w:abstractNumId="2">
    <w:nsid w:val="4252C2DA"/>
    <w:multiLevelType w:val="hybridMultilevel"/>
    <w:lvl w:ilvl="0">
      <w:lvlJc w:val="left"/>
      <w:lvlText w:val="(%1)"/>
      <w:numFmt w:val="decimal"/>
      <w:start w:val="5"/>
    </w:lvl>
  </w:abstractNum>
  <w:abstractNum w:abstractNumId="3">
    <w:nsid w:val="6A92EF4C"/>
    <w:multiLevelType w:val="hybridMultilevel"/>
    <w:lvl w:ilvl="0">
      <w:lvlJc w:val="left"/>
      <w:lvlText w:val="•"/>
      <w:numFmt w:val="bullet"/>
      <w:start w:val="1"/>
    </w:lvl>
  </w:abstractNum>
  <w:abstractNum w:abstractNumId="4">
    <w:nsid w:val="41ED20D7"/>
    <w:multiLevelType w:val="hybridMultilevel"/>
    <w:lvl w:ilvl="0">
      <w:lvlJc w:val="left"/>
      <w:lvlText w:val="•"/>
      <w:numFmt w:val="bullet"/>
      <w:start w:val="1"/>
    </w:lvl>
  </w:abstractNum>
  <w:abstractNum w:abstractNumId="5">
    <w:nsid w:val="E6B3F6A"/>
    <w:multiLevelType w:val="hybridMultilevel"/>
    <w:lvl w:ilvl="0">
      <w:lvlJc w:val="left"/>
      <w:lvlText w:val="•"/>
      <w:numFmt w:val="bullet"/>
      <w:start w:val="1"/>
    </w:lvl>
  </w:abstractNum>
  <w:abstractNum w:abstractNumId="6">
    <w:nsid w:val="3EB21819"/>
    <w:multiLevelType w:val="hybridMultilevel"/>
    <w:lvl w:ilvl="0">
      <w:lvlJc w:val="left"/>
      <w:lvlText w:val="•"/>
      <w:numFmt w:val="bullet"/>
      <w:start w:val="1"/>
    </w:lvl>
  </w:abstractNum>
  <w:abstractNum w:abstractNumId="7">
    <w:nsid w:val="41531DED"/>
    <w:multiLevelType w:val="hybridMultilevel"/>
    <w:lvl w:ilvl="0">
      <w:lvlJc w:val="left"/>
      <w:lvlText w:val="•"/>
      <w:numFmt w:val="bullet"/>
      <w:start w:val="1"/>
    </w:lvl>
  </w:abstractNum>
  <w:abstractNum w:abstractNumId="8">
    <w:nsid w:val="6353CD2"/>
    <w:multiLevelType w:val="hybridMultilevel"/>
    <w:lvl w:ilvl="0">
      <w:lvlJc w:val="left"/>
      <w:lvlText w:val="•"/>
      <w:numFmt w:val="bullet"/>
      <w:start w:val="1"/>
    </w:lvl>
  </w:abstractNum>
  <w:abstractNum w:abstractNumId="9">
    <w:nsid w:val="683CAAD3"/>
    <w:multiLevelType w:val="hybridMultilevel"/>
    <w:lvl w:ilvl="0">
      <w:lvlJc w:val="left"/>
      <w:lvlText w:val="•"/>
      <w:numFmt w:val="bullet"/>
      <w:start w:val="1"/>
    </w:lvl>
  </w:abstractNum>
  <w:abstractNum w:abstractNumId="10">
    <w:nsid w:val="313C7C99"/>
    <w:multiLevelType w:val="hybridMultilevel"/>
    <w:lvl w:ilvl="0">
      <w:lvlJc w:val="left"/>
      <w:lvlText w:val="•"/>
      <w:numFmt w:val="bullet"/>
      <w:start w:val="1"/>
    </w:lvl>
  </w:abstractNum>
  <w:abstractNum w:abstractNumId="11">
    <w:nsid w:val="519EB94C"/>
    <w:multiLevelType w:val="hybridMultilevel"/>
    <w:lvl w:ilvl="0">
      <w:lvlJc w:val="left"/>
      <w:lvlText w:val="(%1)"/>
      <w:numFmt w:val="lowerLetter"/>
      <w:start w:val="2"/>
    </w:lvl>
  </w:abstractNum>
  <w:abstractNum w:abstractNumId="12">
    <w:nsid w:val="39DF2579"/>
    <w:multiLevelType w:val="hybridMultilevel"/>
    <w:lvl w:ilvl="0">
      <w:lvlJc w:val="left"/>
      <w:lvlText w:val="•"/>
      <w:numFmt w:val="bullet"/>
      <w:start w:val="1"/>
    </w:lvl>
  </w:abstractNum>
  <w:abstractNum w:abstractNumId="13">
    <w:nsid w:val="126E008B"/>
    <w:multiLevelType w:val="hybridMultilevel"/>
    <w:lvl w:ilvl="0">
      <w:lvlJc w:val="left"/>
      <w:lvlText w:val="•"/>
      <w:numFmt w:val="bullet"/>
      <w:start w:val="1"/>
    </w:lvl>
  </w:abstractNum>
  <w:abstractNum w:abstractNumId="14">
    <w:nsid w:val="34DFBC00"/>
    <w:multiLevelType w:val="hybridMultilevel"/>
    <w:lvl w:ilvl="0">
      <w:lvlJc w:val="left"/>
      <w:lvlText w:val="•"/>
      <w:numFmt w:val="bullet"/>
      <w:start w:val="1"/>
    </w:lvl>
  </w:abstractNum>
  <w:abstractNum w:abstractNumId="15">
    <w:nsid w:val="1F9EC322"/>
    <w:multiLevelType w:val="hybridMultilevel"/>
    <w:lvl w:ilvl="0">
      <w:lvlJc w:val="left"/>
      <w:lvlText w:val="(%1)"/>
      <w:numFmt w:val="decimal"/>
      <w:start w:val="1"/>
    </w:lvl>
  </w:abstractNum>
  <w:abstractNum w:abstractNumId="16">
    <w:nsid w:val="3410ED56"/>
    <w:multiLevelType w:val="hybridMultilevel"/>
    <w:lvl w:ilvl="0">
      <w:lvlJc w:val="left"/>
      <w:lvlText w:val="(%1)"/>
      <w:numFmt w:val="decimal"/>
      <w:start w:val="1"/>
    </w:lvl>
  </w:abstractNum>
  <w:abstractNum w:abstractNumId="17">
    <w:nsid w:val="23C049A"/>
    <w:multiLevelType w:val="hybridMultilevel"/>
    <w:lvl w:ilvl="0">
      <w:lvlJc w:val="left"/>
      <w:lvlText w:val="•"/>
      <w:numFmt w:val="bullet"/>
      <w:start w:val="1"/>
    </w:lvl>
  </w:abstractNum>
  <w:abstractNum w:abstractNumId="18">
    <w:nsid w:val="5BDA35D4"/>
    <w:multiLevelType w:val="hybridMultilevel"/>
    <w:lvl w:ilvl="0">
      <w:lvlJc w:val="left"/>
      <w:lvlText w:val="•"/>
      <w:numFmt w:val="bullet"/>
      <w:start w:val="1"/>
    </w:lvl>
  </w:abstractNum>
  <w:abstractNum w:abstractNumId="19">
    <w:nsid w:val="496FB218"/>
    <w:multiLevelType w:val="hybridMultilevel"/>
    <w:lvl w:ilvl="0">
      <w:lvlJc w:val="left"/>
      <w:lvlText w:val="•"/>
      <w:numFmt w:val="bullet"/>
      <w:start w:val="1"/>
    </w:lvl>
  </w:abstractNum>
  <w:abstractNum w:abstractNumId="20">
    <w:nsid w:val="680EA5D1"/>
    <w:multiLevelType w:val="hybridMultilevel"/>
    <w:lvl w:ilvl="0">
      <w:lvlJc w:val="left"/>
      <w:lvlText w:val="•"/>
      <w:numFmt w:val="bullet"/>
      <w:start w:val="1"/>
    </w:lvl>
  </w:abstractNum>
  <w:abstractNum w:abstractNumId="21">
    <w:nsid w:val="4A9554FE"/>
    <w:multiLevelType w:val="hybridMultilevel"/>
    <w:lvl w:ilvl="0">
      <w:lvlJc w:val="left"/>
      <w:lvlText w:val="•"/>
      <w:numFmt w:val="bullet"/>
      <w:start w:val="1"/>
    </w:lvl>
  </w:abstractNum>
  <w:abstractNum w:abstractNumId="22">
    <w:nsid w:val="392EDBE4"/>
    <w:multiLevelType w:val="hybridMultilevel"/>
    <w:lvl w:ilvl="0">
      <w:lvlJc w:val="left"/>
      <w:lvlText w:val="•"/>
      <w:numFmt w:val="bullet"/>
      <w:start w:val="1"/>
    </w:lvl>
  </w:abstractNum>
  <w:abstractNum w:abstractNumId="23">
    <w:nsid w:val="3D1A2DD9"/>
    <w:multiLevelType w:val="hybridMultilevel"/>
    <w:lvl w:ilvl="0">
      <w:lvlJc w:val="left"/>
      <w:lvlText w:val="•"/>
      <w:numFmt w:val="bullet"/>
      <w:start w:val="1"/>
    </w:lvl>
  </w:abstractNum>
  <w:abstractNum w:abstractNumId="24">
    <w:nsid w:val="7F618FCD"/>
    <w:multiLevelType w:val="hybridMultilevel"/>
    <w:lvl w:ilvl="0">
      <w:lvlJc w:val="left"/>
      <w:lvlText w:val="•"/>
      <w:numFmt w:val="bullet"/>
      <w:start w:val="1"/>
    </w:lvl>
  </w:abstractNum>
  <w:abstractNum w:abstractNumId="25">
    <w:nsid w:val="7843E45"/>
    <w:multiLevelType w:val="hybridMultilevel"/>
    <w:lvl w:ilvl="0">
      <w:lvlJc w:val="left"/>
      <w:lvlText w:val="•"/>
      <w:numFmt w:val="bullet"/>
      <w:start w:val="1"/>
    </w:lvl>
  </w:abstractNum>
  <w:abstractNum w:abstractNumId="26">
    <w:nsid w:val="9815DA3"/>
    <w:multiLevelType w:val="hybridMultilevel"/>
    <w:lvl w:ilvl="0">
      <w:lvlJc w:val="left"/>
      <w:lvlText w:val="•"/>
      <w:numFmt w:val="bullet"/>
      <w:start w:val="1"/>
    </w:lvl>
  </w:abstractNum>
  <w:abstractNum w:abstractNumId="27">
    <w:nsid w:val="5204A191"/>
    <w:multiLevelType w:val="hybridMultilevel"/>
    <w:lvl w:ilvl="0">
      <w:lvlJc w:val="left"/>
      <w:lvlText w:val="•"/>
      <w:numFmt w:val="bullet"/>
      <w:start w:val="1"/>
    </w:lvl>
  </w:abstractNum>
  <w:abstractNum w:abstractNumId="28">
    <w:nsid w:val="4C73A9C6"/>
    <w:multiLevelType w:val="hybridMultilevel"/>
    <w:lvl w:ilvl="0">
      <w:lvlJc w:val="left"/>
      <w:lvlText w:val="•"/>
      <w:numFmt w:val="bullet"/>
      <w:start w:val="1"/>
    </w:lvl>
  </w:abstractNum>
  <w:abstractNum w:abstractNumId="29">
    <w:nsid w:val="1C7E3C01"/>
    <w:multiLevelType w:val="hybridMultilevel"/>
    <w:lvl w:ilvl="0">
      <w:lvlJc w:val="left"/>
      <w:lvlText w:val="•"/>
      <w:numFmt w:val="bullet"/>
      <w:start w:val="1"/>
    </w:lvl>
  </w:abstractNum>
  <w:abstractNum w:abstractNumId="30">
    <w:nsid w:val="1C2201FF"/>
    <w:multiLevelType w:val="hybridMultilevel"/>
    <w:lvl w:ilvl="0">
      <w:lvlJc w:val="left"/>
      <w:lvlText w:val="•"/>
      <w:numFmt w:val="bullet"/>
      <w:start w:val="1"/>
    </w:lvl>
  </w:abstractNum>
  <w:abstractNum w:abstractNumId="31">
    <w:nsid w:val="50ABCEC9"/>
    <w:multiLevelType w:val="hybridMultilevel"/>
    <w:lvl w:ilvl="0">
      <w:lvlJc w:val="left"/>
      <w:lvlText w:val="•"/>
      <w:numFmt w:val="bullet"/>
      <w:start w:val="1"/>
    </w:lvl>
  </w:abstractNum>
  <w:abstractNum w:abstractNumId="32">
    <w:nsid w:val="7635AA2A"/>
    <w:multiLevelType w:val="hybridMultilevel"/>
    <w:lvl w:ilvl="0">
      <w:lvlJc w:val="left"/>
      <w:lvlText w:val="•"/>
      <w:numFmt w:val="bullet"/>
      <w:start w:val="1"/>
    </w:lvl>
  </w:abstractNum>
  <w:abstractNum w:abstractNumId="33">
    <w:nsid w:val="5E74C4D9"/>
    <w:multiLevelType w:val="hybridMultilevel"/>
    <w:lvl w:ilvl="0">
      <w:lvlJc w:val="left"/>
      <w:lvlText w:val="•"/>
      <w:numFmt w:val="bullet"/>
      <w:start w:val="1"/>
    </w:lvl>
  </w:abstractNum>
  <w:abstractNum w:abstractNumId="34">
    <w:nsid w:val="3B3EBE15"/>
    <w:multiLevelType w:val="hybridMultilevel"/>
    <w:lvl w:ilvl="0">
      <w:lvlJc w:val="left"/>
      <w:lvlText w:val="•"/>
      <w:numFmt w:val="bullet"/>
      <w:start w:val="1"/>
    </w:lvl>
  </w:abstractNum>
  <w:abstractNum w:abstractNumId="35">
    <w:nsid w:val="3822CB01"/>
    <w:multiLevelType w:val="hybridMultilevel"/>
    <w:lvl w:ilvl="0">
      <w:lvlJc w:val="left"/>
      <w:lvlText w:val="•"/>
      <w:numFmt w:val="bullet"/>
      <w:start w:val="1"/>
    </w:lvl>
  </w:abstractNum>
  <w:abstractNum w:abstractNumId="36">
    <w:nsid w:val="6CE00443"/>
    <w:multiLevelType w:val="hybridMultilevel"/>
    <w:lvl w:ilvl="0">
      <w:lvlJc w:val="left"/>
      <w:lvlText w:val="•"/>
      <w:numFmt w:val="bullet"/>
      <w:start w:val="1"/>
    </w:lvl>
  </w:abstractNum>
  <w:abstractNum w:abstractNumId="37">
    <w:nsid w:val="79F0D62F"/>
    <w:multiLevelType w:val="hybridMultilevel"/>
    <w:lvl w:ilvl="0">
      <w:lvlJc w:val="left"/>
      <w:lvlText w:val="•"/>
      <w:numFmt w:val="bullet"/>
      <w:start w:val="1"/>
    </w:lvl>
  </w:abstractNum>
  <w:abstractNum w:abstractNumId="38">
    <w:nsid w:val="7975E8EE"/>
    <w:multiLevelType w:val="hybridMultilevel"/>
    <w:lvl w:ilvl="0">
      <w:lvlJc w:val="left"/>
      <w:lvlText w:val="(%1)"/>
      <w:numFmt w:val="lowerRoman"/>
      <w:start w:val="1"/>
    </w:lvl>
  </w:abstractNum>
  <w:abstractNum w:abstractNumId="39">
    <w:nsid w:val="73154115"/>
    <w:multiLevelType w:val="hybridMultilevel"/>
    <w:lvl w:ilvl="0">
      <w:lvlJc w:val="left"/>
      <w:lvlText w:val="•"/>
      <w:numFmt w:val="bullet"/>
      <w:start w:val="1"/>
    </w:lvl>
  </w:abstractNum>
  <w:abstractNum w:abstractNumId="40">
    <w:nsid w:val="622D8102"/>
    <w:multiLevelType w:val="hybridMultilevel"/>
    <w:lvl w:ilvl="0">
      <w:lvlJc w:val="left"/>
      <w:lvlText w:val="•"/>
      <w:numFmt w:val="bullet"/>
      <w:start w:val="1"/>
    </w:lvl>
  </w:abstractNum>
  <w:abstractNum w:abstractNumId="41">
    <w:nsid w:val="2AB26587"/>
    <w:multiLevelType w:val="hybridMultilevel"/>
    <w:lvl w:ilvl="0">
      <w:lvlJc w:val="left"/>
      <w:lvlText w:val="•"/>
      <w:numFmt w:val="bullet"/>
      <w:start w:val="1"/>
    </w:lvl>
  </w:abstractNum>
  <w:abstractNum w:abstractNumId="42">
    <w:nsid w:val="44B3FA61"/>
    <w:multiLevelType w:val="hybridMultilevel"/>
    <w:lvl w:ilvl="0">
      <w:lvlJc w:val="left"/>
      <w:lvlText w:val="•"/>
      <w:numFmt w:val="bullet"/>
      <w:start w:val="1"/>
    </w:lvl>
  </w:abstractNum>
  <w:abstractNum w:abstractNumId="43">
    <w:nsid w:val="1C0CA67C"/>
    <w:multiLevelType w:val="hybridMultilevel"/>
    <w:lvl w:ilvl="0">
      <w:lvlJc w:val="left"/>
      <w:lvlText w:val="•"/>
      <w:numFmt w:val="bullet"/>
      <w:start w:val="1"/>
    </w:lvl>
  </w:abstractNum>
  <w:abstractNum w:abstractNumId="44">
    <w:nsid w:val="3D206613"/>
    <w:multiLevelType w:val="hybridMultilevel"/>
    <w:lvl w:ilvl="0">
      <w:lvlJc w:val="left"/>
      <w:lvlText w:val="•"/>
      <w:numFmt w:val="bullet"/>
      <w:start w:val="1"/>
    </w:lvl>
  </w:abstractNum>
  <w:abstractNum w:abstractNumId="45">
    <w:nsid w:val="7993B662"/>
    <w:multiLevelType w:val="hybridMultilevel"/>
    <w:lvl w:ilvl="0">
      <w:lvlJc w:val="left"/>
      <w:lvlText w:val="•"/>
      <w:numFmt w:val="bullet"/>
      <w:start w:val="1"/>
    </w:lvl>
  </w:abstractNum>
  <w:abstractNum w:abstractNumId="46">
    <w:nsid w:val="3BAB699E"/>
    <w:multiLevelType w:val="hybridMultilevel"/>
    <w:lvl w:ilvl="0">
      <w:lvlJc w:val="left"/>
      <w:lvlText w:val="•"/>
      <w:numFmt w:val="bullet"/>
      <w:start w:val="1"/>
    </w:lvl>
  </w:abstractNum>
  <w:abstractNum w:abstractNumId="47">
    <w:nsid w:val="71315369"/>
    <w:multiLevelType w:val="hybridMultilevel"/>
    <w:lvl w:ilvl="0">
      <w:lvlJc w:val="left"/>
      <w:lvlText w:val="•"/>
      <w:numFmt w:val="bullet"/>
      <w:start w:val="1"/>
    </w:lvl>
  </w:abstractNum>
  <w:abstractNum w:abstractNumId="48">
    <w:nsid w:val="7BCFBAFC"/>
    <w:multiLevelType w:val="hybridMultilevel"/>
    <w:lvl w:ilvl="0">
      <w:lvlJc w:val="left"/>
      <w:lvlText w:val="•"/>
      <w:numFmt w:val="bullet"/>
      <w:start w:val="1"/>
    </w:lvl>
  </w:abstractNum>
  <w:abstractNum w:abstractNumId="49">
    <w:nsid w:val="17859F72"/>
    <w:multiLevelType w:val="hybridMultilevel"/>
    <w:lvl w:ilvl="0">
      <w:lvlJc w:val="left"/>
      <w:lvlText w:val="•"/>
      <w:numFmt w:val="bullet"/>
      <w:start w:val="1"/>
    </w:lvl>
  </w:abstractNum>
  <w:abstractNum w:abstractNumId="50">
    <w:nsid w:val="3AA10581"/>
    <w:multiLevelType w:val="hybridMultilevel"/>
    <w:lvl w:ilvl="0">
      <w:lvlJc w:val="left"/>
      <w:lvlText w:val="•"/>
      <w:numFmt w:val="bullet"/>
      <w:start w:val="1"/>
    </w:lvl>
  </w:abstractNum>
  <w:abstractNum w:abstractNumId="51">
    <w:nsid w:val="63DE60CD"/>
    <w:multiLevelType w:val="hybridMultilevel"/>
    <w:lvl w:ilvl="0">
      <w:lvlJc w:val="left"/>
      <w:lvlText w:val="•"/>
      <w:numFmt w:val="bullet"/>
      <w:start w:val="1"/>
    </w:lvl>
  </w:abstractNum>
  <w:abstractNum w:abstractNumId="52">
    <w:nsid w:val="621AF471"/>
    <w:multiLevelType w:val="hybridMultilevel"/>
    <w:lvl w:ilvl="0">
      <w:lvlJc w:val="left"/>
      <w:lvlText w:val="•"/>
      <w:numFmt w:val="bullet"/>
      <w:start w:val="1"/>
    </w:lvl>
  </w:abstractNum>
  <w:abstractNum w:abstractNumId="53">
    <w:nsid w:val="73CFE165"/>
    <w:multiLevelType w:val="hybridMultilevel"/>
    <w:lvl w:ilvl="0">
      <w:lvlJc w:val="left"/>
      <w:lvlText w:val="•"/>
      <w:numFmt w:val="bullet"/>
      <w:start w:val="1"/>
    </w:lvl>
  </w:abstractNum>
  <w:abstractNum w:abstractNumId="54">
    <w:nsid w:val="20F88EA6"/>
    <w:multiLevelType w:val="hybridMultilevel"/>
    <w:lvl w:ilvl="0">
      <w:lvlJc w:val="left"/>
      <w:lvlText w:val="•"/>
      <w:numFmt w:val="bullet"/>
      <w:start w:val="1"/>
    </w:lvl>
  </w:abstractNum>
  <w:abstractNum w:abstractNumId="55">
    <w:nsid w:val="617C843E"/>
    <w:multiLevelType w:val="hybridMultilevel"/>
    <w:lvl w:ilvl="0">
      <w:lvlJc w:val="left"/>
      <w:lvlText w:val="•"/>
      <w:numFmt w:val="bullet"/>
      <w:start w:val="1"/>
    </w:lvl>
  </w:abstractNum>
  <w:abstractNum w:abstractNumId="56">
    <w:nsid w:val="7B541FAB"/>
    <w:multiLevelType w:val="hybridMultilevel"/>
    <w:lvl w:ilvl="0">
      <w:lvlJc w:val="left"/>
      <w:lvlText w:val="•"/>
      <w:numFmt w:val="bullet"/>
      <w:start w:val="1"/>
    </w:lvl>
  </w:abstractNum>
  <w:abstractNum w:abstractNumId="57">
    <w:nsid w:val="2A79EC49"/>
    <w:multiLevelType w:val="hybridMultilevel"/>
    <w:lvl w:ilvl="0">
      <w:lvlJc w:val="left"/>
      <w:lvlText w:val="•"/>
      <w:numFmt w:val="bullet"/>
      <w:start w:val="1"/>
    </w:lvl>
  </w:abstractNum>
  <w:abstractNum w:abstractNumId="58">
    <w:nsid w:val="338125CF"/>
    <w:multiLevelType w:val="hybridMultilevel"/>
    <w:lvl w:ilvl="0">
      <w:lvlJc w:val="left"/>
      <w:lvlText w:val="•"/>
      <w:numFmt w:val="bullet"/>
      <w:start w:val="1"/>
    </w:lvl>
  </w:abstractNum>
  <w:abstractNum w:abstractNumId="59">
    <w:nsid w:val="47C7C971"/>
    <w:multiLevelType w:val="hybridMultilevel"/>
    <w:lvl w:ilvl="0">
      <w:lvlJc w:val="left"/>
      <w:lvlText w:val="(%1)"/>
      <w:numFmt w:val="decimal"/>
      <w:start w:val="1"/>
    </w:lvl>
  </w:abstractNum>
  <w:abstractNum w:abstractNumId="60">
    <w:nsid w:val="46F8284B"/>
    <w:multiLevelType w:val="hybridMultilevel"/>
    <w:lvl w:ilvl="0">
      <w:lvlJc w:val="left"/>
      <w:lvlText w:val="(%1)"/>
      <w:numFmt w:val="decimal"/>
      <w:start w:val="1"/>
    </w:lvl>
  </w:abstractNum>
  <w:abstractNum w:abstractNumId="61">
    <w:nsid w:val="4FA327CE"/>
    <w:multiLevelType w:val="hybridMultilevel"/>
    <w:lvl w:ilvl="0">
      <w:lvlJc w:val="left"/>
      <w:lvlText w:val="•"/>
      <w:numFmt w:val="bullet"/>
      <w:start w:val="1"/>
    </w:lvl>
  </w:abstractNum>
  <w:abstractNum w:abstractNumId="62">
    <w:nsid w:val="1873983A"/>
    <w:multiLevelType w:val="hybridMultilevel"/>
    <w:lvl w:ilvl="0">
      <w:lvlJc w:val="left"/>
      <w:lvlText w:val="•"/>
      <w:numFmt w:val="bullet"/>
      <w:start w:val="1"/>
    </w:lvl>
  </w:abstractNum>
  <w:abstractNum w:abstractNumId="63">
    <w:nsid w:val="3D2DD275"/>
    <w:multiLevelType w:val="hybridMultilevel"/>
    <w:lvl w:ilvl="0">
      <w:lvlJc w:val="left"/>
      <w:lvlText w:val="•"/>
      <w:numFmt w:val="bullet"/>
      <w:start w:val="1"/>
    </w:lvl>
  </w:abstractNum>
  <w:abstractNum w:abstractNumId="64">
    <w:nsid w:val="2E17ECA7"/>
    <w:multiLevelType w:val="hybridMultilevel"/>
    <w:lvl w:ilvl="0">
      <w:lvlJc w:val="left"/>
      <w:lvlText w:val="•"/>
      <w:numFmt w:val="bullet"/>
      <w:start w:val="1"/>
    </w:lvl>
  </w:abstractNum>
  <w:abstractNum w:abstractNumId="65">
    <w:nsid w:val="53B2564F"/>
    <w:multiLevelType w:val="hybridMultilevel"/>
    <w:lvl w:ilvl="0">
      <w:lvlJc w:val="left"/>
      <w:lvlText w:val="•"/>
      <w:numFmt w:val="bullet"/>
      <w:start w:val="1"/>
    </w:lvl>
  </w:abstractNum>
  <w:abstractNum w:abstractNumId="66">
    <w:nsid w:val="75509D76"/>
    <w:multiLevelType w:val="hybridMultilevel"/>
    <w:lvl w:ilvl="0">
      <w:lvlJc w:val="left"/>
      <w:lvlText w:val="•"/>
      <w:numFmt w:val="bullet"/>
      <w:start w:val="1"/>
    </w:lvl>
  </w:abstractNum>
  <w:abstractNum w:abstractNumId="67">
    <w:nsid w:val="1AF7F0EA"/>
    <w:multiLevelType w:val="hybridMultilevel"/>
    <w:lvl w:ilvl="0">
      <w:lvlJc w:val="left"/>
      <w:lvlText w:val="•"/>
      <w:numFmt w:val="bullet"/>
      <w:start w:val="1"/>
    </w:lvl>
  </w:abstractNum>
  <w:abstractNum w:abstractNumId="68">
    <w:nsid w:val="4DA32C7E"/>
    <w:multiLevelType w:val="hybridMultilevel"/>
    <w:lvl w:ilvl="0">
      <w:lvlJc w:val="left"/>
      <w:lvlText w:val="•"/>
      <w:numFmt w:val="bullet"/>
      <w:start w:val="1"/>
    </w:lvl>
  </w:abstractNum>
  <w:abstractNum w:abstractNumId="69">
    <w:nsid w:val="6EC68664"/>
    <w:multiLevelType w:val="hybridMultilevel"/>
    <w:lvl w:ilvl="0">
      <w:lvlJc w:val="left"/>
      <w:lvlText w:val="•"/>
      <w:numFmt w:val="bullet"/>
      <w:start w:val="1"/>
    </w:lvl>
  </w:abstractNum>
  <w:abstractNum w:abstractNumId="70">
    <w:nsid w:val="E0D31FF"/>
    <w:multiLevelType w:val="hybridMultilevel"/>
    <w:lvl w:ilvl="0">
      <w:lvlJc w:val="left"/>
      <w:lvlText w:val="•"/>
      <w:numFmt w:val="bullet"/>
      <w:start w:val="1"/>
    </w:lvl>
  </w:abstractNum>
  <w:abstractNum w:abstractNumId="71">
    <w:nsid w:val="2FD0AD81"/>
    <w:multiLevelType w:val="hybridMultilevel"/>
    <w:lvl w:ilvl="0">
      <w:lvlJc w:val="left"/>
      <w:lvlText w:val="•"/>
      <w:numFmt w:val="bullet"/>
      <w:start w:val="1"/>
    </w:lvl>
  </w:abstractNum>
  <w:abstractNum w:abstractNumId="72">
    <w:nsid w:val="1978EBEB"/>
    <w:multiLevelType w:val="hybridMultilevel"/>
    <w:lvl w:ilvl="0">
      <w:lvlJc w:val="left"/>
      <w:lvlText w:val="•"/>
      <w:numFmt w:val="bullet"/>
      <w:start w:val="1"/>
    </w:lvl>
  </w:abstractNum>
  <w:abstractNum w:abstractNumId="73">
    <w:nsid w:val="52C12C61"/>
    <w:multiLevelType w:val="hybridMultilevel"/>
    <w:lvl w:ilvl="0">
      <w:lvlJc w:val="left"/>
      <w:lvlText w:val="•"/>
      <w:numFmt w:val="bullet"/>
      <w:start w:val="1"/>
    </w:lvl>
  </w:abstractNum>
  <w:abstractNum w:abstractNumId="74">
    <w:nsid w:val="4BDD53FD"/>
    <w:multiLevelType w:val="hybridMultilevel"/>
    <w:lvl w:ilvl="0">
      <w:lvlJc w:val="left"/>
      <w:lvlText w:val="•"/>
      <w:numFmt w:val="bullet"/>
      <w:start w:val="1"/>
    </w:lvl>
  </w:abstractNum>
  <w:abstractNum w:abstractNumId="75">
    <w:nsid w:val="569951FE"/>
    <w:multiLevelType w:val="hybridMultilevel"/>
    <w:lvl w:ilvl="0">
      <w:lvlJc w:val="left"/>
      <w:lvlText w:val="(%1)"/>
      <w:numFmt w:val="decimal"/>
      <w:start w:val="1"/>
    </w:lvl>
  </w:abstractNum>
  <w:abstractNum w:abstractNumId="76">
    <w:nsid w:val="4C54E2C3"/>
    <w:multiLevelType w:val="hybridMultilevel"/>
    <w:lvl w:ilvl="0">
      <w:lvlJc w:val="left"/>
      <w:lvlText w:val="•"/>
      <w:numFmt w:val="bullet"/>
      <w:start w:val="1"/>
    </w:lvl>
  </w:abstractNum>
  <w:abstractNum w:abstractNumId="77">
    <w:nsid w:val="788BD9B"/>
    <w:multiLevelType w:val="hybridMultilevel"/>
    <w:lvl w:ilvl="0">
      <w:lvlJc w:val="left"/>
      <w:lvlText w:val="•"/>
      <w:numFmt w:val="bullet"/>
      <w:start w:val="1"/>
    </w:lvl>
  </w:abstractNum>
  <w:abstractNum w:abstractNumId="78">
    <w:nsid w:val="47CAA567"/>
    <w:multiLevelType w:val="hybridMultilevel"/>
    <w:lvl w:ilvl="0">
      <w:lvlJc w:val="left"/>
      <w:lvlText w:val="•"/>
      <w:numFmt w:val="bullet"/>
      <w:start w:val="1"/>
    </w:lvl>
  </w:abstractNum>
  <w:abstractNum w:abstractNumId="79">
    <w:nsid w:val="48249DBF"/>
    <w:multiLevelType w:val="hybridMultilevel"/>
    <w:lvl w:ilvl="0">
      <w:lvlJc w:val="left"/>
      <w:lvlText w:val="(%1)"/>
      <w:numFmt w:val="decimal"/>
      <w:start w:val="1"/>
    </w:lvl>
  </w:abstractNum>
  <w:abstractNum w:abstractNumId="80">
    <w:nsid w:val="1F0E5D0D"/>
    <w:multiLevelType w:val="hybridMultilevel"/>
    <w:lvl w:ilvl="0">
      <w:lvlJc w:val="left"/>
      <w:lvlText w:val="(%1)"/>
      <w:numFmt w:val="decimal"/>
      <w:start w:val="1"/>
    </w:lvl>
  </w:abstractNum>
  <w:abstractNum w:abstractNumId="81">
    <w:nsid w:val="26BAAE9"/>
    <w:multiLevelType w:val="hybridMultilevel"/>
    <w:lvl w:ilvl="0">
      <w:lvlJc w:val="left"/>
      <w:lvlText w:val="(%1)"/>
      <w:numFmt w:val="decimal"/>
      <w:start w:val="1"/>
    </w:lvl>
  </w:abstractNum>
  <w:abstractNum w:abstractNumId="82">
    <w:nsid w:val="2C02FE8C"/>
    <w:multiLevelType w:val="hybridMultilevel"/>
    <w:lvl w:ilvl="0">
      <w:lvlJc w:val="left"/>
      <w:lvlText w:val="•"/>
      <w:numFmt w:val="bullet"/>
      <w:start w:val="1"/>
    </w:lvl>
  </w:abstractNum>
  <w:abstractNum w:abstractNumId="83">
    <w:nsid w:val="129517E"/>
    <w:multiLevelType w:val="hybridMultilevel"/>
    <w:lvl w:ilvl="0">
      <w:lvlJc w:val="left"/>
      <w:lvlText w:val="•"/>
      <w:numFmt w:val="bullet"/>
      <w:start w:val="1"/>
    </w:lvl>
  </w:abstractNum>
  <w:abstractNum w:abstractNumId="84">
    <w:nsid w:val="763B8C4E"/>
    <w:multiLevelType w:val="hybridMultilevel"/>
    <w:lvl w:ilvl="0">
      <w:lvlJc w:val="left"/>
      <w:lvlText w:val="•"/>
      <w:numFmt w:val="bullet"/>
      <w:start w:val="1"/>
    </w:lvl>
  </w:abstractNum>
  <w:abstractNum w:abstractNumId="85">
    <w:nsid w:val="4CFB8D32"/>
    <w:multiLevelType w:val="hybridMultilevel"/>
    <w:lvl w:ilvl="0">
      <w:lvlJc w:val="left"/>
      <w:lvlText w:val="•"/>
      <w:numFmt w:val="bullet"/>
      <w:start w:val="1"/>
    </w:lvl>
  </w:abstractNum>
  <w:abstractNum w:abstractNumId="86">
    <w:nsid w:val="62A5D5BD"/>
    <w:multiLevelType w:val="hybridMultilevel"/>
    <w:lvl w:ilvl="0">
      <w:lvlJc w:val="left"/>
      <w:lvlText w:val="•"/>
      <w:numFmt w:val="bullet"/>
      <w:start w:val="1"/>
    </w:lvl>
  </w:abstractNum>
  <w:abstractNum w:abstractNumId="87">
    <w:nsid w:val="718FABF9"/>
    <w:multiLevelType w:val="hybridMultilevel"/>
    <w:lvl w:ilvl="0">
      <w:lvlJc w:val="left"/>
      <w:lvlText w:val="•"/>
      <w:numFmt w:val="bullet"/>
      <w:start w:val="1"/>
    </w:lvl>
  </w:abstractNum>
  <w:abstractNum w:abstractNumId="88">
    <w:nsid w:val="7775797C"/>
    <w:multiLevelType w:val="hybridMultilevel"/>
    <w:lvl w:ilvl="0">
      <w:lvlJc w:val="left"/>
      <w:lvlText w:val="•"/>
      <w:numFmt w:val="bullet"/>
      <w:start w:val="1"/>
    </w:lvl>
  </w:abstractNum>
  <w:abstractNum w:abstractNumId="89">
    <w:nsid w:val="1626FB8C"/>
    <w:multiLevelType w:val="hybridMultilevel"/>
    <w:lvl w:ilvl="0">
      <w:lvlJc w:val="left"/>
      <w:lvlText w:val="•"/>
      <w:numFmt w:val="bullet"/>
      <w:start w:val="1"/>
    </w:lvl>
  </w:abstractNum>
  <w:abstractNum w:abstractNumId="90">
    <w:nsid w:val="3957756A"/>
    <w:multiLevelType w:val="hybridMultilevel"/>
    <w:lvl w:ilvl="0">
      <w:lvlJc w:val="left"/>
      <w:lvlText w:val="•"/>
      <w:numFmt w:val="bullet"/>
      <w:start w:val="1"/>
    </w:lvl>
  </w:abstractNum>
  <w:abstractNum w:abstractNumId="91">
    <w:nsid w:val="3E6DA1C7"/>
    <w:multiLevelType w:val="hybridMultilevel"/>
    <w:lvl w:ilvl="0">
      <w:lvlJc w:val="left"/>
      <w:lvlText w:val="(%1)"/>
      <w:numFmt w:val="lowerRoman"/>
      <w:start w:val="2"/>
    </w:lvl>
  </w:abstractNum>
  <w:abstractNum w:abstractNumId="92">
    <w:nsid w:val="65CA235B"/>
    <w:multiLevelType w:val="hybridMultilevel"/>
    <w:lvl w:ilvl="0">
      <w:lvlJc w:val="left"/>
      <w:lvlText w:val="(%1)"/>
      <w:numFmt w:val="lowerRoman"/>
      <w:start w:val="2"/>
    </w:lvl>
  </w:abstractNum>
  <w:abstractNum w:abstractNumId="93">
    <w:nsid w:val="51CB0DA4"/>
    <w:multiLevelType w:val="hybridMultilevel"/>
    <w:lvl w:ilvl="0">
      <w:lvlJc w:val="left"/>
      <w:lvlText w:val="•"/>
      <w:numFmt w:val="bullet"/>
      <w:start w:val="1"/>
    </w:lvl>
  </w:abstractNum>
  <w:abstractNum w:abstractNumId="94">
    <w:nsid w:val="7B9B743C"/>
    <w:multiLevelType w:val="hybridMultilevel"/>
    <w:lvl w:ilvl="0">
      <w:lvlJc w:val="left"/>
      <w:lvlText w:val="•"/>
      <w:numFmt w:val="bullet"/>
      <w:start w:val="1"/>
    </w:lvl>
  </w:abstractNum>
  <w:abstractNum w:abstractNumId="95">
    <w:nsid w:val="13E21002"/>
    <w:multiLevelType w:val="hybridMultilevel"/>
    <w:lvl w:ilvl="0">
      <w:lvlJc w:val="left"/>
      <w:lvlText w:val="•"/>
      <w:numFmt w:val="bullet"/>
      <w:start w:val="1"/>
    </w:lvl>
  </w:abstractNum>
  <w:abstractNum w:abstractNumId="96">
    <w:nsid w:val="257D63F4"/>
    <w:multiLevelType w:val="hybridMultilevel"/>
    <w:lvl w:ilvl="0">
      <w:lvlJc w:val="left"/>
      <w:lvlText w:val="•"/>
      <w:numFmt w:val="bullet"/>
      <w:start w:val="1"/>
    </w:lvl>
  </w:abstractNum>
  <w:abstractNum w:abstractNumId="97">
    <w:nsid w:val="70EC11B2"/>
    <w:multiLevelType w:val="hybridMultilevel"/>
    <w:lvl w:ilvl="0">
      <w:lvlJc w:val="left"/>
      <w:lvlText w:val="•"/>
      <w:numFmt w:val="bullet"/>
      <w:start w:val="1"/>
    </w:lvl>
  </w:abstractNum>
  <w:abstractNum w:abstractNumId="98">
    <w:nsid w:val="2EDA00ED"/>
    <w:multiLevelType w:val="hybridMultilevel"/>
    <w:lvl w:ilvl="0">
      <w:lvlJc w:val="left"/>
      <w:lvlText w:val="•"/>
      <w:numFmt w:val="bullet"/>
      <w:start w:val="1"/>
    </w:lvl>
  </w:abstractNum>
  <w:abstractNum w:abstractNumId="99">
    <w:nsid w:val="73209072"/>
    <w:multiLevelType w:val="hybridMultilevel"/>
    <w:lvl w:ilvl="0">
      <w:lvlJc w:val="left"/>
      <w:lvlText w:val="•"/>
      <w:numFmt w:val="bullet"/>
      <w:start w:val="1"/>
    </w:lvl>
  </w:abstractNum>
  <w:abstractNum w:abstractNumId="100">
    <w:nsid w:val="5FB29816"/>
    <w:multiLevelType w:val="hybridMultilevel"/>
    <w:lvl w:ilvl="0">
      <w:lvlJc w:val="left"/>
      <w:lvlText w:val="•"/>
      <w:numFmt w:val="bullet"/>
      <w:start w:val="1"/>
    </w:lvl>
  </w:abstractNum>
  <w:abstractNum w:abstractNumId="101">
    <w:nsid w:val="3CE732EC"/>
    <w:multiLevelType w:val="hybridMultilevel"/>
    <w:lvl w:ilvl="0">
      <w:lvlJc w:val="left"/>
      <w:lvlText w:val="•"/>
      <w:numFmt w:val="bullet"/>
      <w:start w:val="1"/>
    </w:lvl>
  </w:abstractNum>
  <w:abstractNum w:abstractNumId="102">
    <w:nsid w:val="22F13DF3"/>
    <w:multiLevelType w:val="hybridMultilevel"/>
    <w:lvl w:ilvl="0">
      <w:lvlJc w:val="left"/>
      <w:lvlText w:val="•"/>
      <w:numFmt w:val="bullet"/>
      <w:start w:val="1"/>
    </w:lvl>
  </w:abstractNum>
  <w:abstractNum w:abstractNumId="103">
    <w:nsid w:val="792B8401"/>
    <w:multiLevelType w:val="hybridMultilevel"/>
    <w:lvl w:ilvl="0">
      <w:lvlJc w:val="left"/>
      <w:lvlText w:val="•"/>
      <w:numFmt w:val="bullet"/>
      <w:start w:val="1"/>
    </w:lvl>
  </w:abstractNum>
  <w:abstractNum w:abstractNumId="104">
    <w:nsid w:val="FA85F4D"/>
    <w:multiLevelType w:val="hybridMultilevel"/>
    <w:lvl w:ilvl="0">
      <w:lvlJc w:val="left"/>
      <w:lvlText w:val="(%1)"/>
      <w:numFmt w:val="decimal"/>
      <w:start w:val="1"/>
    </w:lvl>
  </w:abstractNum>
  <w:abstractNum w:abstractNumId="105">
    <w:nsid w:val="6ECE91F0"/>
    <w:multiLevelType w:val="hybridMultilevel"/>
    <w:lvl w:ilvl="0">
      <w:lvlJc w:val="left"/>
      <w:lvlText w:val="•"/>
      <w:numFmt w:val="bullet"/>
      <w:start w:val="1"/>
    </w:lvl>
  </w:abstractNum>
  <w:abstractNum w:abstractNumId="106">
    <w:nsid w:val="4FC4D600"/>
    <w:multiLevelType w:val="hybridMultilevel"/>
    <w:lvl w:ilvl="0">
      <w:lvlJc w:val="left"/>
      <w:lvlText w:val="(%1)"/>
      <w:numFmt w:val="decimal"/>
      <w:start w:val="1"/>
    </w:lvl>
  </w:abstractNum>
  <w:abstractNum w:abstractNumId="107">
    <w:nsid w:val="5BFD4210"/>
    <w:multiLevelType w:val="hybridMultilevel"/>
    <w:lvl w:ilvl="0">
      <w:lvlJc w:val="left"/>
      <w:lvlText w:val="(%1)"/>
      <w:numFmt w:val="decimal"/>
      <w:start w:val="1"/>
    </w:lvl>
  </w:abstractNum>
  <w:abstractNum w:abstractNumId="108">
    <w:nsid w:val="76574F8B"/>
    <w:multiLevelType w:val="hybridMultilevel"/>
    <w:lvl w:ilvl="0">
      <w:lvlJc w:val="left"/>
      <w:lvlText w:val="•"/>
      <w:numFmt w:val="bullet"/>
      <w:start w:val="1"/>
    </w:lvl>
  </w:abstractNum>
  <w:abstractNum w:abstractNumId="109">
    <w:nsid w:val="178F7B67"/>
    <w:multiLevelType w:val="hybridMultilevel"/>
    <w:lvl w:ilvl="0">
      <w:lvlJc w:val="left"/>
      <w:lvlText w:val="•"/>
      <w:numFmt w:val="bullet"/>
      <w:start w:val="1"/>
    </w:lvl>
  </w:abstractNum>
  <w:abstractNum w:abstractNumId="110">
    <w:nsid w:val="2421DFCF"/>
    <w:multiLevelType w:val="hybridMultilevel"/>
    <w:lvl w:ilvl="0">
      <w:lvlJc w:val="left"/>
      <w:lvlText w:val="(%1)"/>
      <w:numFmt w:val="decimal"/>
      <w:start w:val="3"/>
    </w:lvl>
  </w:abstractNum>
  <w:abstractNum w:abstractNumId="111">
    <w:nsid w:val="1565AC99"/>
    <w:multiLevelType w:val="hybridMultilevel"/>
    <w:lvl w:ilvl="0">
      <w:lvlJc w:val="left"/>
      <w:lvlText w:val="(%1)"/>
      <w:numFmt w:val="lowerRoman"/>
      <w:start w:val="1"/>
    </w:lvl>
  </w:abstractNum>
  <w:abstractNum w:abstractNumId="112">
    <w:nsid w:val="19FB2650"/>
    <w:multiLevelType w:val="hybridMultilevel"/>
    <w:lvl w:ilvl="0">
      <w:lvlJc w:val="left"/>
      <w:lvlText w:val="(%1)"/>
      <w:numFmt w:val="lowerRoman"/>
      <w:start w:val="4"/>
    </w:lvl>
  </w:abstractNum>
  <w:abstractNum w:abstractNumId="113">
    <w:nsid w:val="5024DE5B"/>
    <w:multiLevelType w:val="hybridMultilevel"/>
    <w:lvl w:ilvl="0">
      <w:lvlJc w:val="left"/>
      <w:lvlText w:val="•"/>
      <w:numFmt w:val="bullet"/>
      <w:start w:val="1"/>
    </w:lvl>
  </w:abstractNum>
  <w:abstractNum w:abstractNumId="114">
    <w:nsid w:val="168EFE17"/>
    <w:multiLevelType w:val="hybridMultilevel"/>
    <w:lvl w:ilvl="0">
      <w:lvlJc w:val="left"/>
      <w:lvlText w:val="(%1)"/>
      <w:numFmt w:val="lowerRoman"/>
      <w:start w:val="2"/>
    </w:lvl>
  </w:abstractNum>
  <w:abstractNum w:abstractNumId="115">
    <w:nsid w:val="1036B29F"/>
    <w:multiLevelType w:val="hybridMultilevel"/>
    <w:lvl w:ilvl="0">
      <w:lvlJc w:val="left"/>
      <w:lvlText w:val="(%1)"/>
      <w:numFmt w:val="lowerRoman"/>
      <w:start w:val="1"/>
    </w:lvl>
  </w:abstractNum>
  <w:abstractNum w:abstractNumId="116">
    <w:nsid w:val="1D206B8E"/>
    <w:multiLevelType w:val="hybridMultilevel"/>
    <w:lvl w:ilvl="0">
      <w:lvlJc w:val="left"/>
      <w:lvlText w:val="(%1)"/>
      <w:numFmt w:val="lowerRoman"/>
      <w:start w:val="2"/>
    </w:lvl>
  </w:abstractNum>
  <w:abstractNum w:abstractNumId="117">
    <w:nsid w:val="7934D3D4"/>
    <w:multiLevelType w:val="hybridMultilevel"/>
    <w:lvl w:ilvl="0">
      <w:lvlJc w:val="left"/>
      <w:lvlText w:val="•"/>
      <w:numFmt w:val="bullet"/>
      <w:start w:val="1"/>
    </w:lvl>
  </w:abstractNum>
  <w:abstractNum w:abstractNumId="118">
    <w:nsid w:val="1C65E98"/>
    <w:multiLevelType w:val="hybridMultilevel"/>
    <w:lvl w:ilvl="0">
      <w:lvlJc w:val="left"/>
      <w:lvlText w:val="(%1)"/>
      <w:numFmt w:val="decimal"/>
      <w:start w:val="1"/>
    </w:lvl>
  </w:abstractNum>
  <w:abstractNum w:abstractNumId="119">
    <w:nsid w:val="1495E50A"/>
    <w:multiLevelType w:val="hybridMultilevel"/>
    <w:lvl w:ilvl="0">
      <w:lvlJc w:val="left"/>
      <w:lvlText w:val="(%1)"/>
      <w:numFmt w:val="decimal"/>
      <w:start w:val="1"/>
    </w:lvl>
  </w:abstractNum>
  <w:abstractNum w:abstractNumId="120">
    <w:nsid w:val="F5BCF61"/>
    <w:multiLevelType w:val="hybridMultilevel"/>
    <w:lvl w:ilvl="0">
      <w:lvlJc w:val="left"/>
      <w:lvlText w:val="(%1)"/>
      <w:numFmt w:val="decimal"/>
      <w:start w:val="1"/>
    </w:lvl>
  </w:abstractNum>
  <w:abstractNum w:abstractNumId="121">
    <w:nsid w:val="3B1DD403"/>
    <w:multiLevelType w:val="hybridMultilevel"/>
    <w:lvl w:ilvl="0">
      <w:lvlJc w:val="left"/>
      <w:lvlText w:val="•"/>
      <w:numFmt w:val="bullet"/>
      <w:start w:val="1"/>
    </w:lvl>
  </w:abstractNum>
  <w:abstractNum w:abstractNumId="122">
    <w:nsid w:val="530386D1"/>
    <w:multiLevelType w:val="hybridMultilevel"/>
    <w:lvl w:ilvl="0">
      <w:lvlJc w:val="left"/>
      <w:lvlText w:val="•"/>
      <w:numFmt w:val="bullet"/>
      <w:start w:val="1"/>
    </w:lvl>
  </w:abstractNum>
  <w:abstractNum w:abstractNumId="123">
    <w:nsid w:val="7525F2BC"/>
    <w:multiLevelType w:val="hybridMultilevel"/>
    <w:lvl w:ilvl="0">
      <w:lvlJc w:val="left"/>
      <w:lvlText w:val="(%1)"/>
      <w:numFmt w:val="decimal"/>
      <w:start w:val="1"/>
    </w:lvl>
  </w:abstractNum>
  <w:abstractNum w:abstractNumId="124">
    <w:nsid w:val="CE8E1A7"/>
    <w:multiLevelType w:val="hybridMultilevel"/>
    <w:lvl w:ilvl="0">
      <w:lvlJc w:val="left"/>
      <w:lvlText w:val="(%1)"/>
      <w:numFmt w:val="decimal"/>
      <w:start w:val="4"/>
    </w:lvl>
  </w:abstractNum>
  <w:abstractNum w:abstractNumId="125">
    <w:nsid w:val="4E9EFB0D"/>
    <w:multiLevelType w:val="hybridMultilevel"/>
    <w:lvl w:ilvl="0">
      <w:lvlJc w:val="left"/>
      <w:lvlText w:val="(%1)"/>
      <w:numFmt w:val="decimal"/>
      <w:start w:val="6"/>
    </w:lvl>
  </w:abstractNum>
  <w:abstractNum w:abstractNumId="126">
    <w:nsid w:val="90802BE"/>
    <w:multiLevelType w:val="hybridMultilevel"/>
    <w:lvl w:ilvl="0">
      <w:lvlJc w:val="left"/>
      <w:lvlText w:val="(%1)"/>
      <w:numFmt w:val="decimal"/>
      <w:start w:val="12"/>
    </w:lvl>
  </w:abstractNum>
  <w:abstractNum w:abstractNumId="127">
    <w:nsid w:val="3266459B"/>
    <w:multiLevelType w:val="hybridMultilevel"/>
    <w:lvl w:ilvl="0">
      <w:lvlJc w:val="left"/>
      <w:lvlText w:val="(%1)"/>
      <w:numFmt w:val="lowerLetter"/>
      <w:start w:val="1"/>
    </w:lvl>
  </w:abstractNum>
  <w:abstractNum w:abstractNumId="128">
    <w:nsid w:val="3F8B0CBF"/>
    <w:multiLevelType w:val="hybridMultilevel"/>
    <w:lvl w:ilvl="0">
      <w:lvlJc w:val="left"/>
      <w:lvlText w:val="•"/>
      <w:numFmt w:val="bullet"/>
      <w:start w:val="1"/>
    </w:lvl>
  </w:abstractNum>
  <w:abstractNum w:abstractNumId="129">
    <w:nsid w:val="37E203AB"/>
    <w:multiLevelType w:val="hybridMultilevel"/>
    <w:lvl w:ilvl="0">
      <w:lvlJc w:val="left"/>
      <w:lvlText w:val="•"/>
      <w:numFmt w:val="bullet"/>
      <w:start w:val="1"/>
    </w:lvl>
  </w:abstractNum>
  <w:abstractNum w:abstractNumId="130">
    <w:nsid w:val="2586D60E"/>
    <w:multiLevelType w:val="hybridMultilevel"/>
    <w:lvl w:ilvl="0">
      <w:lvlJc w:val="left"/>
      <w:lvlText w:val="•"/>
      <w:numFmt w:val="bullet"/>
      <w:start w:val="1"/>
    </w:lvl>
  </w:abstractNum>
  <w:abstractNum w:abstractNumId="131">
    <w:nsid w:val="1F3DA4D5"/>
    <w:multiLevelType w:val="hybridMultilevel"/>
    <w:lvl w:ilvl="0">
      <w:lvlJc w:val="left"/>
      <w:lvlText w:val="•"/>
      <w:numFmt w:val="bullet"/>
      <w:start w:val="1"/>
    </w:lvl>
  </w:abstractNum>
  <w:abstractNum w:abstractNumId="132">
    <w:nsid w:val="74C93698"/>
    <w:multiLevelType w:val="hybridMultilevel"/>
    <w:lvl w:ilvl="0">
      <w:lvlJc w:val="left"/>
      <w:lvlText w:val="•"/>
      <w:numFmt w:val="bullet"/>
      <w:start w:val="1"/>
    </w:lvl>
  </w:abstractNum>
  <w:abstractNum w:abstractNumId="133">
    <w:nsid w:val="48781401"/>
    <w:multiLevelType w:val="hybridMultilevel"/>
    <w:lvl w:ilvl="0">
      <w:lvlJc w:val="left"/>
      <w:lvlText w:val="•"/>
      <w:numFmt w:val="bullet"/>
      <w:start w:val="1"/>
    </w:lvl>
  </w:abstractNum>
  <w:abstractNum w:abstractNumId="134">
    <w:nsid w:val="186928D6"/>
    <w:multiLevelType w:val="hybridMultilevel"/>
    <w:lvl w:ilvl="0">
      <w:lvlJc w:val="left"/>
      <w:lvlText w:val="•"/>
      <w:numFmt w:val="bullet"/>
      <w:start w:val="1"/>
    </w:lvl>
  </w:abstractNum>
  <w:abstractNum w:abstractNumId="135">
    <w:nsid w:val="47195E5"/>
    <w:multiLevelType w:val="hybridMultilevel"/>
    <w:lvl w:ilvl="0">
      <w:lvlJc w:val="left"/>
      <w:lvlText w:val="•"/>
      <w:numFmt w:val="bullet"/>
      <w:start w:val="1"/>
    </w:lvl>
  </w:abstractNum>
  <w:abstractNum w:abstractNumId="136">
    <w:nsid w:val="3746A5F2"/>
    <w:multiLevelType w:val="hybridMultilevel"/>
    <w:lvl w:ilvl="0">
      <w:lvlJc w:val="left"/>
      <w:lvlText w:val="•"/>
      <w:numFmt w:val="bullet"/>
      <w:start w:val="1"/>
    </w:lvl>
  </w:abstractNum>
  <w:abstractNum w:abstractNumId="137">
    <w:nsid w:val="682DFED6"/>
    <w:multiLevelType w:val="hybridMultilevel"/>
    <w:lvl w:ilvl="0">
      <w:lvlJc w:val="left"/>
      <w:lvlText w:val="•"/>
      <w:numFmt w:val="bullet"/>
      <w:start w:val="1"/>
    </w:lvl>
  </w:abstractNum>
  <w:abstractNum w:abstractNumId="138">
    <w:nsid w:val="606ED7F6"/>
    <w:multiLevelType w:val="hybridMultilevel"/>
    <w:lvl w:ilvl="0">
      <w:lvlJc w:val="left"/>
      <w:lvlText w:val="•"/>
      <w:numFmt w:val="bullet"/>
      <w:start w:val="1"/>
    </w:lvl>
  </w:abstractNum>
  <w:abstractNum w:abstractNumId="139">
    <w:nsid w:val="2D9DF57D"/>
    <w:multiLevelType w:val="hybridMultilevel"/>
    <w:lvl w:ilvl="0">
      <w:lvlJc w:val="left"/>
      <w:lvlText w:val="•"/>
      <w:numFmt w:val="bullet"/>
      <w:start w:val="1"/>
    </w:lvl>
  </w:abstractNum>
  <w:abstractNum w:abstractNumId="140">
    <w:nsid w:val="7FBD7A3E"/>
    <w:multiLevelType w:val="hybridMultilevel"/>
    <w:lvl w:ilvl="0">
      <w:lvlJc w:val="left"/>
      <w:lvlText w:val="•"/>
      <w:numFmt w:val="bullet"/>
      <w:start w:val="1"/>
    </w:lvl>
  </w:abstractNum>
  <w:abstractNum w:abstractNumId="141">
    <w:nsid w:val="490B7C5"/>
    <w:multiLevelType w:val="hybridMultilevel"/>
    <w:lvl w:ilvl="0">
      <w:lvlJc w:val="left"/>
      <w:lvlText w:val="•"/>
      <w:numFmt w:val="bullet"/>
      <w:start w:val="1"/>
    </w:lvl>
  </w:abstractNum>
  <w:abstractNum w:abstractNumId="142">
    <w:nsid w:val="4303A216"/>
    <w:multiLevelType w:val="hybridMultilevel"/>
    <w:lvl w:ilvl="0">
      <w:lvlJc w:val="left"/>
      <w:lvlText w:val="(%1)"/>
      <w:numFmt w:val="lowerLetter"/>
      <w:start w:val="1"/>
    </w:lvl>
  </w:abstractNum>
  <w:abstractNum w:abstractNumId="143">
    <w:nsid w:val="19B8A08E"/>
    <w:multiLevelType w:val="hybridMultilevel"/>
    <w:lvl w:ilvl="0">
      <w:lvlJc w:val="left"/>
      <w:lvlText w:val="(%1)"/>
      <w:numFmt w:val="lowerLetter"/>
      <w:start w:val="1"/>
    </w:lvl>
  </w:abstractNum>
  <w:abstractNum w:abstractNumId="144">
    <w:nsid w:val="54B59621"/>
    <w:multiLevelType w:val="hybridMultilevel"/>
    <w:lvl w:ilvl="0">
      <w:lvlJc w:val="left"/>
      <w:lvlText w:val="(%1)"/>
      <w:numFmt w:val="lowerLetter"/>
      <w:start w:val="1"/>
    </w:lvl>
  </w:abstractNum>
  <w:abstractNum w:abstractNumId="145">
    <w:nsid w:val="5992A02E"/>
    <w:multiLevelType w:val="hybridMultilevel"/>
    <w:lvl w:ilvl="0">
      <w:lvlJc w:val="left"/>
      <w:lvlText w:val="(%1)"/>
      <w:numFmt w:val="decimal"/>
      <w:start w:val="3"/>
    </w:lvl>
  </w:abstractNum>
  <w:abstractNum w:abstractNumId="146">
    <w:nsid w:val="29EF532D"/>
    <w:multiLevelType w:val="hybridMultilevel"/>
    <w:lvl w:ilvl="0">
      <w:lvlJc w:val="left"/>
      <w:lvlText w:val="(%1)"/>
      <w:numFmt w:val="decimal"/>
      <w:start w:val="1"/>
    </w:lvl>
  </w:abstractNum>
  <w:abstractNum w:abstractNumId="147">
    <w:nsid w:val="71D601AF"/>
    <w:multiLevelType w:val="hybridMultilevel"/>
    <w:lvl w:ilvl="0">
      <w:lvlJc w:val="left"/>
      <w:lvlText w:val="%1."/>
      <w:numFmt w:val="decimal"/>
      <w:start w:val="2"/>
    </w:lvl>
  </w:abstractNum>
  <w:abstractNum w:abstractNumId="148">
    <w:nsid w:val="52C77402"/>
    <w:multiLevelType w:val="hybridMultilevel"/>
    <w:lvl w:ilvl="0">
      <w:lvlJc w:val="left"/>
      <w:lvlText w:val="•"/>
      <w:numFmt w:val="bullet"/>
      <w:start w:val="1"/>
    </w:lvl>
  </w:abstractNum>
  <w:abstractNum w:abstractNumId="149">
    <w:nsid w:val="2BB5B1C6"/>
    <w:multiLevelType w:val="hybridMultilevel"/>
    <w:lvl w:ilvl="0">
      <w:lvlJc w:val="left"/>
      <w:lvlText w:val="%1."/>
      <w:numFmt w:val="decimal"/>
      <w:start w:val="7"/>
    </w:lvl>
  </w:abstractNum>
  <w:abstractNum w:abstractNumId="150">
    <w:nsid w:val="66BE6B9"/>
    <w:multiLevelType w:val="hybridMultilevel"/>
    <w:lvl w:ilvl="0">
      <w:lvlJc w:val="left"/>
      <w:lvlText w:val="(%1)"/>
      <w:numFmt w:val="lowerRoman"/>
      <w:start w:val="3"/>
    </w:lvl>
  </w:abstractNum>
  <w:abstractNum w:abstractNumId="151">
    <w:nsid w:val="62234363"/>
    <w:multiLevelType w:val="hybridMultilevel"/>
    <w:lvl w:ilvl="0">
      <w:lvlJc w:val="left"/>
      <w:lvlText w:val="+"/>
      <w:numFmt w:val="bullet"/>
      <w:start w:val="1"/>
    </w:lvl>
  </w:abstractNum>
  <w:abstractNum w:abstractNumId="152">
    <w:nsid w:val="66D385C9"/>
    <w:multiLevelType w:val="hybridMultilevel"/>
    <w:lvl w:ilvl="0">
      <w:lvlJc w:val="left"/>
      <w:lvlText w:val="†"/>
      <w:numFmt w:val="bullet"/>
      <w:start w:val="1"/>
    </w:lvl>
  </w:abstractNum>
  <w:abstractNum w:abstractNumId="153">
    <w:nsid w:val="596F6D8A"/>
    <w:multiLevelType w:val="hybridMultilevel"/>
    <w:lvl w:ilvl="0">
      <w:lvlJc w:val="left"/>
      <w:lvlText w:val="*"/>
      <w:numFmt w:val="bullet"/>
      <w:start w:val="1"/>
    </w:lvl>
  </w:abstractNum>
  <w:abstractNum w:abstractNumId="154">
    <w:nsid w:val="5749361F"/>
    <w:multiLevelType w:val="hybridMultilevel"/>
    <w:lvl w:ilvl="0">
      <w:lvlJc w:val="left"/>
      <w:lvlText w:val="#"/>
      <w:numFmt w:val="bullet"/>
      <w:start w:val="1"/>
    </w:lvl>
  </w:abstractNum>
  <w:abstractNum w:abstractNumId="155">
    <w:nsid w:val="73BC6770"/>
    <w:multiLevelType w:val="hybridMultilevel"/>
    <w:lvl w:ilvl="0">
      <w:lvlJc w:val="left"/>
      <w:lvlText w:val="(%1)"/>
      <w:numFmt w:val="decimal"/>
      <w:start w:val="1"/>
    </w:lvl>
    <w:lvl w:ilvl="1">
      <w:lvlJc w:val="left"/>
      <w:lvlText w:val="(%2)"/>
      <w:numFmt w:val="decimal"/>
      <w:start w:val="1"/>
    </w:lvl>
  </w:abstractNum>
  <w:abstractNum w:abstractNumId="156">
    <w:nsid w:val="280E6897"/>
    <w:multiLevelType w:val="hybridMultilevel"/>
    <w:lvl w:ilvl="0">
      <w:lvlJc w:val="left"/>
      <w:lvlText w:val="(%1)"/>
      <w:numFmt w:val="lowerLetter"/>
      <w:start w:val="3"/>
    </w:lvl>
  </w:abstractNum>
  <w:abstractNum w:abstractNumId="157">
    <w:nsid w:val="605138DE"/>
    <w:multiLevelType w:val="hybridMultilevel"/>
    <w:lvl w:ilvl="0">
      <w:lvlJc w:val="left"/>
      <w:lvlText w:val="(%1)"/>
      <w:numFmt w:val="lowerLetter"/>
      <w:start w:val="4"/>
    </w:lvl>
  </w:abstractNum>
  <w:abstractNum w:abstractNumId="158">
    <w:nsid w:val="2622AD0C"/>
    <w:multiLevelType w:val="hybridMultilevel"/>
    <w:lvl w:ilvl="0">
      <w:lvlJc w:val="left"/>
      <w:lvlText w:val="(%1)"/>
      <w:numFmt w:val="lowerLetter"/>
      <w:start w:val="11"/>
    </w:lvl>
  </w:abstractNum>
  <w:abstractNum w:abstractNumId="159">
    <w:nsid w:val="67997556"/>
    <w:multiLevelType w:val="hybridMultilevel"/>
    <w:lvl w:ilvl="0">
      <w:lvlJc w:val="left"/>
      <w:lvlText w:val="(%1)"/>
      <w:numFmt w:val="lowerLetter"/>
      <w:start w:val="15"/>
    </w:lvl>
  </w:abstractNum>
  <w:abstractNum w:abstractNumId="160">
    <w:nsid w:val="18333C89"/>
    <w:multiLevelType w:val="hybridMultilevel"/>
    <w:lvl w:ilvl="0">
      <w:lvlJc w:val="left"/>
      <w:lvlText w:val="(%1)"/>
      <w:numFmt w:val="lowerLetter"/>
      <w:start w:val="19"/>
    </w:lvl>
    <w:lvl w:ilvl="1">
      <w:lvlJc w:val="left"/>
      <w:lvlText w:val="(%2)"/>
      <w:numFmt w:val="lowerRoman"/>
      <w:start w:val="1"/>
    </w:lvl>
    <w:lvl w:ilvl="2">
      <w:lvlJc w:val="left"/>
      <w:lvlText w:val="(%3)"/>
      <w:numFmt w:val="upperLetter"/>
      <w:start w:val="1"/>
    </w:lvl>
  </w:abstractNum>
  <w:abstractNum w:abstractNumId="161">
    <w:nsid w:val="4BA9831A"/>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162">
    <w:nsid w:val="6D71A2B"/>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63">
    <w:nsid w:val="CFC7321"/>
    <w:multiLevelType w:val="hybridMultilevel"/>
    <w:lvl w:ilvl="0">
      <w:lvlJc w:val="left"/>
      <w:lvlText w:val="(%1)"/>
      <w:numFmt w:val="lowerLetter"/>
      <w:start w:val="21"/>
    </w:lvl>
    <w:lvl w:ilvl="1">
      <w:lvlJc w:val="left"/>
      <w:lvlText w:val="%2"/>
      <w:numFmt w:val="lowerLetter"/>
      <w:start w:val="1"/>
    </w:lvl>
    <w:lvl w:ilvl="2">
      <w:lvlJc w:val="left"/>
      <w:lvlText w:val="%3"/>
      <w:numFmt w:val="upperLetter"/>
      <w:start w:val="1"/>
    </w:lvl>
  </w:abstractNum>
  <w:abstractNum w:abstractNumId="164">
    <w:nsid w:val="1421971B"/>
    <w:multiLevelType w:val="hybridMultilevel"/>
    <w:lvl w:ilvl="0">
      <w:lvlJc w:val="left"/>
      <w:lvlText w:val="(%1)"/>
      <w:numFmt w:val="lowerRoman"/>
      <w:start w:val="10"/>
    </w:lvl>
  </w:abstractNum>
  <w:abstractNum w:abstractNumId="165">
    <w:nsid w:val="1F404301"/>
    <w:multiLevelType w:val="hybridMultilevel"/>
    <w:lvl w:ilvl="0">
      <w:lvlJc w:val="left"/>
      <w:lvlText w:val="(%1)"/>
      <w:numFmt w:val="lowerLetter"/>
      <w:start w:val="25"/>
    </w:lvl>
  </w:abstractNum>
  <w:abstractNum w:abstractNumId="166">
    <w:nsid w:val="116E0907"/>
    <w:multiLevelType w:val="hybridMultilevel"/>
    <w:lvl w:ilvl="0">
      <w:lvlJc w:val="left"/>
      <w:lvlText w:val="(%1)"/>
      <w:numFmt w:val="lowerLetter"/>
      <w:start w:val="26"/>
    </w:lvl>
  </w:abstractNum>
  <w:abstractNum w:abstractNumId="167">
    <w:nsid w:val="4B683D0D"/>
    <w:multiLevelType w:val="hybridMultilevel"/>
    <w:lvl w:ilvl="0">
      <w:lvlJc w:val="left"/>
      <w:lvlText w:val="(%1)"/>
      <w:numFmt w:val="lowerLetter"/>
      <w:start w:val="27"/>
    </w:lvl>
  </w:abstractNum>
  <w:abstractNum w:abstractNumId="168">
    <w:nsid w:val="76E41D8"/>
    <w:multiLevelType w:val="hybridMultilevel"/>
    <w:lvl w:ilvl="0">
      <w:lvlJc w:val="left"/>
      <w:lvlText w:val="(%1)"/>
      <w:numFmt w:val="lowerLetter"/>
      <w:start w:val="31"/>
    </w:lvl>
  </w:abstractNum>
  <w:abstractNum w:abstractNumId="169">
    <w:nsid w:val="71DCE0FD"/>
    <w:multiLevelType w:val="hybridMultilevel"/>
    <w:lvl w:ilvl="0">
      <w:lvlJc w:val="left"/>
      <w:lvlText w:val="(%1)"/>
      <w:numFmt w:val="lowerLetter"/>
      <w:start w:val="35"/>
    </w:lvl>
  </w:abstractNum>
  <w:abstractNum w:abstractNumId="170">
    <w:nsid w:val="7906328B"/>
    <w:multiLevelType w:val="hybridMultilevel"/>
    <w:lvl w:ilvl="0">
      <w:lvlJc w:val="left"/>
      <w:lvlText w:val="(%1)"/>
      <w:numFmt w:val="lowerLetter"/>
      <w:start w:val="39"/>
    </w:lvl>
    <w:lvl w:ilvl="1">
      <w:lvlJc w:val="left"/>
      <w:lvlText w:val="(%2)"/>
      <w:numFmt w:val="lowerRoman"/>
      <w:start w:val="1"/>
    </w:lvl>
  </w:abstractNum>
  <w:abstractNum w:abstractNumId="171">
    <w:nsid w:val="72BBC16"/>
    <w:multiLevelType w:val="hybridMultilevel"/>
    <w:lvl w:ilvl="0">
      <w:lvlJc w:val="left"/>
      <w:lvlText w:val="%1"/>
      <w:numFmt w:val="lowerLetter"/>
      <w:start w:val="1"/>
    </w:lvl>
    <w:lvl w:ilvl="1">
      <w:lvlJc w:val="left"/>
      <w:lvlText w:val="(%2)"/>
      <w:numFmt w:val="lowerLetter"/>
      <w:start w:val="40"/>
    </w:lvl>
  </w:abstractNum>
  <w:abstractNum w:abstractNumId="172">
    <w:nsid w:val="766D98C2"/>
    <w:multiLevelType w:val="hybridMultilevel"/>
    <w:lvl w:ilvl="0">
      <w:lvlJc w:val="left"/>
      <w:lvlText w:val="(%1)"/>
      <w:numFmt w:val="lowerLetter"/>
      <w:start w:val="61"/>
    </w:lvl>
    <w:lvl w:ilvl="1">
      <w:lvlJc w:val="left"/>
      <w:lvlText w:val="%2"/>
      <w:numFmt w:val="lowerLetter"/>
      <w:start w:val="1"/>
    </w:lvl>
  </w:abstractNum>
  <w:abstractNum w:abstractNumId="173">
    <w:nsid w:val="3C09D4A1"/>
    <w:multiLevelType w:val="hybridMultilevel"/>
    <w:lvl w:ilvl="0">
      <w:lvlJc w:val="left"/>
      <w:lvlText w:val="(%1)"/>
      <w:numFmt w:val="lowerLetter"/>
      <w:start w:val="22"/>
    </w:lvl>
    <w:lvl w:ilvl="1">
      <w:lvlJc w:val="left"/>
      <w:lvlText w:val="(%2)"/>
      <w:numFmt w:val="lowerLetter"/>
      <w:start w:val="41"/>
    </w:lvl>
  </w:abstractNum>
  <w:abstractNum w:abstractNumId="174">
    <w:nsid w:val="20E45CA4"/>
    <w:multiLevelType w:val="hybridMultilevel"/>
    <w:lvl w:ilvl="0">
      <w:lvlJc w:val="left"/>
      <w:lvlText w:val="%1."/>
      <w:numFmt w:val="decimal"/>
      <w:start w:val="2"/>
    </w:lvl>
  </w:abstractNum>
  <w:abstractNum w:abstractNumId="175">
    <w:nsid w:val="4B232EE3"/>
    <w:multiLevelType w:val="hybridMultilevel"/>
    <w:lvl w:ilvl="0">
      <w:lvlJc w:val="left"/>
      <w:lvlText w:val="%1."/>
      <w:numFmt w:val="decimal"/>
      <w:start w:val="3"/>
    </w:lvl>
  </w:abstractNum>
  <w:abstractNum w:abstractNumId="176">
    <w:nsid w:val="159C74CF"/>
    <w:multiLevelType w:val="hybridMultilevel"/>
    <w:lvl w:ilvl="0">
      <w:lvlJc w:val="left"/>
      <w:lvlText w:val="%1."/>
      <w:numFmt w:val="decimal"/>
      <w:start w:val="4"/>
    </w:lvl>
  </w:abstractNum>
  <w:abstractNum w:abstractNumId="177">
    <w:nsid w:val="4AD3AFD2"/>
    <w:multiLevelType w:val="hybridMultilevel"/>
    <w:lvl w:ilvl="0">
      <w:lvlJc w:val="left"/>
      <w:lvlText w:val="%1."/>
      <w:numFmt w:val="decimal"/>
      <w:start w:val="5"/>
    </w:lvl>
  </w:abstractNum>
  <w:abstractNum w:abstractNumId="178">
    <w:nsid w:val="3CF93092"/>
    <w:multiLevelType w:val="hybridMultilevel"/>
    <w:lvl w:ilvl="0">
      <w:lvlJc w:val="left"/>
      <w:lvlText w:val="(%1)"/>
      <w:numFmt w:val="lowerLetter"/>
      <w:start w:val="1"/>
    </w:lvl>
    <w:lvl w:ilvl="1">
      <w:lvlJc w:val="left"/>
      <w:lvlText w:val="(%2)"/>
      <w:numFmt w:val="lowerLetter"/>
      <w:start w:val="9"/>
    </w:lvl>
  </w:abstractNum>
  <w:abstractNum w:abstractNumId="179">
    <w:nsid w:val="6863E8D2"/>
    <w:multiLevelType w:val="hybridMultilevel"/>
    <w:lvl w:ilvl="0">
      <w:lvlJc w:val="left"/>
      <w:lvlText w:val="%1"/>
      <w:numFmt w:val="lowerLetter"/>
      <w:start w:val="1"/>
    </w:lvl>
    <w:lvl w:ilvl="1">
      <w:lvlJc w:val="left"/>
      <w:lvlText w:val="(%2)"/>
      <w:numFmt w:val="lowerLetter"/>
      <w:start w:val="35"/>
    </w:lvl>
  </w:abstractNum>
  <w:abstractNum w:abstractNumId="180">
    <w:nsid w:val="76896198"/>
    <w:multiLevelType w:val="hybridMultilevel"/>
    <w:lvl w:ilvl="0">
      <w:lvlJc w:val="left"/>
      <w:lvlText w:val="(%1)"/>
      <w:numFmt w:val="lowerLetter"/>
      <w:start w:val="2"/>
    </w:lvl>
    <w:lvl w:ilvl="1">
      <w:lvlJc w:val="left"/>
      <w:lvlText w:val="%2"/>
      <w:numFmt w:val="lowerLetter"/>
      <w:start w:val="1"/>
    </w:lvl>
  </w:abstractNum>
  <w:abstractNum w:abstractNumId="181">
    <w:nsid w:val="4365174B"/>
    <w:multiLevelType w:val="hybridMultilevel"/>
    <w:lvl w:ilvl="0">
      <w:lvlJc w:val="left"/>
      <w:lvlText w:val="(%1)"/>
      <w:numFmt w:val="lowerLetter"/>
      <w:start w:val="3"/>
    </w:lvl>
  </w:abstractNum>
  <w:abstractNum w:abstractNumId="182">
    <w:nsid w:val="4A872C35"/>
    <w:multiLevelType w:val="hybridMultilevel"/>
    <w:lvl w:ilvl="0">
      <w:lvlJc w:val="left"/>
      <w:lvlText w:val="(%1)"/>
      <w:numFmt w:val="lowerLetter"/>
      <w:start w:val="6"/>
    </w:lvl>
    <w:lvl w:ilvl="1">
      <w:lvlJc w:val="left"/>
      <w:lvlText w:val="(%2)"/>
      <w:numFmt w:val="lowerRoman"/>
      <w:start w:val="1"/>
    </w:lvl>
  </w:abstractNum>
  <w:abstractNum w:abstractNumId="183">
    <w:nsid w:val="5D5CE76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184">
    <w:nsid w:val="1CD484D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85">
    <w:nsid w:val="21D06255"/>
    <w:multiLevelType w:val="hybridMultilevel"/>
    <w:lvl w:ilvl="0">
      <w:lvlJc w:val="left"/>
      <w:lvlText w:val="(%1)"/>
      <w:numFmt w:val="lowerLetter"/>
      <w:start w:val="6"/>
    </w:lvl>
  </w:abstractNum>
  <w:abstractNum w:abstractNumId="186">
    <w:nsid w:val="51194ED1"/>
    <w:multiLevelType w:val="hybridMultilevel"/>
    <w:lvl w:ilvl="0">
      <w:lvlJc w:val="left"/>
      <w:lvlText w:val="(%1)"/>
      <w:numFmt w:val="lowerRoman"/>
      <w:start w:val="1"/>
    </w:lvl>
  </w:abstractNum>
  <w:abstractNum w:abstractNumId="187">
    <w:nsid w:val="44E2ED6C"/>
    <w:multiLevelType w:val="hybridMultilevel"/>
    <w:lvl w:ilvl="0">
      <w:lvlJc w:val="left"/>
      <w:lvlText w:val="(%1)"/>
      <w:numFmt w:val="lowerLetter"/>
      <w:start w:val="10"/>
    </w:lvl>
  </w:abstractNum>
  <w:abstractNum w:abstractNumId="188">
    <w:nsid w:val="2219B33"/>
    <w:multiLevelType w:val="hybridMultilevel"/>
    <w:lvl w:ilvl="0">
      <w:lvlJc w:val="left"/>
      <w:lvlText w:val="%1."/>
      <w:numFmt w:val="decimal"/>
      <w:start w:val="7"/>
    </w:lvl>
    <w:lvl w:ilvl="1">
      <w:lvlJc w:val="left"/>
      <w:lvlText w:val="(%2)"/>
      <w:numFmt w:val="lowerLetter"/>
      <w:start w:val="2"/>
    </w:lvl>
  </w:abstractNum>
  <w:abstractNum w:abstractNumId="189">
    <w:nsid w:val="773BFBDD"/>
    <w:multiLevelType w:val="hybridMultilevel"/>
    <w:lvl w:ilvl="0">
      <w:lvlJc w:val="left"/>
      <w:lvlText w:val="(%1)"/>
      <w:numFmt w:val="lowerLetter"/>
      <w:start w:val="3"/>
    </w:lvl>
  </w:abstractNum>
  <w:abstractNum w:abstractNumId="190">
    <w:nsid w:val="2C7C62C2"/>
    <w:multiLevelType w:val="hybridMultilevel"/>
    <w:lvl w:ilvl="0">
      <w:lvlJc w:val="left"/>
      <w:lvlText w:val="(%1)"/>
      <w:numFmt w:val="lowerLetter"/>
      <w:start w:val="4"/>
    </w:lvl>
  </w:abstractNum>
  <w:abstractNum w:abstractNumId="191">
    <w:nsid w:val="1A54D7BC"/>
    <w:multiLevelType w:val="hybridMultilevel"/>
    <w:lvl w:ilvl="0">
      <w:lvlJc w:val="left"/>
      <w:lvlText w:val="%1"/>
      <w:numFmt w:val="lowerLetter"/>
      <w:start w:val="1"/>
    </w:lvl>
    <w:lvl w:ilvl="1">
      <w:lvlJc w:val="left"/>
      <w:lvlText w:val="(%2)"/>
      <w:numFmt w:val="lowerLetter"/>
      <w:start w:val="6"/>
    </w:lvl>
  </w:abstractNum>
  <w:abstractNum w:abstractNumId="192">
    <w:nsid w:val="42E57EF7"/>
    <w:multiLevelType w:val="hybridMultilevel"/>
    <w:lvl w:ilvl="0">
      <w:lvlJc w:val="left"/>
      <w:lvlText w:val="(%1)"/>
      <w:numFmt w:val="lowerLetter"/>
      <w:start w:val="35"/>
    </w:lvl>
    <w:lvl w:ilvl="1">
      <w:lvlJc w:val="left"/>
      <w:lvlText w:val="%2"/>
      <w:numFmt w:val="lowerLetter"/>
      <w:start w:val="1"/>
    </w:lvl>
  </w:abstractNum>
  <w:abstractNum w:abstractNumId="193">
    <w:nsid w:val="33537CED"/>
    <w:multiLevelType w:val="hybridMultilevel"/>
    <w:lvl w:ilvl="0">
      <w:lvlJc w:val="left"/>
      <w:lvlText w:val="%1."/>
      <w:numFmt w:val="decimal"/>
      <w:start w:val="9"/>
    </w:lvl>
  </w:abstractNum>
  <w:abstractNum w:abstractNumId="194">
    <w:nsid w:val="27514ADE"/>
    <w:multiLevelType w:val="hybridMultilevel"/>
    <w:lvl w:ilvl="0">
      <w:lvlJc w:val="left"/>
      <w:lvlText w:val="(%1)"/>
      <w:numFmt w:val="lowerRoman"/>
      <w:start w:val="1"/>
    </w:lvl>
  </w:abstractNum>
  <w:abstractNum w:abstractNumId="195">
    <w:nsid w:val="57071613"/>
    <w:multiLevelType w:val="hybridMultilevel"/>
    <w:lvl w:ilvl="0">
      <w:lvlJc w:val="left"/>
      <w:lvlText w:val="%1."/>
      <w:numFmt w:val="decimal"/>
      <w:start w:val="11"/>
    </w:lvl>
  </w:abstractNum>
  <w:abstractNum w:abstractNumId="196">
    <w:nsid w:val="5293BFEF"/>
    <w:multiLevelType w:val="hybridMultilevel"/>
    <w:lvl w:ilvl="0">
      <w:lvlJc w:val="left"/>
      <w:lvlText w:val="%1"/>
      <w:numFmt w:val="decimal"/>
      <w:start w:val="1"/>
    </w:lvl>
    <w:lvl w:ilvl="1">
      <w:lvlJc w:val="left"/>
      <w:lvlText w:val="(%2)"/>
      <w:numFmt w:val="lowerLetter"/>
      <w:start w:val="2"/>
    </w:lvl>
  </w:abstractNum>
  <w:abstractNum w:abstractNumId="197">
    <w:nsid w:val="38BF53E5"/>
    <w:multiLevelType w:val="hybridMultilevel"/>
    <w:lvl w:ilvl="0">
      <w:lvlJc w:val="left"/>
      <w:lvlText w:val="%1."/>
      <w:numFmt w:val="decimal"/>
      <w:start w:val="12"/>
    </w:lvl>
    <w:lvl w:ilvl="1">
      <w:lvlJc w:val="left"/>
      <w:lvlText w:val="(%2)"/>
      <w:numFmt w:val="lowerLetter"/>
      <w:start w:val="2"/>
    </w:lvl>
  </w:abstractNum>
  <w:abstractNum w:abstractNumId="198">
    <w:nsid w:val="226F5320"/>
    <w:multiLevelType w:val="hybridMultilevel"/>
    <w:lvl w:ilvl="0">
      <w:lvlJc w:val="left"/>
      <w:lvlText w:val="%1."/>
      <w:numFmt w:val="decimal"/>
      <w:start w:val="13"/>
    </w:lvl>
  </w:abstractNum>
  <w:abstractNum w:abstractNumId="199">
    <w:nsid w:val="5A0201C7"/>
    <w:multiLevelType w:val="hybridMultilevel"/>
    <w:lvl w:ilvl="0">
      <w:lvlJc w:val="left"/>
      <w:lvlText w:val="%1."/>
      <w:numFmt w:val="decimal"/>
      <w:start w:val="14"/>
    </w:lvl>
  </w:abstractNum>
  <w:abstractNum w:abstractNumId="200">
    <w:nsid w:val="2A9C34E2"/>
    <w:multiLevelType w:val="hybridMultilevel"/>
    <w:lvl w:ilvl="0">
      <w:lvlJc w:val="left"/>
      <w:lvlText w:val="%1."/>
      <w:numFmt w:val="decimal"/>
      <w:start w:val="1"/>
    </w:lvl>
  </w:abstractNum>
  <w:abstractNum w:abstractNumId="201">
    <w:nsid w:val="1B7585AB"/>
    <w:multiLevelType w:val="hybridMultilevel"/>
    <w:lvl w:ilvl="0">
      <w:lvlJc w:val="left"/>
      <w:lvlText w:val="%1)"/>
      <w:numFmt w:val="lowerLetter"/>
      <w:start w:val="1"/>
    </w:lvl>
  </w:abstractNum>
  <w:abstractNum w:abstractNumId="202">
    <w:nsid w:val="612DBDDD"/>
    <w:multiLevelType w:val="hybridMultilevel"/>
    <w:lvl w:ilvl="0">
      <w:lvlJc w:val="left"/>
      <w:lvlText w:val="%1)"/>
      <w:numFmt w:val="lowerLetter"/>
      <w:start w:val="4"/>
    </w:lvl>
  </w:abstractNum>
  <w:abstractNum w:abstractNumId="203">
    <w:nsid w:val="2109CDA4"/>
    <w:multiLevelType w:val="hybridMultilevel"/>
    <w:lvl w:ilvl="0">
      <w:lvlJc w:val="left"/>
      <w:lvlText w:val="%1)"/>
      <w:numFmt w:val="lowerLetter"/>
      <w:start w:val="8"/>
    </w:lvl>
  </w:abstractNum>
  <w:abstractNum w:abstractNumId="204">
    <w:nsid w:val="577F5A4D"/>
    <w:multiLevelType w:val="hybridMultilevel"/>
    <w:lvl w:ilvl="0">
      <w:lvlJc w:val="left"/>
      <w:lvlText w:val="2"/>
      <w:numFmt w:val="bullet"/>
      <w:start w:val="1"/>
    </w:lvl>
  </w:abstractNum>
  <w:abstractNum w:abstractNumId="205">
    <w:nsid w:val="2121A81"/>
    <w:multiLevelType w:val="hybridMultilevel"/>
    <w:lvl w:ilvl="0">
      <w:lvlJc w:val="left"/>
      <w:lvlText w:val="(%1)"/>
      <w:numFmt w:val="lowerRoman"/>
      <w:start w:val="4"/>
    </w:lvl>
  </w:abstractNum>
  <w:abstractNum w:abstractNumId="206">
    <w:nsid w:val="6C2CFC88"/>
    <w:multiLevelType w:val="hybridMultilevel"/>
    <w:lvl w:ilvl="0">
      <w:lvlJc w:val="left"/>
      <w:lvlText w:val="%1:"/>
      <w:numFmt w:val="lowerLetter"/>
      <w:start w:val="29"/>
    </w:lvl>
  </w:abstractNum>
  <w:abstractNum w:abstractNumId="207">
    <w:nsid w:val="6D1BCF1C"/>
    <w:multiLevelType w:val="hybridMultilevel"/>
    <w:lvl w:ilvl="0">
      <w:lvlJc w:val="left"/>
      <w:lvlText w:val="%1."/>
      <w:numFmt w:val="decimal"/>
      <w:start w:val="1"/>
    </w:lvl>
  </w:abstractNum>
  <w:abstractNum w:abstractNumId="208">
    <w:nsid w:val="4CE5CA53"/>
    <w:multiLevelType w:val="hybridMultilevel"/>
    <w:lvl w:ilvl="0">
      <w:lvlJc w:val="left"/>
      <w:lvlText w:val="%1."/>
      <w:numFmt w:val="decimal"/>
      <w:start w:val="4"/>
    </w:lvl>
  </w:abstractNum>
  <w:abstractNum w:abstractNumId="209">
    <w:nsid w:val="29262D1A"/>
    <w:multiLevelType w:val="hybridMultilevel"/>
    <w:lvl w:ilvl="0">
      <w:lvlJc w:val="left"/>
      <w:lvlText w:val="(%1)"/>
      <w:numFmt w:val="lowerLetter"/>
      <w:start w:val="1"/>
    </w:lvl>
  </w:abstractNum>
  <w:abstractNum w:abstractNumId="210">
    <w:nsid w:val="557FB7EE"/>
    <w:multiLevelType w:val="hybridMultilevel"/>
    <w:lvl w:ilvl="0">
      <w:lvlJc w:val="left"/>
      <w:lvlText w:val="%1"/>
      <w:numFmt w:val="lowerRoman"/>
      <w:start w:val="1"/>
    </w:lvl>
    <w:lvl w:ilvl="1">
      <w:lvlJc w:val="left"/>
      <w:lvlText w:val="(%2)"/>
      <w:numFmt w:val="lowerLetter"/>
      <w:start w:val="1"/>
    </w:lvl>
  </w:abstractNum>
  <w:abstractNum w:abstractNumId="211">
    <w:nsid w:val="436F2BEB"/>
    <w:multiLevelType w:val="hybridMultilevel"/>
    <w:lvl w:ilvl="0">
      <w:lvlJc w:val="left"/>
      <w:lvlText w:val="(%1)"/>
      <w:numFmt w:val="lowerRoman"/>
      <w:start w:val="4"/>
    </w:lvl>
    <w:lvl w:ilvl="1">
      <w:lvlJc w:val="left"/>
      <w:lvlText w:val="%2"/>
      <w:numFmt w:val="lowerLetter"/>
      <w:start w:val="1"/>
    </w:lvl>
  </w:abstractNum>
  <w:abstractNum w:abstractNumId="212">
    <w:nsid w:val="6C8B4466"/>
    <w:multiLevelType w:val="hybridMultilevel"/>
    <w:lvl w:ilvl="0">
      <w:lvlJc w:val="left"/>
      <w:lvlText w:val="(%1)"/>
      <w:numFmt w:val="lowerLetter"/>
      <w:start w:val="1"/>
    </w:lvl>
  </w:abstractNum>
  <w:abstractNum w:abstractNumId="213">
    <w:nsid w:val="2006E424"/>
    <w:multiLevelType w:val="hybridMultilevel"/>
    <w:lvl w:ilvl="0">
      <w:lvlJc w:val="left"/>
      <w:lvlText w:val="%1"/>
      <w:numFmt w:val="lowerLetter"/>
      <w:start w:val="1"/>
    </w:lvl>
    <w:lvl w:ilvl="1">
      <w:lvlJc w:val="left"/>
      <w:lvlText w:val="(%2)"/>
      <w:numFmt w:val="lowerLetter"/>
      <w:start w:val="3"/>
    </w:lvl>
  </w:abstractNum>
  <w:abstractNum w:abstractNumId="214">
    <w:nsid w:val="20CC134C"/>
    <w:multiLevelType w:val="hybridMultilevel"/>
    <w:lvl w:ilvl="0">
      <w:lvlJc w:val="left"/>
      <w:lvlText w:val="(%1)"/>
      <w:numFmt w:val="lowerLetter"/>
      <w:start w:val="35"/>
    </w:lvl>
    <w:lvl w:ilvl="1">
      <w:lvlJc w:val="left"/>
      <w:lvlText w:val="%2"/>
      <w:numFmt w:val="lowerLetter"/>
      <w:start w:val="1"/>
    </w:lvl>
  </w:abstractNum>
  <w:abstractNum w:abstractNumId="215">
    <w:nsid w:val="95FC93B"/>
    <w:multiLevelType w:val="hybridMultilevel"/>
    <w:lvl w:ilvl="0">
      <w:lvlJc w:val="left"/>
      <w:lvlText w:val="(%1)"/>
      <w:numFmt w:val="lowerLetter"/>
      <w:start w:val="1"/>
    </w:lvl>
  </w:abstractNum>
  <w:abstractNum w:abstractNumId="216">
    <w:nsid w:val="41D74679"/>
    <w:multiLevelType w:val="hybridMultilevel"/>
    <w:lvl w:ilvl="0">
      <w:lvlJc w:val="left"/>
      <w:lvlText w:val="(%1)"/>
      <w:numFmt w:val="lowerLetter"/>
      <w:start w:val="2"/>
    </w:lvl>
  </w:abstractNum>
  <w:abstractNum w:abstractNumId="217">
    <w:nsid w:val="71E5621E"/>
    <w:multiLevelType w:val="hybridMultilevel"/>
    <w:lvl w:ilvl="0">
      <w:lvlJc w:val="left"/>
      <w:lvlText w:val="(%1)"/>
      <w:numFmt w:val="lowerLetter"/>
      <w:start w:val="1"/>
    </w:lvl>
  </w:abstractNum>
  <w:abstractNum w:abstractNumId="218">
    <w:nsid w:val="4E42B6A8"/>
    <w:multiLevelType w:val="hybridMultilevel"/>
    <w:lvl w:ilvl="0">
      <w:lvlJc w:val="left"/>
      <w:lvlText w:val="(%1)"/>
      <w:numFmt w:val="lowerLetter"/>
      <w:start w:val="3"/>
    </w:lvl>
  </w:abstractNum>
  <w:abstractNum w:abstractNumId="219">
    <w:nsid w:val="43F8E1AC"/>
    <w:multiLevelType w:val="hybridMultilevel"/>
    <w:lvl w:ilvl="0">
      <w:lvlJc w:val="left"/>
      <w:lvlText w:val="(%1)"/>
      <w:numFmt w:val="lowerLetter"/>
      <w:start w:val="1"/>
    </w:lvl>
    <w:lvl w:ilvl="1">
      <w:lvlJc w:val="left"/>
      <w:lvlText w:val="(%2)"/>
      <w:numFmt w:val="upperLetter"/>
      <w:start w:val="1"/>
    </w:lvl>
  </w:abstractNum>
  <w:abstractNum w:abstractNumId="220">
    <w:nsid w:val="69215DFB"/>
    <w:multiLevelType w:val="hybridMultilevel"/>
    <w:lvl w:ilvl="0">
      <w:lvlJc w:val="left"/>
      <w:lvlText w:val="%1"/>
      <w:numFmt w:val="lowerLetter"/>
      <w:start w:val="1"/>
    </w:lvl>
    <w:lvl w:ilvl="1">
      <w:lvlJc w:val="left"/>
      <w:lvlText w:val="(%2)"/>
      <w:numFmt w:val="upperLetter"/>
      <w:start w:val="5"/>
    </w:lvl>
  </w:abstractNum>
  <w:abstractNum w:abstractNumId="221">
    <w:nsid w:val="7ABF196A"/>
    <w:multiLevelType w:val="hybridMultilevel"/>
    <w:lvl w:ilvl="0">
      <w:lvlJc w:val="left"/>
      <w:lvlText w:val="(%1)"/>
      <w:numFmt w:val="lowerLetter"/>
      <w:start w:val="3"/>
    </w:lvl>
    <w:lvl w:ilvl="1">
      <w:lvlJc w:val="left"/>
      <w:lvlText w:val="%2"/>
      <w:numFmt w:val="upperLetter"/>
      <w:start w:val="1"/>
    </w:lvl>
  </w:abstractNum>
  <w:abstractNum w:abstractNumId="222">
    <w:nsid w:val="5E4DB968"/>
    <w:multiLevelType w:val="hybridMultilevel"/>
    <w:lvl w:ilvl="0">
      <w:lvlJc w:val="left"/>
      <w:lvlText w:val="%1"/>
      <w:numFmt w:val="upperLetter"/>
      <w:start w:val="1"/>
    </w:lvl>
    <w:lvl w:ilvl="1">
      <w:lvlJc w:val="left"/>
      <w:lvlText w:val="(%2)"/>
      <w:numFmt w:val="lowerLetter"/>
      <w:start w:val="1"/>
    </w:lvl>
  </w:abstractNum>
  <w:abstractNum w:abstractNumId="223">
    <w:nsid w:val="2C06DCF3"/>
    <w:multiLevelType w:val="hybridMultilevel"/>
    <w:lvl w:ilvl="0">
      <w:lvlJc w:val="left"/>
      <w:lvlText w:val="(%1)"/>
      <w:numFmt w:val="upperLetter"/>
      <w:start w:val="1"/>
    </w:lvl>
    <w:lvl w:ilvl="1">
      <w:lvlJc w:val="left"/>
      <w:lvlText w:val="(%2)"/>
      <w:numFmt w:val="lowerLetter"/>
      <w:start w:val="3"/>
    </w:lvl>
  </w:abstractNum>
  <w:abstractNum w:abstractNumId="224">
    <w:nsid w:val="2E129658"/>
    <w:multiLevelType w:val="hybridMultilevel"/>
    <w:lvl w:ilvl="0">
      <w:lvlJc w:val="left"/>
      <w:lvlText w:val="%1."/>
      <w:numFmt w:val="decimal"/>
      <w:start w:val="1"/>
    </w:lvl>
  </w:abstractNum>
  <w:abstractNum w:abstractNumId="225">
    <w:nsid w:val="59F0446"/>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226">
    <w:nsid w:val="30DF306"/>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227">
    <w:nsid w:val="A65647"/>
    <w:multiLevelType w:val="hybridMultilevel"/>
    <w:lvl w:ilvl="0">
      <w:lvlJc w:val="left"/>
      <w:lvlText w:val="(%1)"/>
      <w:numFmt w:val="lowerLetter"/>
      <w:start w:val="1"/>
    </w:lvl>
  </w:abstractNum>
  <w:abstractNum w:abstractNumId="228">
    <w:nsid w:val="3E5E582B"/>
    <w:multiLevelType w:val="hybridMultilevel"/>
    <w:lvl w:ilvl="0">
      <w:lvlJc w:val="left"/>
      <w:lvlText w:val="(%1)"/>
      <w:numFmt w:val="lowerLetter"/>
      <w:start w:val="2"/>
    </w:lvl>
    <w:lvl w:ilvl="1">
      <w:lvlJc w:val="left"/>
      <w:lvlText w:val="(%2)"/>
      <w:numFmt w:val="decimal"/>
      <w:start w:val="1"/>
    </w:lvl>
  </w:abstractNum>
  <w:abstractNum w:abstractNumId="229">
    <w:nsid w:val="257D4626"/>
    <w:multiLevelType w:val="hybridMultilevel"/>
    <w:lvl w:ilvl="0">
      <w:lvlJc w:val="left"/>
      <w:lvlText w:val="%1"/>
      <w:numFmt w:val="decimal"/>
      <w:start w:val="1"/>
    </w:lvl>
    <w:lvl w:ilvl="1">
      <w:lvlJc w:val="left"/>
      <w:lvlText w:val="(%2)"/>
      <w:numFmt w:val="decimal"/>
      <w:start w:val="3"/>
    </w:lvl>
  </w:abstractNum>
  <w:abstractNum w:abstractNumId="230">
    <w:nsid w:val="5AA8580E"/>
    <w:multiLevelType w:val="hybridMultilevel"/>
    <w:lvl w:ilvl="0">
      <w:lvlJc w:val="left"/>
      <w:lvlText w:val="(%1)"/>
      <w:numFmt w:val="decimal"/>
      <w:start w:val="30"/>
    </w:lvl>
    <w:lvl w:ilvl="1">
      <w:lvlJc w:val="left"/>
      <w:lvlText w:val="(%2)"/>
      <w:numFmt w:val="decimal"/>
      <w:start w:val="4"/>
    </w:lvl>
  </w:abstractNum>
  <w:abstractNum w:abstractNumId="231">
    <w:nsid w:val="68FA8D0D"/>
    <w:multiLevelType w:val="hybridMultilevel"/>
    <w:lvl w:ilvl="0">
      <w:lvlJc w:val="left"/>
      <w:lvlText w:val="(%1)"/>
      <w:numFmt w:val="lowerLetter"/>
      <w:start w:val="23"/>
    </w:lvl>
  </w:abstractNum>
  <w:abstractNum w:abstractNumId="232">
    <w:nsid w:val="40F2CBD2"/>
    <w:multiLevelType w:val="hybridMultilevel"/>
    <w:lvl w:ilvl="0">
      <w:lvlJc w:val="left"/>
      <w:lvlText w:val="(%1)"/>
      <w:numFmt w:val="lowerRoman"/>
      <w:start w:val="10"/>
    </w:lvl>
  </w:abstractNum>
  <w:abstractNum w:abstractNumId="233">
    <w:nsid w:val="3BD615EB"/>
    <w:multiLevelType w:val="hybridMultilevel"/>
    <w:lvl w:ilvl="0">
      <w:lvlJc w:val="left"/>
      <w:lvlText w:val="(%1)"/>
      <w:numFmt w:val="lowerLetter"/>
      <w:start w:val="26"/>
    </w:lvl>
  </w:abstractNum>
  <w:abstractNum w:abstractNumId="234">
    <w:nsid w:val="A045AB2"/>
    <w:multiLevelType w:val="hybridMultilevel"/>
    <w:lvl w:ilvl="0">
      <w:lvlJc w:val="left"/>
      <w:lvlText w:val="%1"/>
      <w:numFmt w:val="decimal"/>
      <w:start w:val="1"/>
    </w:lvl>
    <w:lvl w:ilvl="1">
      <w:lvlJc w:val="left"/>
      <w:lvlText w:val="(%2)"/>
      <w:numFmt w:val="lowerLetter"/>
      <w:start w:val="3"/>
    </w:lvl>
  </w:abstractNum>
  <w:abstractNum w:abstractNumId="235">
    <w:nsid w:val="1872261F"/>
    <w:multiLevelType w:val="hybridMultilevel"/>
    <w:lvl w:ilvl="0">
      <w:lvlJc w:val="left"/>
      <w:lvlText w:val="(%1)"/>
      <w:numFmt w:val="decimal"/>
      <w:start w:val="5"/>
    </w:lvl>
    <w:lvl w:ilvl="1">
      <w:lvlJc w:val="left"/>
      <w:lvlText w:val="(%2)"/>
      <w:numFmt w:val="lowerLetter"/>
      <w:start w:val="4"/>
    </w:lvl>
  </w:abstractNum>
  <w:abstractNum w:abstractNumId="236">
    <w:nsid w:val="3DE8306C"/>
    <w:multiLevelType w:val="hybridMultilevel"/>
    <w:lvl w:ilvl="0">
      <w:lvlJc w:val="left"/>
      <w:lvlText w:val="%1"/>
      <w:numFmt w:val="lowerLetter"/>
      <w:start w:val="1"/>
    </w:lvl>
    <w:lvl w:ilvl="1">
      <w:lvlJc w:val="left"/>
      <w:lvlText w:val="(%2)"/>
      <w:numFmt w:val="lowerLetter"/>
      <w:start w:val="5"/>
    </w:lvl>
    <w:lvl w:ilvl="2">
      <w:lvlJc w:val="left"/>
      <w:lvlText w:val="%3"/>
      <w:numFmt w:val="decimal"/>
      <w:start w:val="1"/>
    </w:lvl>
  </w:abstractNum>
  <w:abstractNum w:abstractNumId="237">
    <w:nsid w:val="7631573A"/>
    <w:multiLevelType w:val="hybridMultilevel"/>
    <w:lvl w:ilvl="0">
      <w:lvlJc w:val="left"/>
      <w:lvlText w:val="(%1)"/>
      <w:numFmt w:val="lowerLetter"/>
      <w:start w:val="35"/>
    </w:lvl>
    <w:lvl w:ilvl="1">
      <w:lvlJc w:val="left"/>
      <w:lvlText w:val="(%2)"/>
      <w:numFmt w:val="lowerLetter"/>
      <w:start w:val="6"/>
    </w:lvl>
    <w:lvl w:ilvl="2">
      <w:lvlJc w:val="left"/>
      <w:lvlText w:val="(%3)"/>
      <w:numFmt w:val="decimal"/>
      <w:start w:val="1"/>
    </w:lvl>
  </w:abstractNum>
  <w:abstractNum w:abstractNumId="238">
    <w:nsid w:val="58DF53B"/>
    <w:multiLevelType w:val="hybridMultilevel"/>
    <w:lvl w:ilvl="0">
      <w:lvlJc w:val="left"/>
      <w:lvlText w:val="(%1)"/>
      <w:numFmt w:val="lowerLetter"/>
      <w:start w:val="1"/>
    </w:lvl>
  </w:abstractNum>
  <w:abstractNum w:abstractNumId="239">
    <w:nsid w:val="ACDFAC0"/>
    <w:multiLevelType w:val="hybridMultilevel"/>
    <w:lvl w:ilvl="0">
      <w:lvlJc w:val="left"/>
      <w:lvlText w:val="(%1)"/>
      <w:numFmt w:val="lowerLetter"/>
      <w:start w:val="3"/>
    </w:lvl>
  </w:abstractNum>
  <w:abstractNum w:abstractNumId="240">
    <w:nsid w:val="1F578454"/>
    <w:multiLevelType w:val="hybridMultilevel"/>
    <w:lvl w:ilvl="0">
      <w:lvlJc w:val="left"/>
      <w:lvlText w:val="(%1)"/>
      <w:numFmt w:val="decimal"/>
      <w:start w:val="1"/>
    </w:lvl>
  </w:abstractNum>
  <w:abstractNum w:abstractNumId="241">
    <w:nsid w:val="5B0DAD2A"/>
    <w:multiLevelType w:val="hybridMultilevel"/>
    <w:lvl w:ilvl="0">
      <w:lvlJc w:val="left"/>
      <w:lvlText w:val="(%1)"/>
      <w:numFmt w:val="lowerLetter"/>
      <w:start w:val="1"/>
    </w:lvl>
  </w:abstractNum>
  <w:abstractNum w:abstractNumId="242">
    <w:nsid w:val="4E3D26AB"/>
    <w:multiLevelType w:val="hybridMultilevel"/>
    <w:lvl w:ilvl="0">
      <w:lvlJc w:val="left"/>
      <w:lvlText w:val="(%1)"/>
      <w:numFmt w:val="lowerLetter"/>
      <w:start w:val="1"/>
    </w:lvl>
  </w:abstractNum>
  <w:abstractNum w:abstractNumId="243">
    <w:nsid w:val="BE2C8BA"/>
    <w:multiLevelType w:val="hybridMultilevel"/>
    <w:lvl w:ilvl="0">
      <w:lvlJc w:val="left"/>
      <w:lvlText w:val="(%1)"/>
      <w:numFmt w:val="lowerLetter"/>
      <w:start w:val="1"/>
    </w:lvl>
  </w:abstractNum>
  <w:abstractNum w:abstractNumId="244">
    <w:nsid w:val="7B14914E"/>
    <w:multiLevelType w:val="hybridMultilevel"/>
    <w:lvl w:ilvl="0">
      <w:lvlJc w:val="left"/>
      <w:lvlText w:val="(%1)"/>
      <w:numFmt w:val="lowerLetter"/>
      <w:start w:val="3"/>
    </w:lvl>
  </w:abstractNum>
  <w:abstractNum w:abstractNumId="245">
    <w:nsid w:val="6F0939F8"/>
    <w:multiLevelType w:val="hybridMultilevel"/>
    <w:lvl w:ilvl="0">
      <w:lvlJc w:val="left"/>
      <w:lvlText w:val="(%1)"/>
      <w:numFmt w:val="lowerLetter"/>
      <w:start w:val="1"/>
    </w:lvl>
  </w:abstractNum>
  <w:abstractNum w:abstractNumId="246">
    <w:nsid w:val="154291F6"/>
    <w:multiLevelType w:val="hybridMultilevel"/>
    <w:lvl w:ilvl="0">
      <w:lvlJc w:val="left"/>
      <w:lvlText w:val="%1"/>
      <w:numFmt w:val="lowerLetter"/>
      <w:start w:val="1"/>
    </w:lvl>
    <w:lvl w:ilvl="1">
      <w:lvlJc w:val="left"/>
      <w:lvlText w:val="(%2)"/>
      <w:numFmt w:val="lowerLetter"/>
      <w:start w:val="1"/>
    </w:lvl>
  </w:abstractNum>
  <w:abstractNum w:abstractNumId="247">
    <w:nsid w:val="3CEBD7C7"/>
    <w:multiLevelType w:val="hybridMultilevel"/>
    <w:lvl w:ilvl="0">
      <w:lvlJc w:val="left"/>
      <w:lvlText w:val="(%1)"/>
      <w:numFmt w:val="lowerLetter"/>
      <w:start w:val="9"/>
    </w:lvl>
    <w:lvl w:ilvl="1">
      <w:lvlJc w:val="left"/>
      <w:lvlText w:val="(%2)"/>
      <w:numFmt w:val="lowerLetter"/>
      <w:start w:val="2"/>
    </w:lvl>
  </w:abstractNum>
  <w:abstractNum w:abstractNumId="248">
    <w:nsid w:val="60EE9C16"/>
    <w:multiLevelType w:val="hybridMultilevel"/>
    <w:lvl w:ilvl="0">
      <w:lvlJc w:val="left"/>
      <w:lvlText w:val="(%1)"/>
      <w:numFmt w:val="lowerLetter"/>
      <w:start w:val="4"/>
    </w:lvl>
  </w:abstractNum>
  <w:abstractNum w:abstractNumId="249">
    <w:nsid w:val="6385489E"/>
    <w:multiLevelType w:val="hybridMultilevel"/>
    <w:lvl w:ilvl="0">
      <w:lvlJc w:val="left"/>
      <w:lvlText w:val="(%1)"/>
      <w:numFmt w:val="lowerLetter"/>
      <w:start w:val="1"/>
    </w:lvl>
  </w:abstractNum>
  <w:abstractNum w:abstractNumId="250">
    <w:nsid w:val="E4B973"/>
    <w:multiLevelType w:val="hybridMultilevel"/>
    <w:lvl w:ilvl="0">
      <w:lvlJc w:val="left"/>
      <w:lvlText w:val="(%1)"/>
      <w:numFmt w:val="lowerLetter"/>
      <w:start w:val="6"/>
    </w:lvl>
  </w:abstractNum>
  <w:abstractNum w:abstractNumId="251">
    <w:nsid w:val="4A0FFA11"/>
    <w:multiLevelType w:val="hybridMultilevel"/>
    <w:lvl w:ilvl="0">
      <w:lvlJc w:val="left"/>
      <w:lvlText w:val="(%1)"/>
      <w:numFmt w:val="lowerLetter"/>
      <w:start w:val="1"/>
    </w:lvl>
  </w:abstractNum>
  <w:abstractNum w:abstractNumId="252">
    <w:nsid w:val="5E446208"/>
    <w:multiLevelType w:val="hybridMultilevel"/>
    <w:lvl w:ilvl="0">
      <w:lvlJc w:val="left"/>
      <w:lvlText w:val="%1"/>
      <w:numFmt w:val="decimal"/>
      <w:start w:val="1"/>
    </w:lvl>
    <w:lvl w:ilvl="1">
      <w:lvlJc w:val="left"/>
      <w:lvlText w:val="(%2)"/>
      <w:numFmt w:val="lowerLetter"/>
      <w:start w:val="1"/>
    </w:lvl>
  </w:abstractNum>
  <w:abstractNum w:abstractNumId="253">
    <w:nsid w:val="5F3272DB"/>
    <w:multiLevelType w:val="hybridMultilevel"/>
    <w:lvl w:ilvl="0">
      <w:lvlJc w:val="left"/>
      <w:lvlText w:val="(%1)"/>
      <w:numFmt w:val="decimal"/>
      <w:start w:val="10"/>
    </w:lvl>
    <w:lvl w:ilvl="1">
      <w:lvlJc w:val="left"/>
      <w:lvlText w:val="(%2)"/>
      <w:numFmt w:val="lowerLetter"/>
      <w:start w:val="2"/>
    </w:lvl>
  </w:abstractNum>
  <w:abstractNum w:abstractNumId="254">
    <w:nsid w:val="7616D704"/>
    <w:multiLevelType w:val="hybridMultilevel"/>
    <w:lvl w:ilvl="0">
      <w:lvlJc w:val="left"/>
      <w:lvlText w:val="%1"/>
      <w:numFmt w:val="lowerLetter"/>
      <w:start w:val="1"/>
    </w:lvl>
    <w:lvl w:ilvl="1">
      <w:lvlJc w:val="left"/>
      <w:lvlText w:val="(%2)"/>
      <w:numFmt w:val="lowerLetter"/>
      <w:start w:val="1"/>
    </w:lvl>
  </w:abstractNum>
  <w:abstractNum w:abstractNumId="255">
    <w:nsid w:val="C56F860"/>
    <w:multiLevelType w:val="hybridMultilevel"/>
    <w:lvl w:ilvl="0">
      <w:lvlJc w:val="left"/>
      <w:lvlText w:val="(%1)"/>
      <w:numFmt w:val="lowerLetter"/>
      <w:start w:val="9"/>
    </w:lvl>
    <w:lvl w:ilvl="1">
      <w:lvlJc w:val="left"/>
      <w:lvlText w:val="%2"/>
      <w:numFmt w:val="lowerLetter"/>
      <w:start w:val="1"/>
    </w:lvl>
  </w:abstractNum>
  <w:abstractNum w:abstractNumId="256">
    <w:nsid w:val="64D17722"/>
    <w:multiLevelType w:val="hybridMultilevel"/>
    <w:lvl w:ilvl="0">
      <w:lvlJc w:val="left"/>
      <w:lvlText w:val="(%1)"/>
      <w:numFmt w:val="lowerLetter"/>
      <w:start w:val="61"/>
    </w:lvl>
    <w:lvl w:ilvl="1">
      <w:lvlJc w:val="left"/>
      <w:lvlText w:val="(%2)"/>
      <w:numFmt w:val="lowerLetter"/>
      <w:start w:val="2"/>
    </w:lvl>
  </w:abstractNum>
  <w:abstractNum w:abstractNumId="257">
    <w:nsid w:val="7924CA0A"/>
    <w:multiLevelType w:val="hybridMultilevel"/>
    <w:lvl w:ilvl="0">
      <w:lvlJc w:val="left"/>
      <w:lvlText w:val="(%1)"/>
      <w:numFmt w:val="lowerLetter"/>
      <w:start w:val="4"/>
    </w:lvl>
  </w:abstractNum>
  <w:abstractNum w:abstractNumId="258">
    <w:nsid w:val="CFD4EA7"/>
    <w:multiLevelType w:val="hybridMultilevel"/>
    <w:lvl w:ilvl="0">
      <w:lvlJc w:val="left"/>
      <w:lvlText w:val="(%1)"/>
      <w:numFmt w:val="lowerLetter"/>
      <w:start w:val="9"/>
    </w:lvl>
    <w:lvl w:ilvl="1">
      <w:lvlJc w:val="left"/>
      <w:lvlText w:val="(%2)"/>
      <w:numFmt w:val="decimal"/>
      <w:start w:val="1"/>
    </w:lvl>
  </w:abstractNum>
  <w:abstractNum w:abstractNumId="259">
    <w:nsid w:val="232FCF4D"/>
    <w:multiLevelType w:val="hybridMultilevel"/>
    <w:lvl w:ilvl="0">
      <w:lvlJc w:val="left"/>
      <w:lvlText w:val="(%1)"/>
      <w:numFmt w:val="lowerLetter"/>
      <w:start w:val="1"/>
    </w:lvl>
  </w:abstractNum>
  <w:abstractNum w:abstractNumId="260">
    <w:nsid w:val="1EA21031"/>
    <w:multiLevelType w:val="hybridMultilevel"/>
    <w:lvl w:ilvl="0">
      <w:lvlJc w:val="left"/>
      <w:lvlText w:val="(%1)"/>
      <w:numFmt w:val="lowerLetter"/>
      <w:start w:val="6"/>
    </w:lvl>
  </w:abstractNum>
  <w:abstractNum w:abstractNumId="261">
    <w:nsid w:val="67A5A6B5"/>
    <w:multiLevelType w:val="hybridMultilevel"/>
    <w:lvl w:ilvl="0">
      <w:lvlJc w:val="left"/>
      <w:lvlText w:val="%1."/>
      <w:numFmt w:val="decimal"/>
      <w:start w:val="1"/>
    </w:lvl>
    <w:lvl w:ilvl="1">
      <w:lvlJc w:val="left"/>
      <w:lvlText w:val="(%2)"/>
      <w:numFmt w:val="lowerLetter"/>
      <w:start w:val="1"/>
    </w:lvl>
  </w:abstractNum>
  <w:abstractNum w:abstractNumId="262">
    <w:nsid w:val="C2A5C5B"/>
    <w:multiLevelType w:val="hybridMultilevel"/>
    <w:lvl w:ilvl="0">
      <w:lvlJc w:val="left"/>
      <w:lvlText w:val="(%1)"/>
      <w:numFmt w:val="lowerLetter"/>
      <w:start w:val="61"/>
    </w:lvl>
    <w:lvl w:ilvl="1">
      <w:lvlJc w:val="left"/>
      <w:lvlText w:val="(%2)"/>
      <w:numFmt w:val="lowerLetter"/>
      <w:start w:val="4"/>
    </w:lvl>
  </w:abstractNum>
  <w:abstractNum w:abstractNumId="263">
    <w:nsid w:val="5F94DC03"/>
    <w:multiLevelType w:val="hybridMultilevel"/>
    <w:lvl w:ilvl="0">
      <w:lvlJc w:val="left"/>
      <w:lvlText w:val="%1."/>
      <w:numFmt w:val="decimal"/>
      <w:start w:val="2"/>
    </w:lvl>
    <w:lvl w:ilvl="1">
      <w:lvlJc w:val="left"/>
      <w:lvlText w:val="(%2)"/>
      <w:numFmt w:val="lowerLetter"/>
      <w:start w:val="1"/>
    </w:lvl>
  </w:abstractNum>
  <w:abstractNum w:abstractNumId="264">
    <w:nsid w:val="237BBCA0"/>
    <w:multiLevelType w:val="hybridMultilevel"/>
    <w:lvl w:ilvl="0">
      <w:lvlJc w:val="left"/>
      <w:lvlText w:val="%1"/>
      <w:numFmt w:val="decimal"/>
      <w:start w:val="31"/>
    </w:lvl>
    <w:lvl w:ilvl="1">
      <w:lvlJc w:val="left"/>
      <w:lvlText w:val="%2"/>
      <w:numFmt w:val="lowerLetter"/>
      <w:start w:val="1"/>
    </w:lvl>
  </w:abstractNum>
  <w:abstractNum w:abstractNumId="265">
    <w:nsid w:val="162EB70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66">
    <w:nsid w:val="7807022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67">
    <w:nsid w:val="6163ED0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68">
    <w:nsid w:val="C600E47"/>
    <w:multiLevelType w:val="hybridMultilevel"/>
    <w:lvl w:ilvl="0">
      <w:lvlJc w:val="left"/>
      <w:lvlText w:val="(%1)"/>
      <w:numFmt w:val="decimal"/>
      <w:start w:val="2"/>
    </w:lvl>
    <w:lvl w:ilvl="1">
      <w:lvlJc w:val="left"/>
      <w:lvlText w:val="(%2)"/>
      <w:numFmt w:val="lowerLetter"/>
      <w:start w:val="2"/>
    </w:lvl>
    <w:lvl w:ilvl="2">
      <w:lvlJc w:val="left"/>
      <w:lvlText w:val="(%3)"/>
      <w:numFmt w:val="lowerRoman"/>
      <w:start w:val="4"/>
    </w:lvl>
  </w:abstractNum>
  <w:abstractNum w:abstractNumId="269">
    <w:nsid w:val="7D94F75D"/>
    <w:multiLevelType w:val="hybridMultilevel"/>
    <w:lvl w:ilvl="0">
      <w:lvlJc w:val="left"/>
      <w:lvlText w:val="%1."/>
      <w:numFmt w:val="decimal"/>
      <w:start w:val="4"/>
    </w:lvl>
  </w:abstractNum>
  <w:abstractNum w:abstractNumId="270">
    <w:nsid w:val="6C31E7CD"/>
    <w:multiLevelType w:val="hybridMultilevel"/>
    <w:lvl w:ilvl="0">
      <w:lvlJc w:val="left"/>
      <w:lvlText w:val="(%1)"/>
      <w:numFmt w:val="lowerLetter"/>
      <w:start w:val="1"/>
    </w:lvl>
    <w:lvl w:ilvl="1">
      <w:lvlJc w:val="left"/>
      <w:lvlText w:val="(%2)"/>
      <w:numFmt w:val="lowerRoman"/>
      <w:start w:val="1"/>
    </w:lvl>
  </w:abstractNum>
  <w:abstractNum w:abstractNumId="271">
    <w:nsid w:val="2BB7929B"/>
    <w:multiLevelType w:val="hybridMultilevel"/>
    <w:lvl w:ilvl="0">
      <w:lvlJc w:val="left"/>
      <w:lvlText w:val="%1"/>
      <w:numFmt w:val="lowerLetter"/>
      <w:start w:val="1"/>
    </w:lvl>
    <w:lvl w:ilvl="1">
      <w:lvlJc w:val="left"/>
      <w:lvlText w:val="(%2)"/>
      <w:numFmt w:val="lowerLetter"/>
      <w:start w:val="22"/>
    </w:lvl>
  </w:abstractNum>
  <w:abstractNum w:abstractNumId="272">
    <w:nsid w:val="58A2A487"/>
    <w:multiLevelType w:val="hybridMultilevel"/>
    <w:lvl w:ilvl="0">
      <w:lvlJc w:val="left"/>
      <w:lvlText w:val="(%1)"/>
      <w:numFmt w:val="lowerLetter"/>
      <w:start w:val="4"/>
    </w:lvl>
    <w:lvl w:ilvl="1">
      <w:lvlJc w:val="left"/>
      <w:lvlText w:val="(%2)"/>
      <w:numFmt w:val="lowerLetter"/>
      <w:start w:val="9"/>
    </w:lvl>
  </w:abstractNum>
  <w:abstractNum w:abstractNumId="273">
    <w:nsid w:val="3A6F0E78"/>
    <w:multiLevelType w:val="hybridMultilevel"/>
    <w:lvl w:ilvl="0">
      <w:lvlJc w:val="left"/>
      <w:lvlText w:val="%1"/>
      <w:numFmt w:val="lowerLetter"/>
      <w:start w:val="1"/>
    </w:lvl>
    <w:lvl w:ilvl="1">
      <w:lvlJc w:val="left"/>
      <w:lvlText w:val="(%2)"/>
      <w:numFmt w:val="lowerLetter"/>
      <w:start w:val="35"/>
    </w:lvl>
  </w:abstractNum>
  <w:abstractNum w:abstractNumId="274">
    <w:nsid w:val="379A5B56"/>
    <w:multiLevelType w:val="hybridMultilevel"/>
    <w:lvl w:ilvl="0">
      <w:lvlJc w:val="left"/>
      <w:lvlText w:val="(%1)"/>
      <w:numFmt w:val="lowerLetter"/>
      <w:start w:val="6"/>
    </w:lvl>
    <w:lvl w:ilvl="1">
      <w:lvlJc w:val="left"/>
      <w:lvlText w:val="%2"/>
      <w:numFmt w:val="lowerLetter"/>
      <w:start w:val="1"/>
    </w:lvl>
  </w:abstractNum>
  <w:abstractNum w:abstractNumId="275">
    <w:nsid w:val="53B735D5"/>
    <w:multiLevelType w:val="hybridMultilevel"/>
    <w:lvl w:ilvl="0">
      <w:lvlJc w:val="left"/>
      <w:lvlText w:val="(%1)"/>
      <w:numFmt w:val="lowerLetter"/>
      <w:start w:val="7"/>
    </w:lvl>
    <w:lvl w:ilvl="1">
      <w:lvlJc w:val="left"/>
      <w:lvlText w:val="(%2)"/>
      <w:numFmt w:val="lowerRoman"/>
      <w:start w:val="1"/>
    </w:lvl>
  </w:abstractNum>
  <w:abstractNum w:abstractNumId="276">
    <w:nsid w:val="29784870"/>
    <w:multiLevelType w:val="hybridMultilevel"/>
    <w:lvl w:ilvl="0">
      <w:lvlJc w:val="left"/>
      <w:lvlText w:val="(%1)"/>
      <w:numFmt w:val="lowerRoman"/>
      <w:start w:val="1"/>
    </w:lvl>
  </w:abstractNum>
  <w:abstractNum w:abstractNumId="277">
    <w:nsid w:val="4CDCED4C"/>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lvl w:ilvl="3">
      <w:lvlJc w:val="left"/>
      <w:lvlText w:val="%4"/>
      <w:numFmt w:val="decimal"/>
      <w:start w:val="1"/>
    </w:lvl>
  </w:abstractNum>
  <w:abstractNum w:abstractNumId="278">
    <w:nsid w:val="10A30D9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279">
    <w:nsid w:val="A66E486"/>
    <w:multiLevelType w:val="hybridMultilevel"/>
    <w:lvl w:ilvl="0">
      <w:lvlJc w:val="left"/>
      <w:lvlText w:val="%1"/>
      <w:numFmt w:val="lowerRoman"/>
      <w:start w:val="1"/>
    </w:lvl>
    <w:lvl w:ilvl="1">
      <w:lvlJc w:val="left"/>
      <w:lvlText w:val="(%2)"/>
      <w:numFmt w:val="lowerRoman"/>
      <w:start w:val="2"/>
    </w:lvl>
    <w:lvl w:ilvl="2">
      <w:lvlJc w:val="left"/>
      <w:lvlText w:val="(%3)"/>
      <w:numFmt w:val="decimal"/>
      <w:start w:val="1"/>
    </w:lvl>
  </w:abstractNum>
  <w:abstractNum w:abstractNumId="280">
    <w:nsid w:val="306235EA"/>
    <w:multiLevelType w:val="hybridMultilevel"/>
    <w:lvl w:ilvl="0">
      <w:lvlJc w:val="left"/>
      <w:lvlText w:val="(%1)"/>
      <w:numFmt w:val="lowerRoman"/>
      <w:start w:val="3"/>
    </w:lvl>
    <w:lvl w:ilvl="1">
      <w:lvlJc w:val="left"/>
      <w:lvlText w:val="%2"/>
      <w:numFmt w:val="lowerRoman"/>
      <w:start w:val="1"/>
    </w:lvl>
    <w:lvl w:ilvl="2">
      <w:lvlJc w:val="left"/>
      <w:lvlText w:val="%3"/>
      <w:numFmt w:val="decimal"/>
      <w:start w:val="1"/>
    </w:lvl>
  </w:abstractNum>
  <w:abstractNum w:abstractNumId="281">
    <w:nsid w:val="1187C70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282">
    <w:nsid w:val="5476DE9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83">
    <w:nsid w:val="EA697F2"/>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84">
    <w:nsid w:val="70BA39EB"/>
    <w:multiLevelType w:val="hybridMultilevel"/>
    <w:lvl w:ilvl="0">
      <w:lvlJc w:val="left"/>
      <w:lvlText w:val="(%1)"/>
      <w:numFmt w:val="lowerLetter"/>
      <w:start w:val="3"/>
    </w:lvl>
  </w:abstractNum>
  <w:abstractNum w:abstractNumId="285">
    <w:nsid w:val="4A8DB59C"/>
    <w:multiLevelType w:val="hybridMultilevel"/>
    <w:lvl w:ilvl="0">
      <w:lvlJc w:val="left"/>
      <w:lvlText w:val="(%1)"/>
      <w:numFmt w:val="lowerRoman"/>
      <w:start w:val="1"/>
    </w:lvl>
  </w:abstractNum>
  <w:abstractNum w:abstractNumId="286">
    <w:nsid w:val="1AFD905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87">
    <w:nsid w:val="558BB10D"/>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88">
    <w:nsid w:val="43B27FA7"/>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89">
    <w:nsid w:val="27FADEFA"/>
    <w:multiLevelType w:val="hybridMultilevel"/>
    <w:lvl w:ilvl="0">
      <w:lvlJc w:val="left"/>
      <w:lvlText w:val="%1"/>
      <w:numFmt w:val="decimal"/>
      <w:start w:val="1"/>
    </w:lvl>
    <w:lvl w:ilvl="1">
      <w:lvlJc w:val="left"/>
      <w:lvlText w:val="(%2)"/>
      <w:numFmt w:val="lowerRoman"/>
      <w:start w:val="2"/>
    </w:lvl>
  </w:abstractNum>
  <w:abstractNum w:abstractNumId="290">
    <w:nsid w:val="78BB805A"/>
    <w:multiLevelType w:val="hybridMultilevel"/>
    <w:lvl w:ilvl="0">
      <w:lvlJc w:val="left"/>
      <w:lvlText w:val="(%1)"/>
      <w:numFmt w:val="decimal"/>
      <w:start w:val="2"/>
    </w:lvl>
    <w:lvl w:ilvl="1">
      <w:lvlJc w:val="left"/>
      <w:lvlText w:val="(%2)"/>
      <w:numFmt w:val="lowerRoman"/>
      <w:start w:val="8"/>
    </w:lvl>
  </w:abstractNum>
  <w:abstractNum w:abstractNumId="291">
    <w:nsid w:val="62548FD8"/>
    <w:multiLevelType w:val="hybridMultilevel"/>
    <w:lvl w:ilvl="0">
      <w:lvlJc w:val="left"/>
      <w:lvlText w:val="%1"/>
      <w:numFmt w:val="lowerLetter"/>
      <w:start w:val="1"/>
    </w:lvl>
    <w:lvl w:ilvl="1">
      <w:lvlJc w:val="left"/>
      <w:lvlText w:val="(%2)"/>
      <w:numFmt w:val="lowerRoman"/>
      <w:start w:val="10"/>
    </w:lvl>
  </w:abstractNum>
  <w:abstractNum w:abstractNumId="292">
    <w:nsid w:val="FA085B0"/>
    <w:multiLevelType w:val="hybridMultilevel"/>
    <w:lvl w:ilvl="0">
      <w:lvlJc w:val="left"/>
      <w:lvlText w:val="(%1)"/>
      <w:numFmt w:val="lowerLetter"/>
      <w:start w:val="3"/>
    </w:lvl>
    <w:lvl w:ilvl="1">
      <w:lvlJc w:val="left"/>
      <w:lvlText w:val="(%2)"/>
      <w:numFmt w:val="lowerRoman"/>
      <w:start w:val="1"/>
    </w:lvl>
  </w:abstractNum>
  <w:abstractNum w:abstractNumId="293">
    <w:nsid w:val="4E5DCB5"/>
    <w:multiLevelType w:val="hybridMultilevel"/>
    <w:lvl w:ilvl="0">
      <w:lvlJc w:val="left"/>
      <w:lvlText w:val="%1"/>
      <w:numFmt w:val="lowerLetter"/>
      <w:start w:val="1"/>
    </w:lvl>
    <w:lvl w:ilvl="1">
      <w:lvlJc w:val="left"/>
      <w:lvlText w:val="(%2)"/>
      <w:numFmt w:val="lowerLetter"/>
      <w:start w:val="5"/>
    </w:lvl>
  </w:abstractNum>
  <w:abstractNum w:abstractNumId="294">
    <w:nsid w:val="41E96BDB"/>
    <w:multiLevelType w:val="hybridMultilevel"/>
    <w:lvl w:ilvl="0">
      <w:lvlJc w:val="left"/>
      <w:lvlText w:val="(%1)"/>
      <w:numFmt w:val="lowerLetter"/>
      <w:start w:val="9"/>
    </w:lvl>
    <w:lvl w:ilvl="1">
      <w:lvlJc w:val="left"/>
      <w:lvlText w:val="%2"/>
      <w:numFmt w:val="lowerLetter"/>
      <w:start w:val="1"/>
    </w:lvl>
  </w:abstractNum>
  <w:abstractNum w:abstractNumId="295">
    <w:nsid w:val="331C4250"/>
    <w:multiLevelType w:val="hybridMultilevel"/>
    <w:lvl w:ilvl="0">
      <w:lvlJc w:val="left"/>
      <w:lvlText w:val="%1."/>
      <w:numFmt w:val="decimal"/>
      <w:start w:val="8"/>
    </w:lvl>
    <w:lvl w:ilvl="1">
      <w:lvlJc w:val="left"/>
      <w:lvlText w:val="(%2)"/>
      <w:numFmt w:val="lowerLetter"/>
      <w:start w:val="1"/>
    </w:lvl>
  </w:abstractNum>
  <w:abstractNum w:abstractNumId="296">
    <w:nsid w:val="1B1493C2"/>
    <w:multiLevelType w:val="hybridMultilevel"/>
    <w:lvl w:ilvl="0">
      <w:lvlJc w:val="left"/>
      <w:lvlText w:val="%1"/>
      <w:numFmt w:val="decimal"/>
      <w:start w:val="1"/>
    </w:lvl>
    <w:lvl w:ilvl="1">
      <w:lvlJc w:val="left"/>
      <w:lvlText w:val="(%2)"/>
      <w:numFmt w:val="lowerLetter"/>
      <w:start w:val="4"/>
    </w:lvl>
  </w:abstractNum>
  <w:abstractNum w:abstractNumId="297">
    <w:nsid w:val="39F06DFD"/>
    <w:multiLevelType w:val="hybridMultilevel"/>
    <w:lvl w:ilvl="0">
      <w:lvlJc w:val="left"/>
      <w:lvlText w:val="%1."/>
      <w:numFmt w:val="decimal"/>
      <w:start w:val="9"/>
    </w:lvl>
    <w:lvl w:ilvl="1">
      <w:lvlJc w:val="left"/>
      <w:lvlText w:val="(%2)"/>
      <w:numFmt w:val="lowerLetter"/>
      <w:start w:val="1"/>
    </w:lvl>
  </w:abstractNum>
  <w:abstractNum w:abstractNumId="298">
    <w:nsid w:val="14802F5D"/>
    <w:multiLevelType w:val="hybridMultilevel"/>
    <w:lvl w:ilvl="0">
      <w:lvlJc w:val="left"/>
      <w:lvlText w:val="(%1)"/>
      <w:numFmt w:val="lowerLetter"/>
      <w:start w:val="5"/>
    </w:lvl>
  </w:abstractNum>
  <w:abstractNum w:abstractNumId="299">
    <w:nsid w:val="2774A209"/>
    <w:multiLevelType w:val="hybridMultilevel"/>
    <w:lvl w:ilvl="0">
      <w:lvlJc w:val="left"/>
      <w:lvlText w:val="(%1)"/>
      <w:numFmt w:val="lowerLetter"/>
      <w:start w:val="9"/>
    </w:lvl>
  </w:abstractNum>
  <w:abstractNum w:abstractNumId="300">
    <w:nsid w:val="3785655A"/>
    <w:multiLevelType w:val="hybridMultilevel"/>
    <w:lvl w:ilvl="0">
      <w:lvlJc w:val="left"/>
      <w:lvlText w:val="%1"/>
      <w:numFmt w:val="decimal"/>
      <w:start w:val="1"/>
    </w:lvl>
    <w:lvl w:ilvl="1">
      <w:lvlJc w:val="left"/>
      <w:lvlText w:val="(%2)"/>
      <w:numFmt w:val="lowerLetter"/>
      <w:start w:val="15"/>
    </w:lvl>
  </w:abstractNum>
  <w:abstractNum w:abstractNumId="301">
    <w:nsid w:val="B2172A"/>
    <w:multiLevelType w:val="hybridMultilevel"/>
    <w:lvl w:ilvl="0">
      <w:lvlJc w:val="left"/>
      <w:lvlText w:val="%1."/>
      <w:numFmt w:val="decimal"/>
      <w:start w:val="10"/>
    </w:lvl>
    <w:lvl w:ilvl="1">
      <w:lvlJc w:val="left"/>
      <w:lvlText w:val="%2"/>
      <w:numFmt w:val="lowerLetter"/>
      <w:start w:val="1"/>
    </w:lvl>
  </w:abstractNum>
  <w:abstractNum w:abstractNumId="302">
    <w:nsid w:val="532C34A5"/>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9"/>
    </w:lvl>
  </w:abstractNum>
  <w:abstractNum w:abstractNumId="303">
    <w:nsid w:val="102809E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lvl w:ilvl="3">
      <w:lvlJc w:val="left"/>
      <w:lvlText w:val="%4"/>
      <w:numFmt w:val="decimal"/>
      <w:start w:val="1"/>
    </w:lvl>
  </w:abstractNum>
  <w:abstractNum w:abstractNumId="304">
    <w:nsid w:val="3B2125A3"/>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lvl w:ilvl="3">
      <w:lvlJc w:val="left"/>
      <w:lvlText w:val="%4"/>
      <w:numFmt w:val="decimal"/>
      <w:start w:val="1"/>
    </w:lvl>
  </w:abstractNum>
  <w:abstractNum w:abstractNumId="305">
    <w:nsid w:val="AC68FFB"/>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306">
    <w:nsid w:val="63DF3FB7"/>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307">
    <w:nsid w:val="64996E13"/>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308">
    <w:nsid w:val="57A37D47"/>
    <w:multiLevelType w:val="hybridMultilevel"/>
    <w:lvl w:ilvl="0">
      <w:lvlJc w:val="left"/>
      <w:lvlText w:val="(%1)"/>
      <w:numFmt w:val="lowerLetter"/>
      <w:start w:val="4"/>
    </w:lvl>
    <w:lvl w:ilvl="1">
      <w:lvlJc w:val="left"/>
      <w:lvlText w:val="%2"/>
      <w:numFmt w:val="lowerLetter"/>
      <w:start w:val="1"/>
    </w:lvl>
    <w:lvl w:ilvl="2">
      <w:lvlJc w:val="left"/>
      <w:lvlText w:val="%3"/>
      <w:numFmt w:val="decimal"/>
      <w:start w:val="1"/>
    </w:lvl>
  </w:abstractNum>
  <w:abstractNum w:abstractNumId="309">
    <w:nsid w:val="74824D54"/>
    <w:multiLevelType w:val="hybridMultilevel"/>
    <w:lvl w:ilvl="0">
      <w:lvlJc w:val="left"/>
      <w:lvlText w:val="%1"/>
      <w:numFmt w:val="lowerLetter"/>
      <w:start w:val="1"/>
    </w:lvl>
    <w:lvl w:ilvl="1">
      <w:lvlJc w:val="left"/>
      <w:lvlText w:val="(%2)"/>
      <w:numFmt w:val="lowerRoman"/>
      <w:start w:val="1"/>
    </w:lvl>
  </w:abstractNum>
  <w:abstractNum w:abstractNumId="310">
    <w:nsid w:val="6F00529A"/>
    <w:multiLevelType w:val="hybridMultilevel"/>
    <w:lvl w:ilvl="0">
      <w:lvlJc w:val="left"/>
      <w:lvlText w:val="(%1)"/>
      <w:numFmt w:val="lowerLetter"/>
      <w:start w:val="5"/>
    </w:lvl>
    <w:lvl w:ilvl="1">
      <w:lvlJc w:val="left"/>
      <w:lvlText w:val="(%2)"/>
      <w:numFmt w:val="lowerRoman"/>
      <w:start w:val="1"/>
    </w:lvl>
  </w:abstractNum>
  <w:abstractNum w:abstractNumId="311">
    <w:nsid w:val="805B331"/>
    <w:multiLevelType w:val="hybridMultilevel"/>
    <w:lvl w:ilvl="0">
      <w:lvlJc w:val="left"/>
      <w:lvlText w:val="%1"/>
      <w:numFmt w:val="decimal"/>
      <w:start w:val="1"/>
    </w:lvl>
    <w:lvl w:ilvl="1">
      <w:lvlJc w:val="left"/>
      <w:lvlText w:val="(%2)"/>
      <w:numFmt w:val="lowerRoman"/>
      <w:start w:val="4"/>
    </w:lvl>
  </w:abstractNum>
  <w:abstractNum w:abstractNumId="312">
    <w:nsid w:val="60A1463"/>
    <w:multiLevelType w:val="hybridMultilevel"/>
    <w:lvl w:ilvl="0">
      <w:lvlJc w:val="left"/>
      <w:lvlText w:val="%1."/>
      <w:numFmt w:val="decimal"/>
      <w:start w:val="12"/>
    </w:lvl>
    <w:lvl w:ilvl="1">
      <w:lvlJc w:val="left"/>
      <w:lvlText w:val="%2"/>
      <w:numFmt w:val="lowerRoman"/>
      <w:start w:val="1"/>
    </w:lvl>
  </w:abstractNum>
  <w:abstractNum w:abstractNumId="313">
    <w:nsid w:val="43773132"/>
    <w:multiLevelType w:val="hybridMultilevel"/>
    <w:lvl w:ilvl="0">
      <w:lvlJc w:val="left"/>
      <w:lvlText w:val="%1."/>
      <w:numFmt w:val="decimal"/>
      <w:start w:val="13"/>
    </w:lvl>
  </w:abstractNum>
  <w:abstractNum w:abstractNumId="314">
    <w:nsid w:val="16AC4B23"/>
    <w:multiLevelType w:val="hybridMultilevel"/>
    <w:lvl w:ilvl="0">
      <w:lvlJc w:val="left"/>
      <w:lvlText w:val="(%1)"/>
      <w:numFmt w:val="lowerRoman"/>
      <w:start w:val="1"/>
    </w:lvl>
  </w:abstractNum>
  <w:abstractNum w:abstractNumId="315">
    <w:nsid w:val="76C44E4E"/>
    <w:multiLevelType w:val="hybridMultilevel"/>
    <w:lvl w:ilvl="0">
      <w:lvlJc w:val="left"/>
      <w:lvlText w:val="%1."/>
      <w:numFmt w:val="decimal"/>
      <w:start w:val="14"/>
    </w:lvl>
  </w:abstractNum>
  <w:abstractNum w:abstractNumId="316">
    <w:nsid w:val="E04E6CE"/>
    <w:multiLevelType w:val="hybridMultilevel"/>
    <w:lvl w:ilvl="0">
      <w:lvlJc w:val="left"/>
      <w:lvlText w:val="(%1)"/>
      <w:numFmt w:val="lowerLetter"/>
      <w:start w:val="1"/>
    </w:lvl>
  </w:abstractNum>
  <w:abstractNum w:abstractNumId="317">
    <w:nsid w:val="31A9DB76"/>
    <w:multiLevelType w:val="hybridMultilevel"/>
    <w:lvl w:ilvl="0">
      <w:lvlJc w:val="left"/>
      <w:lvlText w:val="(%1)"/>
      <w:numFmt w:val="lowerLetter"/>
      <w:start w:val="9"/>
    </w:lvl>
    <w:lvl w:ilvl="1">
      <w:lvlJc w:val="left"/>
      <w:lvlText w:val="(%2)"/>
      <w:numFmt w:val="lowerLetter"/>
      <w:start w:val="9"/>
    </w:lvl>
  </w:abstractNum>
  <w:abstractNum w:abstractNumId="318">
    <w:nsid w:val="4C4FFF5B"/>
    <w:multiLevelType w:val="hybridMultilevel"/>
    <w:lvl w:ilvl="0">
      <w:lvlJc w:val="left"/>
      <w:lvlText w:val="(%1)"/>
      <w:numFmt w:val="lowerRoman"/>
      <w:start w:val="2"/>
    </w:lvl>
  </w:abstractNum>
  <w:abstractNum w:abstractNumId="319">
    <w:nsid w:val="51B76675"/>
    <w:multiLevelType w:val="hybridMultilevel"/>
    <w:lvl w:ilvl="0">
      <w:lvlJc w:val="left"/>
      <w:lvlText w:val="(%1)"/>
      <w:numFmt w:val="lowerLetter"/>
      <w:start w:val="11"/>
    </w:lvl>
  </w:abstractNum>
  <w:abstractNum w:abstractNumId="320">
    <w:nsid w:val="59A4BA71"/>
    <w:multiLevelType w:val="hybridMultilevel"/>
    <w:lvl w:ilvl="0">
      <w:lvlJc w:val="left"/>
      <w:lvlText w:val="(%1)"/>
      <w:numFmt w:val="lowerLetter"/>
      <w:start w:val="15"/>
    </w:lvl>
    <w:lvl w:ilvl="1">
      <w:lvlJc w:val="left"/>
      <w:lvlText w:val="(%2)"/>
      <w:numFmt w:val="lowerRoman"/>
      <w:start w:val="1"/>
    </w:lvl>
  </w:abstractNum>
  <w:abstractNum w:abstractNumId="321">
    <w:nsid w:val="450B7FB6"/>
    <w:multiLevelType w:val="hybridMultilevel"/>
    <w:lvl w:ilvl="0">
      <w:lvlJc w:val="left"/>
      <w:lvlText w:val="(%1)"/>
      <w:numFmt w:val="lowerRoman"/>
      <w:start w:val="4"/>
    </w:lvl>
  </w:abstractNum>
  <w:abstractNum w:abstractNumId="322">
    <w:nsid w:val="340BF64D"/>
    <w:multiLevelType w:val="hybridMultilevel"/>
    <w:lvl w:ilvl="0">
      <w:lvlJc w:val="left"/>
      <w:lvlText w:val="(%1)"/>
      <w:numFmt w:val="lowerLetter"/>
      <w:start w:val="19"/>
    </w:lvl>
  </w:abstractNum>
  <w:abstractNum w:abstractNumId="323">
    <w:nsid w:val="69454021"/>
    <w:multiLevelType w:val="hybridMultilevel"/>
    <w:lvl w:ilvl="0">
      <w:lvlJc w:val="left"/>
      <w:lvlText w:val="(%1)"/>
      <w:numFmt w:val="lowerLetter"/>
      <w:start w:val="27"/>
    </w:lvl>
    <w:lvl w:ilvl="1">
      <w:lvlJc w:val="left"/>
      <w:lvlText w:val="(%2)"/>
      <w:numFmt w:val="lowerRoman"/>
      <w:start w:val="1"/>
    </w:lvl>
  </w:abstractNum>
  <w:abstractNum w:abstractNumId="324">
    <w:nsid w:val="49F15C6B"/>
    <w:multiLevelType w:val="hybridMultilevel"/>
    <w:lvl w:ilvl="0">
      <w:lvlJc w:val="left"/>
      <w:lvlText w:val="%1"/>
      <w:numFmt w:val="lowerLetter"/>
      <w:start w:val="1"/>
    </w:lvl>
    <w:lvl w:ilvl="1">
      <w:lvlJc w:val="left"/>
      <w:lvlText w:val="(%2)"/>
      <w:numFmt w:val="lowerLetter"/>
      <w:start w:val="32"/>
    </w:lvl>
  </w:abstractNum>
  <w:abstractNum w:abstractNumId="325">
    <w:nsid w:val="75F56228"/>
    <w:multiLevelType w:val="hybridMultilevel"/>
    <w:lvl w:ilvl="0">
      <w:lvlJc w:val="left"/>
      <w:lvlText w:val="(%1)"/>
      <w:numFmt w:val="lowerLetter"/>
      <w:start w:val="35"/>
    </w:lvl>
    <w:lvl w:ilvl="1">
      <w:lvlJc w:val="left"/>
      <w:lvlText w:val="(%2)"/>
      <w:numFmt w:val="lowerLetter"/>
      <w:start w:val="35"/>
    </w:lvl>
  </w:abstractNum>
  <w:abstractNum w:abstractNumId="326">
    <w:nsid w:val="1C618271"/>
    <w:multiLevelType w:val="hybridMultilevel"/>
    <w:lvl w:ilvl="0">
      <w:lvlJc w:val="left"/>
      <w:lvlText w:val="(%1)"/>
      <w:numFmt w:val="lowerLetter"/>
      <w:start w:val="39"/>
    </w:lvl>
  </w:abstractNum>
  <w:abstractNum w:abstractNumId="327">
    <w:nsid w:val="6505F02E"/>
    <w:multiLevelType w:val="hybridMultilevel"/>
    <w:lvl w:ilvl="0">
      <w:lvlJc w:val="left"/>
      <w:lvlText w:val="(%1)"/>
      <w:numFmt w:val="lowerLetter"/>
      <w:start w:val="41"/>
    </w:lvl>
  </w:abstractNum>
  <w:abstractNum w:abstractNumId="328">
    <w:nsid w:val="2FE5D025"/>
    <w:multiLevelType w:val="hybridMultilevel"/>
    <w:lvl w:ilvl="0">
      <w:lvlJc w:val="left"/>
      <w:lvlText w:val="%1"/>
      <w:numFmt w:val="decimal"/>
      <w:start w:val="1"/>
    </w:lvl>
    <w:lvl w:ilvl="1">
      <w:lvlJc w:val="left"/>
      <w:lvlText w:val="(%2)"/>
      <w:numFmt w:val="lowerLetter"/>
      <w:start w:val="49"/>
    </w:lvl>
  </w:abstractNum>
  <w:abstractNum w:abstractNumId="329">
    <w:nsid w:val="30E1B1CF"/>
    <w:multiLevelType w:val="hybridMultilevel"/>
    <w:lvl w:ilvl="0">
      <w:lvlJc w:val="left"/>
      <w:lvlText w:val="(%1)"/>
      <w:numFmt w:val="decimal"/>
      <w:start w:val="8"/>
    </w:lvl>
    <w:lvl w:ilvl="1">
      <w:lvlJc w:val="left"/>
      <w:lvlText w:val="%2"/>
      <w:numFmt w:val="lowerLetter"/>
      <w:start w:val="1"/>
    </w:lvl>
  </w:abstractNum>
  <w:abstractNum w:abstractNumId="330">
    <w:nsid w:val="C7A9237"/>
    <w:multiLevelType w:val="hybridMultilevel"/>
    <w:lvl w:ilvl="0">
      <w:lvlJc w:val="left"/>
      <w:lvlText w:val="(%1)"/>
      <w:numFmt w:val="lowerLetter"/>
      <w:start w:val="50"/>
    </w:lvl>
  </w:abstractNum>
  <w:abstractNum w:abstractNumId="331">
    <w:nsid w:val="676B3580"/>
    <w:multiLevelType w:val="hybridMultilevel"/>
    <w:lvl w:ilvl="0">
      <w:lvlJc w:val="left"/>
      <w:lvlText w:val="%1"/>
      <w:numFmt w:val="upperLetter"/>
      <w:start w:val="1"/>
    </w:lvl>
    <w:lvl w:ilvl="1">
      <w:lvlJc w:val="left"/>
      <w:lvlText w:val="(%2)"/>
      <w:numFmt w:val="lowerLetter"/>
      <w:start w:val="53"/>
    </w:lvl>
  </w:abstractNum>
  <w:abstractNum w:abstractNumId="332">
    <w:nsid w:val="3193C8F9"/>
    <w:multiLevelType w:val="hybridMultilevel"/>
    <w:lvl w:ilvl="0">
      <w:lvlJc w:val="left"/>
      <w:lvlText w:val="(%1)"/>
      <w:numFmt w:val="upperLetter"/>
      <w:start w:val="1"/>
    </w:lvl>
    <w:lvl w:ilvl="1">
      <w:lvlJc w:val="left"/>
      <w:lvlText w:val="%2"/>
      <w:numFmt w:val="lowerLetter"/>
      <w:start w:val="1"/>
    </w:lvl>
  </w:abstractNum>
  <w:abstractNum w:abstractNumId="333">
    <w:nsid w:val="5FA6C6DC"/>
    <w:multiLevelType w:val="hybridMultilevel"/>
    <w:lvl w:ilvl="0">
      <w:lvlJc w:val="left"/>
      <w:lvlText w:val="(%1)"/>
      <w:numFmt w:val="lowerLetter"/>
      <w:start w:val="59"/>
    </w:lvl>
  </w:abstractNum>
  <w:abstractNum w:abstractNumId="334">
    <w:nsid w:val="77933F62"/>
    <w:multiLevelType w:val="hybridMultilevel"/>
    <w:lvl w:ilvl="0">
      <w:lvlJc w:val="left"/>
      <w:lvlText w:val="(%1)"/>
      <w:numFmt w:val="lowerLetter"/>
      <w:start w:val="70"/>
    </w:lvl>
  </w:abstractNum>
  <w:abstractNum w:abstractNumId="335">
    <w:nsid w:val="6CB4EE9C"/>
    <w:multiLevelType w:val="hybridMultilevel"/>
    <w:lvl w:ilvl="0">
      <w:lvlJc w:val="left"/>
      <w:lvlText w:val="•"/>
      <w:numFmt w:val="bullet"/>
      <w:start w:val="1"/>
    </w:lvl>
  </w:abstractNum>
  <w:abstractNum w:abstractNumId="336">
    <w:nsid w:val="6A6D56D7"/>
    <w:multiLevelType w:val="hybridMultilevel"/>
    <w:lvl w:ilvl="0">
      <w:lvlJc w:val="left"/>
      <w:lvlText w:val="•"/>
      <w:numFmt w:val="bullet"/>
      <w:start w:val="1"/>
    </w:lvl>
  </w:abstractNum>
  <w:abstractNum w:abstractNumId="337">
    <w:nsid w:val="5B727F19"/>
    <w:multiLevelType w:val="hybridMultilevel"/>
    <w:lvl w:ilvl="0">
      <w:lvlJc w:val="left"/>
      <w:lvlText w:val="%1."/>
      <w:numFmt w:val="decimal"/>
      <w:start w:val="1"/>
    </w:lvl>
    <w:lvl w:ilvl="1">
      <w:lvlJc w:val="left"/>
      <w:lvlText w:val="(%2)"/>
      <w:numFmt w:val="lowerLetter"/>
      <w:start w:val="1"/>
    </w:lvl>
  </w:abstractNum>
  <w:abstractNum w:abstractNumId="338">
    <w:nsid w:val="514E5CB0"/>
    <w:multiLevelType w:val="hybridMultilevel"/>
    <w:lvl w:ilvl="0">
      <w:lvlJc w:val="left"/>
      <w:lvlText w:val="(%1)"/>
      <w:numFmt w:val="lowerLetter"/>
      <w:start w:val="3"/>
    </w:lvl>
  </w:abstractNum>
  <w:abstractNum w:abstractNumId="339">
    <w:nsid w:val="4210D41E"/>
    <w:multiLevelType w:val="hybridMultilevel"/>
    <w:lvl w:ilvl="0">
      <w:lvlJc w:val="left"/>
      <w:lvlText w:val="%1."/>
      <w:numFmt w:val="decimal"/>
      <w:start w:val="2"/>
    </w:lvl>
  </w:abstractNum>
  <w:abstractNum w:abstractNumId="340">
    <w:nsid w:val="4FF4CC6D"/>
    <w:multiLevelType w:val="hybridMultilevel"/>
    <w:lvl w:ilvl="0">
      <w:lvlJc w:val="left"/>
      <w:lvlText w:val="(%1)"/>
      <w:numFmt w:val="lowerLetter"/>
      <w:start w:val="1"/>
    </w:lvl>
    <w:lvl w:ilvl="1">
      <w:lvlJc w:val="left"/>
      <w:lvlText w:val="(%2)"/>
      <w:numFmt w:val="lowerLetter"/>
      <w:start w:val="9"/>
    </w:lvl>
  </w:abstractNum>
  <w:abstractNum w:abstractNumId="341">
    <w:nsid w:val="404EAF4A"/>
    <w:multiLevelType w:val="hybridMultilevel"/>
    <w:lvl w:ilvl="0">
      <w:lvlJc w:val="left"/>
      <w:lvlText w:val="%1"/>
      <w:numFmt w:val="lowerLetter"/>
      <w:start w:val="1"/>
    </w:lvl>
    <w:lvl w:ilvl="1">
      <w:lvlJc w:val="left"/>
      <w:lvlText w:val="(%2)"/>
      <w:numFmt w:val="lowerRoman"/>
      <w:start w:val="2"/>
    </w:lvl>
  </w:abstractNum>
  <w:abstractNum w:abstractNumId="342">
    <w:nsid w:val="4A16874F"/>
    <w:multiLevelType w:val="hybridMultilevel"/>
    <w:lvl w:ilvl="0">
      <w:lvlJc w:val="left"/>
      <w:lvlText w:val="(%1)"/>
      <w:numFmt w:val="lowerLetter"/>
      <w:start w:val="3"/>
    </w:lvl>
    <w:lvl w:ilvl="1">
      <w:lvlJc w:val="left"/>
      <w:lvlText w:val="%2"/>
      <w:numFmt w:val="lowerRoman"/>
      <w:start w:val="1"/>
    </w:lvl>
  </w:abstractNum>
  <w:abstractNum w:abstractNumId="343">
    <w:nsid w:val="55FEE0D1"/>
    <w:multiLevelType w:val="hybridMultilevel"/>
    <w:lvl w:ilvl="0">
      <w:lvlJc w:val="left"/>
      <w:lvlText w:val="%1."/>
      <w:numFmt w:val="decimal"/>
      <w:start w:val="3"/>
    </w:lvl>
    <w:lvl w:ilvl="1">
      <w:lvlJc w:val="left"/>
      <w:lvlText w:val="(%2)"/>
      <w:numFmt w:val="lowerLetter"/>
      <w:start w:val="1"/>
    </w:lvl>
  </w:abstractNum>
  <w:abstractNum w:abstractNumId="344">
    <w:nsid w:val="3C5E07C"/>
    <w:multiLevelType w:val="hybridMultilevel"/>
    <w:lvl w:ilvl="0">
      <w:lvlJc w:val="left"/>
      <w:lvlText w:val="(%1)"/>
      <w:numFmt w:val="lowerLetter"/>
      <w:start w:val="7"/>
    </w:lvl>
  </w:abstractNum>
  <w:abstractNum w:abstractNumId="345">
    <w:nsid w:val="60C2D273"/>
    <w:multiLevelType w:val="hybridMultilevel"/>
    <w:lvl w:ilvl="0">
      <w:lvlJc w:val="left"/>
      <w:lvlText w:val="%1."/>
      <w:numFmt w:val="decimal"/>
      <w:start w:val="4"/>
    </w:lvl>
  </w:abstractNum>
  <w:abstractNum w:abstractNumId="346">
    <w:nsid w:val="4CC32F1F"/>
    <w:multiLevelType w:val="hybridMultilevel"/>
    <w:lvl w:ilvl="0">
      <w:lvlJc w:val="left"/>
      <w:lvlText w:val="%1."/>
      <w:numFmt w:val="decimal"/>
      <w:start w:val="8"/>
    </w:lvl>
    <w:lvl w:ilvl="1">
      <w:lvlJc w:val="left"/>
      <w:lvlText w:val="*"/>
      <w:numFmt w:val="bullet"/>
      <w:start w:val="1"/>
    </w:lvl>
  </w:abstractNum>
  <w:abstractNum w:abstractNumId="347">
    <w:nsid w:val="11CAC74A"/>
    <w:multiLevelType w:val="hybridMultilevel"/>
    <w:lvl w:ilvl="0">
      <w:lvlJc w:val="left"/>
      <w:lvlText w:val="•"/>
      <w:numFmt w:val="bullet"/>
      <w:start w:val="1"/>
    </w:lvl>
  </w:abstractNum>
  <w:abstractNum w:abstractNumId="348">
    <w:nsid w:val="126CADE9"/>
    <w:multiLevelType w:val="hybridMultilevel"/>
    <w:lvl w:ilvl="0">
      <w:lvlJc w:val="left"/>
      <w:lvlText w:val="%1."/>
      <w:numFmt w:val="decimal"/>
      <w:start w:val="1"/>
    </w:lvl>
    <w:lvl w:ilvl="1">
      <w:lvlJc w:val="left"/>
      <w:lvlText w:val="(%2)"/>
      <w:numFmt w:val="lowerLetter"/>
      <w:start w:val="1"/>
    </w:lvl>
  </w:abstractNum>
  <w:abstractNum w:abstractNumId="349">
    <w:nsid w:val="19132E7B"/>
    <w:multiLevelType w:val="hybridMultilevel"/>
    <w:lvl w:ilvl="0">
      <w:lvlJc w:val="left"/>
      <w:lvlText w:val="(%1)"/>
      <w:numFmt w:val="lowerLetter"/>
      <w:start w:val="3"/>
    </w:lvl>
  </w:abstractNum>
  <w:abstractNum w:abstractNumId="350">
    <w:nsid w:val="63822DC0"/>
    <w:multiLevelType w:val="hybridMultilevel"/>
    <w:lvl w:ilvl="0">
      <w:lvlJc w:val="left"/>
      <w:lvlText w:val="%1."/>
      <w:numFmt w:val="decimal"/>
      <w:start w:val="2"/>
    </w:lvl>
    <w:lvl w:ilvl="1">
      <w:lvlJc w:val="left"/>
      <w:lvlText w:val="(%2)"/>
      <w:numFmt w:val="lowerLetter"/>
      <w:start w:val="1"/>
    </w:lvl>
  </w:abstractNum>
  <w:abstractNum w:abstractNumId="351">
    <w:nsid w:val="6C11685A"/>
    <w:multiLevelType w:val="hybridMultilevel"/>
    <w:lvl w:ilvl="0">
      <w:lvlJc w:val="left"/>
      <w:lvlText w:val="(%1)"/>
      <w:numFmt w:val="lowerRoman"/>
      <w:start w:val="10"/>
    </w:lvl>
  </w:abstractNum>
  <w:abstractNum w:abstractNumId="352">
    <w:nsid w:val="5E1EAE3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53">
    <w:nsid w:val="178E240D"/>
    <w:multiLevelType w:val="hybridMultilevel"/>
    <w:lvl w:ilvl="0">
      <w:lvlJc w:val="left"/>
      <w:lvlText w:val="(%1)"/>
      <w:numFmt w:val="lowerLetter"/>
      <w:start w:val="1"/>
    </w:lvl>
  </w:abstractNum>
  <w:abstractNum w:abstractNumId="354">
    <w:nsid w:val="5556A87B"/>
    <w:multiLevelType w:val="hybridMultilevel"/>
    <w:lvl w:ilvl="0">
      <w:lvlJc w:val="left"/>
      <w:lvlText w:val="(%1)"/>
      <w:numFmt w:val="lowerLetter"/>
      <w:start w:val="4"/>
    </w:lvl>
  </w:abstractNum>
  <w:abstractNum w:abstractNumId="355">
    <w:nsid w:val="28100A9C"/>
    <w:multiLevelType w:val="hybridMultilevel"/>
    <w:lvl w:ilvl="0">
      <w:lvlJc w:val="left"/>
      <w:lvlText w:val="(%1)"/>
      <w:numFmt w:val="lowerRoman"/>
      <w:start w:val="1"/>
    </w:lvl>
  </w:abstractNum>
  <w:abstractNum w:abstractNumId="356">
    <w:nsid w:val="D838636"/>
    <w:multiLevelType w:val="hybridMultilevel"/>
    <w:lvl w:ilvl="0">
      <w:lvlJc w:val="left"/>
      <w:lvlText w:val="%1."/>
      <w:numFmt w:val="decimal"/>
      <w:start w:val="5"/>
    </w:lvl>
  </w:abstractNum>
  <w:abstractNum w:abstractNumId="357">
    <w:nsid w:val="71B82AED"/>
    <w:multiLevelType w:val="hybridMultilevel"/>
    <w:lvl w:ilvl="0">
      <w:lvlJc w:val="left"/>
      <w:lvlText w:val="%1."/>
      <w:numFmt w:val="decimal"/>
      <w:start w:val="10"/>
    </w:lvl>
    <w:lvl w:ilvl="1">
      <w:lvlJc w:val="left"/>
      <w:lvlText w:val="*"/>
      <w:numFmt w:val="bullet"/>
      <w:start w:val="1"/>
    </w:lvl>
  </w:abstractNum>
  <w:abstractNum w:abstractNumId="358">
    <w:nsid w:val="D15FACA"/>
    <w:multiLevelType w:val="hybridMultilevel"/>
    <w:lvl w:ilvl="0">
      <w:lvlJc w:val="left"/>
      <w:lvlText w:val="•"/>
      <w:numFmt w:val="bullet"/>
      <w:start w:val="1"/>
    </w:lvl>
  </w:abstractNum>
  <w:abstractNum w:abstractNumId="359">
    <w:nsid w:val="3D69565B"/>
    <w:multiLevelType w:val="hybridMultilevel"/>
    <w:lvl w:ilvl="0">
      <w:lvlJc w:val="left"/>
      <w:lvlText w:val="%1."/>
      <w:numFmt w:val="decimal"/>
      <w:start w:val="1"/>
    </w:lvl>
    <w:lvl w:ilvl="1">
      <w:lvlJc w:val="left"/>
      <w:lvlText w:val="(%2)"/>
      <w:numFmt w:val="lowerLetter"/>
      <w:start w:val="1"/>
    </w:lvl>
  </w:abstractNum>
  <w:abstractNum w:abstractNumId="360">
    <w:nsid w:val="2299DCBC"/>
    <w:multiLevelType w:val="hybridMultilevel"/>
    <w:lvl w:ilvl="0">
      <w:lvlJc w:val="left"/>
      <w:lvlText w:val="%1."/>
      <w:numFmt w:val="decimal"/>
      <w:start w:val="2"/>
    </w:lvl>
  </w:abstractNum>
  <w:abstractNum w:abstractNumId="361">
    <w:nsid w:val="19908D0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62">
    <w:nsid w:val="24D48BD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363">
    <w:nsid w:val="542DA5B5"/>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364">
    <w:nsid w:val="793753DE"/>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365">
    <w:nsid w:val="1C67CB3D"/>
    <w:multiLevelType w:val="hybridMultilevel"/>
    <w:lvl w:ilvl="0">
      <w:lvlJc w:val="left"/>
      <w:lvlText w:val="%1."/>
      <w:numFmt w:val="decimal"/>
      <w:start w:val="9"/>
    </w:lvl>
  </w:abstractNum>
  <w:abstractNum w:abstractNumId="366">
    <w:nsid w:val="40E2945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67">
    <w:nsid w:val="63A4AAB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68">
    <w:nsid w:val="77DA4A57"/>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69">
    <w:nsid w:val="1230F10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70">
    <w:nsid w:val="25B57ED4"/>
    <w:multiLevelType w:val="hybridMultilevel"/>
    <w:lvl w:ilvl="0">
      <w:lvlJc w:val="left"/>
      <w:lvlText w:val="%1"/>
      <w:numFmt w:val="decimal"/>
      <w:start w:val="1"/>
    </w:lvl>
    <w:lvl w:ilvl="1">
      <w:lvlJc w:val="left"/>
      <w:lvlText w:val="(%2)"/>
      <w:numFmt w:val="lowerLetter"/>
      <w:start w:val="2"/>
    </w:lvl>
  </w:abstractNum>
  <w:abstractNum w:abstractNumId="371">
    <w:nsid w:val="47CF16C4"/>
    <w:multiLevelType w:val="hybridMultilevel"/>
    <w:lvl w:ilvl="0">
      <w:lvlJc w:val="left"/>
      <w:lvlText w:val="%1."/>
      <w:numFmt w:val="decimal"/>
      <w:start w:val="4"/>
    </w:lvl>
    <w:lvl w:ilvl="1">
      <w:lvlJc w:val="left"/>
      <w:lvlText w:val="(%2)"/>
      <w:numFmt w:val="lowerLetter"/>
      <w:start w:val="1"/>
    </w:lvl>
  </w:abstractNum>
  <w:abstractNum w:abstractNumId="372">
    <w:nsid w:val="527FA04C"/>
    <w:multiLevelType w:val="hybridMultilevel"/>
    <w:lvl w:ilvl="0">
      <w:lvlJc w:val="left"/>
      <w:lvlText w:val="(%1)"/>
      <w:numFmt w:val="lowerLetter"/>
      <w:start w:val="2"/>
    </w:lvl>
    <w:lvl w:ilvl="1">
      <w:lvlJc w:val="left"/>
      <w:lvlText w:val="(%2)"/>
      <w:numFmt w:val="lowerRoman"/>
      <w:start w:val="1"/>
    </w:lvl>
  </w:abstractNum>
  <w:abstractNum w:abstractNumId="373">
    <w:nsid w:val="6FCC0624"/>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374">
    <w:nsid w:val="1DCDF79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75">
    <w:nsid w:val="564580C8"/>
    <w:multiLevelType w:val="hybridMultilevel"/>
    <w:lvl w:ilvl="0">
      <w:lvlJc w:val="left"/>
      <w:lvlText w:val="%1"/>
      <w:numFmt w:val="decimal"/>
      <w:start w:val="1"/>
    </w:lvl>
    <w:lvl w:ilvl="1">
      <w:lvlJc w:val="left"/>
      <w:lvlText w:val="(%2)"/>
      <w:numFmt w:val="lowerLetter"/>
      <w:start w:val="2"/>
    </w:lvl>
  </w:abstractNum>
  <w:abstractNum w:abstractNumId="376">
    <w:nsid w:val="508ED897"/>
    <w:multiLevelType w:val="hybridMultilevel"/>
    <w:lvl w:ilvl="0">
      <w:lvlJc w:val="left"/>
      <w:lvlText w:val="%1"/>
      <w:numFmt w:val="decimal"/>
      <w:start w:val="423"/>
    </w:lvl>
    <w:lvl w:ilvl="1">
      <w:lvlJc w:val="left"/>
      <w:lvlText w:val="(%2)"/>
      <w:numFmt w:val="lowerLetter"/>
      <w:start w:val="5"/>
    </w:lvl>
  </w:abstractNum>
  <w:abstractNum w:abstractNumId="377">
    <w:nsid w:val="6A9126B5"/>
    <w:multiLevelType w:val="hybridMultilevel"/>
    <w:lvl w:ilvl="0">
      <w:lvlJc w:val="left"/>
      <w:lvlText w:val="%1."/>
      <w:numFmt w:val="decimal"/>
      <w:start w:val="8"/>
    </w:lvl>
    <w:lvl w:ilvl="1">
      <w:lvlJc w:val="left"/>
      <w:lvlText w:val="(%2)"/>
      <w:numFmt w:val="lowerLetter"/>
      <w:start w:val="1"/>
    </w:lvl>
  </w:abstractNum>
  <w:abstractNum w:abstractNumId="378">
    <w:nsid w:val="68104812"/>
    <w:multiLevelType w:val="hybridMultilevel"/>
    <w:lvl w:ilvl="0">
      <w:lvlJc w:val="left"/>
      <w:lvlText w:val="%1"/>
      <w:numFmt w:val="decimal"/>
      <w:start w:val="1"/>
    </w:lvl>
    <w:lvl w:ilvl="1">
      <w:lvlJc w:val="left"/>
      <w:lvlText w:val="(%2)"/>
      <w:numFmt w:val="lowerLetter"/>
      <w:start w:val="3"/>
    </w:lvl>
  </w:abstractNum>
  <w:abstractNum w:abstractNumId="379">
    <w:nsid w:val="62FB8680"/>
    <w:multiLevelType w:val="hybridMultilevel"/>
    <w:lvl w:ilvl="0">
      <w:lvlJc w:val="left"/>
      <w:lvlText w:val="%1."/>
      <w:numFmt w:val="decimal"/>
      <w:start w:val="9"/>
    </w:lvl>
    <w:lvl w:ilvl="1">
      <w:lvlJc w:val="left"/>
      <w:lvlText w:val="%2"/>
      <w:numFmt w:val="lowerLetter"/>
      <w:start w:val="1"/>
    </w:lvl>
  </w:abstractNum>
  <w:abstractNum w:abstractNumId="380">
    <w:nsid w:val="3A45530"/>
    <w:multiLevelType w:val="hybridMultilevel"/>
    <w:lvl w:ilvl="0">
      <w:lvlJc w:val="left"/>
      <w:lvlText w:val="%1."/>
      <w:numFmt w:val="decimal"/>
      <w:start w:val="10"/>
    </w:lvl>
    <w:lvl w:ilvl="1">
      <w:lvlJc w:val="left"/>
      <w:lvlText w:val="(%2)"/>
      <w:numFmt w:val="lowerLetter"/>
      <w:start w:val="1"/>
    </w:lvl>
  </w:abstractNum>
  <w:abstractNum w:abstractNumId="381">
    <w:nsid w:val="4B9275D2"/>
    <w:multiLevelType w:val="hybridMultilevel"/>
    <w:lvl w:ilvl="0">
      <w:lvlJc w:val="left"/>
      <w:lvlText w:val="%1."/>
      <w:numFmt w:val="decimal"/>
      <w:start w:val="11"/>
    </w:lvl>
    <w:lvl w:ilvl="1">
      <w:lvlJc w:val="left"/>
      <w:lvlText w:val="(%2)"/>
      <w:numFmt w:val="lowerLetter"/>
      <w:start w:val="1"/>
    </w:lvl>
  </w:abstractNum>
  <w:abstractNum w:abstractNumId="382">
    <w:nsid w:val="4F0CEEDB"/>
    <w:multiLevelType w:val="hybridMultilevel"/>
    <w:lvl w:ilvl="0">
      <w:lvlJc w:val="left"/>
      <w:lvlText w:val="(%1)"/>
      <w:numFmt w:val="lowerLetter"/>
      <w:start w:val="2"/>
    </w:lvl>
  </w:abstractNum>
  <w:abstractNum w:abstractNumId="383">
    <w:nsid w:val="61C30361"/>
    <w:multiLevelType w:val="hybridMultilevel"/>
    <w:lvl w:ilvl="0">
      <w:lvlJc w:val="left"/>
      <w:lvlText w:val="%1."/>
      <w:numFmt w:val="decimal"/>
      <w:start w:val="13"/>
    </w:lvl>
    <w:lvl w:ilvl="1">
      <w:lvlJc w:val="left"/>
      <w:lvlText w:val="(%2)"/>
      <w:numFmt w:val="lowerLetter"/>
      <w:start w:val="1"/>
    </w:lvl>
  </w:abstractNum>
  <w:abstractNum w:abstractNumId="384">
    <w:nsid w:val="632099E0"/>
    <w:multiLevelType w:val="hybridMultilevel"/>
    <w:lvl w:ilvl="0">
      <w:lvlJc w:val="left"/>
      <w:lvlText w:val="%1."/>
      <w:numFmt w:val="decimal"/>
      <w:start w:val="15"/>
    </w:lvl>
    <w:lvl w:ilvl="1">
      <w:lvlJc w:val="left"/>
      <w:lvlText w:val="(%2)"/>
      <w:numFmt w:val="lowerLetter"/>
      <w:start w:val="1"/>
    </w:lvl>
  </w:abstractNum>
  <w:abstractNum w:abstractNumId="385">
    <w:nsid w:val="24639756"/>
    <w:multiLevelType w:val="hybridMultilevel"/>
    <w:lvl w:ilvl="0">
      <w:lvlJc w:val="left"/>
      <w:lvlText w:val="(%1)"/>
      <w:numFmt w:val="lowerLetter"/>
      <w:start w:val="2"/>
    </w:lvl>
  </w:abstractNum>
  <w:abstractNum w:abstractNumId="386">
    <w:nsid w:val="9D30DFD"/>
    <w:multiLevelType w:val="hybridMultilevel"/>
    <w:lvl w:ilvl="0">
      <w:lvlJc w:val="left"/>
      <w:lvlText w:val="%1."/>
      <w:numFmt w:val="decimal"/>
      <w:start w:val="16"/>
    </w:lvl>
  </w:abstractNum>
  <w:abstractNum w:abstractNumId="387">
    <w:nsid w:val="70A42016"/>
    <w:multiLevelType w:val="hybridMultilevel"/>
    <w:lvl w:ilvl="0">
      <w:lvlJc w:val="left"/>
      <w:lvlText w:val="(%1)"/>
      <w:numFmt w:val="lowerLetter"/>
      <w:start w:val="1"/>
    </w:lvl>
  </w:abstractNum>
  <w:abstractNum w:abstractNumId="388">
    <w:nsid w:val="161BC243"/>
    <w:multiLevelType w:val="hybridMultilevel"/>
    <w:lvl w:ilvl="0">
      <w:lvlJc w:val="left"/>
      <w:lvlText w:val="(%1)"/>
      <w:numFmt w:val="lowerLetter"/>
      <w:start w:val="6"/>
    </w:lvl>
    <w:lvl w:ilvl="1">
      <w:lvlJc w:val="left"/>
      <w:lvlText w:val="(%2)"/>
      <w:numFmt w:val="lowerRoman"/>
      <w:start w:val="1"/>
    </w:lvl>
  </w:abstractNum>
  <w:abstractNum w:abstractNumId="389">
    <w:nsid w:val="16E908C8"/>
    <w:multiLevelType w:val="hybridMultilevel"/>
    <w:lvl w:ilvl="0">
      <w:lvlJc w:val="left"/>
      <w:lvlText w:val="(%1)"/>
      <w:numFmt w:val="lowerLetter"/>
      <w:start w:val="16"/>
    </w:lvl>
    <w:lvl w:ilvl="1">
      <w:lvlJc w:val="left"/>
      <w:lvlText w:val="(%2)"/>
      <w:numFmt w:val="lowerRoman"/>
      <w:start w:val="1"/>
    </w:lvl>
  </w:abstractNum>
  <w:abstractNum w:abstractNumId="390">
    <w:nsid w:val="2E0D7671"/>
    <w:multiLevelType w:val="hybridMultilevel"/>
    <w:lvl w:ilvl="0">
      <w:lvlJc w:val="left"/>
      <w:lvlText w:val="(%1)"/>
      <w:numFmt w:val="lowerLetter"/>
      <w:start w:val="23"/>
    </w:lvl>
  </w:abstractNum>
  <w:abstractNum w:abstractNumId="391">
    <w:nsid w:val="38B59EFF"/>
    <w:multiLevelType w:val="hybridMultilevel"/>
    <w:lvl w:ilvl="0">
      <w:lvlJc w:val="left"/>
      <w:lvlText w:val="(%1)"/>
      <w:numFmt w:val="lowerLetter"/>
      <w:start w:val="27"/>
    </w:lvl>
  </w:abstractNum>
  <w:abstractNum w:abstractNumId="392">
    <w:nsid w:val="307995C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93">
    <w:nsid w:val="52E2024D"/>
    <w:multiLevelType w:val="hybridMultilevel"/>
    <w:lvl w:ilvl="0">
      <w:lvlJc w:val="left"/>
      <w:lvlText w:val="(%1)"/>
      <w:numFmt w:val="lowerRoman"/>
      <w:start w:val="3"/>
    </w:lvl>
  </w:abstractNum>
  <w:abstractNum w:abstractNumId="394">
    <w:nsid w:val="CE344B5"/>
    <w:multiLevelType w:val="hybridMultilevel"/>
    <w:lvl w:ilvl="0">
      <w:lvlJc w:val="left"/>
      <w:lvlText w:val="%1"/>
      <w:numFmt w:val="lowerLetter"/>
      <w:start w:val="1"/>
    </w:lvl>
    <w:lvl w:ilvl="1">
      <w:lvlJc w:val="left"/>
      <w:lvlText w:val="(%2)"/>
      <w:numFmt w:val="decimal"/>
      <w:start w:val="1"/>
    </w:lvl>
  </w:abstractNum>
  <w:abstractNum w:abstractNumId="395">
    <w:nsid w:val="29B0E9A8"/>
    <w:multiLevelType w:val="hybridMultilevel"/>
    <w:lvl w:ilvl="0">
      <w:lvlJc w:val="left"/>
      <w:lvlText w:val="(%1)"/>
      <w:numFmt w:val="lowerLetter"/>
      <w:start w:val="2"/>
    </w:lvl>
    <w:lvl w:ilvl="1">
      <w:lvlJc w:val="left"/>
      <w:lvlText w:val="%2"/>
      <w:numFmt w:val="decimal"/>
      <w:start w:val="1"/>
    </w:lvl>
  </w:abstractNum>
  <w:abstractNum w:abstractNumId="396">
    <w:nsid w:val="6F49CD8A"/>
    <w:multiLevelType w:val="hybridMultilevel"/>
    <w:lvl w:ilvl="0">
      <w:lvlJc w:val="left"/>
      <w:lvlText w:val="(%1)"/>
      <w:numFmt w:val="lowerLetter"/>
      <w:start w:val="5"/>
    </w:lvl>
  </w:abstractNum>
  <w:abstractNum w:abstractNumId="397">
    <w:nsid w:val="4DC5D907"/>
    <w:multiLevelType w:val="hybridMultilevel"/>
    <w:lvl w:ilvl="0">
      <w:lvlJc w:val="left"/>
      <w:lvlText w:val="%1"/>
      <w:numFmt w:val="decimal"/>
      <w:start w:val="1"/>
    </w:lvl>
    <w:lvl w:ilvl="1">
      <w:lvlJc w:val="left"/>
      <w:lvlText w:val="(%2)"/>
      <w:numFmt w:val="lowerRoman"/>
      <w:start w:val="1"/>
    </w:lvl>
  </w:abstractNum>
  <w:abstractNum w:abstractNumId="398">
    <w:nsid w:val="D55945E"/>
    <w:multiLevelType w:val="hybridMultilevel"/>
    <w:lvl w:ilvl="0">
      <w:lvlJc w:val="left"/>
      <w:lvlText w:val="%1."/>
      <w:numFmt w:val="decimal"/>
      <w:start w:val="2"/>
    </w:lvl>
    <w:lvl w:ilvl="1">
      <w:lvlJc w:val="left"/>
      <w:lvlText w:val="%2"/>
      <w:numFmt w:val="lowerRoman"/>
      <w:start w:val="1"/>
    </w:lvl>
  </w:abstractNum>
  <w:abstractNum w:abstractNumId="399">
    <w:nsid w:val="672417E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00">
    <w:nsid w:val="5FF6CA09"/>
    <w:multiLevelType w:val="hybridMultilevel"/>
    <w:lvl w:ilvl="0">
      <w:lvlJc w:val="left"/>
      <w:lvlText w:val="%1"/>
      <w:numFmt w:val="decimal"/>
      <w:start w:val="1"/>
    </w:lvl>
    <w:lvl w:ilvl="1">
      <w:lvlJc w:val="left"/>
      <w:lvlText w:val="(%2)"/>
      <w:numFmt w:val="lowerLetter"/>
      <w:start w:val="4"/>
    </w:lvl>
  </w:abstractNum>
  <w:abstractNum w:abstractNumId="401">
    <w:nsid w:val="330B1333"/>
    <w:multiLevelType w:val="hybridMultilevel"/>
    <w:lvl w:ilvl="0">
      <w:lvlJc w:val="left"/>
      <w:lvlText w:val="%1."/>
      <w:numFmt w:val="decimal"/>
      <w:start w:val="8"/>
    </w:lvl>
    <w:lvl w:ilvl="1">
      <w:lvlJc w:val="left"/>
      <w:lvlText w:val="(%2)"/>
      <w:numFmt w:val="lowerLetter"/>
      <w:start w:val="1"/>
    </w:lvl>
  </w:abstractNum>
  <w:abstractNum w:abstractNumId="402">
    <w:nsid w:val="2EF32EA6"/>
    <w:multiLevelType w:val="hybridMultilevel"/>
    <w:lvl w:ilvl="0">
      <w:lvlJc w:val="left"/>
      <w:lvlText w:val="%1"/>
      <w:numFmt w:val="decimal"/>
      <w:start w:val="1"/>
    </w:lvl>
    <w:lvl w:ilvl="1">
      <w:lvlJc w:val="left"/>
      <w:lvlText w:val="(%2)"/>
      <w:numFmt w:val="lowerLetter"/>
      <w:start w:val="3"/>
    </w:lvl>
  </w:abstractNum>
  <w:abstractNum w:abstractNumId="403">
    <w:nsid w:val="32766A55"/>
    <w:multiLevelType w:val="hybridMultilevel"/>
    <w:lvl w:ilvl="0">
      <w:lvlJc w:val="left"/>
      <w:lvlText w:val="%1."/>
      <w:numFmt w:val="decimal"/>
      <w:start w:val="10"/>
    </w:lvl>
    <w:lvl w:ilvl="1">
      <w:lvlJc w:val="left"/>
      <w:lvlText w:val="(%2)"/>
      <w:numFmt w:val="lowerLetter"/>
      <w:start w:val="1"/>
    </w:lvl>
  </w:abstractNum>
  <w:abstractNum w:abstractNumId="404">
    <w:nsid w:val="22D71957"/>
    <w:multiLevelType w:val="hybridMultilevel"/>
    <w:lvl w:ilvl="0">
      <w:lvlJc w:val="left"/>
      <w:lvlText w:val="(%1)"/>
      <w:numFmt w:val="lowerLetter"/>
      <w:start w:val="3"/>
    </w:lvl>
  </w:abstractNum>
  <w:abstractNum w:abstractNumId="405">
    <w:nsid w:val="4CC1263B"/>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406">
    <w:nsid w:val="8BBEB1D"/>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407">
    <w:nsid w:val="7365F1EE"/>
    <w:multiLevelType w:val="hybridMultilevel"/>
    <w:lvl w:ilvl="0">
      <w:lvlJc w:val="left"/>
      <w:lvlText w:val="(%1)"/>
      <w:numFmt w:val="lowerLetter"/>
      <w:start w:val="22"/>
    </w:lvl>
    <w:lvl w:ilvl="1">
      <w:lvlJc w:val="left"/>
      <w:lvlText w:val="%2"/>
      <w:numFmt w:val="decimal"/>
      <w:start w:val="1"/>
    </w:lvl>
    <w:lvl w:ilvl="2">
      <w:lvlJc w:val="left"/>
      <w:lvlText w:val="%3"/>
      <w:numFmt w:val="lowerLetter"/>
      <w:start w:val="1"/>
    </w:lvl>
  </w:abstractNum>
  <w:abstractNum w:abstractNumId="408">
    <w:nsid w:val="37524CF0"/>
    <w:multiLevelType w:val="hybridMultilevel"/>
    <w:lvl w:ilvl="0">
      <w:lvlJc w:val="left"/>
      <w:lvlText w:val="%1"/>
      <w:numFmt w:val="decimal"/>
      <w:start w:val="1"/>
    </w:lvl>
    <w:lvl w:ilvl="1">
      <w:lvlJc w:val="left"/>
      <w:lvlText w:val="(%2)"/>
      <w:numFmt w:val="lowerLetter"/>
      <w:start w:val="2"/>
    </w:lvl>
  </w:abstractNum>
  <w:abstractNum w:abstractNumId="409">
    <w:nsid w:val="70CC332F"/>
    <w:multiLevelType w:val="hybridMultilevel"/>
    <w:lvl w:ilvl="0">
      <w:lvlJc w:val="left"/>
      <w:lvlText w:val="%1."/>
      <w:numFmt w:val="decimal"/>
      <w:start w:val="13"/>
    </w:lvl>
    <w:lvl w:ilvl="1">
      <w:lvlJc w:val="left"/>
      <w:lvlText w:val="%2"/>
      <w:numFmt w:val="lowerLetter"/>
      <w:start w:val="1"/>
    </w:lvl>
  </w:abstractNum>
  <w:abstractNum w:abstractNumId="410">
    <w:nsid w:val="5661786E"/>
    <w:multiLevelType w:val="hybridMultilevel"/>
    <w:lvl w:ilvl="0">
      <w:lvlJc w:val="left"/>
      <w:lvlText w:val="%1."/>
      <w:numFmt w:val="decimal"/>
      <w:start w:val="14"/>
    </w:lvl>
  </w:abstractNum>
  <w:abstractNum w:abstractNumId="411">
    <w:nsid w:val="3AF6A220"/>
    <w:multiLevelType w:val="hybridMultilevel"/>
    <w:lvl w:ilvl="0">
      <w:lvlJc w:val="left"/>
      <w:lvlText w:val="%1."/>
      <w:numFmt w:val="decimal"/>
      <w:start w:val="17"/>
    </w:lvl>
  </w:abstractNum>
  <w:abstractNum w:abstractNumId="412">
    <w:nsid w:val="3C5EA902"/>
    <w:multiLevelType w:val="hybridMultilevel"/>
    <w:lvl w:ilvl="0">
      <w:lvlJc w:val="left"/>
      <w:lvlText w:val="%1."/>
      <w:numFmt w:val="decimal"/>
      <w:start w:val="23"/>
    </w:lvl>
    <w:lvl w:ilvl="1">
      <w:lvlJc w:val="left"/>
      <w:lvlText w:val="(%2)"/>
      <w:numFmt w:val="lowerLetter"/>
      <w:start w:val="1"/>
    </w:lvl>
  </w:abstractNum>
  <w:abstractNum w:abstractNumId="413">
    <w:nsid w:val="256E6749"/>
    <w:multiLevelType w:val="hybridMultilevel"/>
    <w:lvl w:ilvl="0">
      <w:lvlJc w:val="left"/>
      <w:lvlText w:val="%1."/>
      <w:numFmt w:val="decimal"/>
      <w:start w:val="27"/>
    </w:lvl>
  </w:abstractNum>
  <w:abstractNum w:abstractNumId="414">
    <w:nsid w:val="1CB9A581"/>
    <w:multiLevelType w:val="hybridMultilevel"/>
    <w:lvl w:ilvl="0">
      <w:lvlJc w:val="left"/>
      <w:lvlText w:val="%1."/>
      <w:numFmt w:val="decimal"/>
      <w:start w:val="1"/>
    </w:lvl>
    <w:lvl w:ilvl="1">
      <w:lvlJc w:val="left"/>
      <w:lvlText w:val="(%2)"/>
      <w:numFmt w:val="lowerLetter"/>
      <w:start w:val="1"/>
    </w:lvl>
  </w:abstractNum>
  <w:abstractNum w:abstractNumId="415">
    <w:nsid w:val="1F7F42E2"/>
    <w:multiLevelType w:val="hybridMultilevel"/>
    <w:lvl w:ilvl="0">
      <w:lvlJc w:val="left"/>
      <w:lvlText w:val="(%1)"/>
      <w:numFmt w:val="lowerLetter"/>
      <w:start w:val="3"/>
    </w:lvl>
  </w:abstractNum>
  <w:abstractNum w:abstractNumId="416">
    <w:nsid w:val="49D1FEA0"/>
    <w:multiLevelType w:val="hybridMultilevel"/>
    <w:lvl w:ilvl="0">
      <w:lvlJc w:val="left"/>
      <w:lvlText w:val="%1."/>
      <w:numFmt w:val="decimal"/>
      <w:start w:val="2"/>
    </w:lvl>
    <w:lvl w:ilvl="1">
      <w:lvlJc w:val="left"/>
      <w:lvlText w:val="(%2)"/>
      <w:numFmt w:val="lowerLetter"/>
      <w:start w:val="1"/>
    </w:lvl>
  </w:abstractNum>
  <w:abstractNum w:abstractNumId="417">
    <w:nsid w:val="268CB37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18">
    <w:nsid w:val="102362F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19">
    <w:nsid w:val="5FEDC0E3"/>
    <w:multiLevelType w:val="hybridMultilevel"/>
    <w:lvl w:ilvl="0">
      <w:lvlJc w:val="left"/>
      <w:lvlText w:val="(%1)"/>
      <w:numFmt w:val="lowerLetter"/>
      <w:start w:val="2"/>
    </w:lvl>
    <w:lvl w:ilvl="1">
      <w:lvlJc w:val="left"/>
      <w:lvlText w:val="(%2)"/>
      <w:numFmt w:val="lowerRoman"/>
      <w:start w:val="1"/>
    </w:lvl>
  </w:abstractNum>
  <w:abstractNum w:abstractNumId="420">
    <w:nsid w:val="3D75BC47"/>
    <w:multiLevelType w:val="hybridMultilevel"/>
    <w:lvl w:ilvl="0">
      <w:lvlJc w:val="left"/>
      <w:lvlText w:val="(%1)"/>
      <w:numFmt w:val="lowerRoman"/>
      <w:start w:val="5"/>
    </w:lvl>
  </w:abstractNum>
  <w:abstractNum w:abstractNumId="421">
    <w:nsid w:val="3E30D969"/>
    <w:multiLevelType w:val="hybridMultilevel"/>
    <w:lvl w:ilvl="0">
      <w:lvlJc w:val="left"/>
      <w:lvlText w:val="(%1)"/>
      <w:numFmt w:val="lowerLetter"/>
      <w:start w:val="4"/>
    </w:lvl>
    <w:lvl w:ilvl="1">
      <w:lvlJc w:val="left"/>
      <w:lvlText w:val="(%2)"/>
      <w:numFmt w:val="lowerLetter"/>
      <w:start w:val="9"/>
    </w:lvl>
  </w:abstractNum>
  <w:abstractNum w:abstractNumId="422">
    <w:nsid w:val="18A35FE3"/>
    <w:multiLevelType w:val="hybridMultilevel"/>
    <w:lvl w:ilvl="0">
      <w:lvlJc w:val="left"/>
      <w:lvlText w:val="%1"/>
      <w:numFmt w:val="lowerLetter"/>
      <w:start w:val="1"/>
    </w:lvl>
    <w:lvl w:ilvl="1">
      <w:lvlJc w:val="left"/>
      <w:lvlText w:val="(%2)"/>
      <w:numFmt w:val="lowerRoman"/>
      <w:start w:val="2"/>
    </w:lvl>
  </w:abstractNum>
  <w:abstractNum w:abstractNumId="423">
    <w:nsid w:val="6DEF5211"/>
    <w:multiLevelType w:val="hybridMultilevel"/>
    <w:lvl w:ilvl="0">
      <w:lvlJc w:val="left"/>
      <w:lvlText w:val="(%1)"/>
      <w:numFmt w:val="lowerLetter"/>
      <w:start w:val="6"/>
    </w:lvl>
    <w:lvl w:ilvl="1">
      <w:lvlJc w:val="left"/>
      <w:lvlText w:val="(%2)"/>
      <w:numFmt w:val="lowerRoman"/>
      <w:start w:val="1"/>
    </w:lvl>
  </w:abstractNum>
  <w:abstractNum w:abstractNumId="424">
    <w:nsid w:val="1112DBB6"/>
    <w:multiLevelType w:val="hybridMultilevel"/>
    <w:lvl w:ilvl="0">
      <w:lvlJc w:val="left"/>
      <w:lvlText w:val="%1."/>
      <w:numFmt w:val="decimal"/>
      <w:start w:val="4"/>
    </w:lvl>
    <w:lvl w:ilvl="1">
      <w:lvlJc w:val="left"/>
      <w:lvlText w:val="(%2)"/>
      <w:numFmt w:val="lowerLetter"/>
      <w:start w:val="1"/>
    </w:lvl>
  </w:abstractNum>
  <w:abstractNum w:abstractNumId="425">
    <w:nsid w:val="2586A498"/>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abstractNum>
  <w:abstractNum w:abstractNumId="426">
    <w:nsid w:val="17A03BB9"/>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abstractNum>
  <w:abstractNum w:abstractNumId="427">
    <w:nsid w:val="5CA941"/>
    <w:multiLevelType w:val="hybridMultilevel"/>
    <w:lvl w:ilvl="0">
      <w:lvlJc w:val="left"/>
      <w:lvlText w:val="(%1)"/>
      <w:numFmt w:val="lowerRoman"/>
      <w:start w:val="4"/>
    </w:lvl>
    <w:lvl w:ilvl="1">
      <w:lvlJc w:val="left"/>
      <w:lvlText w:val="%2."/>
      <w:numFmt w:val="decimal"/>
      <w:start w:val="4"/>
    </w:lvl>
    <w:lvl w:ilvl="2">
      <w:lvlJc w:val="left"/>
      <w:lvlText w:val="(%3)"/>
      <w:numFmt w:val="lowerLetter"/>
      <w:start w:val="3"/>
    </w:lvl>
  </w:abstractNum>
  <w:abstractNum w:abstractNumId="428">
    <w:nsid w:val="734C7D9F"/>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429">
    <w:nsid w:val="24F5D018"/>
    <w:multiLevelType w:val="hybridMultilevel"/>
    <w:lvl w:ilvl="0">
      <w:lvlJc w:val="left"/>
      <w:lvlText w:val="%1"/>
      <w:numFmt w:val="upperLetter"/>
      <w:start w:val="1"/>
    </w:lvl>
    <w:lvl w:ilvl="1">
      <w:lvlJc w:val="left"/>
      <w:lvlText w:val="(%2)"/>
      <w:numFmt w:val="lowerLetter"/>
      <w:start w:val="2"/>
    </w:lvl>
  </w:abstractNum>
  <w:abstractNum w:abstractNumId="430">
    <w:nsid w:val="6780C122"/>
    <w:multiLevelType w:val="hybridMultilevel"/>
    <w:lvl w:ilvl="0">
      <w:lvlJc w:val="left"/>
      <w:lvlText w:val="(%1)"/>
      <w:numFmt w:val="upperLetter"/>
      <w:start w:val="1"/>
    </w:lvl>
    <w:lvl w:ilvl="1">
      <w:lvlJc w:val="left"/>
      <w:lvlText w:val="(%2)"/>
      <w:numFmt w:val="lowerLetter"/>
      <w:start w:val="3"/>
    </w:lvl>
  </w:abstractNum>
  <w:abstractNum w:abstractNumId="431">
    <w:nsid w:val="534347A8"/>
    <w:multiLevelType w:val="hybridMultilevel"/>
    <w:lvl w:ilvl="0">
      <w:lvlJc w:val="left"/>
      <w:lvlText w:val="%1"/>
      <w:numFmt w:val="lowerLetter"/>
      <w:start w:val="1"/>
    </w:lvl>
    <w:lvl w:ilvl="1">
      <w:lvlJc w:val="left"/>
      <w:lvlText w:val="%2."/>
      <w:numFmt w:val="decimal"/>
      <w:start w:val="6"/>
    </w:lvl>
  </w:abstractNum>
  <w:abstractNum w:abstractNumId="432">
    <w:nsid w:val="5800E34B"/>
    <w:multiLevelType w:val="hybridMultilevel"/>
    <w:lvl w:ilvl="0">
      <w:lvlJc w:val="left"/>
      <w:lvlText w:val="(%1)"/>
      <w:numFmt w:val="lowerLetter"/>
      <w:start w:val="1"/>
    </w:lvl>
    <w:lvl w:ilvl="1">
      <w:lvlJc w:val="left"/>
      <w:lvlText w:val="%2"/>
      <w:numFmt w:val="decimal"/>
      <w:start w:val="1"/>
    </w:lvl>
  </w:abstractNum>
  <w:abstractNum w:abstractNumId="433">
    <w:nsid w:val="1673EFC8"/>
    <w:multiLevelType w:val="hybridMultilevel"/>
    <w:lvl w:ilvl="0">
      <w:lvlJc w:val="left"/>
      <w:lvlText w:val="(%1)"/>
      <w:numFmt w:val="lowerLetter"/>
      <w:start w:val="1"/>
    </w:lvl>
  </w:abstractNum>
  <w:abstractNum w:abstractNumId="434">
    <w:nsid w:val="5B9B1FD"/>
    <w:multiLevelType w:val="hybridMultilevel"/>
    <w:lvl w:ilvl="0">
      <w:lvlJc w:val="left"/>
      <w:lvlText w:val="%1"/>
      <w:numFmt w:val="decimal"/>
      <w:start w:val="1"/>
    </w:lvl>
    <w:lvl w:ilvl="1">
      <w:lvlJc w:val="left"/>
      <w:lvlText w:val="(%2)"/>
      <w:numFmt w:val="lowerLetter"/>
      <w:start w:val="3"/>
    </w:lvl>
  </w:abstractNum>
  <w:abstractNum w:abstractNumId="435">
    <w:nsid w:val="7AD7FCA2"/>
    <w:multiLevelType w:val="hybridMultilevel"/>
    <w:lvl w:ilvl="0">
      <w:lvlJc w:val="left"/>
      <w:lvlText w:val="%1."/>
      <w:numFmt w:val="decimal"/>
      <w:start w:val="7"/>
    </w:lvl>
    <w:lvl w:ilvl="1">
      <w:lvlJc w:val="left"/>
      <w:lvlText w:val="(%2)"/>
      <w:numFmt w:val="lowerLetter"/>
      <w:start w:val="1"/>
    </w:lvl>
  </w:abstractNum>
  <w:abstractNum w:abstractNumId="436">
    <w:nsid w:val="63351604"/>
    <w:multiLevelType w:val="hybridMultilevel"/>
    <w:lvl w:ilvl="0">
      <w:lvlJc w:val="left"/>
      <w:lvlText w:val="%1"/>
      <w:numFmt w:val="decimal"/>
      <w:start w:val="1"/>
    </w:lvl>
    <w:lvl w:ilvl="1">
      <w:lvlJc w:val="left"/>
      <w:lvlText w:val="(%2)"/>
      <w:numFmt w:val="lowerLetter"/>
      <w:start w:val="2"/>
    </w:lvl>
  </w:abstractNum>
  <w:abstractNum w:abstractNumId="437">
    <w:nsid w:val="E759D1A"/>
    <w:multiLevelType w:val="hybridMultilevel"/>
    <w:lvl w:ilvl="0">
      <w:lvlJc w:val="left"/>
      <w:lvlText w:val="%1."/>
      <w:numFmt w:val="decimal"/>
      <w:start w:val="8"/>
    </w:lvl>
    <w:lvl w:ilvl="1">
      <w:lvlJc w:val="left"/>
      <w:lvlText w:val="(%2)"/>
      <w:numFmt w:val="lowerLetter"/>
      <w:start w:val="1"/>
    </w:lvl>
  </w:abstractNum>
  <w:abstractNum w:abstractNumId="438">
    <w:nsid w:val="6E3DEE90"/>
    <w:multiLevelType w:val="hybridMultilevel"/>
    <w:lvl w:ilvl="0">
      <w:lvlJc w:val="left"/>
      <w:lvlText w:val="(%1)"/>
      <w:numFmt w:val="lowerLetter"/>
      <w:start w:val="2"/>
    </w:lvl>
  </w:abstractNum>
  <w:abstractNum w:abstractNumId="439">
    <w:nsid w:val="1A8762F4"/>
    <w:multiLevelType w:val="hybridMultilevel"/>
    <w:lvl w:ilvl="0">
      <w:lvlJc w:val="left"/>
      <w:lvlText w:val="%1."/>
      <w:numFmt w:val="decimal"/>
      <w:start w:val="9"/>
    </w:lvl>
    <w:lvl w:ilvl="1">
      <w:lvlJc w:val="left"/>
      <w:lvlText w:val="(%2)"/>
      <w:numFmt w:val="lowerLetter"/>
      <w:start w:val="1"/>
    </w:lvl>
  </w:abstractNum>
  <w:abstractNum w:abstractNumId="440">
    <w:nsid w:val="7F41D04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441">
    <w:nsid w:val="449F66FE"/>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442">
    <w:nsid w:val="557E0515"/>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443">
    <w:nsid w:val="3BA0794B"/>
    <w:multiLevelType w:val="hybridMultilevel"/>
    <w:lvl w:ilvl="0">
      <w:lvlJc w:val="left"/>
      <w:lvlText w:val="%1"/>
      <w:numFmt w:val="lowerRoman"/>
      <w:start w:val="1"/>
    </w:lvl>
    <w:lvl w:ilvl="1">
      <w:lvlJc w:val="left"/>
      <w:lvlText w:val="%2."/>
      <w:numFmt w:val="decimal"/>
      <w:start w:val="14"/>
    </w:lvl>
  </w:abstractNum>
  <w:abstractNum w:abstractNumId="444">
    <w:nsid w:val="6A0DCE48"/>
    <w:multiLevelType w:val="hybridMultilevel"/>
    <w:lvl w:ilvl="0">
      <w:lvlJc w:val="left"/>
      <w:lvlText w:val="(%1)"/>
      <w:numFmt w:val="lowerRoman"/>
      <w:start w:val="1"/>
    </w:lvl>
    <w:lvl w:ilvl="1">
      <w:lvlJc w:val="left"/>
      <w:lvlText w:val="%2."/>
      <w:numFmt w:val="decimal"/>
      <w:start w:val="18"/>
    </w:lvl>
  </w:abstractNum>
  <w:abstractNum w:abstractNumId="445">
    <w:nsid w:val="7237AA96"/>
    <w:multiLevelType w:val="hybridMultilevel"/>
    <w:lvl w:ilvl="0">
      <w:lvlJc w:val="left"/>
      <w:lvlText w:val="%1."/>
      <w:numFmt w:val="decimal"/>
      <w:start w:val="20"/>
    </w:lvl>
    <w:lvl w:ilvl="1">
      <w:lvlJc w:val="left"/>
      <w:lvlText w:val="(%2)"/>
      <w:numFmt w:val="lowerLetter"/>
      <w:start w:val="1"/>
    </w:lvl>
  </w:abstractNum>
  <w:abstractNum w:abstractNumId="446">
    <w:nsid w:val="5B1FBC2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447">
    <w:nsid w:val="33DFCCE8"/>
    <w:multiLevelType w:val="hybridMultilevel"/>
    <w:lvl w:ilvl="0">
      <w:lvlJc w:val="left"/>
      <w:lvlText w:val="%1"/>
      <w:numFmt w:val="lowerLetter"/>
      <w:start w:val="1"/>
    </w:lvl>
    <w:lvl w:ilvl="1">
      <w:lvlJc w:val="left"/>
      <w:lvlText w:val="%2."/>
      <w:numFmt w:val="decimal"/>
      <w:start w:val="23"/>
    </w:lvl>
    <w:lvl w:ilvl="2">
      <w:lvlJc w:val="left"/>
      <w:lvlText w:val="%3"/>
      <w:numFmt w:val="lowerLetter"/>
      <w:start w:val="1"/>
    </w:lvl>
  </w:abstractNum>
  <w:abstractNum w:abstractNumId="448">
    <w:nsid w:val="18C45E15"/>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449">
    <w:nsid w:val="6B431F25"/>
    <w:multiLevelType w:val="hybridMultilevel"/>
    <w:lvl w:ilvl="0">
      <w:lvlJc w:val="left"/>
      <w:lvlText w:val="%1."/>
      <w:numFmt w:val="decimal"/>
      <w:start w:val="24"/>
    </w:lvl>
  </w:abstractNum>
  <w:abstractNum w:abstractNumId="450">
    <w:nsid w:val="13CD8DCB"/>
    <w:multiLevelType w:val="hybridMultilevel"/>
    <w:lvl w:ilvl="0">
      <w:lvlJc w:val="left"/>
      <w:lvlText w:val="•"/>
      <w:numFmt w:val="bullet"/>
      <w:start w:val="1"/>
    </w:lvl>
  </w:abstractNum>
  <w:abstractNum w:abstractNumId="451">
    <w:nsid w:val="563A1A5C"/>
    <w:multiLevelType w:val="hybridMultilevel"/>
    <w:lvl w:ilvl="0">
      <w:lvlJc w:val="left"/>
      <w:lvlText w:val="%1."/>
      <w:numFmt w:val="decimal"/>
      <w:start w:val="1"/>
    </w:lvl>
  </w:abstractNum>
  <w:abstractNum w:abstractNumId="452">
    <w:nsid w:val="2973F88F"/>
    <w:multiLevelType w:val="hybridMultilevel"/>
    <w:lvl w:ilvl="0">
      <w:lvlJc w:val="left"/>
      <w:lvlText w:val="%1."/>
      <w:numFmt w:val="decimal"/>
      <w:start w:val="5"/>
    </w:lvl>
  </w:abstractNum>
  <w:abstractNum w:abstractNumId="453">
    <w:nsid w:val="2C70EDAE"/>
    <w:multiLevelType w:val="hybridMultilevel"/>
    <w:lvl w:ilvl="0">
      <w:lvlJc w:val="left"/>
      <w:lvlText w:val="%1."/>
      <w:numFmt w:val="decimal"/>
      <w:start w:val="10"/>
    </w:lvl>
    <w:lvl w:ilvl="1">
      <w:lvlJc w:val="left"/>
      <w:lvlText w:val="%2)"/>
      <w:numFmt w:val="lowerLetter"/>
      <w:start w:val="1"/>
    </w:lvl>
  </w:abstractNum>
  <w:abstractNum w:abstractNumId="454">
    <w:nsid w:val="44296C6D"/>
    <w:multiLevelType w:val="hybridMultilevel"/>
    <w:lvl w:ilvl="0">
      <w:lvlJc w:val="left"/>
      <w:lvlText w:val="%1."/>
      <w:numFmt w:val="decimal"/>
      <w:start w:val="13"/>
    </w:lvl>
    <w:lvl w:ilvl="1">
      <w:lvlJc w:val="left"/>
      <w:lvlText w:val="•"/>
      <w:numFmt w:val="bullet"/>
      <w:start w:val="1"/>
    </w:lvl>
  </w:abstractNum>
  <w:abstractNum w:abstractNumId="455">
    <w:nsid w:val="3A86D445"/>
    <w:multiLevelType w:val="hybridMultilevel"/>
    <w:lvl w:ilvl="0">
      <w:lvlJc w:val="left"/>
      <w:lvlText w:val="•"/>
      <w:numFmt w:val="bullet"/>
      <w:start w:val="1"/>
    </w:lvl>
  </w:abstractNum>
  <w:abstractNum w:abstractNumId="456">
    <w:nsid w:val="51F79246"/>
    <w:multiLevelType w:val="hybridMultilevel"/>
    <w:lvl w:ilvl="0">
      <w:lvlJc w:val="left"/>
      <w:lvlText w:val="%1."/>
      <w:numFmt w:val="decimal"/>
      <w:start w:val="15"/>
    </w:lvl>
  </w:abstractNum>
  <w:abstractNum w:abstractNumId="457">
    <w:nsid w:val="5BC9A827"/>
    <w:multiLevelType w:val="hybridMultilevel"/>
    <w:lvl w:ilvl="0">
      <w:lvlJc w:val="left"/>
      <w:lvlText w:val="%1."/>
      <w:numFmt w:val="decimal"/>
      <w:start w:val="16"/>
    </w:lvl>
  </w:abstractNum>
  <w:abstractNum w:abstractNumId="458">
    <w:nsid w:val="3AE37D86"/>
    <w:multiLevelType w:val="hybridMultilevel"/>
    <w:lvl w:ilvl="0">
      <w:lvlJc w:val="left"/>
      <w:lvlText w:val="%1."/>
      <w:numFmt w:val="decimal"/>
      <w:start w:val="1"/>
    </w:lvl>
    <w:lvl w:ilvl="1">
      <w:lvlJc w:val="left"/>
      <w:lvlText w:val="(%2)"/>
      <w:numFmt w:val="lowerLetter"/>
      <w:start w:val="1"/>
    </w:lvl>
  </w:abstractNum>
  <w:abstractNum w:abstractNumId="459">
    <w:nsid w:val="45440FE5"/>
    <w:multiLevelType w:val="hybridMultilevel"/>
    <w:lvl w:ilvl="0">
      <w:lvlJc w:val="left"/>
      <w:lvlText w:val="(%1)"/>
      <w:numFmt w:val="lowerLetter"/>
      <w:start w:val="3"/>
    </w:lvl>
  </w:abstractNum>
  <w:abstractNum w:abstractNumId="460">
    <w:nsid w:val="BF783F"/>
    <w:multiLevelType w:val="hybridMultilevel"/>
    <w:lvl w:ilvl="0">
      <w:lvlJc w:val="left"/>
      <w:lvlText w:val="%1."/>
      <w:numFmt w:val="decimal"/>
      <w:start w:val="2"/>
    </w:lvl>
    <w:lvl w:ilvl="1">
      <w:lvlJc w:val="left"/>
      <w:lvlText w:val="(%2)"/>
      <w:numFmt w:val="lowerLetter"/>
      <w:start w:val="1"/>
    </w:lvl>
  </w:abstractNum>
  <w:abstractNum w:abstractNumId="461">
    <w:nsid w:val="22643EA9"/>
    <w:multiLevelType w:val="hybridMultilevel"/>
    <w:lvl w:ilvl="0">
      <w:lvlJc w:val="left"/>
      <w:lvlText w:val="(%1)"/>
      <w:numFmt w:val="lowerLetter"/>
      <w:start w:val="3"/>
    </w:lvl>
    <w:lvl w:ilvl="1">
      <w:lvlJc w:val="left"/>
      <w:lvlText w:val="(%2)"/>
      <w:numFmt w:val="lowerRoman"/>
      <w:start w:val="1"/>
    </w:lvl>
  </w:abstractNum>
  <w:abstractNum w:abstractNumId="462">
    <w:nsid w:val="1887578D"/>
    <w:multiLevelType w:val="hybridMultilevel"/>
    <w:lvl w:ilvl="0">
      <w:lvlJc w:val="left"/>
      <w:lvlText w:val="(%1)"/>
      <w:numFmt w:val="lowerLetter"/>
      <w:start w:val="11"/>
    </w:lvl>
    <w:lvl w:ilvl="1">
      <w:lvlJc w:val="left"/>
      <w:lvlText w:val="(%2)"/>
      <w:numFmt w:val="lowerRoman"/>
      <w:start w:val="1"/>
    </w:lvl>
  </w:abstractNum>
  <w:abstractNum w:abstractNumId="463">
    <w:nsid w:val="58C05B8A"/>
    <w:multiLevelType w:val="hybridMultilevel"/>
    <w:lvl w:ilvl="0">
      <w:lvlJc w:val="left"/>
      <w:lvlText w:val="(%1)"/>
      <w:numFmt w:val="lowerRoman"/>
      <w:start w:val="6"/>
    </w:lvl>
  </w:abstractNum>
  <w:abstractNum w:abstractNumId="464">
    <w:nsid w:val="38D82E71"/>
    <w:multiLevelType w:val="hybridMultilevel"/>
    <w:lvl w:ilvl="0">
      <w:lvlJc w:val="left"/>
      <w:lvlText w:val="(%1)"/>
      <w:numFmt w:val="lowerLetter"/>
      <w:start w:val="12"/>
    </w:lvl>
    <w:lvl w:ilvl="1">
      <w:lvlJc w:val="left"/>
      <w:lvlText w:val="(%2)"/>
      <w:numFmt w:val="lowerLetter"/>
      <w:start w:val="9"/>
    </w:lvl>
  </w:abstractNum>
  <w:abstractNum w:abstractNumId="465">
    <w:nsid w:val="1E41098A"/>
    <w:multiLevelType w:val="hybridMultilevel"/>
    <w:lvl w:ilvl="0">
      <w:lvlJc w:val="left"/>
      <w:lvlText w:val="%1"/>
      <w:numFmt w:val="lowerLetter"/>
      <w:start w:val="1"/>
    </w:lvl>
    <w:lvl w:ilvl="1">
      <w:lvlJc w:val="left"/>
      <w:lvlText w:val="(%2)"/>
      <w:numFmt w:val="lowerRoman"/>
      <w:start w:val="2"/>
    </w:lvl>
  </w:abstractNum>
  <w:abstractNum w:abstractNumId="466">
    <w:nsid w:val="5398582C"/>
    <w:multiLevelType w:val="hybridMultilevel"/>
    <w:lvl w:ilvl="0">
      <w:lvlJc w:val="left"/>
      <w:lvlText w:val="(%1)"/>
      <w:numFmt w:val="lowerLetter"/>
      <w:start w:val="14"/>
    </w:lvl>
    <w:lvl w:ilvl="1">
      <w:lvlJc w:val="left"/>
      <w:lvlText w:val="(%2)"/>
      <w:numFmt w:val="lowerRoman"/>
      <w:start w:val="1"/>
    </w:lvl>
  </w:abstractNum>
  <w:abstractNum w:abstractNumId="467">
    <w:nsid w:val="1C0D4475"/>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468">
    <w:nsid w:val="2CB6A6A4"/>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469">
    <w:nsid w:val="41D646BC"/>
    <w:multiLevelType w:val="hybridMultilevel"/>
    <w:lvl w:ilvl="0">
      <w:lvlJc w:val="left"/>
      <w:lvlText w:val="(%1)"/>
      <w:numFmt w:val="decimal"/>
      <w:start w:val="30"/>
    </w:lvl>
    <w:lvl w:ilvl="1">
      <w:lvlJc w:val="left"/>
      <w:lvlText w:val="%2."/>
      <w:numFmt w:val="decimal"/>
      <w:start w:val="3"/>
    </w:lvl>
    <w:lvl w:ilvl="2">
      <w:lvlJc w:val="left"/>
      <w:lvlText w:val="(%3)"/>
      <w:numFmt w:val="lowerLetter"/>
      <w:start w:val="3"/>
    </w:lvl>
  </w:abstractNum>
  <w:abstractNum w:abstractNumId="470">
    <w:nsid w:val="3694A76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471">
    <w:nsid w:val="2BF876EE"/>
    <w:multiLevelType w:val="hybridMultilevel"/>
    <w:lvl w:ilvl="0">
      <w:lvlJc w:val="left"/>
      <w:lvlText w:val="%1"/>
      <w:numFmt w:val="upperLetter"/>
      <w:start w:val="1"/>
    </w:lvl>
    <w:lvl w:ilvl="1">
      <w:lvlJc w:val="left"/>
      <w:lvlText w:val="(%2)"/>
      <w:numFmt w:val="lowerLetter"/>
      <w:start w:val="2"/>
    </w:lvl>
  </w:abstractNum>
  <w:abstractNum w:abstractNumId="472">
    <w:nsid w:val="675ADBA"/>
    <w:multiLevelType w:val="hybridMultilevel"/>
    <w:lvl w:ilvl="0">
      <w:lvlJc w:val="left"/>
      <w:lvlText w:val="(%1)"/>
      <w:numFmt w:val="upperLetter"/>
      <w:start w:val="1"/>
    </w:lvl>
    <w:lvl w:ilvl="1">
      <w:lvlJc w:val="left"/>
      <w:lvlText w:val="(%2)"/>
      <w:numFmt w:val="lowerLetter"/>
      <w:start w:val="3"/>
    </w:lvl>
  </w:abstractNum>
  <w:abstractNum w:abstractNumId="473">
    <w:nsid w:val="C12AC7F"/>
    <w:multiLevelType w:val="hybridMultilevel"/>
    <w:lvl w:ilvl="0">
      <w:lvlJc w:val="left"/>
      <w:lvlText w:val="%1"/>
      <w:numFmt w:val="lowerLetter"/>
      <w:start w:val="1"/>
    </w:lvl>
    <w:lvl w:ilvl="1">
      <w:lvlJc w:val="left"/>
      <w:lvlText w:val="%2."/>
      <w:numFmt w:val="decimal"/>
      <w:start w:val="5"/>
    </w:lvl>
  </w:abstractNum>
  <w:abstractNum w:abstractNumId="474">
    <w:nsid w:val="6798F039"/>
    <w:multiLevelType w:val="hybridMultilevel"/>
    <w:lvl w:ilvl="0">
      <w:lvlJc w:val="left"/>
      <w:lvlText w:val="(%1)"/>
      <w:numFmt w:val="lowerLetter"/>
      <w:start w:val="1"/>
    </w:lvl>
    <w:lvl w:ilvl="1">
      <w:lvlJc w:val="left"/>
      <w:lvlText w:val="%2"/>
      <w:numFmt w:val="decimal"/>
      <w:start w:val="1"/>
    </w:lvl>
  </w:abstractNum>
  <w:abstractNum w:abstractNumId="475">
    <w:nsid w:val="70837C02"/>
    <w:multiLevelType w:val="hybridMultilevel"/>
    <w:lvl w:ilvl="0">
      <w:lvlJc w:val="left"/>
      <w:lvlText w:val="(%1)"/>
      <w:numFmt w:val="lowerLetter"/>
      <w:start w:val="1"/>
    </w:lvl>
  </w:abstractNum>
  <w:abstractNum w:abstractNumId="476">
    <w:nsid w:val="7E4A5715"/>
    <w:multiLevelType w:val="hybridMultilevel"/>
    <w:lvl w:ilvl="0">
      <w:lvlJc w:val="left"/>
      <w:lvlText w:val="%1"/>
      <w:numFmt w:val="decimal"/>
      <w:start w:val="1"/>
    </w:lvl>
    <w:lvl w:ilvl="1">
      <w:lvlJc w:val="left"/>
      <w:lvlText w:val="(%2)"/>
      <w:numFmt w:val="lowerLetter"/>
      <w:start w:val="3"/>
    </w:lvl>
  </w:abstractNum>
  <w:abstractNum w:abstractNumId="477">
    <w:nsid w:val="42B8AC67"/>
    <w:multiLevelType w:val="hybridMultilevel"/>
    <w:lvl w:ilvl="0">
      <w:lvlJc w:val="left"/>
      <w:lvlText w:val="%1."/>
      <w:numFmt w:val="decimal"/>
      <w:start w:val="6"/>
    </w:lvl>
    <w:lvl w:ilvl="1">
      <w:lvlJc w:val="left"/>
      <w:lvlText w:val="(%2)"/>
      <w:numFmt w:val="lowerLetter"/>
      <w:start w:val="1"/>
    </w:lvl>
  </w:abstractNum>
  <w:abstractNum w:abstractNumId="478">
    <w:nsid w:val="246348EA"/>
    <w:multiLevelType w:val="hybridMultilevel"/>
    <w:lvl w:ilvl="0">
      <w:lvlJc w:val="left"/>
      <w:lvlText w:val="%1"/>
      <w:numFmt w:val="decimal"/>
      <w:start w:val="1"/>
    </w:lvl>
    <w:lvl w:ilvl="1">
      <w:lvlJc w:val="left"/>
      <w:lvlText w:val="(%2)"/>
      <w:numFmt w:val="lowerLetter"/>
      <w:start w:val="2"/>
    </w:lvl>
  </w:abstractNum>
  <w:abstractNum w:abstractNumId="479">
    <w:nsid w:val="170EB52B"/>
    <w:multiLevelType w:val="hybridMultilevel"/>
    <w:lvl w:ilvl="0">
      <w:lvlJc w:val="left"/>
      <w:lvlText w:val="%1."/>
      <w:numFmt w:val="decimal"/>
      <w:start w:val="7"/>
    </w:lvl>
    <w:lvl w:ilvl="1">
      <w:lvlJc w:val="left"/>
      <w:lvlText w:val="(%2)"/>
      <w:numFmt w:val="lowerLetter"/>
      <w:start w:val="1"/>
    </w:lvl>
  </w:abstractNum>
  <w:abstractNum w:abstractNumId="480">
    <w:nsid w:val="2DFBCB8C"/>
    <w:multiLevelType w:val="hybridMultilevel"/>
    <w:lvl w:ilvl="0">
      <w:lvlJc w:val="left"/>
      <w:lvlText w:val="(%1)"/>
      <w:numFmt w:val="lowerLetter"/>
      <w:start w:val="2"/>
    </w:lvl>
  </w:abstractNum>
  <w:abstractNum w:abstractNumId="481">
    <w:nsid w:val="3830D6B6"/>
    <w:multiLevelType w:val="hybridMultilevel"/>
    <w:lvl w:ilvl="0">
      <w:lvlJc w:val="left"/>
      <w:lvlText w:val="%1."/>
      <w:numFmt w:val="decimal"/>
      <w:start w:val="8"/>
    </w:lvl>
    <w:lvl w:ilvl="1">
      <w:lvlJc w:val="left"/>
      <w:lvlText w:val="(%2)"/>
      <w:numFmt w:val="lowerLetter"/>
      <w:start w:val="1"/>
    </w:lvl>
  </w:abstractNum>
  <w:abstractNum w:abstractNumId="482">
    <w:nsid w:val="6D48CF87"/>
    <w:multiLevelType w:val="hybridMultilevel"/>
    <w:lvl w:ilvl="0">
      <w:lvlJc w:val="left"/>
      <w:lvlText w:val="%1"/>
      <w:numFmt w:val="lowerLetter"/>
      <w:start w:val="1"/>
    </w:lvl>
    <w:lvl w:ilvl="1">
      <w:lvlJc w:val="left"/>
      <w:lvlText w:val="%2."/>
      <w:numFmt w:val="decimal"/>
      <w:start w:val="9"/>
    </w:lvl>
  </w:abstractNum>
  <w:abstractNum w:abstractNumId="483">
    <w:nsid w:val="576FC41B"/>
    <w:multiLevelType w:val="hybridMultilevel"/>
    <w:lvl w:ilvl="0">
      <w:lvlJc w:val="left"/>
      <w:lvlText w:val="(%1)"/>
      <w:numFmt w:val="lowerLetter"/>
      <w:start w:val="3"/>
    </w:lvl>
    <w:lvl w:ilvl="1">
      <w:lvlJc w:val="left"/>
      <w:lvlText w:val="%2."/>
      <w:numFmt w:val="decimal"/>
      <w:start w:val="10"/>
    </w:lvl>
  </w:abstractNum>
  <w:abstractNum w:abstractNumId="484">
    <w:nsid w:val="64A1C464"/>
    <w:multiLevelType w:val="hybridMultilevel"/>
    <w:lvl w:ilvl="0">
      <w:lvlJc w:val="left"/>
      <w:lvlText w:val="(%1)"/>
      <w:numFmt w:val="lowerLetter"/>
      <w:start w:val="2"/>
    </w:lvl>
    <w:lvl w:ilvl="1">
      <w:lvlJc w:val="left"/>
      <w:lvlText w:val="%2"/>
      <w:numFmt w:val="decimal"/>
      <w:start w:val="1"/>
    </w:lvl>
  </w:abstractNum>
  <w:abstractNum w:abstractNumId="485">
    <w:nsid w:val="31723BF5"/>
    <w:multiLevelType w:val="hybridMultilevel"/>
    <w:lvl w:ilvl="0">
      <w:lvlJc w:val="left"/>
      <w:lvlText w:val="%1"/>
      <w:numFmt w:val="lowerRoman"/>
      <w:start w:val="1"/>
    </w:lvl>
    <w:lvl w:ilvl="1">
      <w:lvlJc w:val="left"/>
      <w:lvlText w:val="%2."/>
      <w:numFmt w:val="decimal"/>
      <w:start w:val="13"/>
    </w:lvl>
  </w:abstractNum>
  <w:abstractNum w:abstractNumId="486">
    <w:nsid w:val="11F69861"/>
    <w:multiLevelType w:val="hybridMultilevel"/>
    <w:lvl w:ilvl="0">
      <w:lvlJc w:val="left"/>
      <w:lvlText w:val="(%1)"/>
      <w:numFmt w:val="lowerRoman"/>
      <w:start w:val="1"/>
    </w:lvl>
    <w:lvl w:ilvl="1">
      <w:lvlJc w:val="left"/>
      <w:lvlText w:val="%2."/>
      <w:numFmt w:val="decimal"/>
      <w:start w:val="17"/>
    </w:lvl>
  </w:abstractNum>
  <w:abstractNum w:abstractNumId="487">
    <w:nsid w:val="369956AB"/>
    <w:multiLevelType w:val="hybridMultilevel"/>
    <w:lvl w:ilvl="0">
      <w:lvlJc w:val="left"/>
      <w:lvlText w:val="%1."/>
      <w:numFmt w:val="decimal"/>
      <w:start w:val="19"/>
    </w:lvl>
    <w:lvl w:ilvl="1">
      <w:lvlJc w:val="left"/>
      <w:lvlText w:val="(%2)"/>
      <w:numFmt w:val="lowerLetter"/>
      <w:start w:val="1"/>
    </w:lvl>
  </w:abstractNum>
  <w:abstractNum w:abstractNumId="488">
    <w:nsid w:val="D3BE41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489">
    <w:nsid w:val="4CDA15E7"/>
    <w:multiLevelType w:val="hybridMultilevel"/>
    <w:lvl w:ilvl="0">
      <w:lvlJc w:val="left"/>
      <w:lvlText w:val="%1"/>
      <w:numFmt w:val="lowerLetter"/>
      <w:start w:val="1"/>
    </w:lvl>
    <w:lvl w:ilvl="1">
      <w:lvlJc w:val="left"/>
      <w:lvlText w:val="%2."/>
      <w:numFmt w:val="decimal"/>
      <w:start w:val="22"/>
    </w:lvl>
    <w:lvl w:ilvl="2">
      <w:lvlJc w:val="left"/>
      <w:lvlText w:val="%3"/>
      <w:numFmt w:val="lowerLetter"/>
      <w:start w:val="1"/>
    </w:lvl>
  </w:abstractNum>
  <w:abstractNum w:abstractNumId="490">
    <w:nsid w:val="7BDD6690"/>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491">
    <w:nsid w:val="DFB5C5B"/>
    <w:multiLevelType w:val="hybridMultilevel"/>
    <w:lvl w:ilvl="0">
      <w:lvlJc w:val="left"/>
      <w:lvlText w:val="%1."/>
      <w:numFmt w:val="decimal"/>
      <w:start w:val="23"/>
    </w:lvl>
  </w:abstractNum>
  <w:abstractNum w:abstractNumId="492">
    <w:nsid w:val="6F3E5490"/>
    <w:multiLevelType w:val="hybridMultilevel"/>
    <w:lvl w:ilvl="0">
      <w:lvlJc w:val="left"/>
      <w:lvlText w:val="%1."/>
      <w:numFmt w:val="decimal"/>
      <w:start w:val="1"/>
    </w:lvl>
  </w:abstractNum>
  <w:abstractNum w:abstractNumId="493">
    <w:nsid w:val="1464BE1E"/>
    <w:multiLevelType w:val="hybridMultilevel"/>
    <w:lvl w:ilvl="0">
      <w:lvlJc w:val="left"/>
      <w:lvlText w:val="%1."/>
      <w:numFmt w:val="decimal"/>
      <w:start w:val="5"/>
    </w:lvl>
  </w:abstractNum>
  <w:abstractNum w:abstractNumId="494">
    <w:nsid w:val="66BBB7E5"/>
    <w:multiLevelType w:val="hybridMultilevel"/>
    <w:lvl w:ilvl="0">
      <w:lvlJc w:val="left"/>
      <w:lvlText w:val="%1."/>
      <w:numFmt w:val="decimal"/>
      <w:start w:val="10"/>
    </w:lvl>
  </w:abstractNum>
  <w:abstractNum w:abstractNumId="495">
    <w:nsid w:val="28168302"/>
    <w:multiLevelType w:val="hybridMultilevel"/>
    <w:lvl w:ilvl="0">
      <w:lvlJc w:val="left"/>
      <w:lvlText w:val="•"/>
      <w:numFmt w:val="bullet"/>
      <w:start w:val="1"/>
    </w:lvl>
  </w:abstractNum>
  <w:abstractNum w:abstractNumId="496">
    <w:nsid w:val="32A5C7A8"/>
    <w:multiLevelType w:val="hybridMultilevel"/>
    <w:lvl w:ilvl="0">
      <w:lvlJc w:val="left"/>
      <w:lvlText w:val="•"/>
      <w:numFmt w:val="bullet"/>
      <w:start w:val="1"/>
    </w:lvl>
  </w:abstractNum>
  <w:abstractNum w:abstractNumId="497">
    <w:nsid w:val="3A541011"/>
    <w:multiLevelType w:val="hybridMultilevel"/>
    <w:lvl w:ilvl="0">
      <w:lvlJc w:val="left"/>
      <w:lvlText w:val="%1."/>
      <w:numFmt w:val="decimal"/>
      <w:start w:val="14"/>
    </w:lvl>
  </w:abstractNum>
  <w:abstractNum w:abstractNumId="498">
    <w:nsid w:val="4423C777"/>
    <w:multiLevelType w:val="hybridMultilevel"/>
    <w:lvl w:ilvl="0">
      <w:lvlJc w:val="left"/>
      <w:lvlText w:val="%1."/>
      <w:numFmt w:val="decimal"/>
      <w:start w:val="17"/>
    </w:lvl>
  </w:abstractNum>
  <w:abstractNum w:abstractNumId="499">
    <w:nsid w:val="5F5C6E4D"/>
    <w:multiLevelType w:val="hybridMultilevel"/>
    <w:lvl w:ilvl="0">
      <w:lvlJc w:val="left"/>
      <w:lvlText w:val="%1."/>
      <w:numFmt w:val="decimal"/>
      <w:start w:val="1"/>
    </w:lvl>
    <w:lvl w:ilvl="1">
      <w:lvlJc w:val="left"/>
      <w:lvlText w:val="(%2)"/>
      <w:numFmt w:val="lowerLetter"/>
      <w:start w:val="1"/>
    </w:lvl>
  </w:abstractNum>
  <w:abstractNum w:abstractNumId="500">
    <w:nsid w:val="7C2A56CD"/>
    <w:multiLevelType w:val="hybridMultilevel"/>
    <w:lvl w:ilvl="0">
      <w:lvlJc w:val="left"/>
      <w:lvlText w:val="(%1)"/>
      <w:numFmt w:val="lowerLetter"/>
      <w:start w:val="3"/>
    </w:lvl>
  </w:abstractNum>
  <w:abstractNum w:abstractNumId="501">
    <w:nsid w:val="7AB86EE1"/>
    <w:multiLevelType w:val="hybridMultilevel"/>
    <w:lvl w:ilvl="0">
      <w:lvlJc w:val="left"/>
      <w:lvlText w:val="%1."/>
      <w:numFmt w:val="decimal"/>
      <w:start w:val="2"/>
    </w:lvl>
    <w:lvl w:ilvl="1">
      <w:lvlJc w:val="left"/>
      <w:lvlText w:val="(%2)"/>
      <w:numFmt w:val="lowerLetter"/>
      <w:start w:val="1"/>
    </w:lvl>
  </w:abstractNum>
  <w:abstractNum w:abstractNumId="502">
    <w:nsid w:val="B54E53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03">
    <w:nsid w:val="2A0048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04">
    <w:nsid w:val="6CB1B60"/>
    <w:multiLevelType w:val="hybridMultilevel"/>
    <w:lvl w:ilvl="0">
      <w:lvlJc w:val="left"/>
      <w:lvlText w:val="(%1)"/>
      <w:numFmt w:val="lowerLetter"/>
      <w:start w:val="3"/>
    </w:lvl>
    <w:lvl w:ilvl="1">
      <w:lvlJc w:val="left"/>
      <w:lvlText w:val="(%2)"/>
      <w:numFmt w:val="lowerRoman"/>
      <w:start w:val="1"/>
    </w:lvl>
  </w:abstractNum>
  <w:abstractNum w:abstractNumId="505">
    <w:nsid w:val="72EDD574"/>
    <w:multiLevelType w:val="hybridMultilevel"/>
    <w:lvl w:ilvl="0">
      <w:lvlJc w:val="left"/>
      <w:lvlText w:val="(%1)"/>
      <w:numFmt w:val="lowerRoman"/>
      <w:start w:val="6"/>
    </w:lvl>
  </w:abstractNum>
  <w:abstractNum w:abstractNumId="506">
    <w:nsid w:val="7323808A"/>
    <w:multiLevelType w:val="hybridMultilevel"/>
    <w:lvl w:ilvl="0">
      <w:lvlJc w:val="left"/>
      <w:lvlText w:val="(%1)"/>
      <w:numFmt w:val="lowerLetter"/>
      <w:start w:val="4"/>
    </w:lvl>
    <w:lvl w:ilvl="1">
      <w:lvlJc w:val="left"/>
      <w:lvlText w:val="(%2)"/>
      <w:numFmt w:val="lowerRoman"/>
      <w:start w:val="1"/>
    </w:lvl>
  </w:abstractNum>
  <w:abstractNum w:abstractNumId="507">
    <w:nsid w:val="5157276"/>
    <w:multiLevelType w:val="hybridMultilevel"/>
    <w:lvl w:ilvl="0">
      <w:lvlJc w:val="left"/>
      <w:lvlText w:val="%1"/>
      <w:numFmt w:val="lowerLetter"/>
      <w:start w:val="1"/>
    </w:lvl>
    <w:lvl w:ilvl="1">
      <w:lvlJc w:val="left"/>
      <w:lvlText w:val="(%2)"/>
      <w:numFmt w:val="lowerLetter"/>
      <w:start w:val="61"/>
    </w:lvl>
  </w:abstractNum>
  <w:abstractNum w:abstractNumId="508">
    <w:nsid w:val="35A681DB"/>
    <w:multiLevelType w:val="hybridMultilevel"/>
    <w:lvl w:ilvl="0">
      <w:lvlJc w:val="left"/>
      <w:lvlText w:val="(%1)"/>
      <w:numFmt w:val="lowerLetter"/>
      <w:start w:val="6"/>
    </w:lvl>
    <w:lvl w:ilvl="1">
      <w:lvlJc w:val="left"/>
      <w:lvlText w:val="(%2)"/>
      <w:numFmt w:val="lowerLetter"/>
      <w:start w:val="9"/>
    </w:lvl>
  </w:abstractNum>
  <w:abstractNum w:abstractNumId="509">
    <w:nsid w:val="1786C974"/>
    <w:multiLevelType w:val="hybridMultilevel"/>
    <w:lvl w:ilvl="0">
      <w:lvlJc w:val="left"/>
      <w:lvlText w:val="(%1)"/>
      <w:numFmt w:val="lowerRoman"/>
      <w:start w:val="2"/>
    </w:lvl>
  </w:abstractNum>
  <w:abstractNum w:abstractNumId="510">
    <w:nsid w:val="1C2427A1"/>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511">
    <w:nsid w:val="63A24D68"/>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512">
    <w:nsid w:val="4FB7A02A"/>
    <w:multiLevelType w:val="hybridMultilevel"/>
    <w:lvl w:ilvl="0">
      <w:lvlJc w:val="left"/>
      <w:lvlText w:val="%1"/>
      <w:numFmt w:val="decimal"/>
      <w:start w:val="1"/>
    </w:lvl>
    <w:lvl w:ilvl="1">
      <w:lvlJc w:val="left"/>
      <w:lvlText w:val="(%2)"/>
      <w:numFmt w:val="lowerLetter"/>
      <w:start w:val="3"/>
    </w:lvl>
  </w:abstractNum>
  <w:abstractNum w:abstractNumId="513">
    <w:nsid w:val="96CF728"/>
    <w:multiLevelType w:val="hybridMultilevel"/>
    <w:lvl w:ilvl="0">
      <w:lvlJc w:val="left"/>
      <w:lvlText w:val="%1."/>
      <w:numFmt w:val="decimal"/>
      <w:start w:val="5"/>
    </w:lvl>
    <w:lvl w:ilvl="1">
      <w:lvlJc w:val="left"/>
      <w:lvlText w:val="(%2)"/>
      <w:numFmt w:val="lowerLetter"/>
      <w:start w:val="1"/>
    </w:lvl>
  </w:abstractNum>
  <w:abstractNum w:abstractNumId="514">
    <w:nsid w:val="3B121183"/>
    <w:multiLevelType w:val="hybridMultilevel"/>
    <w:lvl w:ilvl="0">
      <w:lvlJc w:val="left"/>
      <w:lvlText w:val="%1"/>
      <w:numFmt w:val="upperLetter"/>
      <w:start w:val="1"/>
    </w:lvl>
    <w:lvl w:ilvl="1">
      <w:lvlJc w:val="left"/>
      <w:lvlText w:val="(%2)"/>
      <w:numFmt w:val="lowerLetter"/>
      <w:start w:val="2"/>
    </w:lvl>
  </w:abstractNum>
  <w:abstractNum w:abstractNumId="515">
    <w:nsid w:val="3459648F"/>
    <w:multiLevelType w:val="hybridMultilevel"/>
    <w:lvl w:ilvl="0">
      <w:lvlJc w:val="left"/>
      <w:lvlText w:val="(%1)"/>
      <w:numFmt w:val="upperLetter"/>
      <w:start w:val="1"/>
    </w:lvl>
    <w:lvl w:ilvl="1">
      <w:lvlJc w:val="left"/>
      <w:lvlText w:val="(%2)"/>
      <w:numFmt w:val="lowerLetter"/>
      <w:start w:val="3"/>
    </w:lvl>
  </w:abstractNum>
  <w:abstractNum w:abstractNumId="516">
    <w:nsid w:val="3ADF331D"/>
    <w:multiLevelType w:val="hybridMultilevel"/>
    <w:lvl w:ilvl="0">
      <w:lvlJc w:val="left"/>
      <w:lvlText w:val="%1"/>
      <w:numFmt w:val="lowerLetter"/>
      <w:start w:val="1"/>
    </w:lvl>
    <w:lvl w:ilvl="1">
      <w:lvlJc w:val="left"/>
      <w:lvlText w:val="%2."/>
      <w:numFmt w:val="decimal"/>
      <w:start w:val="6"/>
    </w:lvl>
  </w:abstractNum>
  <w:abstractNum w:abstractNumId="517">
    <w:nsid w:val="4D08A9E4"/>
    <w:multiLevelType w:val="hybridMultilevel"/>
    <w:lvl w:ilvl="0">
      <w:lvlJc w:val="left"/>
      <w:lvlText w:val="(%1)"/>
      <w:numFmt w:val="lowerLetter"/>
      <w:start w:val="1"/>
    </w:lvl>
    <w:lvl w:ilvl="1">
      <w:lvlJc w:val="left"/>
      <w:lvlText w:val="%2"/>
      <w:numFmt w:val="decimal"/>
      <w:start w:val="1"/>
    </w:lvl>
  </w:abstractNum>
  <w:abstractNum w:abstractNumId="518">
    <w:nsid w:val="6AF2BB3A"/>
    <w:multiLevelType w:val="hybridMultilevel"/>
    <w:lvl w:ilvl="0">
      <w:lvlJc w:val="left"/>
      <w:lvlText w:val="(%1)"/>
      <w:numFmt w:val="lowerLetter"/>
      <w:start w:val="1"/>
    </w:lvl>
  </w:abstractNum>
  <w:abstractNum w:abstractNumId="519">
    <w:nsid w:val="481B1739"/>
    <w:multiLevelType w:val="hybridMultilevel"/>
    <w:lvl w:ilvl="0">
      <w:lvlJc w:val="left"/>
      <w:lvlText w:val="%1"/>
      <w:numFmt w:val="decimal"/>
      <w:start w:val="1"/>
    </w:lvl>
    <w:lvl w:ilvl="1">
      <w:lvlJc w:val="left"/>
      <w:lvlText w:val="(%2)"/>
      <w:numFmt w:val="lowerLetter"/>
      <w:start w:val="3"/>
    </w:lvl>
  </w:abstractNum>
  <w:abstractNum w:abstractNumId="520">
    <w:nsid w:val="19E2BFCC"/>
    <w:multiLevelType w:val="hybridMultilevel"/>
    <w:lvl w:ilvl="0">
      <w:lvlJc w:val="left"/>
      <w:lvlText w:val="%1."/>
      <w:numFmt w:val="decimal"/>
      <w:start w:val="7"/>
    </w:lvl>
    <w:lvl w:ilvl="1">
      <w:lvlJc w:val="left"/>
      <w:lvlText w:val="(%2)"/>
      <w:numFmt w:val="lowerLetter"/>
      <w:start w:val="1"/>
    </w:lvl>
  </w:abstractNum>
  <w:abstractNum w:abstractNumId="521">
    <w:nsid w:val="66D021CA"/>
    <w:multiLevelType w:val="hybridMultilevel"/>
    <w:lvl w:ilvl="0">
      <w:lvlJc w:val="left"/>
      <w:lvlText w:val="%1"/>
      <w:numFmt w:val="decimal"/>
      <w:start w:val="1"/>
    </w:lvl>
    <w:lvl w:ilvl="1">
      <w:lvlJc w:val="left"/>
      <w:lvlText w:val="(%2)"/>
      <w:numFmt w:val="lowerLetter"/>
      <w:start w:val="2"/>
    </w:lvl>
  </w:abstractNum>
  <w:abstractNum w:abstractNumId="522">
    <w:nsid w:val="56167394"/>
    <w:multiLevelType w:val="hybridMultilevel"/>
    <w:lvl w:ilvl="0">
      <w:lvlJc w:val="left"/>
      <w:lvlText w:val="%1."/>
      <w:numFmt w:val="decimal"/>
      <w:start w:val="8"/>
    </w:lvl>
    <w:lvl w:ilvl="1">
      <w:lvlJc w:val="left"/>
      <w:lvlText w:val="(%2)"/>
      <w:numFmt w:val="lowerLetter"/>
      <w:start w:val="1"/>
    </w:lvl>
  </w:abstractNum>
  <w:abstractNum w:abstractNumId="523">
    <w:nsid w:val="921145C"/>
    <w:multiLevelType w:val="hybridMultilevel"/>
    <w:lvl w:ilvl="0">
      <w:lvlJc w:val="left"/>
      <w:lvlText w:val="(%1)"/>
      <w:numFmt w:val="lowerLetter"/>
      <w:start w:val="2"/>
    </w:lvl>
  </w:abstractNum>
  <w:abstractNum w:abstractNumId="524">
    <w:nsid w:val="7B34DFE8"/>
    <w:multiLevelType w:val="hybridMultilevel"/>
    <w:lvl w:ilvl="0">
      <w:lvlJc w:val="left"/>
      <w:lvlText w:val="%1."/>
      <w:numFmt w:val="decimal"/>
      <w:start w:val="9"/>
    </w:lvl>
    <w:lvl w:ilvl="1">
      <w:lvlJc w:val="left"/>
      <w:lvlText w:val="(%2)"/>
      <w:numFmt w:val="lowerLetter"/>
      <w:start w:val="1"/>
    </w:lvl>
  </w:abstractNum>
  <w:abstractNum w:abstractNumId="525">
    <w:nsid w:val="3CD22B7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26">
    <w:nsid w:val="3137975E"/>
    <w:multiLevelType w:val="hybridMultilevel"/>
    <w:lvl w:ilvl="0">
      <w:lvlJc w:val="left"/>
      <w:lvlText w:val="(%1)"/>
      <w:numFmt w:val="lowerRoman"/>
      <w:start w:val="3"/>
    </w:lvl>
  </w:abstractNum>
  <w:abstractNum w:abstractNumId="527">
    <w:nsid w:val="2DDAA791"/>
    <w:multiLevelType w:val="hybridMultilevel"/>
    <w:lvl w:ilvl="0">
      <w:lvlJc w:val="left"/>
      <w:lvlText w:val="(%1)"/>
      <w:numFmt w:val="lowerLetter"/>
      <w:start w:val="2"/>
    </w:lvl>
  </w:abstractNum>
  <w:abstractNum w:abstractNumId="528">
    <w:nsid w:val="77263B8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529">
    <w:nsid w:val="755B5ED6"/>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530">
    <w:nsid w:val="D3715DE"/>
    <w:multiLevelType w:val="hybridMultilevel"/>
    <w:lvl w:ilvl="0">
      <w:lvlJc w:val="left"/>
      <w:lvlText w:val="(%1)"/>
      <w:numFmt w:val="lowerLetter"/>
      <w:start w:val="3"/>
    </w:lvl>
    <w:lvl w:ilvl="1">
      <w:lvlJc w:val="left"/>
      <w:lvlText w:val="%2."/>
      <w:numFmt w:val="decimal"/>
      <w:start w:val="11"/>
    </w:lvl>
    <w:lvl w:ilvl="2">
      <w:lvlJc w:val="left"/>
      <w:lvlText w:val="%3"/>
      <w:numFmt w:val="lowerLetter"/>
      <w:start w:val="1"/>
    </w:lvl>
  </w:abstractNum>
  <w:abstractNum w:abstractNumId="531">
    <w:nsid w:val="73509257"/>
    <w:multiLevelType w:val="hybridMultilevel"/>
    <w:lvl w:ilvl="0">
      <w:lvlJc w:val="left"/>
      <w:lvlText w:val="%1"/>
      <w:numFmt w:val="lowerLetter"/>
      <w:start w:val="1"/>
    </w:lvl>
    <w:lvl w:ilvl="1">
      <w:lvlJc w:val="left"/>
      <w:lvlText w:val="%2."/>
      <w:numFmt w:val="decimal"/>
      <w:start w:val="12"/>
    </w:lvl>
  </w:abstractNum>
  <w:abstractNum w:abstractNumId="532">
    <w:nsid w:val="7013CDB7"/>
    <w:multiLevelType w:val="hybridMultilevel"/>
    <w:lvl w:ilvl="0">
      <w:lvlJc w:val="left"/>
      <w:lvlText w:val="(%1)"/>
      <w:numFmt w:val="lowerLetter"/>
      <w:start w:val="2"/>
    </w:lvl>
    <w:lvl w:ilvl="1">
      <w:lvlJc w:val="left"/>
      <w:lvlText w:val="%2."/>
      <w:numFmt w:val="decimal"/>
      <w:start w:val="14"/>
    </w:lvl>
  </w:abstractNum>
  <w:abstractNum w:abstractNumId="533">
    <w:nsid w:val="188BFB19"/>
    <w:multiLevelType w:val="hybridMultilevel"/>
    <w:lvl w:ilvl="0">
      <w:lvlJc w:val="left"/>
      <w:lvlText w:val="%1"/>
      <w:numFmt w:val="lowerRoman"/>
      <w:start w:val="1"/>
    </w:lvl>
    <w:lvl w:ilvl="1">
      <w:lvlJc w:val="left"/>
      <w:lvlText w:val="%2."/>
      <w:numFmt w:val="decimal"/>
      <w:start w:val="16"/>
    </w:lvl>
  </w:abstractNum>
  <w:abstractNum w:abstractNumId="534">
    <w:nsid w:val="75F096DF"/>
    <w:multiLevelType w:val="hybridMultilevel"/>
    <w:lvl w:ilvl="0">
      <w:lvlJc w:val="left"/>
      <w:lvlText w:val="(%1)"/>
      <w:numFmt w:val="lowerRoman"/>
      <w:start w:val="1"/>
    </w:lvl>
    <w:lvl w:ilvl="1">
      <w:lvlJc w:val="left"/>
      <w:lvlText w:val="%2."/>
      <w:numFmt w:val="decimal"/>
      <w:start w:val="18"/>
    </w:lvl>
  </w:abstractNum>
  <w:abstractNum w:abstractNumId="535">
    <w:nsid w:val="76DEE918"/>
    <w:multiLevelType w:val="hybridMultilevel"/>
    <w:lvl w:ilvl="0">
      <w:lvlJc w:val="left"/>
      <w:lvlText w:val="%1."/>
      <w:numFmt w:val="decimal"/>
      <w:start w:val="21"/>
    </w:lvl>
    <w:lvl w:ilvl="1">
      <w:lvlJc w:val="left"/>
      <w:lvlText w:val="(%2)"/>
      <w:numFmt w:val="lowerLetter"/>
      <w:start w:val="1"/>
    </w:lvl>
  </w:abstractNum>
  <w:abstractNum w:abstractNumId="536">
    <w:nsid w:val="B79D08D"/>
    <w:multiLevelType w:val="hybridMultilevel"/>
    <w:lvl w:ilvl="0">
      <w:lvlJc w:val="left"/>
      <w:lvlText w:val="%1"/>
      <w:numFmt w:val="lowerRoman"/>
      <w:start w:val="1"/>
    </w:lvl>
    <w:lvl w:ilvl="1">
      <w:lvlJc w:val="left"/>
      <w:lvlText w:val="%2."/>
      <w:numFmt w:val="decimal"/>
      <w:start w:val="23"/>
    </w:lvl>
  </w:abstractNum>
  <w:abstractNum w:abstractNumId="537">
    <w:nsid w:val="69141769"/>
    <w:multiLevelType w:val="hybridMultilevel"/>
    <w:lvl w:ilvl="0">
      <w:lvlJc w:val="left"/>
      <w:lvlText w:val="(%1)"/>
      <w:numFmt w:val="lowerRoman"/>
      <w:start w:val="1"/>
    </w:lvl>
    <w:lvl w:ilvl="1">
      <w:lvlJc w:val="left"/>
      <w:lvlText w:val="%2."/>
      <w:numFmt w:val="decimal"/>
      <w:start w:val="24"/>
    </w:lvl>
  </w:abstractNum>
  <w:abstractNum w:abstractNumId="538">
    <w:nsid w:val="7BF45B8E"/>
    <w:multiLevelType w:val="hybridMultilevel"/>
    <w:lvl w:ilvl="0">
      <w:lvlJc w:val="left"/>
      <w:lvlText w:val="%1."/>
      <w:numFmt w:val="decimal"/>
      <w:start w:val="1"/>
    </w:lvl>
  </w:abstractNum>
  <w:abstractNum w:abstractNumId="539">
    <w:nsid w:val="41205269"/>
    <w:multiLevelType w:val="hybridMultilevel"/>
    <w:lvl w:ilvl="0">
      <w:lvlJc w:val="left"/>
      <w:lvlText w:val="%1."/>
      <w:numFmt w:val="decimal"/>
      <w:start w:val="5"/>
    </w:lvl>
  </w:abstractNum>
  <w:abstractNum w:abstractNumId="540">
    <w:nsid w:val="9AE0DD"/>
    <w:multiLevelType w:val="hybridMultilevel"/>
    <w:lvl w:ilvl="0">
      <w:lvlJc w:val="left"/>
      <w:lvlText w:val="%1."/>
      <w:numFmt w:val="decimal"/>
      <w:start w:val="10"/>
    </w:lvl>
    <w:lvl w:ilvl="1">
      <w:lvlJc w:val="left"/>
      <w:lvlText w:val="%2)"/>
      <w:numFmt w:val="lowerLetter"/>
      <w:start w:val="1"/>
    </w:lvl>
  </w:abstractNum>
  <w:abstractNum w:abstractNumId="541">
    <w:nsid w:val="1818832F"/>
    <w:multiLevelType w:val="hybridMultilevel"/>
    <w:lvl w:ilvl="0">
      <w:lvlJc w:val="left"/>
      <w:lvlText w:val="%1."/>
      <w:numFmt w:val="decimal"/>
      <w:start w:val="13"/>
    </w:lvl>
    <w:lvl w:ilvl="1">
      <w:lvlJc w:val="left"/>
      <w:lvlText w:val="•"/>
      <w:numFmt w:val="bullet"/>
      <w:start w:val="1"/>
    </w:lvl>
  </w:abstractNum>
  <w:abstractNum w:abstractNumId="542">
    <w:nsid w:val="24C29FD1"/>
    <w:multiLevelType w:val="hybridMultilevel"/>
    <w:lvl w:ilvl="0">
      <w:lvlJc w:val="left"/>
      <w:lvlText w:val="•"/>
      <w:numFmt w:val="bullet"/>
      <w:start w:val="1"/>
    </w:lvl>
  </w:abstractNum>
  <w:abstractNum w:abstractNumId="543">
    <w:nsid w:val="50528108"/>
    <w:multiLevelType w:val="hybridMultilevel"/>
    <w:lvl w:ilvl="0">
      <w:lvlJc w:val="left"/>
      <w:lvlText w:val="%1."/>
      <w:numFmt w:val="decimal"/>
      <w:start w:val="15"/>
    </w:lvl>
  </w:abstractNum>
  <w:abstractNum w:abstractNumId="544">
    <w:nsid w:val="21857A57"/>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30" Type="http://schemas.openxmlformats.org/officeDocument/2006/relationships/image" Target="media/image316.png"/><Relationship Id="rId333" Type="http://schemas.openxmlformats.org/officeDocument/2006/relationships/image" Target="media/image317.png"/><Relationship Id="rId334" Type="http://schemas.openxmlformats.org/officeDocument/2006/relationships/image" Target="media/image318.png"/><Relationship Id="rId335" Type="http://schemas.openxmlformats.org/officeDocument/2006/relationships/image" Target="media/image319.png"/><Relationship Id="rId336" Type="http://schemas.openxmlformats.org/officeDocument/2006/relationships/image" Target="media/image320.png"/><Relationship Id="rId337" Type="http://schemas.openxmlformats.org/officeDocument/2006/relationships/image" Target="media/image321.png"/><Relationship Id="rId338" Type="http://schemas.openxmlformats.org/officeDocument/2006/relationships/image" Target="media/image322.png"/><Relationship Id="rId339" Type="http://schemas.openxmlformats.org/officeDocument/2006/relationships/image" Target="media/image323.png"/><Relationship Id="rId340" Type="http://schemas.openxmlformats.org/officeDocument/2006/relationships/image" Target="media/image324.png"/><Relationship Id="rId341" Type="http://schemas.openxmlformats.org/officeDocument/2006/relationships/image" Target="media/image325.png"/><Relationship Id="rId342" Type="http://schemas.openxmlformats.org/officeDocument/2006/relationships/image" Target="media/image326.png"/><Relationship Id="rId343" Type="http://schemas.openxmlformats.org/officeDocument/2006/relationships/image" Target="media/image327.png"/><Relationship Id="rId344" Type="http://schemas.openxmlformats.org/officeDocument/2006/relationships/image" Target="media/image328.png"/><Relationship Id="rId345" Type="http://schemas.openxmlformats.org/officeDocument/2006/relationships/image" Target="media/image329.png"/><Relationship Id="rId346" Type="http://schemas.openxmlformats.org/officeDocument/2006/relationships/image" Target="media/image330.png"/><Relationship Id="rId347" Type="http://schemas.openxmlformats.org/officeDocument/2006/relationships/image" Target="media/image331.png"/><Relationship Id="rId348" Type="http://schemas.openxmlformats.org/officeDocument/2006/relationships/image" Target="media/image332.png"/><Relationship Id="rId349" Type="http://schemas.openxmlformats.org/officeDocument/2006/relationships/image" Target="media/image333.png"/><Relationship Id="rId350" Type="http://schemas.openxmlformats.org/officeDocument/2006/relationships/image" Target="media/image334.png"/><Relationship Id="rId351" Type="http://schemas.openxmlformats.org/officeDocument/2006/relationships/image" Target="media/image335.png"/><Relationship Id="rId352" Type="http://schemas.openxmlformats.org/officeDocument/2006/relationships/image" Target="media/image336.png"/><Relationship Id="rId353" Type="http://schemas.openxmlformats.org/officeDocument/2006/relationships/image" Target="media/image337.png"/><Relationship Id="rId354" Type="http://schemas.openxmlformats.org/officeDocument/2006/relationships/image" Target="media/image338.png"/><Relationship Id="rId355" Type="http://schemas.openxmlformats.org/officeDocument/2006/relationships/image" Target="media/image339.png"/><Relationship Id="rId356" Type="http://schemas.openxmlformats.org/officeDocument/2006/relationships/image" Target="media/image340.png"/><Relationship Id="rId357" Type="http://schemas.openxmlformats.org/officeDocument/2006/relationships/image" Target="media/image341.png"/><Relationship Id="rId358" Type="http://schemas.openxmlformats.org/officeDocument/2006/relationships/image" Target="media/image342.png"/><Relationship Id="rId359" Type="http://schemas.openxmlformats.org/officeDocument/2006/relationships/image" Target="media/image343.png"/><Relationship Id="rId360" Type="http://schemas.openxmlformats.org/officeDocument/2006/relationships/image" Target="media/image344.png"/><Relationship Id="rId361" Type="http://schemas.openxmlformats.org/officeDocument/2006/relationships/image" Target="media/image345.png"/><Relationship Id="rId362" Type="http://schemas.openxmlformats.org/officeDocument/2006/relationships/image" Target="media/image346.png"/><Relationship Id="rId363" Type="http://schemas.openxmlformats.org/officeDocument/2006/relationships/image" Target="media/image347.png"/><Relationship Id="rId364" Type="http://schemas.openxmlformats.org/officeDocument/2006/relationships/image" Target="media/image348.png"/><Relationship Id="rId365" Type="http://schemas.openxmlformats.org/officeDocument/2006/relationships/image" Target="media/image349.png"/><Relationship Id="rId366" Type="http://schemas.openxmlformats.org/officeDocument/2006/relationships/image" Target="media/image350.png"/><Relationship Id="rId367" Type="http://schemas.openxmlformats.org/officeDocument/2006/relationships/image" Target="media/image351.png"/><Relationship Id="rId368" Type="http://schemas.openxmlformats.org/officeDocument/2006/relationships/image" Target="media/image352.png"/><Relationship Id="rId369" Type="http://schemas.openxmlformats.org/officeDocument/2006/relationships/image" Target="media/image353.png"/><Relationship Id="rId370" Type="http://schemas.openxmlformats.org/officeDocument/2006/relationships/image" Target="media/image354.png"/><Relationship Id="rId371" Type="http://schemas.openxmlformats.org/officeDocument/2006/relationships/image" Target="media/image355.png"/><Relationship Id="rId372" Type="http://schemas.openxmlformats.org/officeDocument/2006/relationships/image" Target="media/image356.png"/><Relationship Id="rId373" Type="http://schemas.openxmlformats.org/officeDocument/2006/relationships/image" Target="media/image357.png"/><Relationship Id="rId374" Type="http://schemas.openxmlformats.org/officeDocument/2006/relationships/image" Target="media/image358.png"/><Relationship Id="rId375" Type="http://schemas.openxmlformats.org/officeDocument/2006/relationships/image" Target="media/image359.png"/><Relationship Id="rId376" Type="http://schemas.openxmlformats.org/officeDocument/2006/relationships/image" Target="media/image360.png"/><Relationship Id="rId377" Type="http://schemas.openxmlformats.org/officeDocument/2006/relationships/image" Target="media/image361.png"/><Relationship Id="rId378" Type="http://schemas.openxmlformats.org/officeDocument/2006/relationships/image" Target="media/image362.png"/><Relationship Id="rId379" Type="http://schemas.openxmlformats.org/officeDocument/2006/relationships/image" Target="media/image363.png"/><Relationship Id="rId380" Type="http://schemas.openxmlformats.org/officeDocument/2006/relationships/image" Target="media/image364.png"/><Relationship Id="rId381" Type="http://schemas.openxmlformats.org/officeDocument/2006/relationships/image" Target="media/image365.png"/><Relationship Id="rId382" Type="http://schemas.openxmlformats.org/officeDocument/2006/relationships/image" Target="media/image366.png"/><Relationship Id="rId383" Type="http://schemas.openxmlformats.org/officeDocument/2006/relationships/image" Target="media/image367.png"/><Relationship Id="rId384" Type="http://schemas.openxmlformats.org/officeDocument/2006/relationships/image" Target="media/image368.png"/><Relationship Id="rId385" Type="http://schemas.openxmlformats.org/officeDocument/2006/relationships/image" Target="media/image369.png"/><Relationship Id="rId386" Type="http://schemas.openxmlformats.org/officeDocument/2006/relationships/image" Target="media/image370.png"/><Relationship Id="rId387" Type="http://schemas.openxmlformats.org/officeDocument/2006/relationships/image" Target="media/image371.png"/><Relationship Id="rId388" Type="http://schemas.openxmlformats.org/officeDocument/2006/relationships/image" Target="media/image372.png"/><Relationship Id="rId389" Type="http://schemas.openxmlformats.org/officeDocument/2006/relationships/image" Target="media/image373.png"/><Relationship Id="rId390" Type="http://schemas.openxmlformats.org/officeDocument/2006/relationships/image" Target="media/image374.png"/><Relationship Id="rId391" Type="http://schemas.openxmlformats.org/officeDocument/2006/relationships/image" Target="media/image375.png"/><Relationship Id="rId392" Type="http://schemas.openxmlformats.org/officeDocument/2006/relationships/image" Target="media/image376.png"/><Relationship Id="rId393" Type="http://schemas.openxmlformats.org/officeDocument/2006/relationships/image" Target="media/image377.png"/><Relationship Id="rId394" Type="http://schemas.openxmlformats.org/officeDocument/2006/relationships/image" Target="media/image378.png"/><Relationship Id="rId395" Type="http://schemas.openxmlformats.org/officeDocument/2006/relationships/image" Target="media/image379.png"/><Relationship Id="rId396" Type="http://schemas.openxmlformats.org/officeDocument/2006/relationships/image" Target="media/image380.png"/><Relationship Id="rId397" Type="http://schemas.openxmlformats.org/officeDocument/2006/relationships/image" Target="media/image381.png"/><Relationship Id="rId398" Type="http://schemas.openxmlformats.org/officeDocument/2006/relationships/image" Target="media/image382.png"/><Relationship Id="rId399" Type="http://schemas.openxmlformats.org/officeDocument/2006/relationships/image" Target="media/image383.png"/><Relationship Id="rId400" Type="http://schemas.openxmlformats.org/officeDocument/2006/relationships/image" Target="media/image384.png"/><Relationship Id="rId401" Type="http://schemas.openxmlformats.org/officeDocument/2006/relationships/image" Target="media/image385.png"/><Relationship Id="rId402" Type="http://schemas.openxmlformats.org/officeDocument/2006/relationships/image" Target="media/image386.png"/><Relationship Id="rId403" Type="http://schemas.openxmlformats.org/officeDocument/2006/relationships/image" Target="media/image387.png"/><Relationship Id="rId404" Type="http://schemas.openxmlformats.org/officeDocument/2006/relationships/image" Target="media/image388.png"/><Relationship Id="rId405" Type="http://schemas.openxmlformats.org/officeDocument/2006/relationships/image" Target="media/image389.png"/><Relationship Id="rId406" Type="http://schemas.openxmlformats.org/officeDocument/2006/relationships/image" Target="media/image390.png"/><Relationship Id="rId407" Type="http://schemas.openxmlformats.org/officeDocument/2006/relationships/image" Target="media/image391.png"/><Relationship Id="rId408" Type="http://schemas.openxmlformats.org/officeDocument/2006/relationships/image" Target="media/image392.png"/><Relationship Id="rId409" Type="http://schemas.openxmlformats.org/officeDocument/2006/relationships/image" Target="media/image393.png"/><Relationship Id="rId410" Type="http://schemas.openxmlformats.org/officeDocument/2006/relationships/image" Target="media/image394.png"/><Relationship Id="rId411" Type="http://schemas.openxmlformats.org/officeDocument/2006/relationships/image" Target="media/image395.png"/><Relationship Id="rId412" Type="http://schemas.openxmlformats.org/officeDocument/2006/relationships/image" Target="media/image396.png"/><Relationship Id="rId413" Type="http://schemas.openxmlformats.org/officeDocument/2006/relationships/image" Target="media/image397.png"/><Relationship Id="rId414" Type="http://schemas.openxmlformats.org/officeDocument/2006/relationships/image" Target="media/image398.png"/><Relationship Id="rId415" Type="http://schemas.openxmlformats.org/officeDocument/2006/relationships/image" Target="media/image399.png"/><Relationship Id="rId416" Type="http://schemas.openxmlformats.org/officeDocument/2006/relationships/image" Target="media/image400.png"/><Relationship Id="rId417" Type="http://schemas.openxmlformats.org/officeDocument/2006/relationships/image" Target="media/image401.png"/><Relationship Id="rId418" Type="http://schemas.openxmlformats.org/officeDocument/2006/relationships/image" Target="media/image402.png"/><Relationship Id="rId419" Type="http://schemas.openxmlformats.org/officeDocument/2006/relationships/image" Target="media/image403.png"/><Relationship Id="rId420" Type="http://schemas.openxmlformats.org/officeDocument/2006/relationships/image" Target="media/image404.png"/><Relationship Id="rId421" Type="http://schemas.openxmlformats.org/officeDocument/2006/relationships/image" Target="media/image405.png"/><Relationship Id="rId422" Type="http://schemas.openxmlformats.org/officeDocument/2006/relationships/image" Target="media/image406.png"/><Relationship Id="rId423" Type="http://schemas.openxmlformats.org/officeDocument/2006/relationships/image" Target="media/image407.png"/><Relationship Id="rId424" Type="http://schemas.openxmlformats.org/officeDocument/2006/relationships/image" Target="media/image408.png"/><Relationship Id="rId425" Type="http://schemas.openxmlformats.org/officeDocument/2006/relationships/image" Target="media/image409.png"/><Relationship Id="rId426" Type="http://schemas.openxmlformats.org/officeDocument/2006/relationships/image" Target="media/image410.png"/><Relationship Id="rId427" Type="http://schemas.openxmlformats.org/officeDocument/2006/relationships/image" Target="media/image411.png"/><Relationship Id="rId428" Type="http://schemas.openxmlformats.org/officeDocument/2006/relationships/image" Target="media/image412.png"/><Relationship Id="rId429" Type="http://schemas.openxmlformats.org/officeDocument/2006/relationships/image" Target="media/image413.png"/><Relationship Id="rId430" Type="http://schemas.openxmlformats.org/officeDocument/2006/relationships/image" Target="media/image414.png"/><Relationship Id="rId431" Type="http://schemas.openxmlformats.org/officeDocument/2006/relationships/image" Target="media/image415.png"/><Relationship Id="rId432" Type="http://schemas.openxmlformats.org/officeDocument/2006/relationships/image" Target="media/image416.png"/><Relationship Id="rId433" Type="http://schemas.openxmlformats.org/officeDocument/2006/relationships/image" Target="media/image417.png"/><Relationship Id="rId434" Type="http://schemas.openxmlformats.org/officeDocument/2006/relationships/image" Target="media/image418.png"/><Relationship Id="rId435" Type="http://schemas.openxmlformats.org/officeDocument/2006/relationships/image" Target="media/image419.png"/><Relationship Id="rId436" Type="http://schemas.openxmlformats.org/officeDocument/2006/relationships/image" Target="media/image420.png"/><Relationship Id="rId437" Type="http://schemas.openxmlformats.org/officeDocument/2006/relationships/image" Target="media/image421.png"/><Relationship Id="rId438" Type="http://schemas.openxmlformats.org/officeDocument/2006/relationships/image" Target="media/image422.png"/><Relationship Id="rId439" Type="http://schemas.openxmlformats.org/officeDocument/2006/relationships/image" Target="media/image423.png"/><Relationship Id="rId440" Type="http://schemas.openxmlformats.org/officeDocument/2006/relationships/image" Target="media/image424.png"/><Relationship Id="rId441" Type="http://schemas.openxmlformats.org/officeDocument/2006/relationships/image" Target="media/image425.png"/><Relationship Id="rId442" Type="http://schemas.openxmlformats.org/officeDocument/2006/relationships/image" Target="media/image426.png"/><Relationship Id="rId443" Type="http://schemas.openxmlformats.org/officeDocument/2006/relationships/image" Target="media/image427.png"/><Relationship Id="rId444" Type="http://schemas.openxmlformats.org/officeDocument/2006/relationships/image" Target="media/image428.png"/><Relationship Id="rId445" Type="http://schemas.openxmlformats.org/officeDocument/2006/relationships/image" Target="media/image429.png"/><Relationship Id="rId446" Type="http://schemas.openxmlformats.org/officeDocument/2006/relationships/image" Target="media/image430.png"/><Relationship Id="rId447" Type="http://schemas.openxmlformats.org/officeDocument/2006/relationships/image" Target="media/image431.png"/><Relationship Id="rId448" Type="http://schemas.openxmlformats.org/officeDocument/2006/relationships/image" Target="media/image432.png"/><Relationship Id="rId449" Type="http://schemas.openxmlformats.org/officeDocument/2006/relationships/image" Target="media/image433.png"/><Relationship Id="rId450" Type="http://schemas.openxmlformats.org/officeDocument/2006/relationships/image" Target="media/image434.png"/><Relationship Id="rId451" Type="http://schemas.openxmlformats.org/officeDocument/2006/relationships/image" Target="media/image435.png"/><Relationship Id="rId452" Type="http://schemas.openxmlformats.org/officeDocument/2006/relationships/image" Target="media/image436.png"/><Relationship Id="rId453" Type="http://schemas.openxmlformats.org/officeDocument/2006/relationships/image" Target="media/image437.png"/><Relationship Id="rId454" Type="http://schemas.openxmlformats.org/officeDocument/2006/relationships/image" Target="media/image438.png"/><Relationship Id="rId455" Type="http://schemas.openxmlformats.org/officeDocument/2006/relationships/image" Target="media/image439.png"/><Relationship Id="rId456" Type="http://schemas.openxmlformats.org/officeDocument/2006/relationships/image" Target="media/image440.png"/><Relationship Id="rId457" Type="http://schemas.openxmlformats.org/officeDocument/2006/relationships/image" Target="media/image441.png"/><Relationship Id="rId458" Type="http://schemas.openxmlformats.org/officeDocument/2006/relationships/image" Target="media/image442.png"/><Relationship Id="rId459" Type="http://schemas.openxmlformats.org/officeDocument/2006/relationships/image" Target="media/image443.png"/><Relationship Id="rId460" Type="http://schemas.openxmlformats.org/officeDocument/2006/relationships/image" Target="media/image444.png"/><Relationship Id="rId461" Type="http://schemas.openxmlformats.org/officeDocument/2006/relationships/image" Target="media/image445.png"/><Relationship Id="rId462" Type="http://schemas.openxmlformats.org/officeDocument/2006/relationships/image" Target="media/image446.png"/><Relationship Id="rId463" Type="http://schemas.openxmlformats.org/officeDocument/2006/relationships/image" Target="media/image447.png"/><Relationship Id="rId464" Type="http://schemas.openxmlformats.org/officeDocument/2006/relationships/image" Target="media/image448.png"/><Relationship Id="rId465" Type="http://schemas.openxmlformats.org/officeDocument/2006/relationships/image" Target="media/image449.png"/><Relationship Id="rId466" Type="http://schemas.openxmlformats.org/officeDocument/2006/relationships/image" Target="media/image450.png"/><Relationship Id="rId467" Type="http://schemas.openxmlformats.org/officeDocument/2006/relationships/image" Target="media/image451.png"/><Relationship Id="rId468" Type="http://schemas.openxmlformats.org/officeDocument/2006/relationships/image" Target="media/image452.png"/><Relationship Id="rId469" Type="http://schemas.openxmlformats.org/officeDocument/2006/relationships/image" Target="media/image453.png"/><Relationship Id="rId470" Type="http://schemas.openxmlformats.org/officeDocument/2006/relationships/image" Target="media/image454.png"/><Relationship Id="rId471" Type="http://schemas.openxmlformats.org/officeDocument/2006/relationships/image" Target="media/image455.jpeg"/><Relationship Id="rId472" Type="http://schemas.openxmlformats.org/officeDocument/2006/relationships/image" Target="media/image456.png"/><Relationship Id="rId473" Type="http://schemas.openxmlformats.org/officeDocument/2006/relationships/image" Target="media/image457.png"/><Relationship Id="rId474" Type="http://schemas.openxmlformats.org/officeDocument/2006/relationships/image" Target="media/image458.png"/><Relationship Id="rId475" Type="http://schemas.openxmlformats.org/officeDocument/2006/relationships/image" Target="media/image459.png"/><Relationship Id="rId476" Type="http://schemas.openxmlformats.org/officeDocument/2006/relationships/image" Target="media/image460.png"/><Relationship Id="rId477" Type="http://schemas.openxmlformats.org/officeDocument/2006/relationships/image" Target="media/image461.png"/><Relationship Id="rId478" Type="http://schemas.openxmlformats.org/officeDocument/2006/relationships/image" Target="media/image462.png"/><Relationship Id="rId479" Type="http://schemas.openxmlformats.org/officeDocument/2006/relationships/image" Target="media/image463.png"/><Relationship Id="rId480" Type="http://schemas.openxmlformats.org/officeDocument/2006/relationships/image" Target="media/image464.png"/><Relationship Id="rId481" Type="http://schemas.openxmlformats.org/officeDocument/2006/relationships/image" Target="media/image465.png"/><Relationship Id="rId482" Type="http://schemas.openxmlformats.org/officeDocument/2006/relationships/image" Target="media/image466.png"/><Relationship Id="rId483" Type="http://schemas.openxmlformats.org/officeDocument/2006/relationships/image" Target="media/image467.png"/><Relationship Id="rId484" Type="http://schemas.openxmlformats.org/officeDocument/2006/relationships/image" Target="media/image468.png"/><Relationship Id="rId485" Type="http://schemas.openxmlformats.org/officeDocument/2006/relationships/image" Target="media/image469.png"/><Relationship Id="rId486" Type="http://schemas.openxmlformats.org/officeDocument/2006/relationships/image" Target="media/image470.png"/><Relationship Id="rId487" Type="http://schemas.openxmlformats.org/officeDocument/2006/relationships/image" Target="media/image471.png"/><Relationship Id="rId488" Type="http://schemas.openxmlformats.org/officeDocument/2006/relationships/image" Target="media/image472.png"/><Relationship Id="rId489" Type="http://schemas.openxmlformats.org/officeDocument/2006/relationships/image" Target="media/image473.png"/><Relationship Id="rId490" Type="http://schemas.openxmlformats.org/officeDocument/2006/relationships/image" Target="media/image474.png"/><Relationship Id="rId491" Type="http://schemas.openxmlformats.org/officeDocument/2006/relationships/image" Target="media/image475.png"/><Relationship Id="rId492" Type="http://schemas.openxmlformats.org/officeDocument/2006/relationships/image" Target="media/image476.png"/><Relationship Id="rId493" Type="http://schemas.openxmlformats.org/officeDocument/2006/relationships/image" Target="media/image477.png"/><Relationship Id="rId494" Type="http://schemas.openxmlformats.org/officeDocument/2006/relationships/image" Target="media/image478.png"/><Relationship Id="rId495" Type="http://schemas.openxmlformats.org/officeDocument/2006/relationships/image" Target="media/image479.png"/><Relationship Id="rId496" Type="http://schemas.openxmlformats.org/officeDocument/2006/relationships/image" Target="media/image480.png"/><Relationship Id="rId497" Type="http://schemas.openxmlformats.org/officeDocument/2006/relationships/image" Target="media/image481.png"/><Relationship Id="rId498" Type="http://schemas.openxmlformats.org/officeDocument/2006/relationships/image" Target="media/image482.png"/><Relationship Id="rId499" Type="http://schemas.openxmlformats.org/officeDocument/2006/relationships/image" Target="media/image483.png"/><Relationship Id="rId500" Type="http://schemas.openxmlformats.org/officeDocument/2006/relationships/image" Target="media/image484.png"/><Relationship Id="rId501" Type="http://schemas.openxmlformats.org/officeDocument/2006/relationships/image" Target="media/image485.png"/><Relationship Id="rId502" Type="http://schemas.openxmlformats.org/officeDocument/2006/relationships/image" Target="media/image486.png"/><Relationship Id="rId503" Type="http://schemas.openxmlformats.org/officeDocument/2006/relationships/image" Target="media/image487.png"/><Relationship Id="rId504" Type="http://schemas.openxmlformats.org/officeDocument/2006/relationships/image" Target="media/image488.png"/><Relationship Id="rId505" Type="http://schemas.openxmlformats.org/officeDocument/2006/relationships/image" Target="media/image489.png"/><Relationship Id="rId506" Type="http://schemas.openxmlformats.org/officeDocument/2006/relationships/image" Target="media/image490.png"/><Relationship Id="rId507" Type="http://schemas.openxmlformats.org/officeDocument/2006/relationships/image" Target="media/image491.png"/><Relationship Id="rId508" Type="http://schemas.openxmlformats.org/officeDocument/2006/relationships/image" Target="media/image492.png"/><Relationship Id="rId509" Type="http://schemas.openxmlformats.org/officeDocument/2006/relationships/image" Target="media/image493.png"/><Relationship Id="rId510" Type="http://schemas.openxmlformats.org/officeDocument/2006/relationships/image" Target="media/image494.png"/><Relationship Id="rId511" Type="http://schemas.openxmlformats.org/officeDocument/2006/relationships/image" Target="media/image495.png"/><Relationship Id="rId512" Type="http://schemas.openxmlformats.org/officeDocument/2006/relationships/image" Target="media/image496.png"/><Relationship Id="rId513" Type="http://schemas.openxmlformats.org/officeDocument/2006/relationships/image" Target="media/image497.png"/><Relationship Id="rId514" Type="http://schemas.openxmlformats.org/officeDocument/2006/relationships/image" Target="media/image498.png"/><Relationship Id="rId515" Type="http://schemas.openxmlformats.org/officeDocument/2006/relationships/image" Target="media/image499.png"/><Relationship Id="rId516" Type="http://schemas.openxmlformats.org/officeDocument/2006/relationships/image" Target="media/image500.png"/><Relationship Id="rId517" Type="http://schemas.openxmlformats.org/officeDocument/2006/relationships/image" Target="media/image501.png"/><Relationship Id="rId518" Type="http://schemas.openxmlformats.org/officeDocument/2006/relationships/image" Target="media/image502.png"/><Relationship Id="rId519" Type="http://schemas.openxmlformats.org/officeDocument/2006/relationships/image" Target="media/image503.png"/><Relationship Id="rId520" Type="http://schemas.openxmlformats.org/officeDocument/2006/relationships/image" Target="media/image504.png"/><Relationship Id="rId521" Type="http://schemas.openxmlformats.org/officeDocument/2006/relationships/image" Target="media/image505.png"/><Relationship Id="rId522" Type="http://schemas.openxmlformats.org/officeDocument/2006/relationships/image" Target="media/image506.png"/><Relationship Id="rId523" Type="http://schemas.openxmlformats.org/officeDocument/2006/relationships/image" Target="media/image507.png"/><Relationship Id="rId524" Type="http://schemas.openxmlformats.org/officeDocument/2006/relationships/image" Target="media/image508.png"/><Relationship Id="rId525" Type="http://schemas.openxmlformats.org/officeDocument/2006/relationships/image" Target="media/image509.png"/><Relationship Id="rId526" Type="http://schemas.openxmlformats.org/officeDocument/2006/relationships/image" Target="media/image510.png"/><Relationship Id="rId527" Type="http://schemas.openxmlformats.org/officeDocument/2006/relationships/image" Target="media/image511.png"/><Relationship Id="rId528" Type="http://schemas.openxmlformats.org/officeDocument/2006/relationships/image" Target="media/image512.png"/><Relationship Id="rId529" Type="http://schemas.openxmlformats.org/officeDocument/2006/relationships/image" Target="media/image513.png"/><Relationship Id="rId530" Type="http://schemas.openxmlformats.org/officeDocument/2006/relationships/image" Target="media/image514.png"/><Relationship Id="rId531" Type="http://schemas.openxmlformats.org/officeDocument/2006/relationships/image" Target="media/image515.png"/><Relationship Id="rId532" Type="http://schemas.openxmlformats.org/officeDocument/2006/relationships/image" Target="media/image516.png"/><Relationship Id="rId533" Type="http://schemas.openxmlformats.org/officeDocument/2006/relationships/image" Target="media/image517.png"/><Relationship Id="rId534" Type="http://schemas.openxmlformats.org/officeDocument/2006/relationships/image" Target="media/image518.png"/><Relationship Id="rId535" Type="http://schemas.openxmlformats.org/officeDocument/2006/relationships/image" Target="media/image519.png"/><Relationship Id="rId536" Type="http://schemas.openxmlformats.org/officeDocument/2006/relationships/image" Target="media/image520.png"/><Relationship Id="rId537" Type="http://schemas.openxmlformats.org/officeDocument/2006/relationships/image" Target="media/image521.png"/><Relationship Id="rId538" Type="http://schemas.openxmlformats.org/officeDocument/2006/relationships/image" Target="media/image522.png"/><Relationship Id="rId539" Type="http://schemas.openxmlformats.org/officeDocument/2006/relationships/image" Target="media/image523.png"/><Relationship Id="rId540" Type="http://schemas.openxmlformats.org/officeDocument/2006/relationships/image" Target="media/image524.png"/><Relationship Id="rId541" Type="http://schemas.openxmlformats.org/officeDocument/2006/relationships/image" Target="media/image525.png"/><Relationship Id="rId542" Type="http://schemas.openxmlformats.org/officeDocument/2006/relationships/image" Target="media/image526.png"/><Relationship Id="rId543" Type="http://schemas.openxmlformats.org/officeDocument/2006/relationships/image" Target="media/image527.png"/><Relationship Id="rId544" Type="http://schemas.openxmlformats.org/officeDocument/2006/relationships/image" Target="media/image528.png"/><Relationship Id="rId545" Type="http://schemas.openxmlformats.org/officeDocument/2006/relationships/image" Target="media/image529.png"/><Relationship Id="rId546" Type="http://schemas.openxmlformats.org/officeDocument/2006/relationships/image" Target="media/image530.png"/><Relationship Id="rId547" Type="http://schemas.openxmlformats.org/officeDocument/2006/relationships/image" Target="media/image531.png"/><Relationship Id="rId548" Type="http://schemas.openxmlformats.org/officeDocument/2006/relationships/image" Target="media/image532.png"/><Relationship Id="rId549" Type="http://schemas.openxmlformats.org/officeDocument/2006/relationships/image" Target="media/image533.png"/><Relationship Id="rId550" Type="http://schemas.openxmlformats.org/officeDocument/2006/relationships/image" Target="media/image534.png"/><Relationship Id="rId551" Type="http://schemas.openxmlformats.org/officeDocument/2006/relationships/image" Target="media/image535.png"/><Relationship Id="rId552" Type="http://schemas.openxmlformats.org/officeDocument/2006/relationships/image" Target="media/image536.png"/><Relationship Id="rId553" Type="http://schemas.openxmlformats.org/officeDocument/2006/relationships/image" Target="media/image537.png"/><Relationship Id="rId554" Type="http://schemas.openxmlformats.org/officeDocument/2006/relationships/image" Target="media/image538.png"/><Relationship Id="rId555" Type="http://schemas.openxmlformats.org/officeDocument/2006/relationships/image" Target="media/image539.png"/><Relationship Id="rId556" Type="http://schemas.openxmlformats.org/officeDocument/2006/relationships/image" Target="media/image540.png"/><Relationship Id="rId557" Type="http://schemas.openxmlformats.org/officeDocument/2006/relationships/image" Target="media/image541.png"/><Relationship Id="rId558" Type="http://schemas.openxmlformats.org/officeDocument/2006/relationships/image" Target="media/image542.png"/><Relationship Id="rId559" Type="http://schemas.openxmlformats.org/officeDocument/2006/relationships/image" Target="media/image543.png"/><Relationship Id="rId560" Type="http://schemas.openxmlformats.org/officeDocument/2006/relationships/image" Target="media/image544.png"/><Relationship Id="rId561" Type="http://schemas.openxmlformats.org/officeDocument/2006/relationships/image" Target="media/image545.png"/><Relationship Id="rId562" Type="http://schemas.openxmlformats.org/officeDocument/2006/relationships/image" Target="media/image546.png"/><Relationship Id="rId563" Type="http://schemas.openxmlformats.org/officeDocument/2006/relationships/image" Target="media/image547.png"/><Relationship Id="rId564" Type="http://schemas.openxmlformats.org/officeDocument/2006/relationships/image" Target="media/image548.png"/><Relationship Id="rId565" Type="http://schemas.openxmlformats.org/officeDocument/2006/relationships/image" Target="media/image549.png"/><Relationship Id="rId566" Type="http://schemas.openxmlformats.org/officeDocument/2006/relationships/image" Target="media/image550.png"/><Relationship Id="rId567" Type="http://schemas.openxmlformats.org/officeDocument/2006/relationships/image" Target="media/image551.png"/><Relationship Id="rId568" Type="http://schemas.openxmlformats.org/officeDocument/2006/relationships/image" Target="media/image552.png"/><Relationship Id="rId569" Type="http://schemas.openxmlformats.org/officeDocument/2006/relationships/image" Target="media/image553.png"/><Relationship Id="rId570" Type="http://schemas.openxmlformats.org/officeDocument/2006/relationships/image" Target="media/image554.png"/><Relationship Id="rId571" Type="http://schemas.openxmlformats.org/officeDocument/2006/relationships/image" Target="media/image555.png"/><Relationship Id="rId572" Type="http://schemas.openxmlformats.org/officeDocument/2006/relationships/image" Target="media/image556.png"/><Relationship Id="rId573" Type="http://schemas.openxmlformats.org/officeDocument/2006/relationships/image" Target="media/image557.png"/><Relationship Id="rId574" Type="http://schemas.openxmlformats.org/officeDocument/2006/relationships/image" Target="media/image558.png"/><Relationship Id="rId575" Type="http://schemas.openxmlformats.org/officeDocument/2006/relationships/image" Target="media/image559.png"/><Relationship Id="rId576" Type="http://schemas.openxmlformats.org/officeDocument/2006/relationships/image" Target="media/image560.png"/><Relationship Id="rId577" Type="http://schemas.openxmlformats.org/officeDocument/2006/relationships/image" Target="media/image561.png"/><Relationship Id="rId578" Type="http://schemas.openxmlformats.org/officeDocument/2006/relationships/image" Target="media/image562.png"/><Relationship Id="rId579" Type="http://schemas.openxmlformats.org/officeDocument/2006/relationships/image" Target="media/image563.png"/><Relationship Id="rId580" Type="http://schemas.openxmlformats.org/officeDocument/2006/relationships/image" Target="media/image564.png"/><Relationship Id="rId581" Type="http://schemas.openxmlformats.org/officeDocument/2006/relationships/image" Target="media/image565.png"/><Relationship Id="rId582" Type="http://schemas.openxmlformats.org/officeDocument/2006/relationships/image" Target="media/image566.png"/><Relationship Id="rId583" Type="http://schemas.openxmlformats.org/officeDocument/2006/relationships/image" Target="media/image567.png"/><Relationship Id="rId584" Type="http://schemas.openxmlformats.org/officeDocument/2006/relationships/image" Target="media/image568.png"/><Relationship Id="rId585" Type="http://schemas.openxmlformats.org/officeDocument/2006/relationships/image" Target="media/image569.png"/><Relationship Id="rId586" Type="http://schemas.openxmlformats.org/officeDocument/2006/relationships/image" Target="media/image570.png"/><Relationship Id="rId587" Type="http://schemas.openxmlformats.org/officeDocument/2006/relationships/image" Target="media/image571.png"/><Relationship Id="rId588" Type="http://schemas.openxmlformats.org/officeDocument/2006/relationships/image" Target="media/image572.png"/><Relationship Id="rId589" Type="http://schemas.openxmlformats.org/officeDocument/2006/relationships/image" Target="media/image573.png"/><Relationship Id="rId590" Type="http://schemas.openxmlformats.org/officeDocument/2006/relationships/image" Target="media/image574.png"/><Relationship Id="rId591" Type="http://schemas.openxmlformats.org/officeDocument/2006/relationships/image" Target="media/image575.png"/><Relationship Id="rId592" Type="http://schemas.openxmlformats.org/officeDocument/2006/relationships/image" Target="media/image576.png"/><Relationship Id="rId593" Type="http://schemas.openxmlformats.org/officeDocument/2006/relationships/image" Target="media/image577.png"/><Relationship Id="rId594" Type="http://schemas.openxmlformats.org/officeDocument/2006/relationships/image" Target="media/image578.png"/><Relationship Id="rId595" Type="http://schemas.openxmlformats.org/officeDocument/2006/relationships/image" Target="media/image579.png"/><Relationship Id="rId596" Type="http://schemas.openxmlformats.org/officeDocument/2006/relationships/image" Target="media/image580.png"/><Relationship Id="rId597" Type="http://schemas.openxmlformats.org/officeDocument/2006/relationships/image" Target="media/image581.png"/><Relationship Id="rId598" Type="http://schemas.openxmlformats.org/officeDocument/2006/relationships/image" Target="media/image582.png"/><Relationship Id="rId599" Type="http://schemas.openxmlformats.org/officeDocument/2006/relationships/image" Target="media/image583.png"/><Relationship Id="rId600" Type="http://schemas.openxmlformats.org/officeDocument/2006/relationships/image" Target="media/image584.png"/><Relationship Id="rId601" Type="http://schemas.openxmlformats.org/officeDocument/2006/relationships/image" Target="media/image585.png"/><Relationship Id="rId602" Type="http://schemas.openxmlformats.org/officeDocument/2006/relationships/image" Target="media/image586.png"/><Relationship Id="rId603" Type="http://schemas.openxmlformats.org/officeDocument/2006/relationships/image" Target="media/image587.png"/><Relationship Id="rId604" Type="http://schemas.openxmlformats.org/officeDocument/2006/relationships/image" Target="media/image588.png"/><Relationship Id="rId605" Type="http://schemas.openxmlformats.org/officeDocument/2006/relationships/image" Target="media/image589.png"/><Relationship Id="rId606" Type="http://schemas.openxmlformats.org/officeDocument/2006/relationships/image" Target="media/image590.png"/><Relationship Id="rId607" Type="http://schemas.openxmlformats.org/officeDocument/2006/relationships/image" Target="media/image591.png"/><Relationship Id="rId608" Type="http://schemas.openxmlformats.org/officeDocument/2006/relationships/image" Target="media/image592.png"/><Relationship Id="rId609" Type="http://schemas.openxmlformats.org/officeDocument/2006/relationships/image" Target="media/image593.png"/><Relationship Id="rId610" Type="http://schemas.openxmlformats.org/officeDocument/2006/relationships/image" Target="media/image594.png"/><Relationship Id="rId611" Type="http://schemas.openxmlformats.org/officeDocument/2006/relationships/image" Target="media/image595.png"/><Relationship Id="rId612" Type="http://schemas.openxmlformats.org/officeDocument/2006/relationships/image" Target="media/image596.png"/><Relationship Id="rId613" Type="http://schemas.openxmlformats.org/officeDocument/2006/relationships/image" Target="media/image597.png"/><Relationship Id="rId614" Type="http://schemas.openxmlformats.org/officeDocument/2006/relationships/image" Target="media/image598.png"/><Relationship Id="rId615" Type="http://schemas.openxmlformats.org/officeDocument/2006/relationships/image" Target="media/image599.png"/><Relationship Id="rId616" Type="http://schemas.openxmlformats.org/officeDocument/2006/relationships/image" Target="media/image600.png"/><Relationship Id="rId617" Type="http://schemas.openxmlformats.org/officeDocument/2006/relationships/image" Target="media/image601.png"/><Relationship Id="rId618" Type="http://schemas.openxmlformats.org/officeDocument/2006/relationships/image" Target="media/image602.png"/><Relationship Id="rId619" Type="http://schemas.openxmlformats.org/officeDocument/2006/relationships/image" Target="media/image603.png"/><Relationship Id="rId620" Type="http://schemas.openxmlformats.org/officeDocument/2006/relationships/image" Target="media/image604.png"/><Relationship Id="rId621" Type="http://schemas.openxmlformats.org/officeDocument/2006/relationships/image" Target="media/image605.png"/><Relationship Id="rId622" Type="http://schemas.openxmlformats.org/officeDocument/2006/relationships/image" Target="media/image606.png"/><Relationship Id="rId623" Type="http://schemas.openxmlformats.org/officeDocument/2006/relationships/image" Target="media/image607.png"/><Relationship Id="rId624" Type="http://schemas.openxmlformats.org/officeDocument/2006/relationships/image" Target="media/image608.png"/><Relationship Id="rId625" Type="http://schemas.openxmlformats.org/officeDocument/2006/relationships/image" Target="media/image609.png"/><Relationship Id="rId626" Type="http://schemas.openxmlformats.org/officeDocument/2006/relationships/image" Target="media/image610.png"/><Relationship Id="rId627" Type="http://schemas.openxmlformats.org/officeDocument/2006/relationships/image" Target="media/image611.png"/><Relationship Id="rId628" Type="http://schemas.openxmlformats.org/officeDocument/2006/relationships/image" Target="media/image612.png"/><Relationship Id="rId629" Type="http://schemas.openxmlformats.org/officeDocument/2006/relationships/image" Target="media/image613.png"/><Relationship Id="rId630" Type="http://schemas.openxmlformats.org/officeDocument/2006/relationships/image" Target="media/image614.png"/><Relationship Id="rId631" Type="http://schemas.openxmlformats.org/officeDocument/2006/relationships/image" Target="media/image615.png"/><Relationship Id="rId632" Type="http://schemas.openxmlformats.org/officeDocument/2006/relationships/image" Target="media/image616.png"/><Relationship Id="rId633" Type="http://schemas.openxmlformats.org/officeDocument/2006/relationships/image" Target="media/image617.png"/><Relationship Id="rId634" Type="http://schemas.openxmlformats.org/officeDocument/2006/relationships/image" Target="media/image618.png"/><Relationship Id="rId635" Type="http://schemas.openxmlformats.org/officeDocument/2006/relationships/image" Target="media/image619.png"/><Relationship Id="rId636" Type="http://schemas.openxmlformats.org/officeDocument/2006/relationships/image" Target="media/image620.png"/><Relationship Id="rId637" Type="http://schemas.openxmlformats.org/officeDocument/2006/relationships/image" Target="media/image621.png"/><Relationship Id="rId638" Type="http://schemas.openxmlformats.org/officeDocument/2006/relationships/image" Target="media/image622.png"/><Relationship Id="rId639" Type="http://schemas.openxmlformats.org/officeDocument/2006/relationships/image" Target="media/image623.png"/><Relationship Id="rId640" Type="http://schemas.openxmlformats.org/officeDocument/2006/relationships/image" Target="media/image624.png"/><Relationship Id="rId641" Type="http://schemas.openxmlformats.org/officeDocument/2006/relationships/image" Target="media/image625.png"/><Relationship Id="rId642" Type="http://schemas.openxmlformats.org/officeDocument/2006/relationships/image" Target="media/image626.png"/><Relationship Id="rId643" Type="http://schemas.openxmlformats.org/officeDocument/2006/relationships/image" Target="media/image627.png"/><Relationship Id="rId644" Type="http://schemas.openxmlformats.org/officeDocument/2006/relationships/image" Target="media/image628.png"/><Relationship Id="rId645" Type="http://schemas.openxmlformats.org/officeDocument/2006/relationships/image" Target="media/image629.png"/><Relationship Id="rId646" Type="http://schemas.openxmlformats.org/officeDocument/2006/relationships/image" Target="media/image630.png"/><Relationship Id="rId647" Type="http://schemas.openxmlformats.org/officeDocument/2006/relationships/image" Target="media/image631.png"/><Relationship Id="rId648" Type="http://schemas.openxmlformats.org/officeDocument/2006/relationships/image" Target="media/image632.png"/><Relationship Id="rId649" Type="http://schemas.openxmlformats.org/officeDocument/2006/relationships/image" Target="media/image633.png"/><Relationship Id="rId650" Type="http://schemas.openxmlformats.org/officeDocument/2006/relationships/image" Target="media/image634.png"/><Relationship Id="rId651" Type="http://schemas.openxmlformats.org/officeDocument/2006/relationships/image" Target="media/image635.png"/><Relationship Id="rId652" Type="http://schemas.openxmlformats.org/officeDocument/2006/relationships/image" Target="media/image636.png"/><Relationship Id="rId653" Type="http://schemas.openxmlformats.org/officeDocument/2006/relationships/image" Target="media/image637.png"/><Relationship Id="rId654" Type="http://schemas.openxmlformats.org/officeDocument/2006/relationships/image" Target="media/image638.png"/><Relationship Id="rId655" Type="http://schemas.openxmlformats.org/officeDocument/2006/relationships/image" Target="media/image639.png"/><Relationship Id="rId656" Type="http://schemas.openxmlformats.org/officeDocument/2006/relationships/image" Target="media/image640.png"/><Relationship Id="rId657" Type="http://schemas.openxmlformats.org/officeDocument/2006/relationships/image" Target="media/image641.png"/><Relationship Id="rId658" Type="http://schemas.openxmlformats.org/officeDocument/2006/relationships/image" Target="media/image642.png"/><Relationship Id="rId659" Type="http://schemas.openxmlformats.org/officeDocument/2006/relationships/image" Target="media/image643.png"/><Relationship Id="rId660" Type="http://schemas.openxmlformats.org/officeDocument/2006/relationships/image" Target="media/image644.png"/><Relationship Id="rId661" Type="http://schemas.openxmlformats.org/officeDocument/2006/relationships/image" Target="media/image645.png"/><Relationship Id="rId662" Type="http://schemas.openxmlformats.org/officeDocument/2006/relationships/image" Target="media/image646.png"/><Relationship Id="rId663" Type="http://schemas.openxmlformats.org/officeDocument/2006/relationships/image" Target="media/image647.png"/><Relationship Id="rId664" Type="http://schemas.openxmlformats.org/officeDocument/2006/relationships/image" Target="media/image648.png"/><Relationship Id="rId665" Type="http://schemas.openxmlformats.org/officeDocument/2006/relationships/image" Target="media/image649.png"/><Relationship Id="rId666" Type="http://schemas.openxmlformats.org/officeDocument/2006/relationships/image" Target="media/image650.png"/><Relationship Id="rId667" Type="http://schemas.openxmlformats.org/officeDocument/2006/relationships/image" Target="media/image651.png"/><Relationship Id="rId668" Type="http://schemas.openxmlformats.org/officeDocument/2006/relationships/image" Target="media/image652.png"/><Relationship Id="rId669" Type="http://schemas.openxmlformats.org/officeDocument/2006/relationships/image" Target="media/image653.png"/><Relationship Id="rId670" Type="http://schemas.openxmlformats.org/officeDocument/2006/relationships/image" Target="media/image654.png"/><Relationship Id="rId671" Type="http://schemas.openxmlformats.org/officeDocument/2006/relationships/image" Target="media/image655.png"/><Relationship Id="rId672" Type="http://schemas.openxmlformats.org/officeDocument/2006/relationships/image" Target="media/image656.png"/><Relationship Id="rId673" Type="http://schemas.openxmlformats.org/officeDocument/2006/relationships/image" Target="media/image657.png"/><Relationship Id="rId674" Type="http://schemas.openxmlformats.org/officeDocument/2006/relationships/image" Target="media/image658.png"/><Relationship Id="rId675" Type="http://schemas.openxmlformats.org/officeDocument/2006/relationships/image" Target="media/image659.png"/><Relationship Id="rId676" Type="http://schemas.openxmlformats.org/officeDocument/2006/relationships/image" Target="media/image660.png"/><Relationship Id="rId677" Type="http://schemas.openxmlformats.org/officeDocument/2006/relationships/image" Target="media/image661.png"/><Relationship Id="rId678" Type="http://schemas.openxmlformats.org/officeDocument/2006/relationships/image" Target="media/image662.png"/><Relationship Id="rId679" Type="http://schemas.openxmlformats.org/officeDocument/2006/relationships/image" Target="media/image663.png"/><Relationship Id="rId680" Type="http://schemas.openxmlformats.org/officeDocument/2006/relationships/image" Target="media/image664.png"/><Relationship Id="rId681" Type="http://schemas.openxmlformats.org/officeDocument/2006/relationships/image" Target="media/image665.png"/><Relationship Id="rId682" Type="http://schemas.openxmlformats.org/officeDocument/2006/relationships/image" Target="media/image666.png"/><Relationship Id="rId683" Type="http://schemas.openxmlformats.org/officeDocument/2006/relationships/image" Target="media/image667.png"/><Relationship Id="rId684" Type="http://schemas.openxmlformats.org/officeDocument/2006/relationships/image" Target="media/image668.png"/><Relationship Id="rId685" Type="http://schemas.openxmlformats.org/officeDocument/2006/relationships/image" Target="media/image669.png"/><Relationship Id="rId686" Type="http://schemas.openxmlformats.org/officeDocument/2006/relationships/image" Target="media/image670.png"/><Relationship Id="rId687" Type="http://schemas.openxmlformats.org/officeDocument/2006/relationships/image" Target="media/image671.png"/><Relationship Id="rId688" Type="http://schemas.openxmlformats.org/officeDocument/2006/relationships/image" Target="media/image672.png"/><Relationship Id="rId689" Type="http://schemas.openxmlformats.org/officeDocument/2006/relationships/image" Target="media/image673.png"/><Relationship Id="rId690" Type="http://schemas.openxmlformats.org/officeDocument/2006/relationships/image" Target="media/image674.png"/><Relationship Id="rId691" Type="http://schemas.openxmlformats.org/officeDocument/2006/relationships/image" Target="media/image675.png"/><Relationship Id="rId692" Type="http://schemas.openxmlformats.org/officeDocument/2006/relationships/image" Target="media/image676.png"/><Relationship Id="rId693" Type="http://schemas.openxmlformats.org/officeDocument/2006/relationships/image" Target="media/image677.png"/><Relationship Id="rId694" Type="http://schemas.openxmlformats.org/officeDocument/2006/relationships/image" Target="media/image678.png"/><Relationship Id="rId695" Type="http://schemas.openxmlformats.org/officeDocument/2006/relationships/image" Target="media/image679.png"/><Relationship Id="rId696" Type="http://schemas.openxmlformats.org/officeDocument/2006/relationships/image" Target="media/image680.png"/><Relationship Id="rId697" Type="http://schemas.openxmlformats.org/officeDocument/2006/relationships/image" Target="media/image681.png"/><Relationship Id="rId698" Type="http://schemas.openxmlformats.org/officeDocument/2006/relationships/image" Target="media/image682.png"/><Relationship Id="rId323" Type="http://schemas.openxmlformats.org/officeDocument/2006/relationships/hyperlink" Target="http://www.sec.gov/Archives/edgar/data/1832038/000119312521217506/d549501dex31.htm" TargetMode="External"/><Relationship Id="rId324" Type="http://schemas.openxmlformats.org/officeDocument/2006/relationships/hyperlink" Target="http://www.sec.gov/Archives/edgar/data/1832038/000119312521217506/d549501dex41.htm" TargetMode="External"/><Relationship Id="rId325" Type="http://schemas.openxmlformats.org/officeDocument/2006/relationships/hyperlink" Target="http://www.sec.gov/Archives/edgar/data/1832038/000119312521217506/d549501dex101.htm" TargetMode="External"/><Relationship Id="rId326" Type="http://schemas.openxmlformats.org/officeDocument/2006/relationships/hyperlink" Target="http://www.sec.gov/Archives/edgar/data/1832038/000119312521217506/d549501dex105.htm" TargetMode="External"/><Relationship Id="rId327" Type="http://schemas.openxmlformats.org/officeDocument/2006/relationships/hyperlink" Target="http://www.sec.gov/Archives/edgar/data/1832038/000119312521217506/d549501dex106.htm" TargetMode="External"/><Relationship Id="rId328" Type="http://schemas.openxmlformats.org/officeDocument/2006/relationships/hyperlink" Target="http://www.sec.gov/Archives/edgar/data/1832038/000119312521217506/d549501dex107.htm" TargetMode="External"/><Relationship Id="rId329" Type="http://schemas.openxmlformats.org/officeDocument/2006/relationships/hyperlink" Target="http://www.sec.gov/Archives/edgar/data/1832038/000119312521217506/d549501dex108.htm" TargetMode="External"/><Relationship Id="rId331" Type="http://schemas.openxmlformats.org/officeDocument/2006/relationships/hyperlink" Target="http://www.sec.gov/Archives/edgar/data/1832038/000119312521217506/d549501dex211.htm" TargetMode="External"/><Relationship Id="rId332" Type="http://schemas.openxmlformats.org/officeDocument/2006/relationships/hyperlink" Target="http://www.sec.gov/Archives/edgar/data/1832038/000119312521217506/d549501ds1.htm#po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2021-08-02T05:41:43Z</dcterms:created>
  <dcterms:modified xsi:type="dcterms:W3CDTF">2021-08-02T05:41:43Z</dcterms:modified>
</cp:coreProperties>
</file>