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8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857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Gerngross Tillman U.</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Arial" w:cs="Arial" w:eastAsia="Arial" w:hAnsi="Arial"/>
                <w:sz w:val="20"/>
                <w:szCs w:val="20"/>
                <w:color w:val="0000FF"/>
              </w:rPr>
              <w:t>1,985,295</w:t>
            </w:r>
          </w:p>
        </w:tc>
        <w:tc>
          <w:tcPr>
            <w:tcW w:w="980" w:type="dxa"/>
            <w:vAlign w:val="bottom"/>
            <w:tcBorders>
              <w:bottom w:val="single" w:sz="8" w:color="2C2C2C"/>
            </w:tcBorders>
          </w:tcPr>
          <w:p>
            <w:pPr>
              <w:ind w:left="860"/>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11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25,000,000</w:t>
            </w:r>
          </w:p>
        </w:tc>
        <w:tc>
          <w:tcPr>
            <w:tcW w:w="580" w:type="dxa"/>
            <w:vAlign w:val="bottom"/>
            <w:tcBorders>
              <w:bottom w:val="single" w:sz="8" w:color="2C2C2C"/>
            </w:tcBorders>
          </w:tcPr>
          <w:p>
            <w:pPr>
              <w:jc w:val="center"/>
              <w:ind w:left="324"/>
              <w:spacing w:after="0"/>
              <w:rPr>
                <w:sz w:val="20"/>
                <w:szCs w:val="20"/>
                <w:color w:val="auto"/>
              </w:rPr>
            </w:pPr>
            <w:r>
              <w:rPr>
                <w:rFonts w:ascii="Arial" w:cs="Arial" w:eastAsia="Arial" w:hAnsi="Arial"/>
                <w:sz w:val="13"/>
                <w:szCs w:val="13"/>
                <w:color w:val="008000"/>
                <w:w w:val="87"/>
              </w:rPr>
              <w:t>(2)</w:t>
            </w: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3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110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8"/>
              </w:rPr>
              <w:t>220,380</w:t>
            </w:r>
          </w:p>
        </w:tc>
        <w:tc>
          <w:tcPr>
            <w:tcW w:w="580" w:type="dxa"/>
            <w:vAlign w:val="bottom"/>
            <w:tcBorders>
              <w:bottom w:val="single" w:sz="8" w:color="2C2C2C"/>
            </w:tcBorders>
          </w:tcPr>
          <w:p>
            <w:pPr>
              <w:jc w:val="center"/>
              <w:ind w:left="324"/>
              <w:spacing w:after="0"/>
              <w:rPr>
                <w:sz w:val="20"/>
                <w:szCs w:val="20"/>
                <w:color w:val="auto"/>
              </w:rPr>
            </w:pPr>
            <w:r>
              <w:rPr>
                <w:rFonts w:ascii="Arial" w:cs="Arial" w:eastAsia="Arial" w:hAnsi="Arial"/>
                <w:sz w:val="13"/>
                <w:szCs w:val="13"/>
                <w:color w:val="008000"/>
                <w:w w:val="87"/>
              </w:rPr>
              <w:t>(2)</w:t>
            </w: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36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110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Pr>
          <w:p>
            <w:pPr>
              <w:jc w:val="center"/>
              <w:spacing w:after="0"/>
              <w:rPr>
                <w:sz w:val="20"/>
                <w:szCs w:val="20"/>
                <w:color w:val="auto"/>
              </w:rPr>
            </w:pPr>
            <w:r>
              <w:rPr>
                <w:rFonts w:ascii="Arial" w:cs="Arial" w:eastAsia="Arial" w:hAnsi="Arial"/>
                <w:sz w:val="20"/>
                <w:szCs w:val="20"/>
                <w:color w:val="0000FF"/>
                <w:w w:val="88"/>
              </w:rPr>
              <w:t>640,320</w:t>
            </w:r>
          </w:p>
        </w:tc>
        <w:tc>
          <w:tcPr>
            <w:tcW w:w="580" w:type="dxa"/>
            <w:vAlign w:val="bottom"/>
          </w:tcPr>
          <w:p>
            <w:pPr>
              <w:jc w:val="center"/>
              <w:ind w:left="324"/>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0000FF"/>
              </w:rPr>
              <w:t>I</w:t>
            </w:r>
          </w:p>
        </w:tc>
        <w:tc>
          <w:tcPr>
            <w:tcW w:w="1380" w:type="dxa"/>
            <w:vAlign w:val="bottom"/>
            <w:gridSpan w:val="2"/>
          </w:tcPr>
          <w:p>
            <w:pPr>
              <w:ind w:left="20"/>
              <w:spacing w:after="0"/>
              <w:rPr>
                <w:sz w:val="20"/>
                <w:szCs w:val="20"/>
                <w:color w:val="auto"/>
              </w:rPr>
            </w:pPr>
            <w:r>
              <w:rPr>
                <w:rFonts w:ascii="Arial" w:cs="Arial" w:eastAsia="Arial" w:hAnsi="Arial"/>
                <w:sz w:val="20"/>
                <w:szCs w:val="20"/>
                <w:color w:val="0000FF"/>
              </w:rPr>
              <w:t>By LLC</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Borders>
              <w:top w:val="single" w:sz="8" w:color="2C2C2C"/>
            </w:tcBorders>
          </w:tcPr>
          <w:p>
            <w:pPr>
              <w:ind w:left="80"/>
              <w:spacing w:after="0"/>
              <w:rPr>
                <w:sz w:val="20"/>
                <w:szCs w:val="20"/>
                <w:color w:val="auto"/>
              </w:rPr>
            </w:pPr>
            <w:r>
              <w:rPr>
                <w:rFonts w:ascii="Arial" w:cs="Arial" w:eastAsia="Arial" w:hAnsi="Arial"/>
                <w:sz w:val="20"/>
                <w:szCs w:val="20"/>
                <w:color w:val="0000FF"/>
              </w:rPr>
              <w:t>Stock Option (Right to Buy)</w:t>
            </w:r>
          </w:p>
        </w:tc>
        <w:tc>
          <w:tcPr>
            <w:tcW w:w="1100" w:type="dxa"/>
            <w:vAlign w:val="bottom"/>
            <w:tcBorders>
              <w:top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Borders>
              <w:top w:val="single" w:sz="8" w:color="2C2C2C"/>
            </w:tcBorders>
          </w:tcPr>
          <w:p>
            <w:pPr>
              <w:jc w:val="center"/>
              <w:spacing w:after="0"/>
              <w:rPr>
                <w:sz w:val="20"/>
                <w:szCs w:val="20"/>
                <w:color w:val="auto"/>
              </w:rPr>
            </w:pPr>
            <w:r>
              <w:rPr>
                <w:rFonts w:ascii="Arial" w:cs="Arial" w:eastAsia="Arial" w:hAnsi="Arial"/>
                <w:sz w:val="15"/>
                <w:szCs w:val="15"/>
                <w:color w:val="0000FF"/>
                <w:w w:val="93"/>
              </w:rPr>
              <w:t>05/06/2031</w:t>
            </w:r>
          </w:p>
        </w:tc>
        <w:tc>
          <w:tcPr>
            <w:tcW w:w="1820" w:type="dxa"/>
            <w:vAlign w:val="bottom"/>
            <w:tcBorders>
              <w:top w:val="single" w:sz="8" w:color="2C2C2C"/>
            </w:tcBorders>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Borders>
              <w:top w:val="single" w:sz="8" w:color="2C2C2C"/>
            </w:tcBorders>
          </w:tcPr>
          <w:p>
            <w:pPr>
              <w:jc w:val="center"/>
              <w:spacing w:after="0"/>
              <w:rPr>
                <w:sz w:val="20"/>
                <w:szCs w:val="20"/>
                <w:color w:val="auto"/>
              </w:rPr>
            </w:pPr>
            <w:r>
              <w:rPr>
                <w:rFonts w:ascii="Arial" w:cs="Arial" w:eastAsia="Arial" w:hAnsi="Arial"/>
                <w:sz w:val="20"/>
                <w:szCs w:val="20"/>
                <w:color w:val="0000FF"/>
                <w:w w:val="87"/>
              </w:rPr>
              <w:t>3,419,345</w:t>
            </w:r>
          </w:p>
        </w:tc>
        <w:tc>
          <w:tcPr>
            <w:tcW w:w="980" w:type="dxa"/>
            <w:vAlign w:val="bottom"/>
            <w:tcBorders>
              <w:top w:val="single" w:sz="8" w:color="2C2C2C"/>
            </w:tcBorders>
            <w:gridSpan w:val="2"/>
          </w:tcPr>
          <w:p>
            <w:pPr>
              <w:jc w:val="center"/>
              <w:spacing w:after="0"/>
              <w:rPr>
                <w:sz w:val="20"/>
                <w:szCs w:val="20"/>
                <w:color w:val="auto"/>
              </w:rPr>
            </w:pPr>
            <w:r>
              <w:rPr>
                <w:rFonts w:ascii="Arial" w:cs="Arial" w:eastAsia="Arial" w:hAnsi="Arial"/>
                <w:sz w:val="20"/>
                <w:szCs w:val="20"/>
                <w:color w:val="0000FF"/>
                <w:w w:val="87"/>
              </w:rPr>
              <w:t>10.14</w:t>
            </w:r>
          </w:p>
        </w:tc>
        <w:tc>
          <w:tcPr>
            <w:tcW w:w="1000" w:type="dxa"/>
            <w:vAlign w:val="bottom"/>
            <w:tcBorders>
              <w:top w:val="single" w:sz="8" w:color="2C2C2C"/>
            </w:tcBorders>
          </w:tcPr>
          <w:p>
            <w:pPr>
              <w:jc w:val="center"/>
              <w:spacing w:after="0"/>
              <w:rPr>
                <w:sz w:val="20"/>
                <w:szCs w:val="20"/>
                <w:color w:val="auto"/>
              </w:rPr>
            </w:pPr>
            <w:r>
              <w:rPr>
                <w:rFonts w:ascii="Arial" w:cs="Arial" w:eastAsia="Arial" w:hAnsi="Arial"/>
                <w:sz w:val="20"/>
                <w:szCs w:val="20"/>
                <w:color w:val="0000FF"/>
                <w:w w:val="96"/>
              </w:rPr>
              <w:t>D</w:t>
            </w:r>
          </w:p>
        </w:tc>
        <w:tc>
          <w:tcPr>
            <w:tcW w:w="13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0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07/03/2031</w:t>
            </w:r>
          </w:p>
        </w:tc>
        <w:tc>
          <w:tcPr>
            <w:tcW w:w="1820" w:type="dxa"/>
            <w:vAlign w:val="bottom"/>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Pr>
          <w:p>
            <w:pPr>
              <w:jc w:val="center"/>
              <w:spacing w:after="0"/>
              <w:rPr>
                <w:sz w:val="20"/>
                <w:szCs w:val="20"/>
                <w:color w:val="auto"/>
              </w:rPr>
            </w:pPr>
            <w:r>
              <w:rPr>
                <w:rFonts w:ascii="Arial" w:cs="Arial" w:eastAsia="Arial" w:hAnsi="Arial"/>
                <w:sz w:val="20"/>
                <w:szCs w:val="20"/>
                <w:color w:val="0000FF"/>
                <w:w w:val="88"/>
              </w:rPr>
              <w:t>962,825</w:t>
            </w:r>
          </w:p>
        </w:tc>
        <w:tc>
          <w:tcPr>
            <w:tcW w:w="980" w:type="dxa"/>
            <w:vAlign w:val="bottom"/>
            <w:gridSpan w:val="2"/>
          </w:tcPr>
          <w:p>
            <w:pPr>
              <w:jc w:val="center"/>
              <w:spacing w:after="0"/>
              <w:rPr>
                <w:sz w:val="20"/>
                <w:szCs w:val="20"/>
                <w:color w:val="auto"/>
              </w:rPr>
            </w:pPr>
            <w:r>
              <w:rPr>
                <w:rFonts w:ascii="Arial" w:cs="Arial" w:eastAsia="Arial" w:hAnsi="Arial"/>
                <w:sz w:val="20"/>
                <w:szCs w:val="20"/>
                <w:color w:val="0000FF"/>
                <w:w w:val="87"/>
              </w:rPr>
              <w:t>12.8</w:t>
            </w:r>
          </w:p>
        </w:tc>
        <w:tc>
          <w:tcPr>
            <w:tcW w:w="100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16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shares are held by Adimab, LLC (the "LLC"). The Reporting Person is an officer and member of the Board of Directors of the LLC and, as such, may be deemed to have shared voting and investment power with respect to the shares held by the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6" w:lineRule="exact"/>
        <w:rPr>
          <w:rFonts w:ascii="Arial" w:cs="Arial" w:eastAsia="Arial" w:hAnsi="Arial"/>
          <w:sz w:val="15"/>
          <w:szCs w:val="15"/>
          <w:color w:val="008000"/>
        </w:rPr>
      </w:pPr>
    </w:p>
    <w:p>
      <w:pPr>
        <w:jc w:val="both"/>
        <w:ind w:left="40" w:right="4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35"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One quarter (1/4) of the options shall vest on May 7, 2022, and thereafter, the remainder of the options shall vest in 36 equal monthly installments on the 7th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One quarter (1/4) of the options shall vest on July 4, 2022, and thereafter, the remainder of the options shall vest in 36 equal monthly installments on the 4th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5"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constitutes and appoints Jane Pritchett Henderson of Adagio Therapeutics, Inc. (the "Company") and Divakar Gupta, Courtney Tygesson, Ryan Sansom,</w:t>
      </w:r>
    </w:p>
    <w:p>
      <w:pPr>
        <w:spacing w:after="0" w:line="5"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Erika Kaneko, David Brinton, Barry Kuang, Sarah Howard and Dorothy Vinsky of Cooley LLP, signing individually, the undersigned's true and lawful attorneys-in fact and agents to:</w:t>
      </w:r>
    </w:p>
    <w:p>
      <w:pPr>
        <w:spacing w:after="0" w:line="232" w:lineRule="exact"/>
        <w:rPr>
          <w:sz w:val="20"/>
          <w:szCs w:val="20"/>
          <w:color w:val="auto"/>
        </w:rPr>
      </w:pPr>
    </w:p>
    <w:p>
      <w:pPr>
        <w:ind w:right="2379" w:firstLine="936"/>
        <w:spacing w:after="0" w:line="23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13, 2021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Tillman U. Gerngross</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Tillman U. Gerngross, Ph.D.</w:t>
      </w:r>
    </w:p>
    <w:sectPr>
      <w:pgSz w:w="11900" w:h="16838" w:orient="portrait"/>
      <w:cols w:equalWidth="0" w:num="2">
        <w:col w:w="3960" w:space="720"/>
        <w:col w:w="5299"/>
      </w:cols>
      <w:pgMar w:left="480" w:top="136"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22061"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2021-08-05T20:24:51Z</dcterms:created>
  <dcterms:modified xsi:type="dcterms:W3CDTF">2021-08-05T20:24:51Z</dcterms:modified>
</cp:coreProperties>
</file>