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0001972424</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2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Invivyd,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2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001-40703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209 Church Street</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20" w:type="dxa"/>
            <w:vAlign w:val="bottom"/>
          </w:tcPr>
          <w:p>
            <w:pPr>
              <w:spacing w:after="0"/>
              <w:rPr>
                <w:sz w:val="21"/>
                <w:szCs w:val="21"/>
                <w:color w:val="auto"/>
              </w:rPr>
            </w:pPr>
          </w:p>
        </w:tc>
        <w:tc>
          <w:tcPr>
            <w:tcW w:w="3120" w:type="dxa"/>
            <w:vAlign w:val="bottom"/>
          </w:tcPr>
          <w:p>
            <w:pPr>
              <w:ind w:left="1460"/>
              <w:spacing w:after="0" w:line="243" w:lineRule="exact"/>
              <w:rPr>
                <w:sz w:val="20"/>
                <w:szCs w:val="20"/>
                <w:color w:val="auto"/>
              </w:rPr>
            </w:pPr>
            <w:r>
              <w:rPr>
                <w:rFonts w:ascii="Times New Roman" w:cs="Times New Roman" w:eastAsia="Times New Roman" w:hAnsi="Times New Roman"/>
                <w:sz w:val="22"/>
                <w:szCs w:val="22"/>
                <w:color w:val="auto"/>
              </w:rPr>
              <w:t>New Haven</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20" w:type="dxa"/>
            <w:vAlign w:val="bottom"/>
          </w:tcPr>
          <w:p>
            <w:pPr>
              <w:spacing w:after="0"/>
              <w:rPr>
                <w:sz w:val="13"/>
                <w:szCs w:val="13"/>
                <w:color w:val="auto"/>
              </w:rPr>
            </w:pPr>
          </w:p>
        </w:tc>
        <w:tc>
          <w:tcPr>
            <w:tcW w:w="3120" w:type="dxa"/>
            <w:vAlign w:val="bottom"/>
            <w:vMerge w:val="restart"/>
          </w:tcPr>
          <w:p>
            <w:pPr>
              <w:ind w:left="1460"/>
              <w:spacing w:after="0" w:line="243" w:lineRule="exact"/>
              <w:rPr>
                <w:sz w:val="20"/>
                <w:szCs w:val="20"/>
                <w:color w:val="auto"/>
              </w:rPr>
            </w:pPr>
            <w:r>
              <w:rPr>
                <w:rFonts w:ascii="Times New Roman" w:cs="Times New Roman" w:eastAsia="Times New Roman" w:hAnsi="Times New Roman"/>
                <w:sz w:val="22"/>
                <w:szCs w:val="22"/>
                <w:color w:val="auto"/>
              </w:rPr>
              <w:t>CONNECTICUT</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20" w:type="dxa"/>
            <w:vAlign w:val="bottom"/>
          </w:tcPr>
          <w:p>
            <w:pPr>
              <w:spacing w:after="0"/>
              <w:rPr>
                <w:sz w:val="7"/>
                <w:szCs w:val="7"/>
                <w:color w:val="auto"/>
              </w:rPr>
            </w:pPr>
          </w:p>
        </w:tc>
        <w:tc>
          <w:tcPr>
            <w:tcW w:w="3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06510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20" w:type="dxa"/>
            <w:vAlign w:val="bottom"/>
          </w:tcPr>
          <w:p>
            <w:pPr>
              <w:spacing w:after="0"/>
              <w:rPr>
                <w:sz w:val="24"/>
                <w:szCs w:val="24"/>
                <w:color w:val="auto"/>
              </w:rPr>
            </w:pP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rPr>
              <w:t>781-819-0080</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20" w:type="dxa"/>
            <w:vAlign w:val="bottom"/>
          </w:tcPr>
          <w:p>
            <w:pPr>
              <w:ind w:left="1460"/>
              <w:spacing w:after="0"/>
              <w:rPr>
                <w:sz w:val="20"/>
                <w:szCs w:val="20"/>
                <w:color w:val="auto"/>
              </w:rPr>
            </w:pPr>
            <w:r>
              <w:rPr>
                <w:rFonts w:ascii="Times New Roman" w:cs="Times New Roman" w:eastAsia="Times New Roman" w:hAnsi="Times New Roman"/>
                <w:sz w:val="22"/>
                <w:szCs w:val="22"/>
                <w:color w:val="auto"/>
                <w:w w:val="97"/>
              </w:rPr>
              <w:t>Allen Robert D.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36630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57142.80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281987033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0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380" w:val="left"/>
          <w:tab w:leader="none" w:pos="2000" w:val="left"/>
          <w:tab w:leader="none" w:pos="294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60"/>
            <w:col w:w="860" w:space="420"/>
            <w:col w:w="1060" w:space="500"/>
            <w:col w:w="3860" w:space="320"/>
            <w:col w:w="800" w:space="500"/>
            <w:col w:w="1360"/>
          </w:cols>
          <w:pgMar w:left="320" w:top="108" w:right="339" w:bottom="1440" w:gutter="0" w:footer="0" w:header="0"/>
        </w:sectPr>
      </w:pPr>
    </w:p>
    <w:p>
      <w:pPr>
        <w:spacing w:after="0" w:line="10"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Common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Common Stock</w:t>
      </w:r>
    </w:p>
    <w:p>
      <w:pPr>
        <w:spacing w:after="0" w:line="16"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acquired upon</w:t>
      </w:r>
    </w:p>
    <w:p>
      <w:pPr>
        <w:ind w:left="1040"/>
        <w:spacing w:after="0" w:line="230" w:lineRule="auto"/>
        <w:rPr>
          <w:sz w:val="20"/>
          <w:szCs w:val="20"/>
          <w:color w:val="auto"/>
        </w:rPr>
      </w:pPr>
      <w:r>
        <w:rPr>
          <w:rFonts w:ascii="Times New Roman" w:cs="Times New Roman" w:eastAsia="Times New Roman" w:hAnsi="Times New Roman"/>
          <w:sz w:val="22"/>
          <w:szCs w:val="22"/>
          <w:color w:val="auto"/>
        </w:rPr>
        <w:t>vesting of</w:t>
      </w:r>
    </w:p>
    <w:p>
      <w:pPr>
        <w:spacing w:after="0" w:line="231" w:lineRule="auto"/>
        <w:rPr>
          <w:sz w:val="20"/>
          <w:szCs w:val="20"/>
          <w:color w:val="auto"/>
        </w:rPr>
      </w:pPr>
      <w:r>
        <w:rPr>
          <w:rFonts w:ascii="Times New Roman" w:cs="Times New Roman" w:eastAsia="Times New Roman" w:hAnsi="Times New Roman"/>
          <w:sz w:val="22"/>
          <w:szCs w:val="22"/>
          <w:color w:val="auto"/>
        </w:rPr>
        <w:t>02/15/2026 restricted stock</w:t>
      </w:r>
    </w:p>
    <w:p>
      <w:pPr>
        <w:ind w:left="1040"/>
        <w:spacing w:after="0"/>
        <w:rPr>
          <w:sz w:val="20"/>
          <w:szCs w:val="20"/>
          <w:color w:val="auto"/>
        </w:rPr>
      </w:pPr>
      <w:r>
        <w:rPr>
          <w:rFonts w:ascii="Times New Roman" w:cs="Times New Roman" w:eastAsia="Times New Roman" w:hAnsi="Times New Roman"/>
          <w:sz w:val="22"/>
          <w:szCs w:val="22"/>
          <w:color w:val="auto"/>
        </w:rPr>
        <w:t>units granted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-127000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99000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02/15/2026 EquityCompensation</w:t>
      </w:r>
    </w:p>
    <w:p>
      <w:pPr>
        <w:spacing w:after="0" w:line="325" w:lineRule="exact"/>
        <w:rPr>
          <w:sz w:val="20"/>
          <w:szCs w:val="20"/>
          <w:color w:val="auto"/>
        </w:rPr>
      </w:pPr>
    </w:p>
    <w:p>
      <w:pPr>
        <w:sectPr>
          <w:pgSz w:w="11900" w:h="16838" w:orient="portrait"/>
          <w:cols w:equalWidth="0" w:num="5">
            <w:col w:w="1400" w:space="100"/>
            <w:col w:w="2400" w:space="340"/>
            <w:col w:w="2240" w:space="720"/>
            <w:col w:w="560" w:space="720"/>
            <w:col w:w="2760"/>
          </w:cols>
          <w:pgMar w:left="320" w:top="108" w:right="339" w:bottom="1440" w:gutter="0" w:footer="0" w:header="0"/>
          <w:type w:val="continuous"/>
        </w:sectPr>
      </w:pPr>
    </w:p>
    <w:p>
      <w:pPr>
        <w:ind w:left="2540"/>
        <w:spacing w:after="0" w:line="221" w:lineRule="auto"/>
        <w:rPr>
          <w:sz w:val="20"/>
          <w:szCs w:val="20"/>
          <w:color w:val="auto"/>
        </w:rPr>
      </w:pPr>
      <w:r>
        <w:rPr>
          <w:rFonts w:ascii="Times New Roman" w:cs="Times New Roman" w:eastAsia="Times New Roman" w:hAnsi="Times New Roman"/>
          <w:sz w:val="22"/>
          <w:szCs w:val="22"/>
          <w:color w:val="auto"/>
        </w:rPr>
        <w:t>under the Issuer's</w:t>
      </w:r>
    </w:p>
    <w:p>
      <w:pPr>
        <w:ind w:left="2540"/>
        <w:spacing w:after="0" w:line="230" w:lineRule="auto"/>
        <w:rPr>
          <w:sz w:val="20"/>
          <w:szCs w:val="20"/>
          <w:color w:val="auto"/>
        </w:rPr>
      </w:pPr>
      <w:r>
        <w:rPr>
          <w:rFonts w:ascii="Times New Roman" w:cs="Times New Roman" w:eastAsia="Times New Roman" w:hAnsi="Times New Roman"/>
          <w:sz w:val="22"/>
          <w:szCs w:val="22"/>
          <w:color w:val="auto"/>
        </w:rPr>
        <w:t>2021 Equity</w:t>
      </w:r>
    </w:p>
    <w:p>
      <w:pPr>
        <w:spacing w:after="0" w:line="1"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Incentive Plan</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1560" w:right="460"/>
        <w:spacing w:after="0" w:line="253" w:lineRule="auto"/>
        <w:rPr>
          <w:sz w:val="20"/>
          <w:szCs w:val="20"/>
          <w:color w:val="auto"/>
        </w:rPr>
      </w:pPr>
      <w:r>
        <w:rPr>
          <w:rFonts w:ascii="Times New Roman" w:cs="Times New Roman" w:eastAsia="Times New Roman" w:hAnsi="Times New Roman"/>
          <w:sz w:val="21"/>
          <w:szCs w:val="21"/>
          <w:color w:val="auto"/>
        </w:rPr>
        <w:t>This Form 144 reports shares to be sold to satisfy the Reporting Person's tax obligations upon vesting of a restricted stock unit award in non-discretionary "sell-to-cover" transactions pursuant to a Rule 10b5-1 plan</w:t>
      </w:r>
    </w:p>
    <w:p>
      <w:pPr>
        <w:spacing w:after="0" w:line="1" w:lineRule="exact"/>
        <w:rPr>
          <w:sz w:val="20"/>
          <w:szCs w:val="20"/>
          <w:color w:val="auto"/>
        </w:rPr>
      </w:pPr>
    </w:p>
    <w:p>
      <w:pPr>
        <w:ind w:left="1560" w:right="120" w:hanging="1519"/>
        <w:spacing w:after="0" w:line="235" w:lineRule="auto"/>
        <w:tabs>
          <w:tab w:leader="none" w:pos="1540" w:val="left"/>
        </w:tabs>
        <w:rPr>
          <w:sz w:val="20"/>
          <w:szCs w:val="20"/>
          <w:color w:val="auto"/>
        </w:rPr>
      </w:pPr>
      <w:r>
        <w:rPr>
          <w:rFonts w:ascii="Times New Roman" w:cs="Times New Roman" w:eastAsia="Times New Roman" w:hAnsi="Times New Roman"/>
          <w:sz w:val="22"/>
          <w:szCs w:val="22"/>
          <w:color w:val="auto"/>
        </w:rPr>
        <w:t>Remarks</w:t>
      </w:r>
      <w:r>
        <w:rPr>
          <w:sz w:val="20"/>
          <w:szCs w:val="20"/>
          <w:color w:val="auto"/>
        </w:rPr>
        <w:tab/>
      </w:r>
      <w:r>
        <w:rPr>
          <w:rFonts w:ascii="Times New Roman" w:cs="Times New Roman" w:eastAsia="Times New Roman" w:hAnsi="Times New Roman"/>
          <w:sz w:val="22"/>
          <w:szCs w:val="22"/>
          <w:color w:val="auto"/>
        </w:rPr>
        <w:t>applicable to the Reporting Person. Aggregate Market Value of the sale is based on a closing price of $1.56 for the Issuer's common stock on February 13, 2026. The actual number of shares sold will depend on the sale price of the Issuer's common stock at the time of sale.</w:t>
      </w:r>
    </w:p>
    <w:p>
      <w:pPr>
        <w:spacing w:after="0" w:line="16"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02/17/2026</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Plan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Adoption or</w:t>
      </w:r>
    </w:p>
    <w:p>
      <w:pPr>
        <w:ind w:left="40"/>
        <w:spacing w:after="0" w:line="189" w:lineRule="auto"/>
        <w:tabs>
          <w:tab w:leader="none" w:pos="1540" w:val="left"/>
        </w:tabs>
        <w:rPr>
          <w:sz w:val="20"/>
          <w:szCs w:val="20"/>
          <w:color w:val="auto"/>
        </w:rPr>
      </w:pPr>
      <w:r>
        <w:rPr>
          <w:rFonts w:ascii="Times New Roman" w:cs="Times New Roman" w:eastAsia="Times New Roman" w:hAnsi="Times New Roman"/>
          <w:sz w:val="28"/>
          <w:szCs w:val="28"/>
          <w:color w:val="auto"/>
          <w:vertAlign w:val="superscript"/>
        </w:rPr>
        <w:t>Giving of</w:t>
      </w:r>
      <w:r>
        <w:rPr>
          <w:sz w:val="20"/>
          <w:szCs w:val="20"/>
          <w:color w:val="auto"/>
        </w:rPr>
        <w:tab/>
      </w:r>
      <w:r>
        <w:rPr>
          <w:rFonts w:ascii="Times New Roman" w:cs="Times New Roman" w:eastAsia="Times New Roman" w:hAnsi="Times New Roman"/>
          <w:sz w:val="16"/>
          <w:szCs w:val="16"/>
          <w:color w:val="auto"/>
        </w:rPr>
        <w:t>02/20/2025</w:t>
      </w:r>
    </w:p>
    <w:p>
      <w:pPr>
        <w:ind w:left="40"/>
        <w:spacing w:after="0" w:line="230" w:lineRule="auto"/>
        <w:rPr>
          <w:sz w:val="20"/>
          <w:szCs w:val="20"/>
          <w:color w:val="auto"/>
        </w:rPr>
      </w:pPr>
      <w:r>
        <w:rPr>
          <w:rFonts w:ascii="Times New Roman" w:cs="Times New Roman" w:eastAsia="Times New Roman" w:hAnsi="Times New Roman"/>
          <w:sz w:val="22"/>
          <w:szCs w:val="22"/>
          <w:color w:val="auto"/>
        </w:rPr>
        <w:t>Instruction, If</w:t>
      </w:r>
    </w:p>
    <w:p>
      <w:pPr>
        <w:ind w:left="40"/>
        <w:spacing w:after="0" w:line="231" w:lineRule="auto"/>
        <w:rPr>
          <w:sz w:val="20"/>
          <w:szCs w:val="20"/>
          <w:color w:val="auto"/>
        </w:rPr>
      </w:pPr>
      <w:r>
        <w:rPr>
          <w:rFonts w:ascii="Times New Roman" w:cs="Times New Roman" w:eastAsia="Times New Roman" w:hAnsi="Times New Roman"/>
          <w:sz w:val="22"/>
          <w:szCs w:val="22"/>
          <w:color w:val="auto"/>
        </w:rPr>
        <w:t>Relying on Rule</w:t>
      </w:r>
    </w:p>
    <w:p>
      <w:pPr>
        <w:ind w:left="40"/>
        <w:spacing w:after="0"/>
        <w:rPr>
          <w:sz w:val="20"/>
          <w:szCs w:val="20"/>
          <w:color w:val="auto"/>
        </w:rPr>
      </w:pPr>
      <w:r>
        <w:rPr>
          <w:rFonts w:ascii="Times New Roman" w:cs="Times New Roman" w:eastAsia="Times New Roman" w:hAnsi="Times New Roman"/>
          <w:sz w:val="22"/>
          <w:szCs w:val="22"/>
          <w:color w:val="auto"/>
        </w:rPr>
        <w:t>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Jill Andersen attorney-in-fact for Robert D. Allen III</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2026-02-17T18:37:47Z</dcterms:created>
  <dcterms:modified xsi:type="dcterms:W3CDTF">2026-02-17T18:37:47Z</dcterms:modified>
</cp:coreProperties>
</file>