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ivvd-20260830.htm"/>
      <w:bookmarkStart w:id="1" w:name="ksivvd202608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Date of report (Date of earliest event reported): August 30, 2026</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Church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819-0080</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3676"/>
        <w:gridCol w:w="146"/>
        <w:gridCol w:w="826"/>
        <w:gridCol w:w="146"/>
        <w:gridCol w:w="267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IVVD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42"/>
        <w:gridCol w:w="9363"/>
      </w:tblGrid>
      <w:tr>
        <w:trPr/>
        <w:tc>
          <w:tcPr>
            <w:tcW w:w="842" w:type="dxa"/>
            <w:tcBorders/>
            <w:vAlign w:val="center"/>
          </w:tcPr>
          <w:p>
            <w:pPr>
              <w:pStyle w:val="TableContents"/>
              <w:bidi w:val="0"/>
              <w:spacing w:before="0" w:after="283"/>
              <w:jc w:val="left"/>
              <w:rPr>
                <w:sz w:val="4"/>
                <w:szCs w:val="4"/>
              </w:rPr>
            </w:pPr>
            <w:r>
              <w:rPr>
                <w:sz w:val="4"/>
                <w:szCs w:val="4"/>
              </w:rPr>
            </w:r>
          </w:p>
        </w:tc>
        <w:tc>
          <w:tcPr>
            <w:tcW w:w="9363" w:type="dxa"/>
            <w:tcBorders/>
            <w:vAlign w:val="center"/>
          </w:tcPr>
          <w:p>
            <w:pPr>
              <w:pStyle w:val="TableContents"/>
              <w:bidi w:val="0"/>
              <w:spacing w:before="0" w:after="283"/>
              <w:jc w:val="left"/>
              <w:rPr>
                <w:sz w:val="4"/>
                <w:szCs w:val="4"/>
              </w:rPr>
            </w:pPr>
            <w:r>
              <w:rPr>
                <w:sz w:val="4"/>
                <w:szCs w:val="4"/>
              </w:rPr>
            </w:r>
          </w:p>
        </w:tc>
      </w:tr>
      <w:tr>
        <w:trPr/>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Appointment of Marc Elia as Chief Executive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30, 2026, the Board of Directors (the “Board”) of Invivyd, Inc. (the “Company”) appointed Marc Elia, Chairman of the Board, as the Company’s Chief Executive Officer, effective as of August 30, 2026 (the “Effective Date”). Mr. Elia will serve as the Company’s principal executive officer, a role previously held by William Duke, Jr., the Company’s Chief Financial Officer, who remains the Company’s principal financial officer and principal accounting officer. In connection with the appointment of Mr. Elia as Chief Executive Officer, the Board appointed Ajay Royan as the Lead Independent Director of the Board, effective as of the Effective Date. The Board also appointed Mr. Royan to replace Mr. Elia as Chairperson of the Nominating and Corporate Governance Committee of the Board (the “Nominating and Corporate Governance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Elia, age 50, has served as a member of the Board since June 2022 and as Chairman of the Board since July 2022. He previously served as a member of the Board from July 2020 to April 2021. Mr. Elia is the founder and chief investment officer of M28 Capital Management L.P., a healthcare sector investment fund, positions he has held since September 2019. Prior to that, from January 2012 to September 2019, Mr. Elia served as a partner at Bridger Capital, an investment fund. Mr. Elia currently serves on the board of directors of Fractyl Health, Inc., a publicly-traded metabolic therapeutics company. He previously served on the boards of directors of SQZ Biotechnologies Company and Adimab, LLC. Prior to his career in investing, Mr. Elia held various roles across the biotechnology industry at N30 Pharmaceuticals, Chiron Corporation, and L.E.K. Consulting. Mr. Elia holds a B.A. in Economics from Carleton College.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Mr. Elia’s appointment, the Company entered into an employment agreement with Mr. Elia (the “Employment Agreement”). Pursuant to the Employment Agreement, Mr. Elia is entitled to receive an annual base salary of $750,000, which will be reviewed at least annually and will be subject to adjustment from time to time, as determined by the Board or the Compensation Committee of the Board (the “Compensation Committee”). In addition, pursuant to the Employment Agreement, Mr. Elia is eligible to receive an annual cash bonus, which is based on the achievement of certain performance goals and objectives as reasonably determined by the Board or the Compensation Committee, calculated as a percentage of his annual base salary, and which will be determined by the Board or the Compensation Committee. Mr. Elia’s initial target annual bonus is 70% of his annual base salary. For calendar year 2026, Mr. Elia will be eligible to earn an annual cash bonus, which, if granted, would not be pro-rated.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Company granted Mr. Elia an option to purchase 10,700,000 shares of the Company’s common stock (the “Common Stock”) at an exercise price equal to the closing sales price for the Common Stock as quoted on the Nasdaq Stock Market on August 28, 2026, which was the last trading day prior to the date of grant (the “Elia Option Grant”). The Elia Option Grant vests over a four-year period, with 25% of the shares underlying the Elia Option Grant vesting on the first anniversary of the Effective Date and the remaining shares underlying the Elia Option Grant vesting over the subsequent three-year period in substantially equal monthly installments at a rate of 1/48th of the total shares subject to the Elia Option Grant each month, subject to Mr. Elia’s continuous service with the Company as of each vesting date. The Elia Option Grant expires on the tenth anniversary of the grant date, unless earlier terminated in accordance with its terms. The Elia Option Grant was made pursuant to, and is subject to the terms of, the Company’s 2021 Equity Incentive Plan (the “Plan”) and the Company’s form of option award agreement for executive officers (the “Elia Option Award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Employment Agreement, Mr. Elia is entitled to receive a one-time sign-on bonus of $500,000 as soon as practicable after the Effective Date (the “Sign-On Bonus”). The Sign-On Bonus is subject to potential repayment as contemplated by the Employment Agreement. In addition, pursuant to the Employment Agreement and subject to the conditions set forth therein, Mr. Elia is eligible to receive a one-time transaction bonus in connection with certain qualifying Change in Control (as defined in the Plan) transactions. The transaction bonus is based on the equity value of the Company determined in connection with the applicable transaction and ranges from 0.5% to 1.5% of such equity value for transactions with equity values of $5.0 billion or more, with the maximum percentage applicable to transactions with equity values of at least $20.0 billion. No transaction bonus is payable for a Change in Control transaction with an equity value of less than $5.0 billion.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 of the Employment Agreement commenced on the Effective Date and continues until Mr. Elia is terminated in accordance therewith. The Company may terminate Mr. Elia’s employment at any time without cause, and Mr. Elia may terminate his employment at any time, upon written notice.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Employment Agreement provides for standard Company benefits, such as paid time off, reimbursement of business expenses, and participation in the Company’s employee benefit plans and programs. In the event that Mr. Elia’s employment terminates due to death or a disability, he will be entitled to accrued obligations, and payment of any unpaid annual bonus for the preceding calendar year earned based on achievement of the applicable performance goals and objectives if his employment terminates after the completion of the preceding calendar year but prior to the date of payment of the bonus (the “Earned Bonus”). In the event that Mr. Elia’s employment is terminated, other than during the Change in Control Period (as defined below), by the Company without “cause” or by him for “good reason” (each as defined in the Employment Agreement), and subject to the delivery to the Company of a separation agreement that includes a general release of claims and such separation agreement becoming fully effective, Mr. Elia will receive cash severance equal to 12 months of his base salary, as well as the Earned Bonus, if applicable, and 12 months continuation of benefits. In addition, the unvested portion of any outstanding time-based equity awards held by Mr. Elia as of the date of termination would remain outstanding for three months following such date of termination and, if the Company enters into a definitive Change in Control agreement during that period, would remain outstanding and vest upon the consummation of the resulting Change in Control, subject to the terms and conditions of the Employment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Mr. Elia’s employment is terminated by the Company without cause or by him for good reason, in either case, during the period commencing on the earlier of (x) the signing of a definitive agreement that, if closed, would result in a Change in Control and (y) the date that is three months prior to the closing of a Change in Control and ending on the date that is 12 months following a Change in Control (the “Change in Control Period”), and subject to his delivery to the Company of a separation agreement that includes a general release of claims and subject to such separation agreement becoming fully effective, Mr. Elia will receive cash severance equal to the sum of 18 months of his base salary and his target bonus for the year of termination, payable in a lump sum, as well as the Earned Bonus, if applicable, and 18 months continuation of benefits. In such case, Mr. Elia will also be entitled to immediate acceleration and full vesting of any time-based equity awards, as if his employment continued until the later of the date of termination (or, if later, the Change in Control) or the effective date of the separation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his appointment, Mr. Elia also entered into the Company’s standard form of Employee Proprietary Information and Inventions Assignment Agreement (the “PIIAA”), which, among other things, prohibits him from competing with the Company, soliciting the Company’s employees and customers and disclosing confidential information during the term of his employment and for a specified time thereafter. As a member of the Board, Mr. Elia previously entered into the Company’s standard form of indemnification agreement, a copy of which was filed as Exhibit 10.5 to the Company’s Annual Report on Form 10-K (File No. 001-40703) filed with the U.S. Securities and Exchange Commission (“SEC”) on March 5, 2026 (the “Elia Indemnification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than with respect to the Employment Agreement, the Elia Option Award Agreement, the PIIAA, and the Elia Indemnification Agreement, there are no arrangements or understandings between Mr. Elia and any other person pursuant to which Mr. Elia was appointed as Chief Executive Officer of the Company. There are also no family relationships between Mr. Elia and any director or executive officer of the Company, and Mr. Elia has no direct or indirect interest in any transaction or proposed transaction required to be disclosed pursuant to Item 404(a) of Regulation S-K.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description of the Employment Agreement does not purport to be complete and is qualified in its entirety by reference to the complete text of the Employment Agreement, which is filed as Exhibit 10.1 to this Current Report on Form 8-K and is incorporated by reference in this Item 5.02.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Appointment of Ian Sheffield to the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30, 2026, the Board, upon the recommendation of the Nominating and Corporate Governance Committee, increased the size of the Board from six directors to seven directors and appointed Ian Sheffield as a director to fill the resulting vacancy, effective as of August 30, 2026, with his term expiring at the Company’s 2027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annual meeting of stockholders. The Board also appointed Mr. Sheffield to the Compensation Committee and as a replacement for Mr. Elia on the Audit Committee of the Board (the “Audit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Sheffield’s compensation as a director will be consistent with the compensation provided to all of the Company’s non-employee directors. Under the Company’s current non-employee director compensation policy, Mr. Sheffield will receive an annual cash retainer of $40,000 for his Board service. Mr. Sheffield will receive additional annual cash retainers of $7,500 for his service on the Audit Committee and $5,000 for his service on the Compensation Committee. In addition, under the Company’s current non-employee director compensation policy, on August 31, 2026 (the “Sheffield Grant Date”), which was the first trading day following Mr. Sheffield’s appointment to the Board, the Company granted Mr. Sheffield an option to purchase 100,000 shares of Common Stock at an exercise price equal to the closing sales price for the Common Stock as quoted on the Nasdaq Stock Market on the Sheffield Grant Date (the “Sheffield Option Grant”). The Sheffield Option Grant vests over a three-year period, with one-third of the shares vesting on the first anniversary of the Sheffield Grant Date and 1/36th of the total shares vesting in substantially equal monthly installments thereafter, subject to Mr. Sheffield’s continuous service with the Company through each such vesting date. The Sheffield Option Grant expires on the tenth anniversary of the grant date, unless earlier terminated in accordance with its terms. The Sheffield Option Grant was made pursuant to, and is subject to the terms of, the Plan and the Company’s form of option award agreement for non-employee directors (the “Sheffield Option Award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his appointment, Mr. Sheffield entered into the Company’s standard form of indemnification agreement, a copy of which was filed as Exhibit 10.5 to the Company’s Annual Report on Form 10-K (File No. 001-40703) filed with the SEC on March 5, 2026 (the “Sheffield Indemnification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with respect to the Company’s non-employee director compensation policy, the Sheffield Option Award Agreement, and the Sheffield Indemnification Agreement, there are no arrangements or understandings between Mr. Sheffield and any other person pursuant to which Mr. Sheffield was appointed a director of the Company. There are no relationships or transactions in which Mr. Sheffield has or will have an interest, or was or is a party, requiring disclosure under Item 404(a) of Regulation S-K.</w:t>
      </w:r>
    </w:p>
    <w:p>
      <w:pPr>
        <w:pStyle w:val="TextBody"/>
        <w:bidi w:val="0"/>
        <w:jc w:val="both"/>
        <w:rPr/>
      </w:pPr>
      <w:r>
        <w:rPr/>
        <w:t> </w:t>
      </w:r>
    </w:p>
    <w:tbl>
      <w:tblPr>
        <w:tblW w:w="2267" w:type="dxa"/>
        <w:jc w:val="left"/>
        <w:tblInd w:w="0" w:type="dxa"/>
        <w:tblLayout w:type="fixed"/>
        <w:tblCellMar>
          <w:top w:w="28" w:type="dxa"/>
          <w:left w:w="28" w:type="dxa"/>
          <w:bottom w:w="28" w:type="dxa"/>
          <w:right w:w="28" w:type="dxa"/>
        </w:tblCellMar>
      </w:tblPr>
      <w:tblGrid>
        <w:gridCol w:w="961"/>
        <w:gridCol w:w="1306"/>
      </w:tblGrid>
      <w:tr>
        <w:trPr/>
        <w:tc>
          <w:tcPr>
            <w:tcW w:w="9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 2026, the Company issued a press release entitled, “Invivyd Appoints Chairman Marc W. Elia as Chief Executive Officer; Approaches Results of VYD2311 studies DECLARATION and LIBERTY.” A copy of the press release is filed as Exhibit 99.1 to this Current Report on Form 8-K and is incorporated by reference into this Item 8.01.</w:t>
      </w:r>
    </w:p>
    <w:p>
      <w:pPr>
        <w:pStyle w:val="TextBody"/>
        <w:bidi w:val="0"/>
        <w:jc w:val="left"/>
        <w:rPr/>
      </w:pPr>
      <w:r>
        <w:rPr/>
        <w:t>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8488" w:type="dxa"/>
        <w:jc w:val="left"/>
        <w:tblInd w:w="0" w:type="dxa"/>
        <w:tblLayout w:type="fixed"/>
        <w:tblCellMar>
          <w:top w:w="28" w:type="dxa"/>
          <w:left w:w="28" w:type="dxa"/>
          <w:bottom w:w="28" w:type="dxa"/>
          <w:right w:w="28" w:type="dxa"/>
        </w:tblCellMar>
      </w:tblPr>
      <w:tblGrid>
        <w:gridCol w:w="646"/>
        <w:gridCol w:w="146"/>
        <w:gridCol w:w="769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br/>
            </w: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tcMar>
              <w:top w:w="0" w:type="dxa"/>
              <w:left w:w="0" w:type="dxa"/>
              <w:bottom w:w="0" w:type="dxa"/>
              <w:right w:w="0" w:type="dxa"/>
            </w:tcMar>
            <w:vAlign w:val="center"/>
          </w:tcPr>
          <w:p>
            <w:pPr>
              <w:pStyle w:val="TableContents"/>
              <w:bidi w:val="0"/>
              <w:spacing w:before="0" w:after="283"/>
              <w:jc w:val="left"/>
              <w:rPr/>
            </w:pPr>
            <w:hyperlink w:anchor="ivvd-ex10_1.htm">
              <w:r>
                <w:rPr>
                  <w:rStyle w:val="InternetLink"/>
                  <w:rFonts w:ascii="Times New Roman" w:hAnsi="Times New Roman"/>
                  <w:color w:val="0000FF"/>
                  <w:sz w:val="20"/>
                  <w:u w:val="single"/>
                </w:rPr>
                <w:t>Employment Agreement, dated August 30, 2026, by and between Invivyd, Inc. and Marc Elia</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tcMar>
              <w:top w:w="0" w:type="dxa"/>
              <w:left w:w="0" w:type="dxa"/>
              <w:bottom w:w="0" w:type="dxa"/>
              <w:right w:w="0" w:type="dxa"/>
            </w:tcMar>
            <w:vAlign w:val="center"/>
          </w:tcPr>
          <w:p>
            <w:pPr>
              <w:pStyle w:val="TableContents"/>
              <w:bidi w:val="0"/>
              <w:spacing w:before="0" w:after="283"/>
              <w:jc w:val="left"/>
              <w:rPr/>
            </w:pPr>
            <w:hyperlink w:anchor="ivvd-ex99_1.htm">
              <w:r>
                <w:rPr>
                  <w:rStyle w:val="InternetLink"/>
                  <w:rFonts w:ascii="Times New Roman" w:hAnsi="Times New Roman"/>
                  <w:color w:val="0000FF"/>
                  <w:sz w:val="20"/>
                  <w:u w:val="single"/>
                </w:rPr>
                <w:t>Press Release, dated September 1,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schedules to this agreement have been omitted in accordance with Item 601(a)(5) of Regulation S-K. A copy of any omitted schedules will be furnished supplementally to the SEC upon request.</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812" w:type="dxa"/>
        <w:jc w:val="left"/>
        <w:tblInd w:w="0" w:type="dxa"/>
        <w:tblLayout w:type="fixed"/>
        <w:tblCellMar>
          <w:top w:w="28" w:type="dxa"/>
          <w:left w:w="28" w:type="dxa"/>
          <w:bottom w:w="28" w:type="dxa"/>
          <w:right w:w="28" w:type="dxa"/>
        </w:tblCellMar>
      </w:tblPr>
      <w:tblGrid>
        <w:gridCol w:w="2116"/>
        <w:gridCol w:w="146"/>
        <w:gridCol w:w="146"/>
        <w:gridCol w:w="146"/>
        <w:gridCol w:w="406"/>
        <w:gridCol w:w="146"/>
        <w:gridCol w:w="370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Jill Andersen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 w:name="ivvd-ex10_1.htm"/>
      <w:bookmarkStart w:id="3" w:name="ksivvdex10_1"/>
      <w:bookmarkEnd w:id="2"/>
      <w:bookmarkEnd w:id="3"/>
      <w:r>
        <w:rPr>
          <w:rFonts w:ascii="Times New Roman" w:hAnsi="Times New Roman"/>
          <w:color w:val="000000"/>
          <w:sz w:val="24"/>
        </w:rPr>
        <w:t>Exhibit 10.1</w:t>
      </w:r>
      <w:r>
        <w:br w:type="page"/>
      </w:r>
    </w:p>
    <w:p>
      <w:pPr>
        <w:pStyle w:val="TextBody"/>
        <w:bidi w:val="0"/>
        <w:spacing w:before="0" w:after="360"/>
        <w:jc w:val="center"/>
        <w:rPr>
          <w:rFonts w:ascii="Times New Roman" w:hAnsi="Times New Roman"/>
          <w:b/>
          <w:caps/>
          <w:color w:val="000000"/>
          <w:sz w:val="28"/>
        </w:rPr>
      </w:pPr>
      <w:r>
        <w:rPr>
          <w:rFonts w:ascii="Times New Roman" w:hAnsi="Times New Roman"/>
          <w:b/>
          <w:caps/>
          <w:color w:val="000000"/>
          <w:sz w:val="28"/>
        </w:rPr>
        <w:t>Employment AGREEMENT</w:t>
      </w:r>
    </w:p>
    <w:p>
      <w:pPr>
        <w:pStyle w:val="TextBody"/>
        <w:bidi w:val="0"/>
        <w:spacing w:before="0" w:after="240"/>
        <w:jc w:val="left"/>
        <w:rPr>
          <w:rFonts w:ascii="Times New Roman" w:hAnsi="Times New Roman"/>
          <w:sz w:val="24"/>
        </w:rPr>
      </w:pPr>
      <w:r>
        <w:rPr>
          <w:rFonts w:ascii="Times New Roman" w:hAnsi="Times New Roman"/>
          <w:color w:val="000000"/>
          <w:sz w:val="24"/>
        </w:rPr>
        <w:t>This Employment Agreement (“</w:t>
      </w:r>
      <w:r>
        <w:rPr>
          <w:rFonts w:ascii="Times New Roman" w:hAnsi="Times New Roman"/>
          <w:b/>
          <w:i/>
          <w:color w:val="000000"/>
          <w:sz w:val="24"/>
          <w:u w:val="single"/>
        </w:rPr>
        <w:t>Agreement</w:t>
      </w:r>
      <w:r>
        <w:rPr>
          <w:rFonts w:ascii="Times New Roman" w:hAnsi="Times New Roman"/>
          <w:color w:val="000000"/>
          <w:sz w:val="24"/>
        </w:rPr>
        <w:t>”) is made between Invivyd, Inc., a Delaware corporation (the “</w:t>
      </w:r>
      <w:r>
        <w:rPr>
          <w:rFonts w:ascii="Times New Roman" w:hAnsi="Times New Roman"/>
          <w:b/>
          <w:i/>
          <w:color w:val="000000"/>
          <w:sz w:val="24"/>
          <w:u w:val="single"/>
        </w:rPr>
        <w:t>Company</w:t>
      </w:r>
      <w:r>
        <w:rPr>
          <w:rFonts w:ascii="Times New Roman" w:hAnsi="Times New Roman"/>
          <w:color w:val="000000"/>
          <w:sz w:val="24"/>
        </w:rPr>
        <w:t>”), and Marc Elia (“</w:t>
      </w:r>
      <w:r>
        <w:rPr>
          <w:rFonts w:ascii="Times New Roman" w:hAnsi="Times New Roman"/>
          <w:b/>
          <w:i/>
          <w:color w:val="000000"/>
          <w:sz w:val="24"/>
          <w:u w:val="single"/>
        </w:rPr>
        <w:t>Executive</w:t>
      </w:r>
      <w:r>
        <w:rPr>
          <w:rFonts w:ascii="Times New Roman" w:hAnsi="Times New Roman"/>
          <w:color w:val="000000"/>
          <w:sz w:val="24"/>
        </w:rPr>
        <w:t xml:space="preserve">”), this 30th day of August, 2026. </w:t>
      </w:r>
    </w:p>
    <w:p>
      <w:pPr>
        <w:pStyle w:val="TextBody"/>
        <w:bidi w:val="0"/>
        <w:spacing w:before="0" w:after="240"/>
        <w:jc w:val="left"/>
        <w:rPr>
          <w:rFonts w:ascii="Times New Roman" w:hAnsi="Times New Roman"/>
          <w:sz w:val="24"/>
        </w:rPr>
      </w:pPr>
      <w:r>
        <w:rPr>
          <w:rFonts w:ascii="Times New Roman" w:hAnsi="Times New Roman"/>
          <w:b/>
          <w:smallCaps/>
          <w:color w:val="000000"/>
          <w:sz w:val="24"/>
        </w:rPr>
        <w:t>WHEREAS</w:t>
      </w:r>
      <w:r>
        <w:rPr>
          <w:rFonts w:ascii="Times New Roman" w:hAnsi="Times New Roman"/>
          <w:color w:val="000000"/>
          <w:sz w:val="24"/>
        </w:rPr>
        <w:t xml:space="preserve">, the Company desires to employ Executive in the role of Chief Executive Officer, providing Executive with certain compensation and benefits in return for such full-time employment services, and Executive desires to accept such full-time employment and provide personal services to the Company in return for certain compensation and benefits set forth below;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Company and Executive desire for this Agreement to be effective as of August 30, 2026 (the “</w:t>
      </w:r>
      <w:r>
        <w:rPr>
          <w:rFonts w:ascii="Times New Roman" w:hAnsi="Times New Roman"/>
          <w:b/>
          <w:i/>
          <w:color w:val="000000"/>
          <w:sz w:val="24"/>
          <w:u w:val="single"/>
        </w:rPr>
        <w:t>Effective Date</w:t>
      </w:r>
      <w:r>
        <w:rPr>
          <w:rFonts w:ascii="Times New Roman" w:hAnsi="Times New Roman"/>
          <w:color w:val="000000"/>
          <w:sz w:val="24"/>
        </w:rPr>
        <w:t>”); and</w:t>
      </w:r>
    </w:p>
    <w:p>
      <w:pPr>
        <w:pStyle w:val="TextBody"/>
        <w:bidi w:val="0"/>
        <w:spacing w:before="0" w:after="240"/>
        <w:jc w:val="left"/>
        <w:rPr>
          <w:rFonts w:ascii="Times New Roman" w:hAnsi="Times New Roman"/>
          <w:sz w:val="24"/>
        </w:rPr>
      </w:pPr>
      <w:r>
        <w:rPr>
          <w:rFonts w:ascii="Times New Roman" w:hAnsi="Times New Roman"/>
          <w:b/>
          <w:smallCaps/>
          <w:color w:val="000000"/>
          <w:sz w:val="24"/>
        </w:rPr>
        <w:t>WHEREAS</w:t>
      </w:r>
      <w:r>
        <w:rPr>
          <w:rFonts w:ascii="Times New Roman" w:hAnsi="Times New Roman"/>
          <w:color w:val="000000"/>
          <w:sz w:val="24"/>
        </w:rPr>
        <w:t>, as a condition of employment, Executive agrees to enter into an Employee Proprietary Information and Inventions Assignment Agreement in a form acceptable to the Company (a “</w:t>
      </w:r>
      <w:r>
        <w:rPr>
          <w:rFonts w:ascii="Times New Roman" w:hAnsi="Times New Roman"/>
          <w:b/>
          <w:i/>
          <w:color w:val="000000"/>
          <w:sz w:val="24"/>
          <w:u w:val="single"/>
        </w:rPr>
        <w:t>PIIA Agreement</w:t>
      </w:r>
      <w:r>
        <w:rPr>
          <w:rFonts w:ascii="Times New Roman" w:hAnsi="Times New Roman"/>
          <w:color w:val="000000"/>
          <w:sz w:val="24"/>
        </w:rPr>
        <w:t xml:space="preserve">”) on or before the Effective Date. </w:t>
      </w:r>
    </w:p>
    <w:p>
      <w:pPr>
        <w:pStyle w:val="TextBody"/>
        <w:bidi w:val="0"/>
        <w:spacing w:before="0" w:after="240"/>
        <w:jc w:val="left"/>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mutual covenants and agreements found below and other good and valuable consideration, the receipt and sufficiency of which are acknowledged,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w:t>
      </w:r>
      <w:r>
        <w:rPr>
          <w:rFonts w:ascii="Times New Roman" w:hAnsi="Times New Roman"/>
          <w:color w:val="000000"/>
          <w:sz w:val="24"/>
        </w:rPr>
        <w:t>. The Company shall employ Executive and Executive shall be employed by the Company pursuant to this Agreement commencing as of the Effective Date and continuing until such employment is terminated in accordance with the provisions found below (the “</w:t>
      </w:r>
      <w:r>
        <w:rPr>
          <w:rFonts w:ascii="Times New Roman" w:hAnsi="Times New Roman"/>
          <w:b/>
          <w:i/>
          <w:color w:val="000000"/>
          <w:sz w:val="24"/>
          <w:u w:val="single"/>
        </w:rPr>
        <w:t>Term</w:t>
      </w:r>
      <w:r>
        <w:rPr>
          <w:rFonts w:ascii="Times New Roman" w:hAnsi="Times New Roman"/>
          <w:color w:val="000000"/>
          <w:sz w:val="24"/>
        </w:rPr>
        <w:t>”). Executive’s employment with the Company shall be “at will,” meaning that Executive’s employment may be terminated by the Company or Executive at any time and for any reason subject to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Position and Duties</w:t>
      </w:r>
      <w:r>
        <w:rPr>
          <w:rFonts w:ascii="Times New Roman" w:hAnsi="Times New Roman"/>
          <w:color w:val="000000"/>
          <w:sz w:val="24"/>
        </w:rPr>
        <w:t>. Executive shall serve as the Chief Executive Officer of the Company, reporting exclusively to the Board of Directors of the Company (the “</w:t>
      </w:r>
      <w:r>
        <w:rPr>
          <w:rFonts w:ascii="Times New Roman" w:hAnsi="Times New Roman"/>
          <w:b/>
          <w:i/>
          <w:color w:val="000000"/>
          <w:sz w:val="24"/>
          <w:u w:val="single"/>
        </w:rPr>
        <w:t>Board</w:t>
      </w:r>
      <w:r>
        <w:rPr>
          <w:rFonts w:ascii="Times New Roman" w:hAnsi="Times New Roman"/>
          <w:color w:val="000000"/>
          <w:sz w:val="24"/>
        </w:rPr>
        <w:t>”). Executive will render such business and professional services in the performance of his duties as are consistent with Executive’s position within the Company. As Chief Executive Officer, Executive will have the status of the highest-ranking executive officer of the Company, with the full powers, responsibilities and authorities customary for the chief executive officer of a publicly-traded corporation of the size, type and nature of the Company, together with such other powers, authorities and responsibilities as may reasonably be assigned to him by the Board consistent with the position of Chief Executive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Outside Activities</w:t>
      </w:r>
      <w:r>
        <w:rPr>
          <w:rFonts w:ascii="Times New Roman" w:hAnsi="Times New Roman"/>
          <w:color w:val="000000"/>
          <w:sz w:val="24"/>
        </w:rPr>
        <w:t xml:space="preserve">. Executive will use good faith efforts to discharge Executive’s obligations under this Agreement to the best of Executive’s ability.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Board; provided, however, that Executive may, without such approval, serve in any capacity with any civic, educational, or charitable organization, participate in industry affairs, and manage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Executive’s personal passive investments, and continue to engage in the activities set forth in </w:t>
      </w:r>
      <w:r>
        <w:rPr>
          <w:rFonts w:ascii="Times New Roman" w:hAnsi="Times New Roman"/>
          <w:color w:val="000000"/>
          <w:sz w:val="24"/>
          <w:u w:val="single"/>
        </w:rPr>
        <w:t>Appendix A</w:t>
      </w:r>
      <w:r>
        <w:rPr>
          <w:rFonts w:ascii="Times New Roman" w:hAnsi="Times New Roman"/>
          <w:color w:val="000000"/>
          <w:sz w:val="24"/>
        </w:rPr>
        <w:t xml:space="preserve"> to this Agreement, provided that in each case such services do not materially interfere with Executive’s obligations to the Company, create a conflict of interest, violate any of Executive’s Continuing Obligations (as defined in Section 9 below), violate any terms of the PIIA Agreement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Compensation and Related Matters</w:t>
      </w:r>
      <w:r>
        <w:rPr>
          <w:rFonts w:ascii="Times New Roman" w:hAnsi="Times New Roman"/>
          <w:color w:val="000000"/>
          <w:sz w:val="24"/>
        </w:rPr>
        <w:t>. This Section 2 sets forth the compensation and benefits to be provided to Executive during the Term.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u w:val="single"/>
        </w:rPr>
        <w:t>Base Salary</w:t>
      </w:r>
      <w:r>
        <w:rPr>
          <w:rFonts w:ascii="Times New Roman" w:hAnsi="Times New Roman"/>
          <w:color w:val="000000"/>
          <w:sz w:val="24"/>
        </w:rPr>
        <w:t>. The Company will pay Executive, as compensation for the performance of Executive’s duties and obligations, a base salary at the rate of $750,000 per year. Executive’s salary shall be subject to annual review not later than March 31</w:t>
      </w:r>
      <w:r>
        <w:rPr>
          <w:rFonts w:ascii="Times New Roman" w:hAnsi="Times New Roman"/>
          <w:color w:val="000000"/>
          <w:sz w:val="16"/>
        </w:rPr>
        <w:t xml:space="preserve">st </w:t>
      </w:r>
      <w:r>
        <w:rPr>
          <w:rFonts w:ascii="Times New Roman" w:hAnsi="Times New Roman"/>
          <w:color w:val="000000"/>
          <w:sz w:val="24"/>
        </w:rPr>
        <w:t>of each year for possible increase by the Board or the Compensation Committee of the Board (the “</w:t>
      </w:r>
      <w:r>
        <w:rPr>
          <w:rFonts w:ascii="Times New Roman" w:hAnsi="Times New Roman"/>
          <w:b/>
          <w:i/>
          <w:color w:val="000000"/>
          <w:sz w:val="24"/>
          <w:u w:val="single"/>
        </w:rPr>
        <w:t>Compensation Committee</w:t>
      </w:r>
      <w:r>
        <w:rPr>
          <w:rFonts w:ascii="Times New Roman" w:hAnsi="Times New Roman"/>
          <w:color w:val="000000"/>
          <w:sz w:val="16"/>
        </w:rPr>
        <w:t>”</w:t>
      </w:r>
      <w:r>
        <w:rPr>
          <w:rFonts w:ascii="Times New Roman" w:hAnsi="Times New Roman"/>
          <w:color w:val="000000"/>
          <w:sz w:val="24"/>
        </w:rPr>
        <w:t>). The base salary in effect at any given time is referred to as “</w:t>
      </w:r>
      <w:r>
        <w:rPr>
          <w:rFonts w:ascii="Times New Roman" w:hAnsi="Times New Roman"/>
          <w:b/>
          <w:i/>
          <w:color w:val="000000"/>
          <w:sz w:val="24"/>
          <w:u w:val="single"/>
        </w:rPr>
        <w:t>Base Salary</w:t>
      </w:r>
      <w:r>
        <w:rPr>
          <w:rFonts w:ascii="Times New Roman" w:hAnsi="Times New Roman"/>
          <w:color w:val="000000"/>
          <w:sz w:val="24"/>
        </w:rPr>
        <w:t>.” The Base Salary shall be payable in a manner that is consistent with the Company’s usual payroll practices for its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u w:val="single"/>
        </w:rPr>
        <w:t>Incentive Compensation</w:t>
      </w:r>
      <w:r>
        <w:rPr>
          <w:rFonts w:ascii="Times New Roman" w:hAnsi="Times New Roman"/>
          <w:color w:val="000000"/>
          <w:sz w:val="24"/>
        </w:rPr>
        <w:t>. Executive shall be eligible to participate in an annual cash incentive compensation plan that the Company offers to its executive officers (the “</w:t>
      </w:r>
      <w:r>
        <w:rPr>
          <w:rFonts w:ascii="Times New Roman" w:hAnsi="Times New Roman"/>
          <w:b/>
          <w:i/>
          <w:color w:val="000000"/>
          <w:sz w:val="24"/>
          <w:u w:val="single"/>
        </w:rPr>
        <w:t>Annual Bonus Plan</w:t>
      </w:r>
      <w:r>
        <w:rPr>
          <w:rFonts w:ascii="Times New Roman" w:hAnsi="Times New Roman"/>
          <w:color w:val="000000"/>
          <w:sz w:val="16"/>
        </w:rPr>
        <w:t>”</w:t>
      </w:r>
      <w:r>
        <w:rPr>
          <w:rFonts w:ascii="Times New Roman" w:hAnsi="Times New Roman"/>
          <w:color w:val="000000"/>
          <w:sz w:val="24"/>
        </w:rPr>
        <w:t>). Executive will be eligible to earn an annual bonus for each full calendar year completed (the “</w:t>
      </w:r>
      <w:r>
        <w:rPr>
          <w:rFonts w:ascii="Times New Roman" w:hAnsi="Times New Roman"/>
          <w:b/>
          <w:i/>
          <w:color w:val="000000"/>
          <w:sz w:val="24"/>
          <w:u w:val="single"/>
        </w:rPr>
        <w:t>Annual Bonus</w:t>
      </w:r>
      <w:r>
        <w:rPr>
          <w:rFonts w:ascii="Times New Roman" w:hAnsi="Times New Roman"/>
          <w:color w:val="000000"/>
          <w:sz w:val="16"/>
        </w:rPr>
        <w:t>”</w:t>
      </w:r>
      <w:r>
        <w:rPr>
          <w:rFonts w:ascii="Times New Roman" w:hAnsi="Times New Roman"/>
          <w:color w:val="000000"/>
          <w:sz w:val="24"/>
        </w:rPr>
        <w:t>). Executive’s target Annual Bonus will be seventy percent (70%) of Executive’s Base Salary (the “</w:t>
      </w:r>
      <w:r>
        <w:rPr>
          <w:rFonts w:ascii="Times New Roman" w:hAnsi="Times New Roman"/>
          <w:b/>
          <w:i/>
          <w:color w:val="000000"/>
          <w:sz w:val="24"/>
          <w:u w:val="single"/>
        </w:rPr>
        <w:t>Target Bonus</w:t>
      </w:r>
      <w:r>
        <w:rPr>
          <w:rFonts w:ascii="Times New Roman" w:hAnsi="Times New Roman"/>
          <w:color w:val="000000"/>
          <w:sz w:val="16"/>
        </w:rPr>
        <w:t>”</w:t>
      </w:r>
      <w:r>
        <w:rPr>
          <w:rFonts w:ascii="Times New Roman" w:hAnsi="Times New Roman"/>
          <w:color w:val="000000"/>
          <w:sz w:val="24"/>
        </w:rPr>
        <w:t>) based on Executive’s Base Salary in effect on December 31</w:t>
      </w:r>
      <w:r>
        <w:rPr>
          <w:rFonts w:ascii="Times New Roman" w:hAnsi="Times New Roman"/>
          <w:color w:val="000000"/>
          <w:sz w:val="16"/>
        </w:rPr>
        <w:t xml:space="preserve">st </w:t>
      </w:r>
      <w:r>
        <w:rPr>
          <w:rFonts w:ascii="Times New Roman" w:hAnsi="Times New Roman"/>
          <w:color w:val="000000"/>
          <w:sz w:val="24"/>
        </w:rPr>
        <w:t>of the applicable performance period. Notwithstanding the foregoing, and for the avoidance of doubt, Executive shall be eligible for the Annual Bonus for the entire 2026 performance period, which, if granted, shall not be pro-rated to the Effective Date.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hAnsi="Times New Roman"/>
          <w:color w:val="000000"/>
          <w:sz w:val="16"/>
        </w:rPr>
        <w:t xml:space="preserve">th </w:t>
      </w:r>
      <w:r>
        <w:rPr>
          <w:rFonts w:ascii="Times New Roman" w:hAnsi="Times New Roman"/>
          <w:color w:val="000000"/>
          <w:sz w:val="24"/>
        </w:rPr>
        <w:t xml:space="preserve">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Option Award</w:t>
      </w:r>
      <w:r>
        <w:rPr>
          <w:rFonts w:ascii="Times New Roman" w:hAnsi="Times New Roman"/>
          <w:color w:val="000000"/>
          <w:sz w:val="24"/>
        </w:rPr>
        <w:t>. Subject to approval by the Board (or any authorized committee thereof), the Company shall grant Executive an option (the “</w:t>
      </w:r>
      <w:r>
        <w:rPr>
          <w:rFonts w:ascii="Times New Roman" w:hAnsi="Times New Roman"/>
          <w:b/>
          <w:i/>
          <w:color w:val="000000"/>
          <w:sz w:val="24"/>
          <w:u w:val="single"/>
        </w:rPr>
        <w:t>Option</w:t>
      </w:r>
      <w:r>
        <w:rPr>
          <w:rFonts w:ascii="Times New Roman" w:hAnsi="Times New Roman"/>
          <w:color w:val="000000"/>
          <w:sz w:val="24"/>
        </w:rPr>
        <w:t xml:space="preserve">”) to purchase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lineRule="auto" w:line="360" w:before="0" w:after="240"/>
        <w:jc w:val="left"/>
        <w:rPr>
          <w:rFonts w:ascii="Times New Roman" w:hAnsi="Times New Roman"/>
          <w:sz w:val="24"/>
        </w:rPr>
      </w:pPr>
      <w:r>
        <w:rPr>
          <w:rFonts w:ascii="Times New Roman" w:hAnsi="Times New Roman"/>
          <w:color w:val="000000"/>
          <w:sz w:val="24"/>
        </w:rPr>
        <w:t>10,700,000 shares of the Company’s common stock, with an exercise price equal to the fair market value of a share of the Company’s common stock on the grant date, as determined by the Board (or any authorized committee ), pursuant to the terms and conditions of the Company’s 2021 Equity Incentive Plan (the “</w:t>
      </w:r>
      <w:r>
        <w:rPr>
          <w:rFonts w:ascii="Times New Roman" w:hAnsi="Times New Roman"/>
          <w:b/>
          <w:i/>
          <w:color w:val="000000"/>
          <w:sz w:val="24"/>
          <w:u w:val="single"/>
        </w:rPr>
        <w:t>Plan</w:t>
      </w:r>
      <w:r>
        <w:rPr>
          <w:rFonts w:ascii="Times New Roman" w:hAnsi="Times New Roman"/>
          <w:color w:val="000000"/>
          <w:sz w:val="24"/>
        </w:rPr>
        <w:t>”) and the applicable stock option grant notice and stock option agreement to be provided to Executive (together with the Plan, the “</w:t>
      </w:r>
      <w:r>
        <w:rPr>
          <w:rFonts w:ascii="Times New Roman" w:hAnsi="Times New Roman"/>
          <w:b/>
          <w:i/>
          <w:color w:val="000000"/>
          <w:sz w:val="24"/>
          <w:u w:val="single"/>
        </w:rPr>
        <w:t>Equity Documents</w:t>
      </w:r>
      <w:r>
        <w:rPr>
          <w:rFonts w:ascii="Times New Roman" w:hAnsi="Times New Roman"/>
          <w:color w:val="000000"/>
          <w:sz w:val="24"/>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w:t>
      </w:r>
      <w:r>
        <w:rPr>
          <w:rFonts w:ascii="Times New Roman" w:hAnsi="Times New Roman"/>
          <w:color w:val="000000"/>
          <w:sz w:val="16"/>
        </w:rPr>
        <w:t>th</w:t>
      </w:r>
      <w:r>
        <w:rPr>
          <w:rFonts w:ascii="Times New Roman" w:hAnsi="Times New Roman"/>
          <w:color w:val="000000"/>
          <w:sz w:val="24"/>
        </w:rPr>
        <w:t xml:space="preserve"> of the total shares subject to the Option, subject to Executive’s continuous service to the Company as of each such vesting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Sign-On Bonus</w:t>
      </w:r>
      <w:r>
        <w:rPr>
          <w:rFonts w:ascii="Times New Roman" w:hAnsi="Times New Roman"/>
          <w:color w:val="000000"/>
          <w:sz w:val="24"/>
        </w:rPr>
        <w:t>. As soon as practicable after the Effective Date, the Company shall pay to Executive a cash bonus in the amount of $500,000.00, less applicable deductions and withholdings (the “</w:t>
      </w:r>
      <w:r>
        <w:rPr>
          <w:rFonts w:ascii="Times New Roman" w:hAnsi="Times New Roman"/>
          <w:b/>
          <w:i/>
          <w:color w:val="000000"/>
          <w:sz w:val="24"/>
          <w:u w:val="single"/>
        </w:rPr>
        <w:t>Sign-On Bonus</w:t>
      </w:r>
      <w:r>
        <w:rPr>
          <w:rFonts w:ascii="Times New Roman" w:hAnsi="Times New Roman"/>
          <w:color w:val="000000"/>
          <w:sz w:val="24"/>
        </w:rPr>
        <w:t>”). If prior to the first anniversary of the Effective Date, Executive resigns from the Company without Good Reason (as defined below) or is terminated by the Company for Cause (as defined below) or Executive has been notified that his employment will be terminated for Cause, then, in each case, Executive agrees and authorizes the Company to repay the net, after-tax amount of the Sign-On Bonus (the “</w:t>
      </w:r>
      <w:r>
        <w:rPr>
          <w:rFonts w:ascii="Times New Roman" w:hAnsi="Times New Roman"/>
          <w:b/>
          <w:i/>
          <w:color w:val="000000"/>
          <w:sz w:val="24"/>
          <w:u w:val="single"/>
        </w:rPr>
        <w:t>Repayment Amount</w:t>
      </w:r>
      <w:r>
        <w:rPr>
          <w:rFonts w:ascii="Times New Roman" w:hAnsi="Times New Roman"/>
          <w:color w:val="000000"/>
          <w:sz w:val="24"/>
        </w:rPr>
        <w:t xml:space="preserve">”) within thirty (30) calendar days of the effective date of Executive’s separation. The Company shall deduct any amounts of the Repayment Amount from Executive’s final paycheck(s) to the maximum extent permitted by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Change in Control Bonus</w:t>
      </w:r>
      <w:r>
        <w:rPr>
          <w:rFonts w:ascii="Times New Roman" w:hAnsi="Times New Roman"/>
          <w:color w:val="000000"/>
          <w:sz w:val="24"/>
        </w:rPr>
        <w:t>. Subject to the terms of this Section 2(e), Executive shall be eligible to receive a one-time bonus (the “</w:t>
      </w:r>
      <w:r>
        <w:rPr>
          <w:rFonts w:ascii="Times New Roman" w:hAnsi="Times New Roman"/>
          <w:b/>
          <w:i/>
          <w:color w:val="000000"/>
          <w:sz w:val="24"/>
          <w:u w:val="single"/>
        </w:rPr>
        <w:t>Transaction Bonus</w:t>
      </w:r>
      <w:r>
        <w:rPr>
          <w:rFonts w:ascii="Times New Roman" w:hAnsi="Times New Roman"/>
          <w:color w:val="000000"/>
          <w:sz w:val="24"/>
        </w:rPr>
        <w:t>”) if a Change in Control (as defined in the Plan) occurs (i) while Executive remains employed by the Company so long as Executive has been continuously employed by the Company through the closing of such Change in Control (the “</w:t>
      </w:r>
      <w:r>
        <w:rPr>
          <w:rFonts w:ascii="Times New Roman" w:hAnsi="Times New Roman"/>
          <w:b/>
          <w:i/>
          <w:color w:val="000000"/>
          <w:sz w:val="24"/>
          <w:u w:val="single"/>
        </w:rPr>
        <w:t>Closing</w:t>
      </w:r>
      <w:r>
        <w:rPr>
          <w:rFonts w:ascii="Times New Roman" w:hAnsi="Times New Roman"/>
          <w:color w:val="000000"/>
          <w:sz w:val="24"/>
        </w:rPr>
        <w:t xml:space="preserve">”) or (ii) following the termination of Executive’s employment without Cause, Executive’s resignation for Good Reason or Executive’s death or Disability (as defined in Section 3(b)) in each case after the commencement of the Change in Control Period (as defined below). For the avoidance of doubt, if Executive resigns or is terminated for any reason under circumstances other than those contemplated by Section 2(e)(ii) above, Executive shall not be eligible for, and shall forfeit, the Transaction Bonus. The Transaction Bonus shall equal: (i) 0.5% of the Equity Value if the Equity Value is at least $5.0 billion but less than $10.0 billion; (ii) 1.0% of the Equity Value if the Equity Value is at least $10.0 billion but less than $20.0 billion; and (iii) 1.5% of the Equity Value if the Equity Value is at least $20.0 billion. No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Transaction Bonus shall be payable if the Equity Value is less than $5.0 billion, and the Transaction Bonus shall be payable only once in connection with the first Change in Control regardless of whether there are subsequent transactions constituting a Change in Control. For purposes of this Section 2(e), “</w:t>
      </w:r>
      <w:r>
        <w:rPr>
          <w:rFonts w:ascii="Times New Roman" w:hAnsi="Times New Roman"/>
          <w:b/>
          <w:i/>
          <w:color w:val="000000"/>
          <w:sz w:val="24"/>
          <w:u w:val="single"/>
        </w:rPr>
        <w:t>Equity Value</w:t>
      </w:r>
      <w:r>
        <w:rPr>
          <w:rFonts w:ascii="Times New Roman" w:hAnsi="Times New Roman"/>
          <w:color w:val="000000"/>
          <w:sz w:val="24"/>
        </w:rPr>
        <w:t>” means the aggregate value of all cash, securities and other property paid or payable to the holders of the Company’s equity securities in connection with the Change in Control, as determined by the Board and in accordance with the definitive transaction documents and on the same basis as the consideration is valued in the Change in Control transaction. The Transaction Bonus shall be paid in the same form or forms of consideration, and in the same proportions, as the consideration paid to holders of the Company’s equity securities in the Change in Control, including any non-cash consideration, and shall be subject to the same terms, conditions, restrictions and risks applicable to such consideration; provided that, to the extent any form of consideration cannot reasonably be delivered to Executive, the Company may pay cash equal to the value of such consideration, determined on the same basis as in the Change in Control transaction, or if the Company is not reasonably able to pay all or a portion of the Transaction Bonus in cash, then in equity of equal value (determined on the same basis as the consideration is valued in the definitive transaction documents) to the Transaction Bonus or the applicable portion thereof. The Transaction Bonus attributable to consideration paid at the Closing shall be paid or commence to be paid within thirty (30) days after the Closing. All payments and other consideration under this Section 2(e) shall be subject to Section 12, including the Company’s right to withhold or require Executive to remit amounts sufficient to satisfy applicable withholding obligations, including from any non-cash consideration. The Transaction Bonus shall be treated as an Aggregate Payment for purposes of Section 7 and shall be subject to any reduction required under Section 7 as well as any recoupment under Section 23. Any successor to the Company shall assume the obligations under this Section 2(e) in accordance with Section 13.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Expenses</w:t>
      </w:r>
      <w:r>
        <w:rPr>
          <w:rFonts w:ascii="Times New Roman" w:hAnsi="Times New Roman"/>
          <w:color w:val="000000"/>
          <w:sz w:val="24"/>
        </w:rPr>
        <w:t>. The Company shall promptly pay or reimburse Executive for all reasonable expenses incurred by Executive while performing services for the Company, including but not limited to travel expenses and attendance at industry events, in accordance with the policies and procedures then in effect and established by the Company for its executive officers, but in no event later than thirty (30) days following submission of a reimbursement request in accordance with such policies or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rFonts w:ascii="Times New Roman" w:hAnsi="Times New Roman"/>
          <w:sz w:val="24"/>
        </w:rPr>
      </w:pPr>
      <w:r>
        <w:rPr>
          <w:rFonts w:ascii="Times New Roman" w:hAnsi="Times New Roman"/>
          <w:color w:val="000000"/>
          <w:sz w:val="24"/>
          <w:u w:val="single"/>
        </w:rPr>
        <w:t>Other Benefits</w:t>
      </w:r>
      <w:r>
        <w:rPr>
          <w:rFonts w:ascii="Times New Roman" w:hAnsi="Times New Roman"/>
          <w:color w:val="000000"/>
          <w:sz w:val="24"/>
        </w:rPr>
        <w:t>. Executive shall be eligible to participate in or receive benefits under the Company’s employee benefit plans in effect from time to time, subject to the terms of such plans.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Paid Time Off</w:t>
      </w:r>
      <w:r>
        <w:rPr>
          <w:rFonts w:ascii="Times New Roman" w:hAnsi="Times New Roman"/>
          <w:color w:val="000000"/>
          <w:sz w:val="24"/>
        </w:rPr>
        <w:t>. Executive shall be entitled to take paid time off in accordance with the Company’s applicable paid time off policy for executives, as may be in effect from time to time.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Stock Ownership Guidelines</w:t>
      </w:r>
      <w:r>
        <w:rPr>
          <w:rFonts w:ascii="Times New Roman" w:hAnsi="Times New Roman"/>
          <w:color w:val="000000"/>
          <w:sz w:val="24"/>
        </w:rPr>
        <w:t>. Executive shall be subject to the Company’s Executive Stock Ownership Guidelines while providing services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Treatment of Equity Awards upon a Change in Control</w:t>
      </w:r>
      <w:r>
        <w:rPr>
          <w:rFonts w:ascii="Times New Roman" w:hAnsi="Times New Roman"/>
          <w:color w:val="000000"/>
          <w:sz w:val="24"/>
        </w:rPr>
        <w:t>. The following provisions shall apply to any award (other than the Transaction Bonus) granted under the Plan or any other plan, agreement or arrangement based on the value of a share of the Company’s common stock on or after the Effective Date (collectively, the “</w:t>
      </w:r>
      <w:r>
        <w:rPr>
          <w:rFonts w:ascii="Times New Roman" w:hAnsi="Times New Roman"/>
          <w:b/>
          <w:i/>
          <w:color w:val="000000"/>
          <w:sz w:val="24"/>
          <w:u w:val="single"/>
        </w:rPr>
        <w:t>Equity Awards</w:t>
      </w:r>
      <w:r>
        <w:rPr>
          <w:rFonts w:ascii="Times New Roman" w:hAnsi="Times New Roman"/>
          <w:color w:val="000000"/>
          <w:sz w:val="24"/>
        </w:rPr>
        <w:t>”) to the extent the Equity Awards are assumed, continued or substituted by the surviving or acquiring entity (or its parent) in connection with a Change in Control and Executive continues to provide services to the Company or its successor following such Change in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sz w:val="24"/>
        </w:rPr>
      </w:pPr>
      <w:r>
        <w:rPr>
          <w:rFonts w:ascii="Times New Roman" w:hAnsi="Times New Roman"/>
          <w:color w:val="000000"/>
          <w:sz w:val="24"/>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hAnsi="Times New Roman"/>
          <w:b/>
          <w:i/>
          <w:color w:val="000000"/>
          <w:sz w:val="24"/>
          <w:u w:val="single"/>
        </w:rPr>
        <w:t>Time-Based Equity Awards</w:t>
      </w:r>
      <w:r>
        <w:rPr>
          <w:rFonts w:ascii="Times New Roman" w:hAnsi="Times New Roman"/>
          <w:color w:val="000000"/>
          <w:sz w:val="24"/>
        </w:rPr>
        <w:t>”) shall not immediately accelerate and become fully vested and exercisable or non-forfeitable on such a Change in Control,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sz w:val="24"/>
        </w:rPr>
      </w:pPr>
      <w:r>
        <w:rPr>
          <w:rFonts w:ascii="Times New Roman" w:hAnsi="Times New Roman"/>
          <w:color w:val="000000"/>
          <w:sz w:val="24"/>
        </w:rPr>
        <w:t>all other Equity Awards, including but not limited to performance stock units vesting based on achieving pre-established performance goals (collectively, the “</w:t>
      </w:r>
      <w:r>
        <w:rPr>
          <w:rFonts w:ascii="Times New Roman" w:hAnsi="Times New Roman"/>
          <w:b/>
          <w:i/>
          <w:color w:val="000000"/>
          <w:sz w:val="24"/>
          <w:u w:val="single"/>
        </w:rPr>
        <w:t>Performance-Based Equity Awards</w:t>
      </w:r>
      <w:r>
        <w:rPr>
          <w:rFonts w:ascii="Times New Roman" w:hAnsi="Times New Roman"/>
          <w:color w:val="000000"/>
          <w:sz w:val="24"/>
        </w:rPr>
        <w:t>”) shall be governed by the terms of the Plan and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 Executive’s employment may be terminated without any breach of this Agreement under the following circumstances: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Death</w:t>
      </w:r>
      <w:r>
        <w:rPr>
          <w:rFonts w:ascii="Times New Roman" w:hAnsi="Times New Roman"/>
          <w:color w:val="000000"/>
          <w:sz w:val="24"/>
        </w:rPr>
        <w:t>. Executive’s employment shall terminate upon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Disability</w:t>
      </w:r>
      <w:r>
        <w:rPr>
          <w:rFonts w:ascii="Times New Roman" w:hAnsi="Times New Roman"/>
          <w:color w:val="000000"/>
          <w:sz w:val="24"/>
        </w:rPr>
        <w:t xml:space="preserve">.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issue. Executive shall cooperate with any reasonable request of the physician in connection with such certification. If such question shall arise and Executive shall fail to submit such certification, the Company’s determination of such issue shall be binding on Executive.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 by the Company for Cause</w:t>
      </w:r>
      <w:r>
        <w:rPr>
          <w:rFonts w:ascii="Times New Roman" w:hAnsi="Times New Roman"/>
          <w:color w:val="000000"/>
          <w:sz w:val="24"/>
        </w:rPr>
        <w:t>. The Company may terminate Executive’s employment for Cause. For purposes of this Agreement, “</w:t>
      </w:r>
      <w:r>
        <w:rPr>
          <w:rFonts w:ascii="Times New Roman" w:hAnsi="Times New Roman"/>
          <w:b/>
          <w:i/>
          <w:color w:val="000000"/>
          <w:sz w:val="24"/>
          <w:u w:val="single"/>
        </w:rPr>
        <w:t>Cause</w:t>
      </w:r>
      <w:r>
        <w:rPr>
          <w:rFonts w:ascii="Times New Roman" w:hAnsi="Times New Roman"/>
          <w:color w:val="000000"/>
          <w:sz w:val="24"/>
        </w:rPr>
        <w:t xml:space="preserve">” shall mean any of the following: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Executive’s conviction of, or pleading no contest to, a felony under the laws of the United States or any state (other than in connection with a traffic violation that does not result in imprisonment) or any crime that results in Executive’s incarceration in a federal, state, or local jail or prison;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Board of such willful misconduct, failure or refusal;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act of fraud, embezzlement or material misappropriation committed by Executive against the Company (other than good faith expense account disputes);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Willful engaging by Executive in any act that brings or is reasonably likely to bring the Company into public disrepute or disgrace or causes material harm to the customer relations, operations or business prospects of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investigation or the inducement of others to fail to cooperate or to produce documents or other materials in connection with such investigation.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any termination for Cause, the Company shall provide written notice to Executive setting forth to a reasonable extent at least the principal acts or omissions of Executive giving rise to Cause for termination. It is agreed to by the parties that below par or below average financial performance of the Company and/or its subsidiaries, in and of itself shall not constitute Cause for employment termination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termination for Cause under this Section 3(c) (other than with respect to Section 3(c)(ii)) shall in no event become effective under the Agreement unless the provisions of this paragraph are complied with. Executive must be given written notice by the Board of the intention to terminate Executive’s employment for Cause, such notice to be given within three (3) months of the Board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then be terminated for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 by the Company without Cause</w:t>
      </w:r>
      <w:r>
        <w:rPr>
          <w:rFonts w:ascii="Times New Roman" w:hAnsi="Times New Roman"/>
          <w:color w:val="000000"/>
          <w:sz w:val="24"/>
        </w:rPr>
        <w:t>. The Company may terminate Executive’s employment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 by Executive</w:t>
      </w:r>
      <w:r>
        <w:rPr>
          <w:rFonts w:ascii="Times New Roman" w:hAnsi="Times New Roman"/>
          <w:color w:val="000000"/>
          <w:sz w:val="24"/>
        </w:rPr>
        <w:t>. Executive may terminate employment at any time for any reason, including but not limited to, Good Reason. For purposes of this Agreement, “</w:t>
      </w:r>
      <w:r>
        <w:rPr>
          <w:rFonts w:ascii="Times New Roman" w:hAnsi="Times New Roman"/>
          <w:b/>
          <w:i/>
          <w:color w:val="000000"/>
          <w:sz w:val="24"/>
          <w:u w:val="single"/>
        </w:rPr>
        <w:t>Good Reason</w:t>
      </w:r>
      <w:r>
        <w:rPr>
          <w:rFonts w:ascii="Times New Roman" w:hAnsi="Times New Roman"/>
          <w:color w:val="000000"/>
          <w:sz w:val="24"/>
        </w:rPr>
        <w:t>” shall mean that Executive has completed all steps of the Good Reason Process (defined below) following the occurrence of any of the following events without Executive’s consent (each, a “</w:t>
      </w:r>
      <w:r>
        <w:rPr>
          <w:rFonts w:ascii="Times New Roman" w:hAnsi="Times New Roman"/>
          <w:b/>
          <w:i/>
          <w:color w:val="000000"/>
          <w:sz w:val="24"/>
          <w:u w:val="single"/>
        </w:rPr>
        <w:t>Good Reason Condition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material diminution in Executive’s title, responsibilities, authority or duties;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Change in Control following which Executive is not Chief Executive Officer of the Company or, if the Company becomes a subsidiary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one or more entities following the Change in Control, Chief Executive Officer of the post-consummation ultimate parent entity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or the failure of the Company to obtain the assumption in writing of the Company’s obligations to Executive under this Agreement by any successor as required under Section 13 below;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the Company’s corporate headquarters that would increase Executive’s one-way commute from Executive’s residence in New Caanan, CT to the Company’s corporate headquarters located at 205 Church Street, New Haven, Connecticut 06510 by more than fifty (50) miles.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sz w:val="24"/>
        </w:rPr>
      </w:pPr>
      <w:r>
        <w:rPr>
          <w:rFonts w:ascii="Times New Roman" w:hAnsi="Times New Roman"/>
          <w:color w:val="000000"/>
          <w:sz w:val="24"/>
          <w:u w:val="single"/>
        </w:rPr>
        <w:t>Good Reason Process</w:t>
      </w:r>
      <w:r>
        <w:rPr>
          <w:rFonts w:ascii="Times New Roman" w:hAnsi="Times New Roman"/>
          <w:color w:val="000000"/>
          <w:sz w:val="24"/>
        </w:rPr>
        <w:t>. The “</w:t>
      </w:r>
      <w:r>
        <w:rPr>
          <w:rFonts w:ascii="Times New Roman" w:hAnsi="Times New Roman"/>
          <w:b/>
          <w:i/>
          <w:color w:val="000000"/>
          <w:sz w:val="24"/>
          <w:u w:val="single"/>
        </w:rPr>
        <w:t>Good Reason Process</w:t>
      </w:r>
      <w:r>
        <w:rPr>
          <w:rFonts w:ascii="Times New Roman" w:hAnsi="Times New Roman"/>
          <w:color w:val="000000"/>
          <w:sz w:val="24"/>
        </w:rPr>
        <w:t>” consists of the following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reasonably determines in good faith that a Good Reason Condition has occurred;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notifies the Company in writing of the first occurrence of the Good Reason Condition within sixty (60) days of the first occurrence of such condition;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sz w:val="24"/>
        </w:rPr>
      </w:pPr>
      <w:r>
        <w:rPr>
          <w:rFonts w:ascii="Times New Roman" w:hAnsi="Times New Roman"/>
          <w:color w:val="000000"/>
          <w:sz w:val="24"/>
        </w:rPr>
        <w:t>Executive cooperates in good faith with the Company’s efforts, for a period of not less than thirty (30) days following such notice (the “</w:t>
      </w:r>
      <w:r>
        <w:rPr>
          <w:rFonts w:ascii="Times New Roman" w:hAnsi="Times New Roman"/>
          <w:b/>
          <w:i/>
          <w:color w:val="000000"/>
          <w:sz w:val="24"/>
          <w:u w:val="single"/>
        </w:rPr>
        <w:t>Cure Period</w:t>
      </w:r>
      <w:r>
        <w:rPr>
          <w:rFonts w:ascii="Times New Roman" w:hAnsi="Times New Roman"/>
          <w:color w:val="000000"/>
          <w:sz w:val="24"/>
        </w:rPr>
        <w:t xml:space="preserve">”), to remedy the Good Reason Condition (to the extent such cure is possible);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such efforts, the Good Reason Condition continues to exist at the end of the Cure Period;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Executive terminates employment within sixty (60) days after the end of the Cure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cures the Good Reason Condition during the Cure Period, Good Reason shall be deemed not to have occurred.</w:t>
        <w:b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sz w:val="24"/>
        </w:rPr>
      </w:pPr>
      <w:r>
        <w:rPr>
          <w:rFonts w:ascii="Times New Roman" w:hAnsi="Times New Roman"/>
          <w:color w:val="000000"/>
          <w:sz w:val="24"/>
          <w:u w:val="single"/>
        </w:rPr>
        <w:t>Matters Related to Termination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3(a), any termination of Executive’s employment by the Company or any such termination by Executive shall be communicated by written Notice of Termination to the other party. For purposes of this Agreement, a “</w:t>
      </w:r>
      <w:r>
        <w:rPr>
          <w:rFonts w:ascii="Times New Roman" w:hAnsi="Times New Roman"/>
          <w:b/>
          <w:i/>
          <w:color w:val="000000"/>
          <w:sz w:val="24"/>
          <w:u w:val="single"/>
        </w:rPr>
        <w:t>Notice of Termination</w:t>
      </w:r>
      <w:r>
        <w:rPr>
          <w:rFonts w:ascii="Times New Roman" w:hAnsi="Times New Roman"/>
          <w:color w:val="000000"/>
          <w:sz w:val="24"/>
        </w:rPr>
        <w:t>” shall mean a notice that shall indicate the specific termination provision in this Agreement relied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Date of Termination</w:t>
      </w:r>
      <w:r>
        <w:rPr>
          <w:rFonts w:ascii="Times New Roman" w:hAnsi="Times New Roman"/>
          <w:color w:val="000000"/>
          <w:sz w:val="24"/>
        </w:rPr>
        <w:t>. “</w:t>
      </w:r>
      <w:r>
        <w:rPr>
          <w:rFonts w:ascii="Times New Roman" w:hAnsi="Times New Roman"/>
          <w:b/>
          <w:i/>
          <w:color w:val="000000"/>
          <w:sz w:val="24"/>
          <w:u w:val="single"/>
        </w:rPr>
        <w:t>Date of Termination</w:t>
      </w:r>
      <w:r>
        <w:rPr>
          <w:rFonts w:ascii="Times New Roman" w:hAnsi="Times New Roman"/>
          <w:color w:val="000000"/>
          <w:sz w:val="24"/>
        </w:rPr>
        <w:t xml:space="preserve">”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Accrued Obligations</w:t>
      </w:r>
      <w:r>
        <w:rPr>
          <w:rFonts w:ascii="Times New Roman" w:hAnsi="Times New Roman"/>
          <w:color w:val="000000"/>
          <w:sz w:val="24"/>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Severance Earned Bonus (as defined in Section 5(a)) at the same time bonuses are paid to other employees who are actively employed by the Company. The amounts described under this Section 4(c) are referred to below as the “</w:t>
      </w:r>
      <w:r>
        <w:rPr>
          <w:rFonts w:ascii="Times New Roman" w:hAnsi="Times New Roman"/>
          <w:b/>
          <w:i/>
          <w:color w:val="000000"/>
          <w:sz w:val="24"/>
          <w:u w:val="single"/>
        </w:rPr>
        <w:t>Accrued Obligations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Resignation of All Other Positions</w:t>
      </w:r>
      <w:r>
        <w:rPr>
          <w:rFonts w:ascii="Times New Roman" w:hAnsi="Times New Roman"/>
          <w:color w:val="000000"/>
          <w:sz w:val="24"/>
        </w:rPr>
        <w:t xml:space="preserve">. Upon the termination of Executive’s service for any reason, unless otherwise determined by the Board, Executive shall be deemed to have resigned from all officer and board member positions that Executive holds with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Company or any of its respective subsidiaries and affiliates, without any further action by Executive, as of the cessation of Executive’s services or an earlier date, if so resolved by the Board. Notwithstanding the foregoing, Executive shall execute any documents in a form as may reasonably be requested by the Company or the Board to reflect any such resignations.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Severance Pay and Benefits Upon Termination by the Company without Cause or by Executive for Good Reason</w:t>
      </w:r>
      <w:r>
        <w:rPr>
          <w:rFonts w:ascii="Times New Roman" w:hAnsi="Times New Roman"/>
          <w:color w:val="000000"/>
          <w:sz w:val="24"/>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hAnsi="Times New Roman"/>
          <w:color w:val="000000"/>
          <w:sz w:val="24"/>
          <w:u w:val="single"/>
        </w:rPr>
        <w:t>Appendix B</w:t>
      </w:r>
      <w:r>
        <w:rPr>
          <w:rFonts w:ascii="Times New Roman" w:hAnsi="Times New Roman"/>
          <w:color w:val="000000"/>
          <w:sz w:val="24"/>
        </w:rPr>
        <w:t xml:space="preserve"> to this Agreement (the “</w:t>
      </w:r>
      <w:r>
        <w:rPr>
          <w:rFonts w:ascii="Times New Roman" w:hAnsi="Times New Roman"/>
          <w:b/>
          <w:i/>
          <w:color w:val="000000"/>
          <w:sz w:val="24"/>
          <w:u w:val="single"/>
        </w:rPr>
        <w:t>Separation Agreement</w:t>
      </w:r>
      <w:r>
        <w:rPr>
          <w:rFonts w:ascii="Times New Roman" w:hAnsi="Times New Roman"/>
          <w:color w:val="000000"/>
          <w:sz w:val="24"/>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Cash Severance</w:t>
      </w:r>
      <w:r>
        <w:rPr>
          <w:rFonts w:ascii="Times New Roman" w:hAnsi="Times New Roman"/>
          <w:color w:val="000000"/>
          <w:sz w:val="24"/>
        </w:rPr>
        <w:t>. The Company shall pay Executive an amount equal to twelve (12) months’ of Executive’s then-current Base Salary (the “</w:t>
      </w:r>
      <w:r>
        <w:rPr>
          <w:rFonts w:ascii="Times New Roman" w:hAnsi="Times New Roman"/>
          <w:b/>
          <w:i/>
          <w:color w:val="000000"/>
          <w:sz w:val="24"/>
          <w:u w:val="single"/>
        </w:rPr>
        <w:t>Severance Amount</w:t>
      </w:r>
      <w:r>
        <w:rPr>
          <w:rFonts w:ascii="Times New Roman" w:hAnsi="Times New Roman"/>
          <w:color w:val="000000"/>
          <w:sz w:val="24"/>
        </w:rPr>
        <w:t>”).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(if any) based on achievement of the applicable performance goals and objectives, without any reduction for individual performance, with respect to such immediately preceding calendar year (the “</w:t>
      </w:r>
      <w:r>
        <w:rPr>
          <w:rFonts w:ascii="Times New Roman" w:hAnsi="Times New Roman"/>
          <w:b/>
          <w:i/>
          <w:color w:val="000000"/>
          <w:sz w:val="24"/>
          <w:u w:val="single"/>
        </w:rPr>
        <w:t>Severance</w:t>
      </w:r>
      <w:r>
        <w:rPr>
          <w:rFonts w:ascii="Times New Roman" w:hAnsi="Times New Roman"/>
          <w:color w:val="000000"/>
          <w:sz w:val="24"/>
          <w:u w:val="single"/>
        </w:rPr>
        <w:t xml:space="preserve"> </w:t>
      </w:r>
      <w:r>
        <w:rPr>
          <w:rFonts w:ascii="Times New Roman" w:hAnsi="Times New Roman"/>
          <w:b/>
          <w:i/>
          <w:color w:val="000000"/>
          <w:sz w:val="24"/>
          <w:u w:val="single"/>
        </w:rPr>
        <w:t>Earned Bonus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COBRA Premiums</w:t>
      </w:r>
      <w:r>
        <w:rPr>
          <w:rFonts w:ascii="Times New Roman" w:hAnsi="Times New Roman"/>
          <w:color w:val="000000"/>
          <w:sz w:val="24"/>
        </w:rPr>
        <w:t>. Subject to Executive’s copayment of premium amounts at the applicable active employees’ rate and Executive’s proper election to receive benefits under the Consolidated Omnibus Budget Reconciliation Act of 1985, as amended (“</w:t>
      </w:r>
      <w:r>
        <w:rPr>
          <w:rFonts w:ascii="Times New Roman" w:hAnsi="Times New Roman"/>
          <w:b/>
          <w:i/>
          <w:color w:val="000000"/>
          <w:sz w:val="24"/>
          <w:u w:val="single"/>
        </w:rPr>
        <w:t>COBRA</w:t>
      </w:r>
      <w:r>
        <w:rPr>
          <w:rFonts w:ascii="Times New Roman" w:hAnsi="Times New Roman"/>
          <w:color w:val="000000"/>
          <w:sz w:val="24"/>
        </w:rPr>
        <w:t>”), the Company will pay for the cost of COBRA premiums for Executive and Executive’s eligible dependents, if 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Delayed Forfeiture of Time-Based Equity Awards</w:t>
      </w:r>
      <w:r>
        <w:rPr>
          <w:rFonts w:ascii="Times New Roman" w:hAnsi="Times New Roman"/>
          <w:color w:val="000000"/>
          <w:sz w:val="24"/>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three (3) months after the Date of Termination (the “</w:t>
      </w:r>
      <w:r>
        <w:rPr>
          <w:rFonts w:ascii="Times New Roman" w:hAnsi="Times New Roman"/>
          <w:b/>
          <w:i/>
          <w:color w:val="000000"/>
          <w:sz w:val="24"/>
          <w:u w:val="single"/>
        </w:rPr>
        <w:t>Pre-CIC Protection Period</w:t>
      </w:r>
      <w:r>
        <w:rPr>
          <w:rFonts w:ascii="Times New Roman" w:hAnsi="Times New Roman"/>
          <w:color w:val="000000"/>
          <w:sz w:val="24"/>
        </w:rPr>
        <w:t>”). If the Company has not, prior to the end of the Pre-CIC Protection Period, entered into a definitive agreement that, if closed, would result in a Change in Control (a “</w:t>
      </w:r>
      <w:r>
        <w:rPr>
          <w:rFonts w:ascii="Times New Roman" w:hAnsi="Times New Roman"/>
          <w:b/>
          <w:i/>
          <w:color w:val="000000"/>
          <w:sz w:val="24"/>
          <w:u w:val="single"/>
        </w:rPr>
        <w:t>P&amp;S Agreement</w:t>
      </w:r>
      <w:r>
        <w:rPr>
          <w:rFonts w:ascii="Times New Roman" w:hAnsi="Times New Roman"/>
          <w:color w:val="000000"/>
          <w:sz w:val="24"/>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within to the contrary, no Time-Based Awards shall remain outstanding following the original expiration date of such award, as set forth in the applicable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Severance Payment Timing</w:t>
      </w:r>
      <w:r>
        <w:rPr>
          <w:rFonts w:ascii="Times New Roman" w:hAnsi="Times New Roman"/>
          <w:color w:val="000000"/>
          <w:sz w:val="24"/>
        </w:rPr>
        <w:t>. The amounts payable under Section 5, (other than the Severance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hAnsi="Times New Roman"/>
          <w:b/>
          <w:i/>
          <w:color w:val="000000"/>
          <w:sz w:val="24"/>
          <w:u w:val="single"/>
        </w:rPr>
        <w:t>Code</w:t>
      </w:r>
      <w:r>
        <w:rPr>
          <w:rFonts w:ascii="Times New Roman" w:hAnsi="Times New Roman"/>
          <w:color w:val="000000"/>
          <w:sz w:val="24"/>
        </w:rPr>
        <w:t>”), shall be paid or commence to be paid in the second calendar year by the last day of such period. The Severance Amount shall be paid in a single lump sum, and the Severance Earned Bonus, if any, shall be paid at the same time as if Executive had remained employed with the Company through the payment date.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Severance Pay and Benefits Upon Termination by the Company without Cause or by Executive for Good Reason within the Change in Control Period</w:t>
      </w:r>
      <w:r>
        <w:rPr>
          <w:rFonts w:ascii="Times New Roman" w:hAnsi="Times New Roman"/>
          <w:color w:val="000000"/>
          <w:sz w:val="24"/>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hAnsi="Times New Roman"/>
          <w:b/>
          <w:i/>
          <w:color w:val="000000"/>
          <w:sz w:val="24"/>
          <w:u w:val="single"/>
        </w:rPr>
        <w:t>Change in Control Period</w:t>
      </w:r>
      <w:r>
        <w:rPr>
          <w:rFonts w:ascii="Times New Roman" w:hAnsi="Times New Roman"/>
          <w:color w:val="000000"/>
          <w:sz w:val="24"/>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Cash Severance</w:t>
      </w:r>
      <w:r>
        <w:rPr>
          <w:rFonts w:ascii="Times New Roman" w:hAnsi="Times New Roman"/>
          <w:color w:val="000000"/>
          <w:sz w:val="24"/>
        </w:rPr>
        <w:t>. The Company shall pay Executive a lump sum in cash in an amount equal to the sum of (A) eighteen (18)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Severance Earned Bonus (the “</w:t>
      </w:r>
      <w:r>
        <w:rPr>
          <w:rFonts w:ascii="Times New Roman" w:hAnsi="Times New Roman"/>
          <w:b/>
          <w:i/>
          <w:color w:val="000000"/>
          <w:sz w:val="24"/>
          <w:u w:val="single"/>
        </w:rPr>
        <w:t>Change in Control Payment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COBRA Premiums</w:t>
      </w:r>
      <w:r>
        <w:rPr>
          <w:rFonts w:ascii="Times New Roman" w:hAnsi="Times New Roman"/>
          <w:color w:val="000000"/>
          <w:sz w:val="24"/>
        </w:rPr>
        <w:t xml:space="preserve">. Subject to Executive’s copayment of premium amounts at the applicable active employees’ rate and Executive’s proper election to receive benefits under COBRA, the Company shall pay for the cost of COBRA premiums for Executive and Executive’s eligible dependents, if any, until the earliest of (A) the eighteen (18)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payments to payroll payments directly to Executive for the time period specified above. Such payments to Executive shall be subject to tax-related deductions and withholdings and paid on the Company’s regular payroll dates.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Accelerated Vesting of Equity Awards</w:t>
      </w:r>
      <w:r>
        <w:rPr>
          <w:rFonts w:ascii="Times New Roman" w:hAnsi="Times New Roman"/>
          <w:color w:val="000000"/>
          <w:sz w:val="24"/>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hAnsi="Times New Roman"/>
          <w:b/>
          <w:i/>
          <w:color w:val="000000"/>
          <w:sz w:val="24"/>
          <w:u w:val="single"/>
        </w:rPr>
        <w:t>Accelerated Vesting Date</w:t>
      </w:r>
      <w:r>
        <w:rPr>
          <w:rFonts w:ascii="Times New Roman" w:hAnsi="Times New Roman"/>
          <w:color w:val="000000"/>
          <w:sz w:val="24"/>
        </w:rPr>
        <w:t>”), provided that in order to effectuate the accelerated vesting contemplated by this subsection, the unvested portion of such Equity Awards that would otherwise terminate or be forfeited on the Date of Termination will remain outstanding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Change in Control Payment Timing</w:t>
      </w:r>
      <w:r>
        <w:rPr>
          <w:rFonts w:ascii="Times New Roman" w:hAnsi="Times New Roman"/>
          <w:color w:val="000000"/>
          <w:sz w:val="24"/>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sz w:val="24"/>
        </w:rPr>
      </w:pPr>
      <w:r>
        <w:rPr>
          <w:rFonts w:ascii="Times New Roman" w:hAnsi="Times New Roman"/>
          <w:color w:val="000000"/>
          <w:sz w:val="24"/>
          <w:u w:val="single"/>
        </w:rPr>
        <w:t>280G Limitation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hAnsi="Times New Roman"/>
          <w:b/>
          <w:i/>
          <w:color w:val="000000"/>
          <w:sz w:val="24"/>
          <w:u w:val="single"/>
        </w:rPr>
        <w:t>Aggregate Payments</w:t>
      </w:r>
      <w:r>
        <w:rPr>
          <w:rFonts w:ascii="Times New Roman" w:hAnsi="Times New Roman"/>
          <w:color w:val="000000"/>
          <w:sz w:val="24"/>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rPr>
        <w:t>For purposes of this Section 7, the “</w:t>
      </w:r>
      <w:r>
        <w:rPr>
          <w:rFonts w:ascii="Times New Roman" w:hAnsi="Times New Roman"/>
          <w:b/>
          <w:i/>
          <w:color w:val="000000"/>
          <w:sz w:val="24"/>
          <w:u w:val="single"/>
        </w:rPr>
        <w:t>After Tax Amount</w:t>
      </w:r>
      <w:r>
        <w:rPr>
          <w:rFonts w:ascii="Times New Roman" w:hAnsi="Times New Roman"/>
          <w:color w:val="000000"/>
          <w:sz w:val="24"/>
        </w:rPr>
        <w:t xml:space="preserve">”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hAnsi="Times New Roman"/>
          <w:b/>
          <w:i/>
          <w:color w:val="000000"/>
          <w:sz w:val="24"/>
        </w:rPr>
        <w:t>Independent Advisors</w:t>
      </w:r>
      <w:r>
        <w:rPr>
          <w:rFonts w:ascii="Times New Roman" w:hAnsi="Times New Roman"/>
          <w:color w:val="000000"/>
          <w:sz w:val="24"/>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purposes of Treasury Regulation Section 1.409A</w:t>
        <w:noBreakHyphen/>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Continuing Obligations</w:t>
      </w:r>
      <w:r>
        <w:rPr>
          <w:rFonts w:ascii="Times New Roman" w:hAnsi="Times New Roman"/>
          <w:color w:val="000000"/>
          <w:sz w:val="24"/>
        </w:rPr>
        <w:t>.</w:t>
      </w:r>
      <w:r>
        <w:rPr>
          <w:rFonts w:ascii="Times New Roman" w:hAnsi="Times New Roman"/>
          <w:color w:val="000000"/>
          <w:sz w:val="24"/>
          <w:u w:val="single"/>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PIIA Agreement</w:t>
      </w:r>
      <w:r>
        <w:rPr>
          <w:rFonts w:ascii="Times New Roman" w:hAnsi="Times New Roman"/>
          <w:color w:val="000000"/>
          <w:sz w:val="24"/>
        </w:rPr>
        <w:t>. As a condition of entering into this Agreement, Executive hereby agrees to enter into the PIIA Agreement on or before the Effective Date.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hAnsi="Times New Roman"/>
          <w:b/>
          <w:i/>
          <w:color w:val="000000"/>
          <w:sz w:val="24"/>
          <w:u w:val="single"/>
        </w:rPr>
        <w:t>Continuing Obligations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Third-Party Agreements and Rights</w:t>
      </w:r>
      <w:r>
        <w:rPr>
          <w:rFonts w:ascii="Times New Roman" w:hAnsi="Times New Roman"/>
          <w:color w:val="000000"/>
          <w:sz w:val="24"/>
        </w:rPr>
        <w:t>. Executive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Litigation and Regulatory Cooperation</w:t>
      </w:r>
      <w:r>
        <w:rPr>
          <w:rFonts w:ascii="Times New Roman" w:hAnsi="Times New Roman"/>
          <w:color w:val="000000"/>
          <w:sz w:val="24"/>
        </w:rPr>
        <w:t xml:space="preserve">.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noBreakHyphen/>
        <w:t>of</w:t>
        <w:noBreakHyphen/>
        <w:t>pocket expenses incurred in connection with Executive’s performance of obligations pursuant to this Section 9(c), which shall be in addition to its obligations to provide indemnification to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Non-Disparagement</w:t>
      </w:r>
      <w:r>
        <w:rPr>
          <w:rFonts w:ascii="Times New Roman" w:hAnsi="Times New Roman"/>
          <w:color w:val="000000"/>
          <w:sz w:val="24"/>
        </w:rPr>
        <w:t xml:space="preserve">. Executive agrees not to disparage the Company, and/or the Company’s attorneys, directors, managers, partners, employees, agents and affiliates, in any manner likely to be harmful to them or their business, business reputation or personal 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Relief</w:t>
      </w:r>
      <w:r>
        <w:rPr>
          <w:rFonts w:ascii="Times New Roman" w:hAnsi="Times New Roman"/>
          <w:color w:val="000000"/>
          <w:sz w:val="24"/>
        </w:rPr>
        <w:t>. Executive agrees that it would be difficult to measure any damages caused to the Company that might result from any breach by Executive of the Continuing Obligations, and that in any event monetary damages would be an inadequate remedy for any such breach. Accordingly</w:t>
      </w:r>
      <w:r>
        <w:rPr>
          <w:rFonts w:ascii="Times New Roman" w:hAnsi="Times New Roman"/>
          <w:b/>
          <w:color w:val="000000"/>
          <w:sz w:val="24"/>
        </w:rPr>
        <w:t>,</w:t>
      </w:r>
      <w:r>
        <w:rPr>
          <w:rFonts w:ascii="Times New Roman" w:hAnsi="Times New Roman"/>
          <w:color w:val="000000"/>
          <w:sz w:val="24"/>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Consent to Jurisdiction</w:t>
      </w:r>
      <w:r>
        <w:rPr>
          <w:rFonts w:ascii="Times New Roman" w:hAnsi="Times New Roman"/>
          <w:color w:val="000000"/>
          <w:sz w:val="24"/>
        </w:rPr>
        <w:t>. The parties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sz w:val="24"/>
        </w:rPr>
      </w:pPr>
      <w:r>
        <w:rPr>
          <w:rFonts w:ascii="Times New Roman" w:hAnsi="Times New Roman"/>
          <w:color w:val="000000"/>
          <w:sz w:val="24"/>
          <w:u w:val="single"/>
        </w:rPr>
        <w:t>Integration</w:t>
      </w:r>
      <w:r>
        <w:rPr>
          <w:rFonts w:ascii="Times New Roman" w:hAnsi="Times New Roman"/>
          <w:color w:val="000000"/>
          <w:sz w:val="24"/>
        </w:rPr>
        <w:t xml:space="preserve">. This Agreement constitutes the entire agreement between the parties with respect to the subject matter within and supersedes all prior agreements between the parties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concerning such subject matter</w:t>
      </w:r>
      <w:r>
        <w:rPr>
          <w:rFonts w:ascii="Times New Roman" w:hAnsi="Times New Roman"/>
          <w:b/>
          <w:color w:val="000000"/>
          <w:sz w:val="24"/>
        </w:rPr>
        <w:t xml:space="preserve">, </w:t>
      </w:r>
      <w:r>
        <w:rPr>
          <w:rFonts w:ascii="Times New Roman" w:hAnsi="Times New Roman"/>
          <w:color w:val="000000"/>
          <w:sz w:val="24"/>
        </w:rPr>
        <w:t>provided that the PIIA Agreement and the agreements governing any Equity Awards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Withholding; Tax Effect</w:t>
      </w:r>
      <w:r>
        <w:rPr>
          <w:rFonts w:ascii="Times New Roman" w:hAnsi="Times New Roman"/>
          <w:color w:val="000000"/>
          <w:sz w:val="24"/>
        </w:rPr>
        <w:t xml:space="preserve">.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Successors and Assigns</w:t>
      </w:r>
      <w:r>
        <w:rPr>
          <w:rFonts w:ascii="Times New Roman" w:hAnsi="Times New Roman"/>
          <w:color w:val="000000"/>
          <w:sz w:val="24"/>
        </w:rPr>
        <w:t>. This Agreement will be binding upon and inure to the benefit of (a) the heirs, executors, and legal representatives of Executive upon Executive’s death as well as any beneficiaries duly designated by Executive prior to death in accordance with its terms,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under this Agreement. Except as provided within,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Enforceability</w:t>
      </w:r>
      <w:r>
        <w:rPr>
          <w:rFonts w:ascii="Times New Roman" w:hAnsi="Times New Roman"/>
          <w:color w:val="000000"/>
          <w:sz w:val="24"/>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which it is so declared illegal or unenforceable, shall not be affected, and each portion and provision of this Agreement shall be valid and enforceable to the fullest extent permitted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Survival</w:t>
      </w:r>
      <w:r>
        <w:rPr>
          <w:rFonts w:ascii="Times New Roman" w:hAnsi="Times New Roman"/>
          <w:color w:val="000000"/>
          <w:sz w:val="24"/>
        </w:rPr>
        <w:t>. The provisions of this Agreement shall survive the termination of this Agreement and/or the termination of Executive’s employment to the extent necessary to effectuate the terms contained within, including but not limited to the Company’s obligation to make severance payments or provide indemnification and Executive’s obligations to comply with the Continuing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Waiver</w:t>
      </w:r>
      <w:r>
        <w:rPr>
          <w:rFonts w:ascii="Times New Roman" w:hAnsi="Times New Roman"/>
          <w:color w:val="000000"/>
          <w:sz w:val="24"/>
        </w:rPr>
        <w:t>. No waiver of any provision of this Agreement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xml:space="preserve">.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to the Non-Executive Chairman of the Board or, if there should be no Non-Executive Chairman, the Lead Independent Director of the Board, in either case with copy to the Chief Legal Officer, or (iii) sent via email to Executive at Executive’s Company email address.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signed by Executive and by a duly authorized representative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rFonts w:ascii="Times New Roman" w:hAnsi="Times New Roman"/>
          <w:sz w:val="24"/>
        </w:rPr>
      </w:pPr>
      <w:r>
        <w:rPr>
          <w:rFonts w:ascii="Times New Roman" w:hAnsi="Times New Roman"/>
          <w:color w:val="000000"/>
          <w:sz w:val="24"/>
          <w:u w:val="single"/>
        </w:rPr>
        <w:t>Indemnification</w:t>
      </w:r>
      <w:r>
        <w:rPr>
          <w:rFonts w:ascii="Times New Roman" w:hAnsi="Times New Roman"/>
          <w:color w:val="000000"/>
          <w:sz w:val="24"/>
        </w:rPr>
        <w:t xml:space="preserve">. The Company will (i) indemnify Executive with respect to claims against Executive by third parties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other similarly situated executives of the Company and/or members of the Board, as applicable; provided that, this Agreement constitutes an undertaking that amounts advanced under clause (ii) shall be promptly repaid to the Company by Executive if it shall ultimately be determined that Executive is not entitled to be indemnified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services as an officer or employee for the Company or its subsidiaries, and the Company shall not change any right to such indemnification or advancement with respect to Executive after his termination of employment.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 Mitigation; Offset</w:t>
      </w:r>
      <w:r>
        <w:rPr>
          <w:rFonts w:ascii="Times New Roman" w:hAnsi="Times New Roman"/>
          <w:color w:val="000000"/>
          <w:sz w:val="24"/>
        </w:rPr>
        <w:t>. In the event of any termination of employment,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Effect on Other Plans and Agreements</w:t>
      </w:r>
      <w:r>
        <w:rPr>
          <w:rFonts w:ascii="Times New Roman" w:hAnsi="Times New Roman"/>
          <w:color w:val="000000"/>
          <w:sz w:val="24"/>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above, and except that Executive shall have no rights to continue any severance benefits under any Company severance pay plan, offer letter or otherwise. Except for the PIIA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Governing Law; Venue and Enforcement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will be governed by and construed in accordance with applicable federal laws and, to the extent not inconsistent therewith or preempted thereby,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Each party agrees that any controversy or claim arising out of or relating to this Agreement or the alleged breach hereof shall be instituted in the United States District Court for the District of Connecticut, or if that court does not have or will not accept jurisdiction,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any court of general jurisdiction in the State of Connecticut, and Executive and the Company consent to the personal and exclusive jurisdiction of such court(s) and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award shall be payable to Executive no later than the end of Executive’s first taxable year in which the Company either concedes the amount (or portion of the amount) payable or is required to make payment pursuant to a judgment by a court, and shall include interest on any amounts due and payable to Executive from the date due to the date of payment, calculated at one hundred and ten percent (110%) of the base lending in effect at Citibank, N.A. (or its successor) on the first of each month.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rFonts w:ascii="Times New Roman" w:hAnsi="Times New Roman"/>
          <w:sz w:val="24"/>
        </w:rPr>
      </w:pPr>
      <w:r>
        <w:rPr>
          <w:rFonts w:ascii="Times New Roman" w:hAnsi="Times New Roman"/>
          <w:color w:val="000000"/>
          <w:sz w:val="24"/>
          <w:u w:val="single"/>
        </w:rPr>
        <w:t>Recoupment</w:t>
      </w:r>
      <w:r>
        <w:rPr>
          <w:rFonts w:ascii="Times New Roman" w:hAnsi="Times New Roman"/>
          <w:color w:val="000000"/>
          <w:sz w:val="24"/>
        </w:rPr>
        <w:t>. Executive shall be required to repay incentive pay received throughout Executive’s employment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hAnsi="Times New Roman"/>
          <w:b/>
          <w:i/>
          <w:color w:val="000000"/>
          <w:sz w:val="24"/>
        </w:rPr>
        <w:t>Recoupment Policy</w:t>
      </w:r>
      <w:r>
        <w:rPr>
          <w:rFonts w:ascii="Times New Roman" w:hAnsi="Times New Roman"/>
          <w:color w:val="000000"/>
          <w:sz w:val="24"/>
        </w:rPr>
        <w:t xml:space="preserve">”).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executed this Agreement effective on the Effective Date.</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INVIVYD, INC.</w:t>
      </w:r>
    </w:p>
    <w:p>
      <w:pPr>
        <w:pStyle w:val="TextBody"/>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Kevin F. McLaughlin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Its: Chairperson of the Compensation Committee of the Board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MARC ELIA</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Marc Elia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b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Outside Activities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u w:val="single"/>
        </w:rPr>
        <w:t>Appendix B</w:t>
        <w:br/>
      </w:r>
      <w:r>
        <w:rPr>
          <w:rFonts w:ascii="Times New Roman" w:hAnsi="Times New Roman"/>
          <w:color w:val="000000"/>
          <w:sz w:val="24"/>
          <w:u w:val="single"/>
        </w:rPr>
        <w:t> </w:t>
      </w:r>
    </w:p>
    <w:p>
      <w:pPr>
        <w:pStyle w:val="TextBody"/>
        <w:bidi w:val="0"/>
        <w:jc w:val="left"/>
        <w:rPr>
          <w:rFonts w:ascii="Times New Roman" w:hAnsi="Times New Roman"/>
          <w:b/>
          <w:color w:val="000000"/>
          <w:sz w:val="24"/>
        </w:rPr>
      </w:pPr>
      <w:r>
        <w:rPr>
          <w:rFonts w:ascii="Times New Roman" w:hAnsi="Times New Roman"/>
          <w:b/>
          <w:color w:val="000000"/>
          <w:sz w:val="24"/>
        </w:rPr>
        <w:t>FORM SEPARATION AGREEMENT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[Address]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[Name]: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sets forth the substance of the separation agreement (the “Agreement”) which Invivyd, Inc. (the “Company”)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sz w:val="24"/>
        </w:rPr>
      </w:pPr>
      <w:r>
        <w:rPr>
          <w:rFonts w:ascii="Times New Roman" w:hAnsi="Times New Roman"/>
          <w:b/>
          <w:color w:val="000000"/>
          <w:sz w:val="24"/>
        </w:rPr>
        <w:t>Separation.</w:t>
      </w:r>
      <w:r>
        <w:rPr>
          <w:rFonts w:ascii="Times New Roman" w:hAnsi="Times New Roman"/>
          <w:color w:val="000000"/>
          <w:sz w:val="24"/>
        </w:rPr>
        <w:t xml:space="preserve"> Your last day of work with the Company and your employment termination date will be [Date]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Accrued Salary. </w:t>
      </w:r>
      <w:r>
        <w:rPr>
          <w:rFonts w:ascii="Times New Roman" w:hAnsi="Times New Roman"/>
          <w:color w:val="000000"/>
          <w:sz w:val="24"/>
        </w:rPr>
        <w:t>On the Separation Date, the Company will pay you all accrued salary earned through the Separation Date, subject to standard payroll deductions and withholdings. You will receive these payments regardless of whether or not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sz w:val="24"/>
        </w:rPr>
      </w:pPr>
      <w:r>
        <w:rPr>
          <w:rFonts w:ascii="Times New Roman" w:hAnsi="Times New Roman"/>
          <w:b/>
          <w:color w:val="000000"/>
          <w:sz w:val="24"/>
        </w:rPr>
        <w:t>Severance Benefits.</w:t>
      </w:r>
      <w:r>
        <w:rPr>
          <w:rFonts w:ascii="Times New Roman" w:hAnsi="Times New Roman"/>
          <w:color w:val="000000"/>
          <w:sz w:val="24"/>
        </w:rPr>
        <w:t xml:space="preserve"> If you execute and do not revoke this Agreement, and comply with its terms, the Company will provide you with the Severance Benefits pursuant to the terms of your [month, date, year] Employment Agreement with the Company (the “Employment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is offering severance to you in reliance on Treasury Regulation Section 1.409A-1(b)(9) and the short-term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sz w:val="24"/>
        </w:rPr>
      </w:pPr>
      <w:r>
        <w:rPr>
          <w:rFonts w:ascii="Times New Roman" w:hAnsi="Times New Roman"/>
          <w:b/>
          <w:color w:val="000000"/>
          <w:sz w:val="24"/>
        </w:rPr>
        <w:t>Benefit Plans.</w:t>
      </w:r>
      <w:r>
        <w:rPr>
          <w:rFonts w:ascii="Times New Roman" w:hAnsi="Times New Roman"/>
          <w:color w:val="000000"/>
          <w:sz w:val="24"/>
        </w:rPr>
        <w:t xml:space="preserv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If you are currently participating in the Company’s group health insurance plans, your participation as an employee will end on [the Separation Date] </w:t>
      </w:r>
      <w:r>
        <w:rPr>
          <w:rFonts w:ascii="Times New Roman" w:hAnsi="Times New Roman"/>
          <w:i/>
          <w:color w:val="000000"/>
          <w:sz w:val="24"/>
        </w:rPr>
        <w:t>or</w:t>
      </w:r>
      <w:r>
        <w:rPr>
          <w:rFonts w:ascii="Times New Roman" w:hAnsi="Times New Roman"/>
          <w:color w:val="000000"/>
          <w:sz w:val="24"/>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 may be able to convert to an individual policy through the provider of the Company’s health insurance, if you wish.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Deductions for the 401(k) Plan will end with your last regular paycheck. You will receive information by mail concerning 401(k) plan rollover procedures should you be a participant in this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You may be eligible for unemployment insurance benefits after the Separation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sz w:val="24"/>
        </w:rPr>
      </w:pPr>
      <w:r>
        <w:rPr>
          <w:rFonts w:ascii="Times New Roman" w:hAnsi="Times New Roman"/>
          <w:b/>
          <w:color w:val="000000"/>
          <w:sz w:val="24"/>
        </w:rPr>
        <w:t>Stock Options.</w:t>
      </w:r>
      <w:r>
        <w:rPr>
          <w:rFonts w:ascii="Times New Roman" w:hAnsi="Times New Roman"/>
          <w:color w:val="000000"/>
          <w:sz w:val="24"/>
        </w:rPr>
        <w:t xml:space="preserve"> You were granted options to purchase shares of the Company’s common stock, pursuant to [the Company’s 2021 Equity Incentive Plan] (the “Plan”). Under the terms of the Plan and your stock option grants, vesting will cease as of the Separation Date, all of your then vested options will remain outstanding for twelve (12) months after the date of such termination and all of your then unvested options will terminate and be forfeited as of the date of such 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sz w:val="24"/>
        </w:rPr>
      </w:pPr>
      <w:r>
        <w:rPr>
          <w:rFonts w:ascii="Times New Roman" w:hAnsi="Times New Roman"/>
          <w:b/>
          <w:color w:val="000000"/>
          <w:sz w:val="24"/>
        </w:rPr>
        <w:t>Other Compensation or Benefits.</w:t>
      </w:r>
      <w:r>
        <w:rPr>
          <w:rFonts w:ascii="Times New Roman" w:hAnsi="Times New Roman"/>
          <w:color w:val="000000"/>
          <w:sz w:val="24"/>
        </w:rPr>
        <w:t xml:space="preserve"> You acknowledge that, except as expressly provided in this Agreement, as of the 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sz w:val="24"/>
        </w:rPr>
      </w:pPr>
      <w:r>
        <w:rPr>
          <w:rFonts w:ascii="Times New Roman" w:hAnsi="Times New Roman"/>
          <w:b/>
          <w:color w:val="000000"/>
          <w:sz w:val="24"/>
        </w:rPr>
        <w:t>Expense Reimbursements.</w:t>
      </w:r>
      <w:r>
        <w:rPr>
          <w:rFonts w:ascii="Times New Roman" w:hAnsi="Times New Roman"/>
          <w:color w:val="000000"/>
          <w:sz w:val="24"/>
        </w:rPr>
        <w:t xml:space="preserve"> You agree that, within ten (10) days of the Separation Date, you will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sz w:val="22"/>
        </w:rPr>
      </w:pPr>
      <w:r>
        <w:rPr>
          <w:rFonts w:ascii="Times New Roman" w:hAnsi="Times New Roman"/>
          <w:b/>
          <w:color w:val="000000"/>
          <w:sz w:val="24"/>
        </w:rPr>
        <w:t>Return of Company Property.</w:t>
      </w:r>
      <w:r>
        <w:rPr>
          <w:rFonts w:ascii="Times New Roman" w:hAnsi="Times New Roman"/>
          <w:color w:val="000000"/>
          <w:sz w:val="22"/>
        </w:rPr>
        <w:t xml:space="preserve"> </w:t>
      </w:r>
      <w:r>
        <w:rPr>
          <w:rFonts w:ascii="Times New Roman" w:hAnsi="Times New Roman"/>
          <w:color w:val="000000"/>
          <w:sz w:val="24"/>
        </w:rPr>
        <w:t>By the Separation Date, you agree to return to the Company all Company documents (and all copies)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[name/title].</w:t>
      </w:r>
      <w:r>
        <w:rPr>
          <w:rFonts w:ascii="Times New Roman" w:hAnsi="Times New Roman"/>
          <w:color w:val="000000"/>
          <w:sz w:val="22"/>
        </w:rPr>
        <w:t xml:space="preserve"> </w:t>
      </w:r>
      <w:r>
        <w:rPr>
          <w:rFonts w:ascii="Times New Roman" w:hAnsi="Times New Roman"/>
          <w:b/>
          <w:color w:val="000000"/>
          <w:sz w:val="24"/>
        </w:rPr>
        <w:t>Receipt of the severance benefits described in Section 3 of this Agreement is expressly conditioned upon return of all Company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sz w:val="24"/>
        </w:rPr>
      </w:pPr>
      <w:r>
        <w:rPr>
          <w:rFonts w:ascii="Times New Roman" w:hAnsi="Times New Roman"/>
          <w:b/>
          <w:color w:val="000000"/>
          <w:sz w:val="24"/>
        </w:rPr>
        <w:t>Confidential Information; Reaffirmation of Post-Termination Obligations.</w:t>
      </w:r>
      <w:r>
        <w:rPr>
          <w:rFonts w:ascii="Times New Roman" w:hAnsi="Times New Roman"/>
          <w:color w:val="000000"/>
          <w:sz w:val="24"/>
        </w:rPr>
        <w:t xml:space="preserve"> Both during and after your employment you acknowledge your continuing obligations under your Employee Proprietary Information and Inventions Assignment Agreement that you entered into as part of your employment (“PIIA Agreement”) not to use or disclose any confidential or proprietary information of the Company and to refrain from certain solicitation and competition activities.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signing this Agreement, except as modified herein, you hereby reaffirm your continuing obligations under the PIIA Agreement to the Company, which may include, but are not limited to, non-competition and non-solicitation provisions. If you have any doubts as to the scope of the restrictions in your PIIA Agreement, you should contact Jill Andersen, Chief Legal Officer, immediately to assess your compliance. As you know, the Company will enforce its contract rights. Please familiarize yourself with the agreement that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Non-Compete. </w:t>
      </w:r>
      <w:r>
        <w:rPr>
          <w:rFonts w:ascii="Times New Roman" w:hAnsi="Times New Roman"/>
          <w:color w:val="000000"/>
          <w:sz w:val="24"/>
        </w:rPr>
        <w:t xml:space="preserve">In exchange for the payments and other consideration under this Agreement, to which you would not 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(except as the holder of not more than one percent (1%) of the outstanding stock of a publicly-held company),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parties agree that for purposes of this Agreement, “Conflicting Services” means any business or part thereof that develops, manufactures, markets, licenses, sells or provides (i) monoclonal antibodies for prevention or treatment of infectious diseases or (ii) any product or service that competes with monoclonal antibodies for the prevention or treatment of infectious diseases, in each case where such product or service was developed, manufactured, marketed, licensed, sold or provided, or planned to be developed, manufactured, marketed, licensed, sold or provided, by the Company at any time during your employment with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sz w:val="24"/>
        </w:rPr>
      </w:pPr>
      <w:r>
        <w:rPr>
          <w:rFonts w:ascii="Times New Roman" w:hAnsi="Times New Roman"/>
          <w:b/>
          <w:color w:val="000000"/>
          <w:sz w:val="24"/>
        </w:rPr>
        <w:t>Confidentiality.</w:t>
      </w:r>
      <w:r>
        <w:rPr>
          <w:rFonts w:ascii="Times New Roman" w:hAnsi="Times New Roman"/>
          <w:color w:val="000000"/>
          <w:sz w:val="24"/>
        </w:rPr>
        <w:t xml:space="preserve"> The provisions of this Agreement will be held in strictest confidence by you and will not be publicized or disclosed in any manner whatsoever; </w:t>
      </w:r>
      <w:r>
        <w:rPr>
          <w:rFonts w:ascii="Times New Roman" w:hAnsi="Times New Roman"/>
          <w:i/>
          <w:color w:val="000000"/>
          <w:sz w:val="24"/>
        </w:rPr>
        <w:t>provided, however,</w:t>
      </w:r>
      <w:r>
        <w:rPr>
          <w:rFonts w:ascii="Times New Roman" w:hAnsi="Times New Roman"/>
          <w:color w:val="000000"/>
          <w:sz w:val="24"/>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sz w:val="24"/>
        </w:rPr>
      </w:pPr>
      <w:r>
        <w:rPr>
          <w:rFonts w:ascii="Times New Roman" w:hAnsi="Times New Roman"/>
          <w:b/>
          <w:color w:val="000000"/>
          <w:sz w:val="24"/>
        </w:rPr>
        <w:t>Non-Disparagement.</w:t>
      </w:r>
      <w:r>
        <w:rPr>
          <w:rFonts w:ascii="Times New Roman" w:hAnsi="Times New Roman"/>
          <w:color w:val="000000"/>
          <w:sz w:val="24"/>
        </w:rPr>
        <w:t xml:space="preserve"> You agree not to disparage the Company, and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Cooperation after Termination. </w:t>
      </w:r>
      <w:r>
        <w:rPr>
          <w:rFonts w:ascii="Times New Roman" w:hAnsi="Times New Roman"/>
          <w:color w:val="000000"/>
          <w:sz w:val="24"/>
        </w:rPr>
        <w:t>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Release. </w:t>
      </w:r>
      <w:r>
        <w:rPr>
          <w:rFonts w:ascii="Times New Roman" w:hAnsi="Times New Roman"/>
          <w:color w:val="000000"/>
          <w:sz w:val="24"/>
        </w:rPr>
        <w:t>In exchange for the payments 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its personnel policies, handbooks, contracts of employment, or covenants of good faith and fair dealing;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which prohibit discrimination based on race, color, national origin, religion, genetic information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as well as state and local wage and hour laws; the National Labor Relations Act, which protects forms of concerted activity; the Family and Medical Leave Act of 1993, which requires employers to provide leaves of absence under certain circumstances; the Fair Credit Reporting Act, the Employee Polygraph Protection Act, all as amended, and any and all other federal, state or local laws, rules, regulations, constitutions, ordinances or public policies, whether known or unknown relating to employment laws, such as veterans’ reemployment rights laws and wage and hour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Your Acknowledgments and Affirmations/ Effective Date of Agreement. </w:t>
      </w:r>
      <w:r>
        <w:rPr>
          <w:rFonts w:ascii="Times New Roman" w:hAnsi="Times New Roman"/>
          <w:color w:val="000000"/>
          <w:sz w:val="24"/>
        </w:rPr>
        <w:t xml:space="preserve">You acknowledge that you are knowingly and 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24"/>
        </w:rPr>
      </w:pPr>
      <w:r>
        <w:rPr>
          <w:rFonts w:ascii="Times New Roman" w:hAnsi="Times New Roman"/>
          <w:color w:val="000000"/>
          <w:sz w:val="24"/>
        </w:rPr>
        <w:t>prior to executing this Agreement; (c) you have been given [twenty-one (21)/forty-five (45)</w:t>
      </w:r>
      <w:r>
        <w:rPr>
          <w:rFonts w:ascii="Times New Roman" w:hAnsi="Times New Roman"/>
          <w:color w:val="000000"/>
          <w:sz w:val="16"/>
        </w:rPr>
        <w:t>1</w:t>
      </w:r>
      <w:r>
        <w:rPr>
          <w:rFonts w:ascii="Times New Roman" w:hAnsi="Times New Roman"/>
          <w:color w:val="000000"/>
          <w:sz w:val="24"/>
        </w:rPr>
        <w:t>]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205 Church Street, New Haven CT 06510,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r>
        <w:rPr>
          <w:rFonts w:ascii="Times New Roman" w:hAnsi="Times New Roman"/>
          <w:color w:val="000000"/>
          <w:sz w:val="16"/>
        </w:rPr>
        <w:t>2</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sz w:val="24"/>
        </w:rPr>
      </w:pPr>
      <w:r>
        <w:rPr>
          <w:rFonts w:ascii="Times New Roman" w:hAnsi="Times New Roman"/>
          <w:b/>
          <w:color w:val="000000"/>
          <w:sz w:val="24"/>
        </w:rPr>
        <w:t>Breach.</w:t>
      </w:r>
      <w:r>
        <w:rPr>
          <w:rFonts w:ascii="Times New Roman" w:hAnsi="Times New Roman"/>
          <w:color w:val="000000"/>
          <w:sz w:val="24"/>
        </w:rPr>
        <w:t xml:space="preserve"> You agree that upon any breach of this Agreement you will forfeit all amounts paid or owing to you under this Agreement and to the extent already paid, you shall be required to return any such payments already made to you under this 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rFonts w:ascii="Times New Roman" w:hAnsi="Times New Roman"/>
          <w:sz w:val="24"/>
        </w:rPr>
      </w:pPr>
      <w:r>
        <w:rPr>
          <w:rFonts w:ascii="Times New Roman" w:hAnsi="Times New Roman"/>
          <w:b/>
          <w:color w:val="000000"/>
          <w:sz w:val="24"/>
        </w:rPr>
        <w:t>Miscellaneous.</w:t>
      </w:r>
      <w:r>
        <w:rPr>
          <w:rFonts w:ascii="Times New Roman" w:hAnsi="Times New Roman"/>
          <w:color w:val="000000"/>
          <w:sz w:val="24"/>
        </w:rPr>
        <w:t xml:space="preserve"> Except as set forth within this Agreement, including any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including with respect to any such promises, warranties or representations as set forth in the Employment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Applicable only in event of group layoff.</w:t>
      </w:r>
    </w:p>
    <w:p>
      <w:pPr>
        <w:pStyle w:val="TextBody"/>
        <w:bidi w:val="0"/>
        <w:spacing w:lineRule="auto" w:line="360" w:before="0" w:after="12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Applicable only in event of group layoff.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of this Agreement and the provision in question will be modified by the court so as to be rendered enforceable. This Agreement will be deemed to have been entered into and will be construed and enforced in accordance with the laws of the State of Connecticut as applied to contracts made and to be performed in whole or in part within Connecticut. To the fullest extent allowable by law, any dispute concerning this Agreement shall be resolved in the United States District Court with jurisdiction over New Haven, Connecticut, and you and the Company consent to the personal and exclusive jurisdiction of such court and waive any objection(s) that any such party may have to personal jurisdiction, the laying of venue of any such proceedings and any claim or defense of inconvenient forum.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wish you good luck in your future endeavors.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Invivyd,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480"/>
        <w:jc w:val="left"/>
        <w:rPr/>
      </w:pPr>
      <w:r>
        <w:rPr/>
        <w:t> </w:t>
      </w:r>
    </w:p>
    <w:p>
      <w:pPr>
        <w:pStyle w:val="TextBody"/>
        <w:bidi w:val="0"/>
        <w:spacing w:before="0" w:after="480"/>
        <w:jc w:val="left"/>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Marc Elia</w:t>
      </w:r>
    </w:p>
    <w:p>
      <w:pPr>
        <w:pStyle w:val="TextBody"/>
        <w:bidi w:val="0"/>
        <w:spacing w:before="0" w:after="48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CONSIDERATION PERIOD</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I, ____________________, understand that I have the right to take at least [21][45] days to consider whether to sign this Agreement, which I received on ___________ __, 20__. If I elect to sign this Agreement before [21][45] days have passed, I understand I am to sign and date below this paragraph to confirm that I knowingly and voluntarily agree to waive the 21-day consideration period.</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Agreed:</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__________________________________________</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4" w:name="ivvd-ex99_1.htm"/>
      <w:bookmarkStart w:id="5" w:name="ksivvdex99_1"/>
      <w:bookmarkEnd w:id="4"/>
      <w:bookmarkEnd w:id="5"/>
      <w:r>
        <w:rPr>
          <w:rFonts w:ascii="Aptos;sans-serif" w:hAnsi="Aptos;sans-serif"/>
          <w:b/>
          <w:color w:val="000000"/>
          <w:sz w:val="22"/>
        </w:rPr>
        <w:t>Exhibit 99.1</w:t>
      </w:r>
      <w:r>
        <w:br w:type="page"/>
      </w:r>
    </w:p>
    <w:p>
      <w:pPr>
        <w:pStyle w:val="TextBody"/>
        <w:bidi w:val="0"/>
        <w:jc w:val="left"/>
        <w:rPr/>
      </w:pPr>
      <w:r>
        <w:rPr/>
        <w:drawing>
          <wp:inline distT="0" distB="0" distL="0" distR="0">
            <wp:extent cx="14382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323850"/>
                    </a:xfrm>
                    <a:prstGeom prst="rect">
                      <a:avLst/>
                    </a:prstGeom>
                  </pic:spPr>
                </pic:pic>
              </a:graphicData>
            </a:graphic>
          </wp:inline>
        </w:drawing>
      </w:r>
    </w:p>
    <w:p>
      <w:pPr>
        <w:pStyle w:val="TextBody"/>
        <w:bidi w:val="0"/>
        <w:jc w:val="left"/>
        <w:rPr/>
      </w:pPr>
      <w:r>
        <w:rPr/>
        <w:t> </w:t>
      </w:r>
    </w:p>
    <w:p>
      <w:pPr>
        <w:pStyle w:val="TextBody"/>
        <w:bidi w:val="0"/>
        <w:spacing w:before="0" w:after="160"/>
        <w:jc w:val="left"/>
        <w:rPr>
          <w:rFonts w:ascii="Aptos;sans-serif" w:hAnsi="Aptos;sans-serif"/>
          <w:b/>
          <w:color w:val="000000"/>
          <w:sz w:val="28"/>
        </w:rPr>
      </w:pPr>
      <w:r>
        <w:rPr>
          <w:rFonts w:ascii="Aptos;sans-serif" w:hAnsi="Aptos;sans-serif"/>
          <w:b/>
          <w:color w:val="000000"/>
          <w:sz w:val="28"/>
        </w:rPr>
        <w:t>Invivyd Appoints Chairman Marc W. Elia as Chief Executive Officer; Approaches Results of VYD2311 studies DECLARATION and LIBERTY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Mr. Elia has served as Chairman of Invivyd’s Board of Directors since June of 2022; has architected Invivyd’s scientific and corporate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Ajay Royan, Founder of Mithril Capital and a founding, long-term investor in Invivyd, appointed Lead Independent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Ian Sheffield appointed to Invivyd’s Board of Directors as an independent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 xml:space="preserve">DECLARATION and LIBERTY studies of VYD2311 approaching completion with further updates expected within weeks </w:t>
      </w:r>
    </w:p>
    <w:p>
      <w:pPr>
        <w:pStyle w:val="TextBody"/>
        <w:bidi w:val="0"/>
        <w:spacing w:before="120" w:after="283"/>
        <w:jc w:val="lef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NEW HAVEN, Conn., Sept. 01, 2026 (GLOBE NEWSWIRE) -- Invivyd, Inc. (Nasdaq: IVVD) today announced that the company has appointed Marc Elia, current Chairman of the Invivyd Board of Directors, as Chief Executive Officer (CEO) of the company. He will serve as Chairman and CEO of Invivyd going forward. </w:t>
      </w:r>
    </w:p>
    <w:p>
      <w:pPr>
        <w:pStyle w:val="TextBody"/>
        <w:bidi w:val="0"/>
        <w:spacing w:before="0" w:after="120"/>
        <w:jc w:val="left"/>
        <w:rPr/>
      </w:pPr>
      <w:r>
        <w:rPr>
          <w:color w:val="000000"/>
        </w:rPr>
        <w:t>“</w:t>
      </w:r>
      <w:r>
        <w:rPr>
          <w:rFonts w:ascii="Aptos;sans-serif" w:hAnsi="Aptos;sans-serif"/>
          <w:color w:val="000000"/>
          <w:sz w:val="22"/>
        </w:rPr>
        <w:t xml:space="preserve">Invivyd is transforming the way people are protected from serious viral infectious disease and requires a leader who has an expansive vision for how to improve public health and the ability to persuade others to bring the vision to life. That leader is Marc Elia,” said Ajay Royan, Lead Independent Director of Invivyd. “Marc has been a significant contributor to Invivyd since joining the Board and becoming Chairman. I’m eager to see the success he will bring to the company and to humanity as the Chief Executive Officer.” </w:t>
      </w:r>
    </w:p>
    <w:p>
      <w:pPr>
        <w:pStyle w:val="TextBody"/>
        <w:bidi w:val="0"/>
        <w:spacing w:before="0" w:after="120"/>
        <w:jc w:val="left"/>
        <w:rPr/>
      </w:pPr>
      <w:r>
        <w:rPr>
          <w:color w:val="000000"/>
        </w:rPr>
        <w:t>“</w:t>
      </w:r>
      <w:r>
        <w:rPr>
          <w:rFonts w:ascii="Aptos;sans-serif" w:hAnsi="Aptos;sans-serif"/>
          <w:color w:val="000000"/>
          <w:sz w:val="22"/>
        </w:rPr>
        <w:t xml:space="preserve">Invivyd and its antibody technologies have the potential to revolutionize COVID prevention, and infectious disease medicine more broadly,” commented Marc Elia, Chairman and CEO of Invivyd. “Invivyd has been purpose-built to offer Americans and the world a new way to stay well by reliably accessing high quality, targeted, monoclonal antibody immune support that can provide protection from disease beyond the limits of vaccinology. Our current status quo involves too many Americans left to be sick too often, and many Americans, including myself, have struggled with the effects of Long COVID for years. Now more than ever we need companies that can bring forward medicines that advance our society past a need to repeatedly get sick from viruses we can prevent and treat with monoclonal antibodies. It’s an honor to lead the charge at Invivyd.”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Joining the Invivyd Board of Directors as a new independent director is Ian Sheffield, founder and Managing Partner of North Country Holdings, a private investment firm. Mr. Sheffield has more than 20 years of experience as a healthcare investor and medical technology executive, previously holding senior roles at Ashler Capital (Citadel), Bridger Capital, Great Point Partners, and Versant Ventures.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Invivyd continues to expect top-line data from the VYD2311 program around the end of Q3 2026. At that time, Invivyd plans to either unblind the DECLARATION study in its entirety and submit a Biologics License Application (BLA) towards traditional product approval, or partially unblind the study (leaving clinical events blinded) and submit a BLA towards Accelerated Approval on the basis of antiviral activity and safety, with greater statistical power expected to be achieved in a post-approval confirmatory clinical cohort. Preparing such options for filing pathway will substantially reduce the risk that play of chance related to the statistical powering in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DECLARATION intrudes into the near-term availability of VYD2311, a highly active anti-COVID-19 monoclonal antibody that is functionally identical to prior Invivyd antibodies adintrevimab and pemivibart. The company has been in discussions with FDA about potential paths forward and believes that either route can provide a near-term pathway to make VYD2311 available for millions of Americans, subject to FDA review and approval. Invivyd will provide further updates in the coming weeks as previously guided.</w:t>
      </w:r>
    </w:p>
    <w:p>
      <w:pPr>
        <w:pStyle w:val="TextBody"/>
        <w:bidi w:val="0"/>
        <w:spacing w:before="0" w:after="120"/>
        <w:jc w:val="left"/>
        <w:rPr>
          <w:rFonts w:ascii="Aptos;sans-serif" w:hAnsi="Aptos;sans-serif"/>
          <w:sz w:val="22"/>
        </w:rPr>
      </w:pPr>
      <w:r>
        <w:rPr>
          <w:rFonts w:ascii="Aptos;sans-serif" w:hAnsi="Aptos;sans-serif"/>
          <w:b/>
          <w:color w:val="000000"/>
          <w:sz w:val="22"/>
        </w:rPr>
        <w:t>About VYD2311</w:t>
      </w:r>
      <w:r>
        <w:rPr>
          <w:rFonts w:ascii="Aptos;sans-serif" w:hAnsi="Aptos;sans-serif"/>
          <w:color w:val="000000"/>
          <w:sz w:val="22"/>
        </w:rPr>
        <w:t xml:space="preserve">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DECLARATION</w:t>
      </w:r>
    </w:p>
    <w:p>
      <w:pPr>
        <w:pStyle w:val="TextBody"/>
        <w:bidi w:val="0"/>
        <w:spacing w:before="0" w:after="120"/>
        <w:jc w:val="left"/>
        <w:rPr>
          <w:rFonts w:ascii="Aptos;sans-serif" w:hAnsi="Aptos;sans-serif"/>
          <w:color w:val="000000"/>
          <w:sz w:val="22"/>
        </w:rPr>
      </w:pPr>
      <w:r>
        <w:rPr>
          <w:rFonts w:ascii="Aptos;sans-serif" w:hAnsi="Aptos;sans-serif"/>
          <w:color w:val="000000"/>
          <w:sz w:val="22"/>
        </w:rPr>
        <w:t>DECLARATION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monthly doses of VYD2311, each administered via intramuscular (IM) injection, compared to placebo. Total enrollment of the trial is approximately 2,400 participants.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LIBERTY</w:t>
      </w:r>
    </w:p>
    <w:p>
      <w:pPr>
        <w:pStyle w:val="TextBody"/>
        <w:bidi w:val="0"/>
        <w:spacing w:before="0" w:after="120"/>
        <w:jc w:val="left"/>
        <w:rPr>
          <w:rFonts w:ascii="Aptos;sans-serif" w:hAnsi="Aptos;sans-serif"/>
          <w:color w:val="000000"/>
          <w:sz w:val="22"/>
        </w:rPr>
      </w:pPr>
      <w:r>
        <w:rPr>
          <w:rFonts w:ascii="Aptos;sans-serif" w:hAnsi="Aptos;sans-serif"/>
          <w:color w:val="000000"/>
          <w:sz w:val="22"/>
        </w:rPr>
        <w:t>LIBERTY is a Phase 3, randomized, double-blind clinical trial to evaluate the safety, serum virus neutralizing antibody responses, and pharmacokinetics of VYD2311, an mRNA COVID vaccine, and co-administered VYD2311 with an mRNA COVID vaccine. Total enrollment of the trial is approximately 210 participants.</w:t>
      </w:r>
    </w:p>
    <w:p>
      <w:pPr>
        <w:pStyle w:val="TextBody"/>
        <w:bidi w:val="0"/>
        <w:spacing w:before="0" w:after="120"/>
        <w:jc w:val="left"/>
        <w:rPr>
          <w:rFonts w:ascii="Times New Roman" w:hAnsi="Times New Roman"/>
          <w:sz w:val="22"/>
        </w:rPr>
      </w:pPr>
      <w:r>
        <w:rPr>
          <w:rFonts w:ascii="Aptos;sans-serif" w:hAnsi="Aptos;sans-serif"/>
          <w:b/>
          <w:color w:val="000000"/>
          <w:sz w:val="22"/>
        </w:rPr>
        <w:t>About Invivyd</w:t>
      </w:r>
      <w:r>
        <w:rPr>
          <w:rFonts w:ascii="Times New Roman" w:hAnsi="Times New Roman"/>
          <w:color w:val="000000"/>
          <w:sz w:val="22"/>
        </w:rPr>
        <w:t xml:space="preserve">  </w:t>
      </w:r>
    </w:p>
    <w:p>
      <w:pPr>
        <w:pStyle w:val="TextBody"/>
        <w:bidi w:val="0"/>
        <w:spacing w:before="0" w:after="120"/>
        <w:jc w:val="left"/>
        <w:rPr>
          <w:rFonts w:ascii="Aptos;sans-serif" w:hAnsi="Aptos;sans-serif"/>
          <w:sz w:val="22"/>
        </w:rPr>
      </w:pPr>
      <w:r>
        <w:rPr>
          <w:rFonts w:ascii="Aptos;sans-serif" w:hAnsi="Aptos;sans-serif"/>
          <w:color w:val="000000"/>
          <w:sz w:val="22"/>
        </w:rPr>
        <w:t xml:space="preserve">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w:t>
      </w:r>
      <w:r>
        <w:rPr>
          <w:rFonts w:ascii="Aptos;sans-serif" w:hAnsi="Aptos;sans-serif"/>
          <w:sz w:val="22"/>
        </w:rPr>
        <w:t>https://invivyd.com/</w:t>
      </w:r>
      <w:r>
        <w:rPr>
          <w:rFonts w:ascii="Aptos;sans-serif" w:hAnsi="Aptos;sans-serif"/>
          <w:color w:val="000000"/>
          <w:sz w:val="22"/>
        </w:rPr>
        <w:t xml:space="preserve"> to learn more.</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Trademarks are the property of their respective owners.</w:t>
      </w:r>
    </w:p>
    <w:p>
      <w:pPr>
        <w:pStyle w:val="TextBody"/>
        <w:bidi w:val="0"/>
        <w:spacing w:before="0" w:after="12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sz w:val="22"/>
        </w:rPr>
      </w:pPr>
      <w:r>
        <w:rPr>
          <w:rFonts w:ascii="Aptos;sans-serif" w:hAnsi="Aptos;sans-serif"/>
          <w:b/>
          <w:color w:val="000000"/>
          <w:sz w:val="22"/>
        </w:rPr>
        <w:t>Cautionary Note Regarding Forward-Looking Statements</w:t>
      </w:r>
      <w:r>
        <w:rPr>
          <w:rFonts w:ascii="Aptos;sans-serif" w:hAnsi="Aptos;sans-serif"/>
          <w:color w:val="000000"/>
          <w:sz w:val="22"/>
        </w:rPr>
        <w:t xml:space="preserve">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 xml:space="preserve">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the anticipated contributions of the company’s Chief Executive Officer; plans related to the company’s research and development activities, and the timing and potential results thereof; expectations regarding the company’s clinical trial designs, event accumulation and progress, regulatory pathway, product profile, indication, patient populations, and administration paradigm for VYD2311; the company’s plans to provide future updates and the timing thereof; expectations regarding the public health landscape and potential benefits of mAbs; the potential of Invivyd and its antibody technologies to revolutionize COVID prevention, and infectious disease medicine more broadly; the potential of VYD2311 as a novel mAb candidate that may be able to deliver clinically meaningful titer levels through more patient-friendly means; the company’s business strategies and objectives;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uncertainties regarding clinical trial event accumulation rates and statistical powering; the risk that results of nonclinical studies or clinical trials may not be predictive of future results, and interim data are subject to further analysis; unexpected safety or efficacy data observed during preclinical studies or clinical trials; whether or not any preclinical candidate identified by the company is determined to be suitable for clinical development; changes in the regulatory environment; the outcome of the company’s engagement with regulators; uncertainties related to the regulatory approval process, and available development and regulatory pathways;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 that VYD2311 targets remains structurally intact and the company’s product candidates are able to demonstrate and sustain neutralizing activity against major SARS-CoV-2 variants, particularly in the face of viral evolution; the ability to maintain a continued acceptable safety, tolerability, and efficacy profile of any product candidate following regulatory authorization or approval; the risk that a lack of awareness of mAb therapies and regulatory scrutiny of mAb therapies may adversely impact the development or commercial success of the company’s product candidates; changes in expected or existing competition; the company’s reliance on third parties; complexities of manufacturing mAb therapies; macroeconomic and political uncertainties;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and its Quarterly Report on Form 10-Q for the quarter ended June 30, 2026,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This press release contains hyperlinks to information that is not deemed to be incorporated by reference in this press release.</w:t>
      </w:r>
    </w:p>
    <w:p>
      <w:pPr>
        <w:pStyle w:val="TextBody"/>
        <w:bidi w:val="0"/>
        <w:spacing w:before="0" w:after="160"/>
        <w:jc w:val="left"/>
        <w:rPr>
          <w:rFonts w:ascii="Aptos;sans-serif" w:hAnsi="Aptos;sans-serif"/>
          <w:b/>
          <w:color w:val="000000"/>
          <w:sz w:val="22"/>
        </w:rPr>
      </w:pPr>
      <w:r>
        <w:rPr>
          <w:rFonts w:ascii="Aptos;sans-serif" w:hAnsi="Aptos;sans-serif"/>
          <w:b/>
          <w:color w:val="000000"/>
          <w:sz w:val="22"/>
        </w:rPr>
        <w:t>Contacts:</w:t>
      </w:r>
    </w:p>
    <w:p>
      <w:pPr>
        <w:pStyle w:val="TextBody"/>
        <w:bidi w:val="0"/>
        <w:spacing w:before="0" w:after="160"/>
        <w:jc w:val="left"/>
        <w:rPr>
          <w:rFonts w:ascii="Aptos;sans-serif" w:hAnsi="Aptos;sans-serif"/>
          <w:sz w:val="22"/>
        </w:rPr>
      </w:pPr>
      <w:r>
        <w:rPr>
          <w:rFonts w:ascii="Aptos;sans-serif" w:hAnsi="Aptos;sans-serif"/>
          <w:b/>
          <w:color w:val="000000"/>
          <w:sz w:val="22"/>
        </w:rPr>
        <w:t>Media Relations</w:t>
        <w:br/>
      </w:r>
      <w:r>
        <w:rPr>
          <w:rFonts w:ascii="Aptos;sans-serif" w:hAnsi="Aptos;sans-serif"/>
          <w:color w:val="000000"/>
          <w:sz w:val="22"/>
        </w:rPr>
        <w:t>(781) 208-0160</w:t>
        <w:br/>
        <w:t>media@invivyd.com</w:t>
      </w:r>
    </w:p>
    <w:p>
      <w:pPr>
        <w:pStyle w:val="TextBody"/>
        <w:bidi w:val="0"/>
        <w:spacing w:before="0" w:after="160"/>
        <w:jc w:val="left"/>
        <w:rPr>
          <w:rFonts w:ascii="Aptos;sans-serif" w:hAnsi="Aptos;sans-serif"/>
          <w:sz w:val="22"/>
        </w:rPr>
      </w:pPr>
      <w:r>
        <w:rPr>
          <w:rFonts w:ascii="Aptos;sans-serif" w:hAnsi="Aptos;sans-serif"/>
          <w:b/>
          <w:color w:val="000000"/>
          <w:sz w:val="22"/>
        </w:rPr>
        <w:t>Investor Relations</w:t>
        <w:br/>
      </w:r>
      <w:r>
        <w:rPr>
          <w:rFonts w:ascii="Aptos;sans-serif" w:hAnsi="Aptos;sans-serif"/>
          <w:color w:val="000000"/>
          <w:sz w:val="22"/>
        </w:rPr>
        <w:t>(781) 208-1747</w:t>
        <w:br/>
        <w:t>investors@invivyd.com</w:t>
      </w:r>
    </w:p>
    <w:p>
      <w:pPr>
        <w:pStyle w:val="TextBody"/>
        <w:bidi w:val="0"/>
        <w:spacing w:before="0" w:after="160"/>
        <w:jc w:val="left"/>
        <w:rPr/>
      </w:pPr>
      <w:r>
        <w:rPr/>
        <w:t> </w:t>
      </w:r>
    </w:p>
    <w:p>
      <w:pPr>
        <w:pStyle w:val="TextBody"/>
        <w:bidi w:val="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18474</Words>
  <Characters>99823</Characters>
  <CharactersWithSpaces>118120</CharactersWithSpaces>
  <Paragraphs>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