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99"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2600" w:right="1600" w:hanging="2579"/>
        <w:spacing w:after="0" w:line="422" w:lineRule="auto"/>
        <w:tabs>
          <w:tab w:leader="none" w:pos="47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7"/>
          <w:szCs w:val="17"/>
          <w:color w:val="auto"/>
          <w:highlight w:val="black"/>
        </w:rPr>
      </w:pP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320"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49"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85-1403134</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53" w:lineRule="exact"/>
        <w:rPr>
          <w:sz w:val="24"/>
          <w:szCs w:val="24"/>
          <w:color w:val="auto"/>
        </w:rPr>
      </w:pPr>
    </w:p>
    <w:p>
      <w:pPr>
        <w:sectPr>
          <w:pgSz w:w="11900" w:h="16838" w:orient="portrait"/>
          <w:cols w:equalWidth="0" w:num="2">
            <w:col w:w="7220" w:space="720"/>
            <w:col w:w="3300"/>
          </w:cols>
          <w:pgMar w:left="320" w:top="746" w:right="339" w:bottom="1440" w:gutter="0" w:footer="0" w:header="0"/>
          <w:type w:val="continuous"/>
        </w:sectPr>
      </w:pPr>
    </w:p>
    <w:tbl>
      <w:tblPr>
        <w:tblLayout w:type="fixed"/>
        <w:tblInd w:w="1700" w:type="dxa"/>
        <w:tblCellMar>
          <w:top w:w="0" w:type="dxa"/>
          <w:left w:w="0" w:type="dxa"/>
          <w:bottom w:w="0" w:type="dxa"/>
          <w:right w:w="0" w:type="dxa"/>
        </w:tblCellMar>
      </w:tblPr>
      <w:tr>
        <w:trPr>
          <w:trHeight w:val="230"/>
        </w:trPr>
        <w:tc>
          <w:tcPr>
            <w:tcW w:w="4340" w:type="dxa"/>
            <w:vAlign w:val="bottom"/>
          </w:tcPr>
          <w:p>
            <w:pPr>
              <w:jc w:val="center"/>
              <w:ind w:right="2019"/>
              <w:spacing w:after="0"/>
              <w:rPr>
                <w:sz w:val="20"/>
                <w:szCs w:val="20"/>
                <w:color w:val="auto"/>
              </w:rPr>
            </w:pPr>
            <w:r>
              <w:rPr>
                <w:rFonts w:ascii="Arial" w:cs="Arial" w:eastAsia="Arial" w:hAnsi="Arial"/>
                <w:sz w:val="18"/>
                <w:szCs w:val="18"/>
                <w:b w:val="1"/>
                <w:bCs w:val="1"/>
                <w:color w:val="auto"/>
                <w:w w:val="89"/>
              </w:rPr>
              <w:t>1601 Trapelo Road, Suite 178</w:t>
            </w:r>
          </w:p>
        </w:tc>
        <w:tc>
          <w:tcPr>
            <w:tcW w:w="2680" w:type="dxa"/>
            <w:vAlign w:val="bottom"/>
          </w:tcPr>
          <w:p>
            <w:pPr>
              <w:spacing w:after="0"/>
              <w:rPr>
                <w:sz w:val="19"/>
                <w:szCs w:val="19"/>
                <w:color w:val="auto"/>
              </w:rPr>
            </w:pPr>
          </w:p>
        </w:tc>
      </w:tr>
      <w:tr>
        <w:trPr>
          <w:trHeight w:val="248"/>
        </w:trPr>
        <w:tc>
          <w:tcPr>
            <w:tcW w:w="4340" w:type="dxa"/>
            <w:vAlign w:val="bottom"/>
          </w:tcPr>
          <w:p>
            <w:pPr>
              <w:jc w:val="center"/>
              <w:ind w:right="2039"/>
              <w:spacing w:after="0"/>
              <w:rPr>
                <w:sz w:val="20"/>
                <w:szCs w:val="20"/>
                <w:color w:val="auto"/>
              </w:rPr>
            </w:pPr>
            <w:r>
              <w:rPr>
                <w:rFonts w:ascii="Arial" w:cs="Arial" w:eastAsia="Arial" w:hAnsi="Arial"/>
                <w:sz w:val="18"/>
                <w:szCs w:val="18"/>
                <w:b w:val="1"/>
                <w:bCs w:val="1"/>
                <w:color w:val="auto"/>
                <w:w w:val="97"/>
              </w:rPr>
              <w:t>Waltham,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80" w:type="dxa"/>
            <w:vAlign w:val="bottom"/>
          </w:tcPr>
          <w:p>
            <w:pPr>
              <w:jc w:val="center"/>
              <w:ind w:left="2024"/>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ADGI</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60" w:firstLine="599"/>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November 8, 2021, the registrant had 111,251,660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22"/>
          </w:tcPr>
          <w:p>
            <w:pPr>
              <w:spacing w:after="0" w:line="18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Operations and Comprehensive Loss</w:t>
              </w:r>
            </w:hyperlink>
          </w:p>
        </w:tc>
        <w:tc>
          <w:tcPr>
            <w:tcW w:w="20" w:type="dxa"/>
            <w:vAlign w:val="bottom"/>
            <w:tcBorders>
              <w:bottom w:val="single" w:sz="8" w:color="0000EE"/>
            </w:tcBorders>
          </w:tcPr>
          <w:p>
            <w:pPr>
              <w:spacing w:after="0"/>
              <w:rPr>
                <w:sz w:val="19"/>
                <w:szCs w:val="19"/>
                <w:color w:val="auto"/>
              </w:rPr>
            </w:pPr>
          </w:p>
        </w:tc>
        <w:tc>
          <w:tcPr>
            <w:tcW w:w="37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 of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tcBorders>
              <w:top w:val="single" w:sz="8" w:color="0000FF"/>
            </w:tcBorders>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9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OTHER INFORMATION</w:t>
              </w:r>
            </w:hyperlink>
          </w:p>
        </w:tc>
        <w:tc>
          <w:tcPr>
            <w:tcW w:w="740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Unregistered Sales of Equity Securities and Use of Proceeds</w:t>
              </w:r>
            </w:hyperlink>
          </w:p>
        </w:tc>
        <w:tc>
          <w:tcPr>
            <w:tcW w:w="49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Defaults Upon Senior Securities</w:t>
              </w:r>
            </w:hyperlink>
          </w:p>
        </w:tc>
        <w:tc>
          <w:tcPr>
            <w:tcW w:w="696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Mine Safety Disclosures</w:t>
              </w:r>
            </w:hyperlink>
          </w:p>
        </w:tc>
        <w:tc>
          <w:tcPr>
            <w:tcW w:w="752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Exhibits</w:t>
              </w:r>
            </w:hyperlink>
          </w:p>
        </w:tc>
        <w:tc>
          <w:tcPr>
            <w:tcW w:w="798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1140" w:type="dxa"/>
            <w:vAlign w:val="bottom"/>
            <w:gridSpan w:val="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478,269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114,988</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3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188,053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28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FF0FC"/>
          </w:tcPr>
          <w:p>
            <w:pPr>
              <w:spacing w:after="0"/>
              <w:rPr>
                <w:sz w:val="22"/>
                <w:szCs w:val="22"/>
                <w:color w:val="auto"/>
              </w:rPr>
            </w:pPr>
          </w:p>
        </w:tc>
      </w:tr>
      <w:tr>
        <w:trPr>
          <w:trHeight w:val="243"/>
        </w:trPr>
        <w:tc>
          <w:tcPr>
            <w:tcW w:w="772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680,155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117,382</w:t>
            </w: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686,270</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117,382</w:t>
            </w:r>
          </w:p>
        </w:tc>
        <w:tc>
          <w:tcPr>
            <w:tcW w:w="100" w:type="dxa"/>
            <w:vAlign w:val="bottom"/>
            <w:tcBorders>
              <w:top w:val="single" w:sz="8" w:color="CFF0FC"/>
            </w:tcBorders>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Borders>
              <w:bottom w:val="single" w:sz="8" w:color="CFF0FC"/>
            </w:tcBorders>
          </w:tcPr>
          <w:p>
            <w:pPr>
              <w:ind w:left="300"/>
              <w:spacing w:after="0"/>
              <w:rPr>
                <w:sz w:val="20"/>
                <w:szCs w:val="20"/>
                <w:color w:val="auto"/>
              </w:rPr>
            </w:pPr>
            <w:r>
              <w:rPr>
                <w:rFonts w:ascii="Arial" w:cs="Arial" w:eastAsia="Arial" w:hAnsi="Arial"/>
                <w:sz w:val="18"/>
                <w:szCs w:val="18"/>
                <w:color w:val="auto"/>
              </w:rPr>
              <w:t>Early-exercise liability</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21"/>
                <w:szCs w:val="21"/>
                <w:color w:val="auto"/>
              </w:rPr>
            </w:pPr>
          </w:p>
        </w:tc>
      </w:tr>
      <w:tr>
        <w:trPr>
          <w:trHeight w:val="243"/>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Convertible preferred stock (Series A, B and C) $0.0001 par value; no shares authorized, issued and</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outstanding at September 30, 2021; 12,647,934 shares authorized, issued and outstanding at December</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31, 2020; aggregate liquidation preference of $0 and $169,900 at September 30, 2021 and December</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31, 2020, respectively</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169,548</w:t>
            </w: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720" w:type="dxa"/>
            <w:vAlign w:val="bottom"/>
          </w:tcPr>
          <w:p>
            <w:pPr>
              <w:ind w:left="560"/>
              <w:spacing w:after="0"/>
              <w:rPr>
                <w:sz w:val="20"/>
                <w:szCs w:val="20"/>
                <w:color w:val="auto"/>
              </w:rPr>
            </w:pPr>
            <w:r>
              <w:rPr>
                <w:rFonts w:ascii="Arial" w:cs="Arial" w:eastAsia="Arial" w:hAnsi="Arial"/>
                <w:sz w:val="18"/>
                <w:szCs w:val="18"/>
                <w:color w:val="auto"/>
                <w:w w:val="95"/>
              </w:rPr>
              <w:t>Undesignated preferred stock, $0.0001 par value; 10,000,000 shares authorized at September</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720" w:type="dxa"/>
            <w:vAlign w:val="bottom"/>
          </w:tcPr>
          <w:p>
            <w:pPr>
              <w:ind w:left="560"/>
              <w:spacing w:after="0"/>
              <w:rPr>
                <w:sz w:val="20"/>
                <w:szCs w:val="20"/>
                <w:color w:val="auto"/>
              </w:rPr>
            </w:pPr>
            <w:r>
              <w:rPr>
                <w:rFonts w:ascii="Arial" w:cs="Arial" w:eastAsia="Arial" w:hAnsi="Arial"/>
                <w:sz w:val="18"/>
                <w:szCs w:val="18"/>
                <w:color w:val="auto"/>
                <w:w w:val="97"/>
              </w:rPr>
              <w:t>30, 2021; no shares authorized at December 31, 2020; no shares issued and outstanding at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20" w:type="dxa"/>
            <w:vAlign w:val="bottom"/>
          </w:tcPr>
          <w:p>
            <w:pPr>
              <w:ind w:left="560"/>
              <w:spacing w:after="0"/>
              <w:rPr>
                <w:sz w:val="20"/>
                <w:szCs w:val="20"/>
                <w:color w:val="auto"/>
              </w:rPr>
            </w:pPr>
            <w:r>
              <w:rPr>
                <w:rFonts w:ascii="Arial" w:cs="Arial" w:eastAsia="Arial" w:hAnsi="Arial"/>
                <w:sz w:val="18"/>
                <w:szCs w:val="18"/>
                <w:color w:val="auto"/>
              </w:rPr>
              <w:t>September 30, 2021 and December 31, 2020</w:t>
            </w:r>
          </w:p>
        </w:tc>
        <w:tc>
          <w:tcPr>
            <w:tcW w:w="22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9"/>
              </w:rPr>
              <w:t>Common stock, $0.0001 par value; 1,000,000,000 shares authorized at September 30, 2021;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1"/>
              </w:rPr>
              <w:t>150,000,000 shares authorized at December 31, 2020; 111,251,660 shares issued and outstanding at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3"/>
              </w:rPr>
              <w:t>September 30, 2021; 28,193,240 shares issued and 5,593,240 shares outstanding at December 31,</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42"/>
        </w:trPr>
        <w:tc>
          <w:tcPr>
            <w:tcW w:w="7720" w:type="dxa"/>
            <w:vAlign w:val="bottom"/>
          </w:tcPr>
          <w:p>
            <w:pPr>
              <w:ind w:left="300"/>
              <w:spacing w:after="0"/>
              <w:rPr>
                <w:sz w:val="20"/>
                <w:szCs w:val="20"/>
                <w:color w:val="auto"/>
              </w:rPr>
            </w:pPr>
            <w:r>
              <w:rPr>
                <w:rFonts w:ascii="Arial" w:cs="Arial" w:eastAsia="Arial" w:hAnsi="Arial"/>
                <w:sz w:val="18"/>
                <w:szCs w:val="18"/>
                <w:color w:val="auto"/>
                <w:w w:val="92"/>
              </w:rPr>
              <w:t>Treasury stock, at cost; no shares and 22,600,000 shares at September 30, 2021 and December 31,</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720" w:type="dxa"/>
            <w:vAlign w:val="bottom"/>
          </w:tcPr>
          <w:p>
            <w:pPr>
              <w:ind w:left="300"/>
              <w:spacing w:after="0"/>
              <w:rPr>
                <w:sz w:val="20"/>
                <w:szCs w:val="20"/>
                <w:color w:val="auto"/>
              </w:rPr>
            </w:pPr>
            <w:r>
              <w:rPr>
                <w:rFonts w:ascii="Arial" w:cs="Arial" w:eastAsia="Arial" w:hAnsi="Arial"/>
                <w:sz w:val="18"/>
                <w:szCs w:val="18"/>
                <w:color w:val="auto"/>
              </w:rPr>
              <w:t>2020, respectively</w:t>
            </w:r>
          </w:p>
        </w:tc>
        <w:tc>
          <w:tcPr>
            <w:tcW w:w="22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(85 )</w:t>
            </w:r>
          </w:p>
        </w:tc>
      </w:tr>
      <w:tr>
        <w:trPr>
          <w:trHeight w:val="263"/>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842,272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(209,067 )</w:t>
            </w:r>
          </w:p>
        </w:tc>
        <w:tc>
          <w:tcPr>
            <w:tcW w:w="2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(65,319 )</w:t>
            </w: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720" w:type="dxa"/>
            <w:vAlign w:val="bottom"/>
          </w:tcPr>
          <w:p>
            <w:pPr>
              <w:ind w:left="56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633,213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(65,249 )</w:t>
            </w:r>
          </w:p>
        </w:tc>
      </w:tr>
      <w:tr>
        <w:trPr>
          <w:trHeight w:val="290"/>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686,270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-4659630</wp:posOffset>
            </wp:positionV>
            <wp:extent cx="1714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-4659630</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-3492500</wp:posOffset>
            </wp:positionV>
            <wp:extent cx="19685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-3492500</wp:posOffset>
            </wp:positionV>
            <wp:extent cx="8509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-365125</wp:posOffset>
            </wp:positionV>
            <wp:extent cx="17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71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71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 from</w:t>
            </w: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June 3, 2020</w:t>
            </w: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(Inception) to</w:t>
            </w: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209"/>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8"/>
                <w:szCs w:val="18"/>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5740" w:type="dxa"/>
            <w:vAlign w:val="bottom"/>
          </w:tcPr>
          <w:p>
            <w:pPr>
              <w:ind w:left="200"/>
              <w:spacing w:after="0" w:line="257"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45,366</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7,251</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114,465</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2"/>
                <w:szCs w:val="22"/>
                <w:color w:val="auto"/>
              </w:rPr>
            </w:pPr>
          </w:p>
        </w:tc>
      </w:tr>
      <w:tr>
        <w:trPr>
          <w:trHeight w:val="256"/>
        </w:trPr>
        <w:tc>
          <w:tcPr>
            <w:tcW w:w="5740" w:type="dxa"/>
            <w:vAlign w:val="bottom"/>
            <w:shd w:val="clear" w:color="auto" w:fill="CFF0FC"/>
          </w:tcPr>
          <w:p>
            <w:pPr>
              <w:ind w:left="200"/>
              <w:spacing w:after="0" w:line="257" w:lineRule="exact"/>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r>
      <w:tr>
        <w:trPr>
          <w:trHeight w:val="250"/>
        </w:trPr>
        <w:tc>
          <w:tcPr>
            <w:tcW w:w="5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143,818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(60,418 )</w:t>
            </w: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(48,008 )</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(143,818 )</w:t>
            </w: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(48,106 )</w:t>
            </w:r>
          </w:p>
        </w:tc>
      </w:tr>
      <w:tr>
        <w:trPr>
          <w:trHeight w:val="25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r>
      <w:tr>
        <w:trPr>
          <w:trHeight w:val="25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(60,375 )</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(48,008 )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(143,748 )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(48,106 )</w:t>
            </w:r>
          </w:p>
        </w:tc>
      </w:tr>
      <w:tr>
        <w:trPr>
          <w:trHeight w:val="250"/>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7"/>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 on available-for-sale securities, net of tax</w:t>
            </w:r>
          </w:p>
        </w:tc>
        <w:tc>
          <w:tcPr>
            <w:tcW w:w="1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(60,372 )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(48,008 )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(143,745 )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(48,106 )</w:t>
            </w: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Net loss per share attributable to common stockholders,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(7.55 )</w:t>
            </w:r>
          </w:p>
        </w:tc>
      </w:tr>
      <w:tr>
        <w:trPr>
          <w:trHeight w:val="237"/>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61,297,086</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1,847,826</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20,346,771</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6,375,000</w:t>
            </w:r>
          </w:p>
        </w:tc>
        <w:tc>
          <w:tcPr>
            <w:tcW w:w="100" w:type="dxa"/>
            <w:vAlign w:val="bottom"/>
            <w:tcBorders>
              <w:top w:val="single" w:sz="8" w:color="CFF0FC"/>
            </w:tcBorders>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-1916430</wp:posOffset>
            </wp:positionV>
            <wp:extent cx="1460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-1916430</wp:posOffset>
            </wp:positionV>
            <wp:extent cx="1460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-1916430</wp:posOffset>
            </wp:positionV>
            <wp:extent cx="1282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-1916430</wp:posOffset>
            </wp:positionV>
            <wp:extent cx="596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-1247775</wp:posOffset>
            </wp:positionV>
            <wp:extent cx="1460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-1247775</wp:posOffset>
            </wp:positionV>
            <wp:extent cx="146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-1247775</wp:posOffset>
            </wp:positionV>
            <wp:extent cx="12827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-1247775</wp:posOffset>
            </wp:positionV>
            <wp:extent cx="596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-904875</wp:posOffset>
            </wp:positionV>
            <wp:extent cx="1460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-904875</wp:posOffset>
            </wp:positionV>
            <wp:extent cx="1460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-904875</wp:posOffset>
            </wp:positionV>
            <wp:extent cx="1282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-904875</wp:posOffset>
            </wp:positionV>
            <wp:extent cx="596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-570865</wp:posOffset>
            </wp:positionV>
            <wp:extent cx="1460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-570865</wp:posOffset>
            </wp:positionV>
            <wp:extent cx="1460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-570865</wp:posOffset>
            </wp:positionV>
            <wp:extent cx="1282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-570865</wp:posOffset>
            </wp:positionV>
            <wp:extent cx="596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-213995</wp:posOffset>
            </wp:positionV>
            <wp:extent cx="146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-196215</wp:posOffset>
            </wp:positionV>
            <wp:extent cx="146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-213995</wp:posOffset>
            </wp:positionV>
            <wp:extent cx="146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-196215</wp:posOffset>
            </wp:positionV>
            <wp:extent cx="1460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-213995</wp:posOffset>
            </wp:positionV>
            <wp:extent cx="128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-196215</wp:posOffset>
            </wp:positionV>
            <wp:extent cx="128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-213995</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-196215</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0" w:lineRule="exact"/>
        <w:rPr>
          <w:sz w:val="20"/>
          <w:szCs w:val="20"/>
          <w:color w:val="auto"/>
        </w:rPr>
      </w:pPr>
    </w:p>
    <w:p>
      <w:pPr>
        <w:ind w:left="440" w:hanging="432"/>
        <w:spacing w:after="0" w:line="282"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related-party amounts of $1,826 and $2,261 for the three and nine months ended September 30, 2021, respectively, and $291 for both the three months ended September 30, 2020 and for the period from June 3, 2020 (inception) to September 30, 2020 (see Note 15).</w:t>
      </w:r>
    </w:p>
    <w:p>
      <w:pPr>
        <w:ind w:left="440" w:hanging="432"/>
        <w:spacing w:after="0" w:line="323"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related-party amounts of $4,000 and $7,500 for the three and nine months ended September 30, 2021, respectively, and $39,915 for both the three months ended September 30, 2020 and for the period from June 3, 2020 (inception) to September 30, 2020 (see Note 15).</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CONVERTIBLE</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55880</wp:posOffset>
            </wp:positionV>
            <wp:extent cx="34290" cy="582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8293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70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Convertible Preferred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72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940" w:type="dxa"/>
            <w:vAlign w:val="bottom"/>
            <w:gridSpan w:val="3"/>
          </w:tcPr>
          <w:p>
            <w:pPr>
              <w:ind w:left="620"/>
              <w:spacing w:after="0"/>
              <w:rPr>
                <w:sz w:val="20"/>
                <w:szCs w:val="20"/>
                <w:color w:val="auto"/>
              </w:rPr>
            </w:pPr>
            <w:r>
              <w:rPr>
                <w:rFonts w:ascii="Arial" w:cs="Arial" w:eastAsia="Arial" w:hAnsi="Arial"/>
                <w:sz w:val="13"/>
                <w:szCs w:val="13"/>
                <w:b w:val="1"/>
                <w:bCs w:val="1"/>
                <w:color w:val="auto"/>
                <w:w w:val="84"/>
              </w:rPr>
              <w:t>Stock</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Common Stock</w:t>
            </w: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9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5"/>
              </w:rPr>
              <w:t>Deficit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b w:val="1"/>
                <w:bCs w:val="1"/>
                <w:color w:val="auto"/>
              </w:rPr>
              <w:t>Balances at June 3, 2020 (Inception)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3"/>
          </w:tcPr>
          <w:p>
            <w:pPr>
              <w:jc w:val="right"/>
              <w:ind w:right="21"/>
              <w:spacing w:after="0"/>
              <w:rPr>
                <w:sz w:val="20"/>
                <w:szCs w:val="20"/>
                <w:color w:val="auto"/>
              </w:rPr>
            </w:pPr>
            <w:r>
              <w:rPr>
                <w:rFonts w:ascii="Arial" w:cs="Arial" w:eastAsia="Arial" w:hAnsi="Arial"/>
                <w:sz w:val="13"/>
                <w:szCs w:val="13"/>
                <w:color w:val="auto"/>
              </w:rPr>
              <w:t>—  $</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at inception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21,250,000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540" w:type="dxa"/>
            <w:vAlign w:val="bottom"/>
          </w:tcPr>
          <w:p>
            <w:pPr>
              <w:ind w:left="20"/>
              <w:spacing w:after="0"/>
              <w:rPr>
                <w:sz w:val="20"/>
                <w:szCs w:val="20"/>
                <w:color w:val="auto"/>
              </w:rPr>
            </w:pPr>
            <w:r>
              <w:rPr>
                <w:rFonts w:ascii="Arial" w:cs="Arial" w:eastAsia="Arial" w:hAnsi="Arial"/>
                <w:sz w:val="13"/>
                <w:szCs w:val="13"/>
                <w:color w:val="auto"/>
                <w:w w:val="90"/>
              </w:rPr>
              <w:t>Issuance of restricted common stock upon early</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6,943,240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(98 )</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21"/>
        </w:trPr>
        <w:tc>
          <w:tcPr>
            <w:tcW w:w="25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b w:val="1"/>
                <w:bCs w:val="1"/>
                <w:color w:val="auto"/>
              </w:rPr>
              <w:t>Balances at June 30, 2020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28,193,240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(98 )</w:t>
            </w: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0"/>
              </w:rPr>
              <w:t>Issuance of Series A convertible preferred stock</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 exchange for license and common stock</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w:t>
            </w: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5"/>
              </w:rPr>
              <w:t>(21,250,000 )</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(2 )</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21,250,000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(85 )</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73"/>
        </w:trPr>
        <w:tc>
          <w:tcPr>
            <w:tcW w:w="2540" w:type="dxa"/>
            <w:vAlign w:val="bottom"/>
          </w:tcPr>
          <w:p>
            <w:pPr>
              <w:ind w:left="20"/>
              <w:spacing w:after="0"/>
              <w:rPr>
                <w:sz w:val="20"/>
                <w:szCs w:val="20"/>
                <w:color w:val="auto"/>
              </w:rPr>
            </w:pPr>
            <w:r>
              <w:rPr>
                <w:rFonts w:ascii="Arial" w:cs="Arial" w:eastAsia="Arial" w:hAnsi="Arial"/>
                <w:sz w:val="13"/>
                <w:szCs w:val="13"/>
                <w:color w:val="auto"/>
                <w:w w:val="89"/>
              </w:rPr>
              <w:t>Issuance of Series A convertible preferred stock,</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Pr>
          <w:p>
            <w:pPr>
              <w:ind w:left="20"/>
              <w:spacing w:after="0"/>
              <w:rPr>
                <w:sz w:val="20"/>
                <w:szCs w:val="20"/>
                <w:color w:val="auto"/>
              </w:rPr>
            </w:pPr>
            <w:r>
              <w:rPr>
                <w:rFonts w:ascii="Arial" w:cs="Arial" w:eastAsia="Arial" w:hAnsi="Arial"/>
                <w:sz w:val="13"/>
                <w:szCs w:val="13"/>
                <w:color w:val="auto"/>
              </w:rPr>
              <w:t>net of issuance costs of $194</w:t>
            </w:r>
          </w:p>
        </w:tc>
        <w:tc>
          <w:tcPr>
            <w:tcW w:w="700" w:type="dxa"/>
            <w:vAlign w:val="bottom"/>
          </w:tcPr>
          <w:p>
            <w:pPr>
              <w:jc w:val="right"/>
              <w:spacing w:after="0"/>
              <w:rPr>
                <w:sz w:val="20"/>
                <w:szCs w:val="20"/>
                <w:color w:val="auto"/>
              </w:rPr>
            </w:pPr>
            <w:r>
              <w:rPr>
                <w:rFonts w:ascii="Arial" w:cs="Arial" w:eastAsia="Arial" w:hAnsi="Arial"/>
                <w:sz w:val="13"/>
                <w:szCs w:val="13"/>
                <w:color w:val="auto"/>
              </w:rPr>
              <w:t>6,237,500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49,706</w:t>
            </w:r>
          </w:p>
        </w:tc>
        <w:tc>
          <w:tcPr>
            <w:tcW w:w="160" w:type="dxa"/>
            <w:vAlign w:val="bottom"/>
            <w:tcBorders>
              <w:right w:val="single" w:sz="8" w:color="auto"/>
            </w:tcBorders>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(48,008 )</w:t>
            </w: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(48,008 )</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September 30, 2020</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11,237,500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89,706</w:t>
            </w:r>
          </w:p>
        </w:tc>
        <w:tc>
          <w:tcPr>
            <w:tcW w:w="160" w:type="dxa"/>
            <w:vAlign w:val="bottom"/>
            <w:tcBorders>
              <w:right w:val="single" w:sz="8" w:color="CFF0FC"/>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6,943,240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21,250,000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(85 )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21"/>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(48,106 ) $</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(48,184 )</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540" w:type="dxa"/>
            <w:vAlign w:val="bottom"/>
          </w:tcPr>
          <w:p>
            <w:pPr>
              <w:spacing w:after="0"/>
              <w:rPr>
                <w:sz w:val="24"/>
                <w:szCs w:val="24"/>
                <w:color w:val="auto"/>
              </w:rPr>
            </w:pPr>
          </w:p>
        </w:tc>
        <w:tc>
          <w:tcPr>
            <w:tcW w:w="170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Convertible Preferred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72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940" w:type="dxa"/>
            <w:vAlign w:val="bottom"/>
            <w:gridSpan w:val="3"/>
          </w:tcPr>
          <w:p>
            <w:pPr>
              <w:ind w:left="620"/>
              <w:spacing w:after="0"/>
              <w:rPr>
                <w:sz w:val="20"/>
                <w:szCs w:val="20"/>
                <w:color w:val="auto"/>
              </w:rPr>
            </w:pPr>
            <w:r>
              <w:rPr>
                <w:rFonts w:ascii="Arial" w:cs="Arial" w:eastAsia="Arial" w:hAnsi="Arial"/>
                <w:sz w:val="13"/>
                <w:szCs w:val="13"/>
                <w:b w:val="1"/>
                <w:bCs w:val="1"/>
                <w:color w:val="auto"/>
                <w:w w:val="84"/>
              </w:rPr>
              <w:t>Stock</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Common Stock</w:t>
            </w: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9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5"/>
              </w:rPr>
              <w:t>Deficit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12,647,934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169,548</w:t>
            </w:r>
          </w:p>
        </w:tc>
        <w:tc>
          <w:tcPr>
            <w:tcW w:w="160" w:type="dxa"/>
            <w:vAlign w:val="bottom"/>
            <w:tcBorders>
              <w:right w:val="single" w:sz="8" w:color="auto"/>
            </w:tcBorders>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5,593,240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22,600,000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(85 )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21"/>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(65,319 ) $</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(65,249 )</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(38,700 )</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(38,700 )</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vMerge w:val="restart"/>
          </w:tcPr>
          <w:p>
            <w:pPr>
              <w:ind w:left="20"/>
              <w:spacing w:after="0"/>
              <w:rPr>
                <w:sz w:val="20"/>
                <w:szCs w:val="20"/>
                <w:color w:val="auto"/>
              </w:rPr>
            </w:pPr>
            <w:r>
              <w:rPr>
                <w:rFonts w:ascii="Arial" w:cs="Arial" w:eastAsia="Arial" w:hAnsi="Arial"/>
                <w:sz w:val="13"/>
                <w:szCs w:val="13"/>
                <w:b w:val="1"/>
                <w:bCs w:val="1"/>
                <w:color w:val="auto"/>
              </w:rPr>
              <w:t>Balances at March 31, 2021</w:t>
            </w:r>
          </w:p>
        </w:tc>
        <w:tc>
          <w:tcPr>
            <w:tcW w:w="70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60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6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6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7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68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12,647,934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169,548</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5,593,240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22,600,000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(85 )</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(104,019 )</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(103,362 )</w:t>
            </w: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w w:val="89"/>
              </w:rPr>
              <w:t>Issuance of Series C convertible preferred stock,</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of issuance costs of $337</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4,296,550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335,163</w:t>
            </w:r>
          </w:p>
        </w:tc>
        <w:tc>
          <w:tcPr>
            <w:tcW w:w="160" w:type="dxa"/>
            <w:vAlign w:val="bottom"/>
            <w:tcBorders>
              <w:right w:val="single" w:sz="8" w:color="auto"/>
            </w:tcBorders>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Vesting of restricted common stock from early-</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exercised options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Retirement of treasury stock</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w w:val="98"/>
              </w:rPr>
              <w:t>(22,600,000 )</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(85 )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(44,673 )</w:t>
            </w: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(44,673 )</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2021</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16,944,484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504,711</w:t>
            </w:r>
          </w:p>
        </w:tc>
        <w:tc>
          <w:tcPr>
            <w:tcW w:w="160" w:type="dxa"/>
            <w:vAlign w:val="bottom"/>
            <w:tcBorders>
              <w:right w:val="single" w:sz="8" w:color="auto"/>
            </w:tcBorders>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5,599,240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(148,692 )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(144,624 )</w:t>
            </w:r>
          </w:p>
        </w:tc>
        <w:tc>
          <w:tcPr>
            <w:tcW w:w="0" w:type="dxa"/>
            <w:vAlign w:val="bottom"/>
          </w:tcPr>
          <w:p>
            <w:pPr>
              <w:spacing w:after="0"/>
              <w:rPr>
                <w:sz w:val="1"/>
                <w:szCs w:val="1"/>
                <w:color w:val="auto"/>
              </w:rPr>
            </w:pPr>
          </w:p>
        </w:tc>
      </w:tr>
      <w:tr>
        <w:trPr>
          <w:trHeight w:val="173"/>
        </w:trPr>
        <w:tc>
          <w:tcPr>
            <w:tcW w:w="2540" w:type="dxa"/>
            <w:vAlign w:val="bottom"/>
          </w:tcPr>
          <w:p>
            <w:pPr>
              <w:ind w:left="20"/>
              <w:spacing w:after="0"/>
              <w:rPr>
                <w:sz w:val="20"/>
                <w:szCs w:val="20"/>
                <w:color w:val="auto"/>
              </w:rPr>
            </w:pPr>
            <w:r>
              <w:rPr>
                <w:rFonts w:ascii="Arial" w:cs="Arial" w:eastAsia="Arial" w:hAnsi="Arial"/>
                <w:sz w:val="13"/>
                <w:szCs w:val="13"/>
                <w:color w:val="auto"/>
                <w:w w:val="93"/>
              </w:rPr>
              <w:t>Issuance of common stock upon completion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rPr>
                <w:sz w:val="20"/>
                <w:szCs w:val="20"/>
                <w:color w:val="auto"/>
              </w:rPr>
            </w:pPr>
            <w:r>
              <w:rPr>
                <w:rFonts w:ascii="Arial" w:cs="Arial" w:eastAsia="Arial" w:hAnsi="Arial"/>
                <w:sz w:val="13"/>
                <w:szCs w:val="13"/>
                <w:color w:val="auto"/>
              </w:rPr>
              <w:t>initial public offering, net of commissions,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tcPr>
          <w:p>
            <w:pPr>
              <w:ind w:left="20"/>
              <w:spacing w:after="0"/>
              <w:rPr>
                <w:sz w:val="20"/>
                <w:szCs w:val="20"/>
                <w:color w:val="auto"/>
              </w:rPr>
            </w:pPr>
            <w:r>
              <w:rPr>
                <w:rFonts w:ascii="Arial" w:cs="Arial" w:eastAsia="Arial" w:hAnsi="Arial"/>
                <w:sz w:val="13"/>
                <w:szCs w:val="13"/>
                <w:color w:val="auto"/>
              </w:rPr>
              <w:t>underwriting discounts and offering costs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20,930,000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327,518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327,520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Conversion of convertible preferred stock to</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5"/>
              </w:rPr>
              <w:t>(16,944,484 )</w:t>
            </w:r>
          </w:p>
        </w:tc>
        <w:tc>
          <w:tcPr>
            <w:tcW w:w="120" w:type="dxa"/>
            <w:vAlign w:val="bottom"/>
            <w:shd w:val="clear" w:color="auto" w:fill="CFF0FC"/>
          </w:tcPr>
          <w:p>
            <w:pPr>
              <w:spacing w:after="0"/>
              <w:rPr>
                <w:sz w:val="15"/>
                <w:szCs w:val="15"/>
                <w:color w:val="auto"/>
              </w:rPr>
            </w:pP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(504,711 )</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84,722,420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504,707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504,709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Vesting of restricted common stock from early-</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exercised options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20"/>
              <w:spacing w:after="0"/>
              <w:rPr>
                <w:sz w:val="20"/>
                <w:szCs w:val="20"/>
                <w:color w:val="auto"/>
              </w:rPr>
            </w:pPr>
            <w:r>
              <w:rPr>
                <w:rFonts w:ascii="Arial" w:cs="Arial" w:eastAsia="Arial" w:hAnsi="Arial"/>
                <w:sz w:val="13"/>
                <w:szCs w:val="13"/>
                <w:color w:val="auto"/>
                <w:w w:val="91"/>
              </w:rPr>
              <w:t>Unrealized gain on available-for-sale securities,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3"/>
                <w:szCs w:val="13"/>
                <w:color w:val="auto"/>
              </w:rPr>
              <w:t>net of tax</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(60,375 )</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(60,375 )</w:t>
            </w:r>
          </w:p>
        </w:tc>
        <w:tc>
          <w:tcPr>
            <w:tcW w:w="0" w:type="dxa"/>
            <w:vAlign w:val="bottom"/>
          </w:tcPr>
          <w:p>
            <w:pPr>
              <w:spacing w:after="0"/>
              <w:rPr>
                <w:sz w:val="1"/>
                <w:szCs w:val="1"/>
                <w:color w:val="auto"/>
              </w:rPr>
            </w:pPr>
          </w:p>
        </w:tc>
      </w:tr>
      <w:tr>
        <w:trPr>
          <w:trHeight w:val="22"/>
        </w:trPr>
        <w:tc>
          <w:tcPr>
            <w:tcW w:w="25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tcPr>
          <w:p>
            <w:pPr>
              <w:ind w:left="20"/>
              <w:spacing w:after="0"/>
              <w:rPr>
                <w:sz w:val="20"/>
                <w:szCs w:val="20"/>
                <w:color w:val="auto"/>
              </w:rPr>
            </w:pPr>
            <w:r>
              <w:rPr>
                <w:rFonts w:ascii="Arial" w:cs="Arial" w:eastAsia="Arial" w:hAnsi="Arial"/>
                <w:sz w:val="13"/>
                <w:szCs w:val="13"/>
                <w:b w:val="1"/>
                <w:bCs w:val="1"/>
                <w:color w:val="auto"/>
              </w:rPr>
              <w:t>Balances at September 30, 2021</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111,251,660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842,272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(209,067 ) $</w:t>
            </w:r>
          </w:p>
        </w:tc>
        <w:tc>
          <w:tcPr>
            <w:tcW w:w="700" w:type="dxa"/>
            <w:vAlign w:val="bottom"/>
          </w:tcPr>
          <w:p>
            <w:pPr>
              <w:jc w:val="right"/>
              <w:spacing w:after="0"/>
              <w:rPr>
                <w:sz w:val="20"/>
                <w:szCs w:val="20"/>
                <w:color w:val="auto"/>
              </w:rPr>
            </w:pPr>
            <w:r>
              <w:rPr>
                <w:rFonts w:ascii="Arial" w:cs="Arial" w:eastAsia="Arial" w:hAnsi="Arial"/>
                <w:sz w:val="13"/>
                <w:szCs w:val="13"/>
                <w:color w:val="auto"/>
              </w:rPr>
              <w:t>633,213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-4582795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-4718050</wp:posOffset>
            </wp:positionV>
            <wp:extent cx="8953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9535" cy="15430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-4582795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-4582795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-4582795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-4582795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-4582795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-4582795</wp:posOffset>
            </wp:positionV>
            <wp:extent cx="431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-4582795</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-4582795</wp:posOffset>
            </wp:positionV>
            <wp:extent cx="342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-3642360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-3625215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-3903980</wp:posOffset>
            </wp:positionV>
            <wp:extent cx="89535" cy="299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9535" cy="29972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-3642360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-3625215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-3642360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-3625215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-3642360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-3625215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-3642360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-3625215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-3642360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-3625215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-3642360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-3625215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-3642360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-3625215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-3642360</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-3625215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-3509645</wp:posOffset>
            </wp:positionV>
            <wp:extent cx="34290" cy="582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58293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-2576830</wp:posOffset>
            </wp:positionV>
            <wp:extent cx="3429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-2583815</wp:posOffset>
            </wp:positionV>
            <wp:extent cx="3429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-1649095</wp:posOffset>
            </wp:positionV>
            <wp:extent cx="3429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-150495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-286385</wp:posOffset>
            </wp:positionV>
            <wp:extent cx="4551680" cy="299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51680" cy="299720"/>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r>
      <w:tr>
        <w:trPr>
          <w:trHeight w:val="176"/>
        </w:trPr>
        <w:tc>
          <w:tcPr>
            <w:tcW w:w="8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June 3, 2020</w:t>
            </w:r>
          </w:p>
        </w:tc>
      </w:tr>
      <w:tr>
        <w:trPr>
          <w:trHeight w:val="175"/>
        </w:trPr>
        <w:tc>
          <w:tcPr>
            <w:tcW w:w="8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(Inception) to</w:t>
            </w:r>
          </w:p>
        </w:tc>
      </w:tr>
      <w:tr>
        <w:trPr>
          <w:trHeight w:val="192"/>
        </w:trPr>
        <w:tc>
          <w:tcPr>
            <w:tcW w:w="83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r>
      <w:tr>
        <w:trPr>
          <w:trHeight w:val="256"/>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(143,748 )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(48,106 )</w:t>
            </w:r>
          </w:p>
        </w:tc>
      </w:tr>
      <w:tr>
        <w:trPr>
          <w:trHeight w:val="263"/>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r>
      <w:tr>
        <w:trPr>
          <w:trHeight w:val="263"/>
        </w:trPr>
        <w:tc>
          <w:tcPr>
            <w:tcW w:w="8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acquired in-process research and development</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100" w:type="dxa"/>
            <w:vAlign w:val="bottom"/>
            <w:shd w:val="clear" w:color="auto" w:fill="CFF0FC"/>
          </w:tcPr>
          <w:p>
            <w:pPr>
              <w:spacing w:after="0"/>
              <w:rPr>
                <w:sz w:val="22"/>
                <w:szCs w:val="22"/>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Net amortization of premiums and accretion of discounts on marketable securities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payments</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(11,342 )</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(47 )</w:t>
            </w:r>
          </w:p>
        </w:tc>
      </w:tr>
      <w:tr>
        <w:trPr>
          <w:trHeight w:val="250"/>
        </w:trPr>
        <w:tc>
          <w:tcPr>
            <w:tcW w:w="83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1"/>
                <w:szCs w:val="21"/>
                <w:color w:val="auto"/>
              </w:rPr>
            </w:pPr>
          </w:p>
        </w:tc>
      </w:tr>
      <w:tr>
        <w:trPr>
          <w:trHeight w:val="263"/>
        </w:trPr>
        <w:tc>
          <w:tcPr>
            <w:tcW w:w="8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30,122</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FF0FC"/>
          </w:tcPr>
          <w:p>
            <w:pPr>
              <w:spacing w:after="0"/>
              <w:rPr>
                <w:sz w:val="22"/>
                <w:szCs w:val="22"/>
                <w:color w:val="auto"/>
              </w:rPr>
            </w:pPr>
          </w:p>
        </w:tc>
      </w:tr>
      <w:tr>
        <w:trPr>
          <w:trHeight w:val="250"/>
        </w:trPr>
        <w:tc>
          <w:tcPr>
            <w:tcW w:w="830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(6,016 )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r>
      <w:tr>
        <w:trPr>
          <w:trHeight w:val="20"/>
        </w:trPr>
        <w:tc>
          <w:tcPr>
            <w:tcW w:w="8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(111,524 )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(1,143 )</w:t>
            </w:r>
          </w:p>
        </w:tc>
      </w:tr>
      <w:tr>
        <w:trPr>
          <w:trHeight w:val="250"/>
        </w:trPr>
        <w:tc>
          <w:tcPr>
            <w:tcW w:w="83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6"/>
        </w:trPr>
        <w:tc>
          <w:tcPr>
            <w:tcW w:w="8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marketable securities</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(188,627 )</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830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(188,627 )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issuance of convertible preferred stock, net of issuance costs paid</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49,706</w:t>
            </w:r>
          </w:p>
        </w:tc>
        <w:tc>
          <w:tcPr>
            <w:tcW w:w="100" w:type="dxa"/>
            <w:vAlign w:val="bottom"/>
          </w:tcPr>
          <w:p>
            <w:pPr>
              <w:spacing w:after="0"/>
              <w:rPr>
                <w:sz w:val="21"/>
                <w:szCs w:val="21"/>
                <w:color w:val="auto"/>
              </w:rPr>
            </w:pPr>
          </w:p>
        </w:tc>
      </w:tr>
      <w:tr>
        <w:trPr>
          <w:trHeight w:val="263"/>
        </w:trPr>
        <w:tc>
          <w:tcPr>
            <w:tcW w:w="8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net of commissions and underwriting discounts</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330,905</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early exercises of stock options</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57"/>
        </w:trPr>
        <w:tc>
          <w:tcPr>
            <w:tcW w:w="8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initial public offering costs</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(2,636 )</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30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663,432</w:t>
            </w: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49,720</w:t>
            </w:r>
          </w:p>
        </w:tc>
        <w:tc>
          <w:tcPr>
            <w:tcW w:w="100" w:type="dxa"/>
            <w:vAlign w:val="bottom"/>
            <w:tcBorders>
              <w:top w:val="single" w:sz="8" w:color="CFF0FC"/>
            </w:tcBorders>
          </w:tcPr>
          <w:p>
            <w:pPr>
              <w:spacing w:after="0"/>
              <w:rPr>
                <w:sz w:val="21"/>
                <w:szCs w:val="21"/>
                <w:color w:val="auto"/>
              </w:rPr>
            </w:pPr>
          </w:p>
        </w:tc>
      </w:tr>
      <w:tr>
        <w:trPr>
          <w:trHeight w:val="256"/>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363,281</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48,577</w:t>
            </w:r>
          </w:p>
        </w:tc>
        <w:tc>
          <w:tcPr>
            <w:tcW w:w="100" w:type="dxa"/>
            <w:vAlign w:val="bottom"/>
            <w:shd w:val="clear" w:color="auto" w:fill="CFF0FC"/>
          </w:tcPr>
          <w:p>
            <w:pPr>
              <w:spacing w:after="0"/>
              <w:rPr>
                <w:sz w:val="22"/>
                <w:szCs w:val="22"/>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8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478,269</w:t>
            </w:r>
          </w:p>
        </w:tc>
        <w:tc>
          <w:tcPr>
            <w:tcW w:w="12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48,577</w:t>
            </w:r>
          </w:p>
        </w:tc>
        <w:tc>
          <w:tcPr>
            <w:tcW w:w="100" w:type="dxa"/>
            <w:vAlign w:val="bottom"/>
            <w:shd w:val="clear" w:color="auto" w:fill="CFF0FC"/>
          </w:tcPr>
          <w:p>
            <w:pPr>
              <w:spacing w:after="0"/>
              <w:rPr>
                <w:sz w:val="24"/>
                <w:szCs w:val="24"/>
                <w:color w:val="auto"/>
              </w:rPr>
            </w:pPr>
          </w:p>
        </w:tc>
      </w:tr>
      <w:tr>
        <w:trPr>
          <w:trHeight w:val="237"/>
        </w:trPr>
        <w:tc>
          <w:tcPr>
            <w:tcW w:w="83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offering and issuance costs included in accounts payable and accrued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8300" w:type="dxa"/>
            <w:vAlign w:val="bottom"/>
          </w:tcPr>
          <w:p>
            <w:pPr>
              <w:ind w:left="20"/>
              <w:spacing w:after="0"/>
              <w:rPr>
                <w:sz w:val="20"/>
                <w:szCs w:val="20"/>
                <w:color w:val="auto"/>
              </w:rPr>
            </w:pPr>
            <w:r>
              <w:rPr>
                <w:rFonts w:ascii="Arial" w:cs="Arial" w:eastAsia="Arial" w:hAnsi="Arial"/>
                <w:sz w:val="18"/>
                <w:szCs w:val="18"/>
                <w:color w:val="auto"/>
                <w:w w:val="98"/>
              </w:rPr>
              <w:t>Issuance of Series A convertible preferred stock in exchange for assigned rights, license and repurchased</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-2653665</wp:posOffset>
            </wp:positionV>
            <wp:extent cx="16256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-2653665</wp:posOffset>
            </wp:positionV>
            <wp:extent cx="5969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-2319655</wp:posOffset>
            </wp:positionV>
            <wp:extent cx="1625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-2319655</wp:posOffset>
            </wp:positionV>
            <wp:extent cx="5969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-1325245</wp:posOffset>
            </wp:positionV>
            <wp:extent cx="1625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-1325245</wp:posOffset>
            </wp:positionV>
            <wp:extent cx="5969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-650875</wp:posOffset>
            </wp:positionV>
            <wp:extent cx="1625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-633730</wp:posOffset>
            </wp:positionV>
            <wp:extent cx="162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-650875</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-633730</wp:posOffset>
            </wp:positionV>
            <wp:extent cx="59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3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Adagio Therapeutics, Inc., together with its consolidated subsidiary (the “Company”), is a clinical-stage biopharmaceutical company focused on the discovery, development and commercialization of antibody-based solutions for infectious diseases with pandemic potential, including coronavirus disease 2019 (“COVID-19”) and influenza. The Company’s initial focus is on the virus SARS-CoV-2, its variants and the disease caused by this virus, which is known as COVID-19. The Company initiated clinical trials for its lead product candidate, ADG20, in February 2021. ADG20 is designed to be a potent, long-acting and broadly neutralizing antibody for both the prevention and treatment of COVID-19 as either a single or combination agent. The Company was incorporated in the State of Delaware in June 2020. The Company operates as a virtual company and plans to maintain a corporate headquarters for general and administrative purposes only. In addition, the Company engages third parties, including Adimab, LLC (“Adimab”), to perform ongoing research and development and other services on its behalf.</w:t>
      </w:r>
    </w:p>
    <w:p>
      <w:pPr>
        <w:spacing w:after="0" w:line="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manufacturing, clinical and commercial success of its product candidates.</w:t>
      </w:r>
    </w:p>
    <w:p>
      <w:pPr>
        <w:spacing w:after="0" w:line="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July 30,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77"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On August 10,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$330.9 million, after deducting underwriting discounts and commissions of $24.9 million, but before deducting offering expenses payable by the Company, which were $3.4 million. Upon the closing of the IPO, all shares of the Company’s convertible preferred stock then outstanding converted into 84,722,420 shares of common stock (see Note 10).</w:t>
      </w:r>
    </w:p>
    <w:p>
      <w:pPr>
        <w:spacing w:after="0" w:line="6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The accompanying condensed consolidated financial statements have been prepared on the basis of continuity of operations, realization of assets and the satisfaction of liabilities and commitments in the ordinary course of business. Since inception, the Company has funded its operations primarily with proceeds from sales of convertible preferred stock, and most recently, with proceeds from the IPO. The Company has incurred recurring losses since inception, including net losses of $143.7 million for the nine months ended September 30, 2021 and $65.3 million for the period from inception through December 31, 2020. As of September 30, 2021, the Company had an accumulated deficit of $209.1 million. The Company expects to continue to generate operating losses for the foreseeable future. As of November 15, 2021, the issuance date of these interim condensed consolidated financial statements, the Company expects that its cash, cash equivalents and marketable securities will be sufficient to fund its operating expenses and capital expenditure requirements for at least 12 months from the issuance date of the interim condensed consolidated financial statements. The future viability of the Company beyond that point is dependent on its ability to raise additional capital to finance its operations. The Company expects to seek additional funding through private equity financings, public offerings,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continue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3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prevention and treatment of COVID-19. The severity of the COVID-19 pandemic and the continued emergence of variants of concern (such as the widespread Delta variant), the availability, administration and acceptance of vaccines, monoclonal antibodies, antiviral agents and other therapeutic modalities, the introduction of local, national and/or employer vaccine mandates,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84"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the Company will continue to monitor it closely. The ultimate extent of the impact of the COVID-19 pandemic on the Company’s business, financial condition, operations and product development timelines and plans remains highly uncertain and will depend on future developments, including the duration and spread of outbreaks and the continued emergence of variants, and the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experienced some delays and disruptions in its development activities as a result of the COVID-19 pandemic. Some of the Company's contract research organizations, contract manufacturing organizations and other service providers also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the Company's results and operations may be materially adversely affected and may affect the Company’s ability to raise capital.</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Company’s condensed consolidated financial statements have been prepared in conformity with accounting principles generally accepted in the United States of America (“U.S. GAAP”).</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subsidiary, Adagio Therapeutics Security Corporation. All intercompany accounts and transactions have been eliminated in consolidation. The Company views its operations and manages its business in one operating segment, which is the business of discovering, developing and commercializing antibody-based solutions for infectious diseases.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As of September 30, 2021, the Company’s significant accounting policies and estimates, which are detailed in the Company’s final prospectus related to the IPO filed with the SEC pursuant to Rule 424(b)(4) under the Securities Act of 1933, as amended, on August 6, 2021, have not changed except as discussed below.</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at September 30, 2021 as "available-for-sale” pursuant to ASC320,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for the three or nine months ended September 30, 2021.</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statements of operations and comprehensive loss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8"/>
          <w:szCs w:val="18"/>
          <w:color w:val="auto"/>
        </w:rPr>
        <w:t>duration of the impairment and changes in value subsequent to the end of the period. There were no other-than-temporary impairments of investments recognized for the three or nine months ended September 30, 2021.</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accompanying condensed consolidated balance sheet as of December 31, 2020 was derived from audited financial statements but does not include all disclosures required by U.S. GAAP. The accompanying unaudited condensed consolidated financial statements as of September 30, 2021, for the three and nine months ended September 30, 2021, for the three months ended September 30, 2020, and for the period from June 3, 2020 (inception) to September 30, 2020 have been prepared by the Company pursuant to the rules and regulations of the Securities and Exchange Commission (“SEC”) for interim financial statements.</w:t>
      </w:r>
    </w:p>
    <w:p>
      <w:pPr>
        <w:spacing w:after="0" w:line="8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Certain information and footnote disclosures normally included in the financial statements prepared in accordance with U.S. GAAP have been condensed or omitted pursuant to such rules and regulations. These condensed consolidated financial statements should be read in conjunction with the Company’s audited consolidated financial statements and the notes thereto for the year ended December 31, 2020 which are included in the Company’s final prospectus related to the IPO filed with the SEC pursuant to Rule 424(b)(4) under the Securities Act of 1933, as amended, on August 6, 2021. In the opinion of management, all adjustments, consisting only of normal recurring adjustments necessary for a fair statement of the Company’s condensed consolidated financial position as of September 30, 2021 and condensed consolidated results of operations for the three and nine months ended September 30, 2021, for the three months ended September 30, 2020, and for the period from June 3, 2020 (inception) to September 30, 2020, and the condensed consolidated cash flows for the nine months ended September 30, 2021 and for the period from June 3, 2020 (inception) to September 30, 2020 have been made. The Company’s condensed consolidated results of operations for the three and nine months ended September 30, 2021 are not necessarily indicative of the results of operations that may be expected for the year ending December 31, 2021.</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7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condensed consolidated financial statements. These estimates may change as new events occur and additional information is obtained.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both"/>
        <w:ind w:firstLine="509"/>
        <w:spacing w:after="0" w:line="29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auto"/>
        </w:rPr>
        <w:t>Revenue from Contracts with Customers (Topic</w:t>
      </w:r>
    </w:p>
    <w:p>
      <w:pPr>
        <w:spacing w:after="0" w:line="5" w:lineRule="exact"/>
        <w:rPr>
          <w:sz w:val="20"/>
          <w:szCs w:val="20"/>
          <w:color w:val="auto"/>
        </w:rPr>
      </w:pPr>
    </w:p>
    <w:p>
      <w:pPr>
        <w:jc w:val="both"/>
        <w:ind w:firstLine="8"/>
        <w:spacing w:after="0" w:line="271" w:lineRule="auto"/>
        <w:tabs>
          <w:tab w:leader="none" w:pos="39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Leases (Topic 842): Effective Dates for Certain Entities </w:t>
      </w:r>
      <w:r>
        <w:rPr>
          <w:rFonts w:ascii="Arial" w:cs="Arial" w:eastAsia="Arial" w:hAnsi="Arial"/>
          <w:sz w:val="18"/>
          <w:szCs w:val="18"/>
          <w:color w:val="auto"/>
        </w:rPr>
        <w:t>(“ASU 2020-05”), which delayed the adoption date of ASU 2016-02 for nonpublic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will recognize its lease on the balance sheet on the adoption date of January 1, 2022, by recording a right-of-use asset and a corresponding lease liability. The Company does not expect the adoption of ASC 842 to have a material impact on the Company’s consolidated financial statements and related disclosures.</w:t>
      </w:r>
    </w:p>
    <w:p>
      <w:pPr>
        <w:spacing w:after="0" w:line="8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and also issued subsequent amendments to the initial guidance: ASU 2018-19, ASU 2019-04 and ASU 2019-05</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jc w:val="both"/>
        <w:ind w:firstLine="509"/>
        <w:spacing w:after="0" w:line="30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The amendments in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 entities in a hosting arrangement that is a service contract to follow the guidance in ASC 350-40, </w:t>
      </w:r>
      <w:r>
        <w:rPr>
          <w:rFonts w:ascii="Arial" w:cs="Arial" w:eastAsia="Arial" w:hAnsi="Arial"/>
          <w:sz w:val="16"/>
          <w:szCs w:val="16"/>
          <w:i w:val="1"/>
          <w:iCs w:val="1"/>
          <w:color w:val="auto"/>
        </w:rPr>
        <w:t>Internal-Use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(“ASC 350-40”) to determine which implementation costs to capitalize as an asset related to the service contract and which costs to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does not expect the adoption of ASU 2018-15 to have a material impact on its consolidated financial statements and related disclosures.</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7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Hedging—Contracts in Entity’s Own Equity (Subtopic 815-40): Accounting for Convertible Instruments and Contracts in an Entity’s Own Equity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 retrospective method of transition. The Company is currently evaluating the potential impact that the adoption of this standard may have on its consolidated financial statements and related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Treasury securities held by the Company are classified as available-for-sale pursuant to ASC 320, Investments – Debt and Equity Securities, and carried at fair value in the accompanying condensed consolidated balance sheet on a settlement date basis. The following tables summarize the gross unrealized gains and losses of the Company’s marketable securities as of September 30, 2021 (in thousands):</w:t>
      </w:r>
    </w:p>
    <w:p>
      <w:pPr>
        <w:spacing w:after="0" w:line="39" w:lineRule="exact"/>
        <w:rPr>
          <w:sz w:val="20"/>
          <w:szCs w:val="20"/>
          <w:color w:val="auto"/>
        </w:rPr>
      </w:pPr>
    </w:p>
    <w:p>
      <w:pPr>
        <w:ind w:left="5860"/>
        <w:spacing w:after="0"/>
        <w:tabs>
          <w:tab w:leader="none" w:pos="7240" w:val="left"/>
          <w:tab w:leader="none" w:pos="8620" w:val="left"/>
          <w:tab w:leader="none" w:pos="10220" w:val="left"/>
        </w:tabs>
        <w:rPr>
          <w:sz w:val="20"/>
          <w:szCs w:val="20"/>
          <w:color w:val="auto"/>
        </w:rPr>
      </w:pPr>
      <w:r>
        <w:rPr>
          <w:rFonts w:ascii="Arial" w:cs="Arial" w:eastAsia="Arial" w:hAnsi="Arial"/>
          <w:sz w:val="14"/>
          <w:szCs w:val="14"/>
          <w:b w:val="1"/>
          <w:bCs w:val="1"/>
          <w:color w:val="auto"/>
        </w:rPr>
        <w:t>Amortized Cost</w:t>
      </w:r>
      <w:r>
        <w:rPr>
          <w:sz w:val="20"/>
          <w:szCs w:val="20"/>
          <w:color w:val="auto"/>
        </w:rPr>
        <w:tab/>
      </w:r>
      <w:r>
        <w:rPr>
          <w:rFonts w:ascii="Arial" w:cs="Arial" w:eastAsia="Arial" w:hAnsi="Arial"/>
          <w:sz w:val="14"/>
          <w:szCs w:val="14"/>
          <w:b w:val="1"/>
          <w:bCs w:val="1"/>
          <w:color w:val="auto"/>
        </w:rPr>
        <w:t>Unrealized Gains</w:t>
      </w:r>
      <w:r>
        <w:rPr>
          <w:sz w:val="20"/>
          <w:szCs w:val="20"/>
          <w:color w:val="auto"/>
        </w:rPr>
        <w:tab/>
      </w:r>
      <w:r>
        <w:rPr>
          <w:rFonts w:ascii="Arial" w:cs="Arial" w:eastAsia="Arial" w:hAnsi="Arial"/>
          <w:sz w:val="14"/>
          <w:szCs w:val="14"/>
          <w:b w:val="1"/>
          <w:bCs w:val="1"/>
          <w:color w:val="auto"/>
        </w:rPr>
        <w:t>Unrealized Losses</w:t>
      </w:r>
      <w:r>
        <w:rPr>
          <w:sz w:val="20"/>
          <w:szCs w:val="20"/>
          <w:color w:val="auto"/>
        </w:rPr>
        <w:tab/>
      </w:r>
      <w:r>
        <w:rPr>
          <w:rFonts w:ascii="Arial" w:cs="Arial" w:eastAsia="Arial" w:hAnsi="Arial"/>
          <w:sz w:val="13"/>
          <w:szCs w:val="13"/>
          <w:b w:val="1"/>
          <w:bCs w:val="1"/>
          <w:color w:val="auto"/>
        </w:rPr>
        <w:t>Fair Value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2021</w:t>
            </w:r>
          </w:p>
        </w:tc>
        <w:tc>
          <w:tcPr>
            <w:tcW w:w="36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CFF0FC"/>
            </w:tcBorders>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CFF0FC"/>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188,050</w:t>
            </w:r>
          </w:p>
        </w:tc>
        <w:tc>
          <w:tcPr>
            <w:tcW w:w="240" w:type="dxa"/>
            <w:vAlign w:val="bottom"/>
          </w:tcPr>
          <w:p>
            <w:pPr>
              <w:spacing w:after="0"/>
              <w:rPr>
                <w:sz w:val="21"/>
                <w:szCs w:val="21"/>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188,053</w:t>
            </w:r>
          </w:p>
        </w:tc>
        <w:tc>
          <w:tcPr>
            <w:tcW w:w="80" w:type="dxa"/>
            <w:vAlign w:val="bottom"/>
          </w:tcPr>
          <w:p>
            <w:pPr>
              <w:spacing w:after="0"/>
              <w:rPr>
                <w:sz w:val="21"/>
                <w:szCs w:val="21"/>
                <w:color w:val="auto"/>
              </w:rPr>
            </w:pPr>
          </w:p>
        </w:tc>
      </w:tr>
      <w:tr>
        <w:trPr>
          <w:trHeight w:val="290"/>
        </w:trPr>
        <w:tc>
          <w:tcPr>
            <w:tcW w:w="5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188,050</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154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1543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available-for-sale securities held as of September 30, 2021 had remaining maturities greater than twelve months.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hold any available-for-sale securities as of December 31,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ind w:left="520" w:right="8800" w:hanging="512"/>
        <w:spacing w:after="0" w:line="472" w:lineRule="auto"/>
        <w:tabs>
          <w:tab w:leader="none" w:pos="191"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b w:val="1"/>
          <w:bCs w:val="1"/>
          <w:i w:val="1"/>
          <w:iCs w:val="1"/>
          <w:color w:val="auto"/>
        </w:rPr>
        <w:t>Fair Value Measurements</w:t>
      </w:r>
    </w:p>
    <w:p>
      <w:pPr>
        <w:spacing w:after="0" w:line="1"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2" w:lineRule="exact"/>
        <w:rPr>
          <w:sz w:val="20"/>
          <w:szCs w:val="20"/>
          <w:color w:val="auto"/>
        </w:rPr>
      </w:pPr>
    </w:p>
    <w:p>
      <w:pPr>
        <w:ind w:left="1040" w:hanging="560"/>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65" w:lineRule="exact"/>
        <w:rPr>
          <w:rFonts w:ascii="Arial" w:cs="Arial" w:eastAsia="Arial" w:hAnsi="Arial"/>
          <w:sz w:val="18"/>
          <w:szCs w:val="18"/>
          <w:color w:val="auto"/>
        </w:rPr>
      </w:pPr>
    </w:p>
    <w:p>
      <w:pPr>
        <w:jc w:val="both"/>
        <w:ind w:left="1040" w:right="20" w:hanging="560"/>
        <w:spacing w:after="0" w:line="279"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9" w:lineRule="exact"/>
        <w:rPr>
          <w:rFonts w:ascii="Arial" w:cs="Arial" w:eastAsia="Arial" w:hAnsi="Arial"/>
          <w:sz w:val="18"/>
          <w:szCs w:val="18"/>
          <w:color w:val="auto"/>
        </w:rPr>
      </w:pPr>
    </w:p>
    <w:p>
      <w:pPr>
        <w:ind w:left="1040" w:right="20" w:hanging="573"/>
        <w:spacing w:after="0" w:line="29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7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3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 Value Measurements at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477,440</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477,440</w:t>
            </w: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5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188,053</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7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665,493</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665,493</w:t>
            </w:r>
          </w:p>
        </w:tc>
        <w:tc>
          <w:tcPr>
            <w:tcW w:w="8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8"/>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 Value Measurements at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2"/>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5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Money market fund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39,006</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7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39,006</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39,006</w:t>
            </w:r>
          </w:p>
        </w:tc>
        <w:tc>
          <w:tcPr>
            <w:tcW w:w="8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-1316355</wp:posOffset>
            </wp:positionV>
            <wp:extent cx="15430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-1316355</wp:posOffset>
            </wp:positionV>
            <wp:extent cx="13716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-1316355</wp:posOffset>
            </wp:positionV>
            <wp:extent cx="13716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-1316355</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-193675</wp:posOffset>
            </wp:positionV>
            <wp:extent cx="1543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371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3716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money market fund was valued by the Company based on quoted market prices, which represent a Level 1 measurement within the fair value hierarchy.</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U.S treasury securities were valued by the Company based on Level 1 inputs. In determining the fair value of the U.S. treasury securities, the Company relied on quoted prices for identical securities in active markets.</w:t>
      </w:r>
    </w:p>
    <w:p>
      <w:pPr>
        <w:spacing w:after="0" w:line="62"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There were no changes to the valuation methods during the three and nine months ended September 30, 2021, during the three months ended September 30, 2020, and for the period from June 3, 2020 (inception) to September 30, 2020.</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into or out of Level 3 fair value measurements during the three and nine months ended September 30, 2021, during the three months ended September 30, 2020, and for the period from June 3, 2020 (inception) to September 30,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external research, development and manufacturing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compensation and related expenses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13,833</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8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external research, development and manufacturing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30,011</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Accrued professional and consultant fees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-1788160</wp:posOffset>
            </wp:positionV>
            <wp:extent cx="17145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-1788160</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jc w:val="center"/>
        <w:ind w:left="520" w:right="8060" w:hanging="512"/>
        <w:spacing w:after="0" w:line="442" w:lineRule="auto"/>
        <w:tabs>
          <w:tab w:leader="none" w:pos="19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and Collaboration Agreements </w:t>
      </w:r>
      <w:r>
        <w:rPr>
          <w:rFonts w:ascii="Arial" w:cs="Arial" w:eastAsia="Arial" w:hAnsi="Arial"/>
          <w:sz w:val="16"/>
          <w:szCs w:val="16"/>
          <w:b w:val="1"/>
          <w:bCs w:val="1"/>
          <w:i w:val="1"/>
          <w:iCs w:val="1"/>
          <w:color w:val="auto"/>
        </w:rPr>
        <w:t>Adimab Assignment Agreement</w:t>
      </w:r>
    </w:p>
    <w:p>
      <w:pPr>
        <w:spacing w:after="0" w:line="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70"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 xml:space="preserve">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the Company repurchased 21,250,000 shares of the Company’s common stock from Adimab,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consisting of or containing CoV Antibodies.</w:t>
      </w:r>
    </w:p>
    <w:p>
      <w:pPr>
        <w:spacing w:after="0" w:line="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February 2021, the Company achieved the first specified milestone under the agreement upon dosing of the first patient in a Phase 1 global clinical trial evaluating ADG20, which obligated the Company to make a $1.0 million milestone payment to Adimab.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both"/>
        <w:spacing w:after="0" w:line="304" w:lineRule="auto"/>
        <w:rPr>
          <w:sz w:val="20"/>
          <w:szCs w:val="20"/>
          <w:color w:val="auto"/>
        </w:rPr>
      </w:pPr>
      <w:r>
        <w:rPr>
          <w:rFonts w:ascii="Arial" w:cs="Arial" w:eastAsia="Arial" w:hAnsi="Arial"/>
          <w:sz w:val="16"/>
          <w:szCs w:val="16"/>
          <w:color w:val="auto"/>
        </w:rPr>
        <w:t>April 2021, the Company achieved the second specified milestone under the agreement upon dosing of the first patient in a Phase 2 global clinical trial evaluating ADG20 for the prevention of COVID-19, which obligated the Company to make a $2.5 million milestone payment to Adimab. In August 2021, the Company achieved the third specified milestone under the agreement upon dosing of the first patient in a Phase 3 global clinical trial evaluating ADG20 for the prevention of COVID-19, which obligated the Company to make a $4.0 million milestone payment to Adimab. The Company recognized each expense when it became probable upon achievement of the first, second and third milestones in February, April and August 2021, respectively. The next potential milestone under the Adimab Assignment Agreement is a $4.0 million milestone related to the acceptance of the filing of the first New Drug Application (or “NDA”) for a Product by the FDA. During the three and nine months ended September 30, 2021, the Company recognized $4.0 million and $7.5 million, respectively, as in-process research and development (“IPR&amp;D”) expense in connection with contingent consideration payable under the Adimab Assignment Agreement. For both the three months ended September 30, 2020 and for the period from June 3, 2020 (inception) to September 30, 2020, the Company recognized $39.9 million as IPR&amp;D expense in connection with the upfront consideration payable under the Adimab Assignment Agreement to acquire rights to Adimab’s antibodies relating to COVID-19 and SARS and related intellectual property and a license to certain of Adimab’s platform patents and technology for use in the research and development of our product candidates.</w:t>
      </w:r>
    </w:p>
    <w:p>
      <w:pPr>
        <w:spacing w:after="0" w:line="6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Company is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September 30, 2021.</w:t>
      </w:r>
    </w:p>
    <w:p>
      <w:pPr>
        <w:spacing w:after="0" w:line="7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6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The Company concluded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of $39.9 million was recognized as acquired IPR&amp;D expense in July 2020.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 date. As of that date and before allocation, the Company determined the fair value of the repurchased common stock was $85,000, based on the results of a third-party valuation, and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7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three and nine months ended September 30, 2021, the Company recognized $0.5 million and $0.9 million, respectively, of expense in connection with services provided by Adimab. For the three months ended September 30, 2020 and for the period from June 3, 2020 (inception) to September 30, 2020, the Company recognized $0.3 million of expense in connection with services provided to Adimab. Please refer to Note 15 for additional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31"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6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both the three and nine months ended September 30, 2021, the Company recognized $1.3 million of research and development expense related to the quarterly fee.</w:t>
      </w:r>
    </w:p>
    <w:p>
      <w:pPr>
        <w:spacing w:after="0" w:line="5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For both the three and nine months ended September 30, 2021, the Company recognized less than $0.1 million and $0.1 million of expense, respectively, in connection with services provided by Adimab. Through September 30, 2021, the Company has not paid a drug delivery fee or optimization completion fee to Adimab and the Company has not exercised its option with respect to any program.</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September 30, 2021, the Company has not paid any royalties to Adimab under the Adimab Collaboration Agreement.</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WuXi Cell Line License Agreement</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8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Company was obligated to pay an upfront fee of $0.2 million to WuXi upon completion of cell bank generation for the first Licensed Cell Line created under the arrangement. Such amount became due in December 2020, was an accrued expense as of December 31, 2020 and was included in accounts payable as of September 30, 2021.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September 30, 2021, no royalties had become due to WuXi.</w:t>
      </w:r>
    </w:p>
    <w:p>
      <w:pPr>
        <w:spacing w:after="0" w:line="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Cell Line License Agreement remains in effect until it is terminated. The Company may terminate the Cell Line License Agreement at any time with advance written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Therefore, the aggregate acquisition cost of $0.2 million, consisting solely of the upfront fee, was recognized as acquired IPR&amp;D expense during the period from June 3, 2020 (inception) to December 31, 2020.</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and License Agreement with The Scripps Research Institute</w:t>
      </w:r>
    </w:p>
    <w:p>
      <w:pPr>
        <w:spacing w:after="0" w:line="13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In August 2021, the Company entered into a Research Collaboration and License Agreement (the “Research Agreement”) with The Scripps Research Institute (“TSRI”). Under the terms of the Research Agreement, TSRI will perform research activities (the “Research Program”) to identify vaccine candidates for the prevention, diagnosis or treatment of influenza or beta coronaviruses (the “Specified Field”). Unless otherwise mutually agreed by the parties, the Research Program will be completed by August 2023. Activities initiated under the Research Agreement for targets or indications pursued under the arrangement will be conducted in accordance with a research plan to be agreed upon by the parties (each, a “Research Plan”). Each of the parties is responsible for performing the tasks to which it is assigned under the Research Plans. The Company is obligated to provide the research funding necessary to carry out the Research Program pursuant to the budget outlined in each Research Plan. As of September 30, 2021, the Company paid TSRI $1.5 million in funding, which is credited against research funding payable by the Company under the Research Agreement. Additionally, the Company is obligated to make specified payments to TSRI to the extent that TSRI complies with certain exclusivity covenants.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Pursuant to the terms of the Research Agreement, the Company was granted an exclusive option (the "Option") to acquire an exclusive, worldwide, sublicensable license under TSRI’s rights in certain patent rights and know-how for the exploitation of any vaccine product containing, comprised of, or derived from, any vaccine candidate identified or developed under the Research Program (each, a “TSRI Licensed Product”) in the Specified Field. Any licenses granted under the arrangement are subject to certain exceptions, conditions and reserved rights. The Company’s option is exercisable for a predefined period of time as outlined in the arrangement. Upon exercise of the Option, the Company is required to reimburse certain patent costs previously incurred by TSRI and bear all future related patent costs. Following the exercise of the Option, the Company has the sole right and responsibility for the further development and potential commercialization of the associated Licensed Product, at its sole cost and expense. As of September 30, 2021, the Company had not exercised its Option.</w:t>
      </w:r>
    </w:p>
    <w:p>
      <w:pPr>
        <w:spacing w:after="0" w:line="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To the extent any TSRI Licensed Product covered by the Research Agreement is commercialized, the Company is obligated to pay TSRI royalties of a low single-digit percentage on a TSRI Licensed Product-by-Licensed Product and country-by-country basis based on a percentage of net sales, subject to reduction and floor. Royalties are payable for each product on a country-by-country basis through the later of (i) the expiration of the last valid claim of any patent covering such product in such country or (ii) 12 years from the first commercial sale of such product. The Research Agreement will expire when no further royalties are due to TSRI. The Research Agreement may be early terminated upon mutual written consent of both parties. The Company may terminate the Research Agreement at any time upon advance written notice to TSRI or upon the appointment of certain personnel deemed unacceptable. In addition, TSRI</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jc w:val="both"/>
        <w:spacing w:after="0" w:line="275" w:lineRule="auto"/>
        <w:rPr>
          <w:sz w:val="20"/>
          <w:szCs w:val="20"/>
          <w:color w:val="auto"/>
        </w:rPr>
      </w:pPr>
      <w:r>
        <w:rPr>
          <w:rFonts w:ascii="Arial" w:cs="Arial" w:eastAsia="Arial" w:hAnsi="Arial"/>
          <w:sz w:val="18"/>
          <w:szCs w:val="18"/>
          <w:color w:val="auto"/>
        </w:rPr>
        <w:t>may terminate the Research Agreement if the Company fails to perform or observe any contractual term in any material respect or in the event of a material breach by the Company that remains uncured for a specified period. Following early termination, all licenses will terminate and revert to TSRI, all sublicenses granted by the Company will automatically terminate, and any then-existing sublicensees will have the right to obtain a direct license from TSRI.</w:t>
      </w:r>
    </w:p>
    <w:p>
      <w:pPr>
        <w:spacing w:after="0" w:line="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Amounts incurred for services performed by TSRI under each of the research plans are expensed to research and development expense as the services are rendered. For the three and nine months ended September 30, 2021, the Company recorded $0.4 million and $1.5 million, respectively, of expense associated with services performed under the Research Agreement.</w:t>
      </w:r>
    </w:p>
    <w:p>
      <w:pPr>
        <w:spacing w:after="0" w:line="71" w:lineRule="exact"/>
        <w:rPr>
          <w:sz w:val="20"/>
          <w:szCs w:val="20"/>
          <w:color w:val="auto"/>
        </w:rPr>
      </w:pPr>
    </w:p>
    <w:p>
      <w:pPr>
        <w:ind w:left="520" w:right="8420" w:hanging="512"/>
        <w:spacing w:after="0" w:line="472" w:lineRule="auto"/>
        <w:tabs>
          <w:tab w:leader="none" w:pos="191"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September 14, 2021, the Company entered into a five year lease agreement (the “lease”) for approximately 9,600 square feet of office space in Waltham, Massachusetts. The monthly rental payments under the lease, which include base rent charges of $0.4 million per year, are subject to periodic rent increases through September 2026.</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 recognizes rent expense on a straight-line basis over the lease term and records deferred rent for rent expense incurred but not yet paid. The Company's rent expense for the three months ended September 30, 2021 was less than $0.1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license agreements with Adimab, WuXi and TSRI (see Note 7).</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In December 2020, the Company entered into a Commercial Manufacturing Services Agreement with WuXi, which was amended and restated in August 2021 (as amended and restated, the “Commercial Manufacturing Agreement”). The Commercial Manufacturing Agreement outlines the terms and conditions under which WuXi will manufacture ADG20 drug substance and drug product for commercial use.</w:t>
      </w:r>
    </w:p>
    <w:p>
      <w:pPr>
        <w:spacing w:after="0" w:line="5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Company committed to minimum non-cancelable purchase obligations related to batches of ADG20 drug substance and certain services with respect to the product requirements for 2021 and 2022, the payments for which will extend into 2023, and batches of ADG20 drug product and certain services with respect to the product requirements for 2022, the payments for which will extend into 2023. There has been no material change to future minimum payments under non-cancelable purchase obligations associated with the Commercial Manufacturing Agreement. As of September 30, 2021, the Company paid $9.4 million under the Commercial Manufacturing Agreement. The $9.4 million payment resulted in a short-term prepaid expense of $3.6 million, included in "Prepaid expenses and other current assets", and a long-term prepaid expense of $5.8 million, included in "Other non-current assets", on the condensed consolidated balance sheet.</w:t>
      </w:r>
    </w:p>
    <w:p>
      <w:pPr>
        <w:spacing w:after="0" w:line="8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Company enters into agreements with third parties during the ordinary course of business for various products and services, including those related to research, preclinical and clinical operations, manufacturing and support.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September 30, 2021 and December 31, 2020.</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September 30, 2021 and December 31, 2020, the Company was not a party to any material legal proceedings.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31"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w:t>
      </w:r>
    </w:p>
    <w:p>
      <w:pPr>
        <w:spacing w:after="0" w:line="135"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1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then having a fair value of $40.0 million, to Adimab as consideration payable pursuant to the Adimab Assignment Agreement (see Note 7).</w:t>
      </w:r>
    </w:p>
    <w:p>
      <w:pPr>
        <w:spacing w:after="0" w:line="5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6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7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terms of the Series C Preferred Stock are substantially the same as the terms of the Series A Preferred Stock and Series B Preferred Stock, except that the Original Issue Price per share and the Conversion Price per share of the Series C Preferred Stock is $78.08578.</w:t>
      </w:r>
    </w:p>
    <w:p>
      <w:pPr>
        <w:spacing w:after="0" w:line="3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July 30, 2021, the Company filed an amended and restated certificate of incorporation, which increased the Company’s authority to issue (i) 150,000,000 shares of common stock and (ii) 16,944,484 shares of Preferred Stock. On August 10,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jc w:val="both"/>
        <w:ind w:firstLine="509"/>
        <w:spacing w:after="0" w:line="279" w:lineRule="auto"/>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shares and determined that such features did not require the Company to separately account for these features. The Company also concluded that no beneficial conversion feature existed on the issuance dates of each class of Preferred Stock.</w:t>
      </w:r>
    </w:p>
    <w:p>
      <w:pPr>
        <w:spacing w:after="0" w:line="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Upon the closing of the Company’s IPO in August 2021, all shares of the Company’s convertible preferred stock then outstanding converted into 84,722,420 shares of common stock (see Note 10). As of December 31, 2020, Preferred Stock consisted of the following (in thousands, except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9"/>
        </w:trPr>
        <w:tc>
          <w:tcPr>
            <w:tcW w:w="5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60" w:type="dxa"/>
            <w:vAlign w:val="bottom"/>
          </w:tcPr>
          <w:p>
            <w:pPr>
              <w:spacing w:after="0"/>
              <w:rPr>
                <w:sz w:val="15"/>
                <w:szCs w:val="15"/>
                <w:color w:val="auto"/>
              </w:rPr>
            </w:pPr>
          </w:p>
        </w:tc>
      </w:tr>
      <w:tr>
        <w:trPr>
          <w:trHeight w:val="175"/>
        </w:trPr>
        <w:tc>
          <w:tcPr>
            <w:tcW w:w="5100" w:type="dxa"/>
            <w:vAlign w:val="bottom"/>
          </w:tcPr>
          <w:p>
            <w:pPr>
              <w:spacing w:after="0"/>
              <w:rPr>
                <w:sz w:val="15"/>
                <w:szCs w:val="15"/>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Liquidation</w:t>
            </w: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Issuable Upon</w:t>
            </w:r>
          </w:p>
        </w:tc>
        <w:tc>
          <w:tcPr>
            <w:tcW w:w="60" w:type="dxa"/>
            <w:vAlign w:val="bottom"/>
          </w:tcPr>
          <w:p>
            <w:pPr>
              <w:spacing w:after="0"/>
              <w:rPr>
                <w:sz w:val="15"/>
                <w:szCs w:val="15"/>
                <w:color w:val="auto"/>
              </w:rPr>
            </w:pPr>
          </w:p>
        </w:tc>
      </w:tr>
      <w:tr>
        <w:trPr>
          <w:trHeight w:val="192"/>
        </w:trPr>
        <w:tc>
          <w:tcPr>
            <w:tcW w:w="510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Authorized</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Preference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Conversion</w:t>
            </w:r>
          </w:p>
        </w:tc>
        <w:tc>
          <w:tcPr>
            <w:tcW w:w="60" w:type="dxa"/>
            <w:vAlign w:val="bottom"/>
          </w:tcPr>
          <w:p>
            <w:pPr>
              <w:spacing w:after="0"/>
              <w:rPr>
                <w:sz w:val="16"/>
                <w:szCs w:val="16"/>
                <w:color w:val="auto"/>
              </w:rPr>
            </w:pPr>
          </w:p>
        </w:tc>
      </w:tr>
      <w:tr>
        <w:trPr>
          <w:trHeight w:val="202"/>
        </w:trPr>
        <w:tc>
          <w:tcPr>
            <w:tcW w:w="5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A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11,237,500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11,237,500</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89,706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56,187,500</w:t>
            </w:r>
          </w:p>
        </w:tc>
        <w:tc>
          <w:tcPr>
            <w:tcW w:w="60" w:type="dxa"/>
            <w:vAlign w:val="bottom"/>
            <w:shd w:val="clear" w:color="auto" w:fill="CFF0FC"/>
          </w:tcPr>
          <w:p>
            <w:pPr>
              <w:spacing w:after="0"/>
              <w:rPr>
                <w:sz w:val="17"/>
                <w:szCs w:val="17"/>
                <w:color w:val="auto"/>
              </w:rPr>
            </w:pPr>
          </w:p>
        </w:tc>
      </w:tr>
      <w:tr>
        <w:trPr>
          <w:trHeight w:val="197"/>
        </w:trPr>
        <w:tc>
          <w:tcPr>
            <w:tcW w:w="5100" w:type="dxa"/>
            <w:vAlign w:val="bottom"/>
          </w:tcPr>
          <w:p>
            <w:pPr>
              <w:ind w:left="20"/>
              <w:spacing w:after="0"/>
              <w:rPr>
                <w:sz w:val="20"/>
                <w:szCs w:val="20"/>
                <w:color w:val="auto"/>
              </w:rPr>
            </w:pPr>
            <w:r>
              <w:rPr>
                <w:rFonts w:ascii="Arial" w:cs="Arial" w:eastAsia="Arial" w:hAnsi="Arial"/>
                <w:sz w:val="14"/>
                <w:szCs w:val="14"/>
                <w:color w:val="auto"/>
              </w:rPr>
              <w:t>Series B Preferred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1,410,434</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1,410,434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79,842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80,000</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7,052,170</w:t>
            </w:r>
          </w:p>
        </w:tc>
        <w:tc>
          <w:tcPr>
            <w:tcW w:w="60" w:type="dxa"/>
            <w:vAlign w:val="bottom"/>
          </w:tcPr>
          <w:p>
            <w:pPr>
              <w:spacing w:after="0"/>
              <w:rPr>
                <w:sz w:val="17"/>
                <w:szCs w:val="17"/>
                <w:color w:val="auto"/>
              </w:rPr>
            </w:pPr>
          </w:p>
        </w:tc>
      </w:tr>
      <w:tr>
        <w:trPr>
          <w:trHeight w:val="236"/>
        </w:trPr>
        <w:tc>
          <w:tcPr>
            <w:tcW w:w="51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12,647,934</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12,647,934</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169,548</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169,900</w:t>
            </w: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63,239,670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-25400</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120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111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111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voting, dividend and liquidation rights of the holders of shares of the Company’s common stock are subject to and qualified by the rights, powers and preferences of the holders of the Preferred Stock set forth above and described in the Company’s final prospectus related to the IPO filed with the SEC pursuant to Rule 424(b)(4) under the Securities Act on August 6, 2021.</w:t>
      </w:r>
    </w:p>
    <w:p>
      <w:pPr>
        <w:spacing w:after="0" w:line="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September 30, 2021 the 21,250,000 shares of common stock repurchased from Adimab were retired and redesignated as authorized but unissued shares of the Company’s common stock. As of December 31, 2020, the 21,250,000 shares of common stock repurchased from Adimab were recorded as treasury stock in the accompanying condensed consolidated balance sheets and condensed consolidated statements of convertible preferred stock and stockholders’ equity (deficit) as such shares were not retired. The fair value of the repurchased common stock was $0.004 per share, or $85,000 in the aggregate, as determined based on a third-party valuation (see Note 7).</w:t>
      </w:r>
    </w:p>
    <w:p>
      <w:pPr>
        <w:spacing w:after="0" w:line="7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7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As described in Note 9 above, on July 30, 2021, the Company filed an amended and restated certificate of incorporation, which increased the Company’s authority to issue 150,000,000 shares of common stock. On August 10, 2021, in connection with the closing of the IPO, the Company filed an amended and restated certificate of incorporation to, among other things, increase the number of authorized shares of common stock from 150,000,000 shares to 1,000,000,000 shares.</w:t>
      </w:r>
    </w:p>
    <w:p>
      <w:pPr>
        <w:spacing w:after="0" w:line="7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As of September 30, 2021, the Company had reserved 36,417,895 shares of common stock for the exercise of outstanding stock options and the issuance of awards available for grant under the Company’s 2020 Equity Incentive Plan, 2021 Equity Incentive Plan and 2021 Employee Stock Purchase Plan (see Note 11). As of December 31, 2020, the Company had reserved 80,466,735 shares of common stock for the potential conversion of shares of Preferred Stock into common stock, the exercise of outstanding stock options and the issuance of awards available for grant under the Company’s 2020 Equity Incentive Plan (see Note 11).</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April and May 2021, the Company retired an aggregate of 22,600,000 shares of its common stock held in treasury. Upon retirement, the shares were redesignated as authorized but unissued shares of the Company’s common stock.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Split</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July 30,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On August 10, 2021, the Company completed its IPO, pursuant to which it issued and sold 20,930,000 shares of its common stock, including 2,730,000 shares of its common stock pursuant to the full exercise of the underwriters’ option to purchase additional shares. The aggregate net proceeds received by the Company from the IPO were approximately $330.9 million, after deducting underwriting discounts and commissions, but before deducting offering expenses payable by the Company, which were $3.4 million. Upon the closing of the IPO, all of the shares of the Company’s convertible preferred stock then outstanding converted into 84,722,420 shares of common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ind w:right="20"/>
        <w:spacing w:after="0" w:line="293" w:lineRule="auto"/>
        <w:rPr>
          <w:sz w:val="20"/>
          <w:szCs w:val="20"/>
          <w:color w:val="auto"/>
        </w:rPr>
      </w:pPr>
      <w:r>
        <w:rPr>
          <w:rFonts w:ascii="Arial" w:cs="Arial" w:eastAsia="Arial" w:hAnsi="Arial"/>
          <w:sz w:val="18"/>
          <w:szCs w:val="18"/>
          <w:color w:val="auto"/>
        </w:rPr>
        <w:t>stock. Upon the conversion of the convertible preferred stock, the Company reclassified the carrying value of the convertible preferred stock to common stock (at par value) and additional paid-in capital.</w:t>
      </w:r>
    </w:p>
    <w:p>
      <w:pPr>
        <w:spacing w:after="0" w:line="58" w:lineRule="exact"/>
        <w:rPr>
          <w:sz w:val="20"/>
          <w:szCs w:val="20"/>
          <w:color w:val="auto"/>
        </w:rPr>
      </w:pPr>
    </w:p>
    <w:p>
      <w:pPr>
        <w:ind w:left="520" w:right="8700" w:hanging="512"/>
        <w:spacing w:after="0" w:line="442" w:lineRule="auto"/>
        <w:tabs>
          <w:tab w:leader="none" w:pos="27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spacing w:after="0" w:line="1"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5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4"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As of September 30, 2021, there were no shares authorized to be issued and no shares reserved for future issuance under the 2020 Plan. As of December 31, 2020, there were 22,820,305 shares authorized to be issued and 14,258,995 shares reserved for future issuance under the 2020 Plan.</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31"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 As of September 30, 2021, there were 35,075,122 shares authorized to be issued and 17,614,161 shares reserved for future issuance under the 2021 Plan.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jc w:val="both"/>
        <w:ind w:firstLine="509"/>
        <w:spacing w:after="0" w:line="293"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fair value of stock options granted: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Period from</w:t>
            </w:r>
          </w:p>
        </w:tc>
      </w:tr>
      <w:tr>
        <w:trPr>
          <w:trHeight w:val="176"/>
        </w:trPr>
        <w:tc>
          <w:tcPr>
            <w:tcW w:w="566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5"/>
                <w:szCs w:val="15"/>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June 3, 2020</w:t>
            </w:r>
          </w:p>
        </w:tc>
      </w:tr>
      <w:tr>
        <w:trPr>
          <w:trHeight w:val="175"/>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(Inception) to</w:t>
            </w:r>
          </w:p>
        </w:tc>
      </w:tr>
      <w:tr>
        <w:trPr>
          <w:trHeight w:val="186"/>
        </w:trPr>
        <w:tc>
          <w:tcPr>
            <w:tcW w:w="566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208"/>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8"/>
                <w:szCs w:val="18"/>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w:t>
            </w: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3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73.2 %</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73.3 %</w:t>
            </w:r>
          </w:p>
        </w:tc>
        <w:tc>
          <w:tcPr>
            <w:tcW w:w="1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73.3 %</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72.3 %</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0.4 %</w:t>
            </w: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 %</w:t>
            </w: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since 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5"/>
                <w:szCs w:val="15"/>
                <w:color w:val="auto"/>
              </w:rPr>
            </w:pPr>
          </w:p>
        </w:tc>
      </w:tr>
      <w:tr>
        <w:trPr>
          <w:trHeight w:val="192"/>
        </w:trPr>
        <w:tc>
          <w:tcPr>
            <w:tcW w:w="5740" w:type="dxa"/>
            <w:vAlign w:val="bottom"/>
          </w:tcPr>
          <w:p>
            <w:pPr>
              <w:spacing w:after="0"/>
              <w:rPr>
                <w:sz w:val="16"/>
                <w:szCs w:val="16"/>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196"/>
        </w:trPr>
        <w:tc>
          <w:tcPr>
            <w:tcW w:w="57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7"/>
                <w:szCs w:val="17"/>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2,968,070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11,362</w:t>
            </w:r>
          </w:p>
        </w:tc>
        <w:tc>
          <w:tcPr>
            <w:tcW w:w="80" w:type="dxa"/>
            <w:vAlign w:val="bottom"/>
            <w:shd w:val="clear" w:color="auto" w:fill="CFF0FC"/>
          </w:tcPr>
          <w:p>
            <w:pPr>
              <w:spacing w:after="0"/>
              <w:rPr>
                <w:sz w:val="22"/>
                <w:szCs w:val="22"/>
                <w:color w:val="auto"/>
              </w:rPr>
            </w:pP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14,725,078</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(232,187 )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at September 30, 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17,460,961</w:t>
            </w:r>
          </w:p>
        </w:tc>
        <w:tc>
          <w:tcPr>
            <w:tcW w:w="24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8.63</w:t>
            </w:r>
          </w:p>
        </w:tc>
        <w:tc>
          <w:tcPr>
            <w:tcW w:w="13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9.5</w:t>
            </w:r>
          </w:p>
        </w:tc>
        <w:tc>
          <w:tcPr>
            <w:tcW w:w="3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586,814</w:t>
            </w:r>
          </w:p>
        </w:tc>
        <w:tc>
          <w:tcPr>
            <w:tcW w:w="80" w:type="dxa"/>
            <w:vAlign w:val="bottom"/>
            <w:tcBorders>
              <w:top w:val="single" w:sz="8" w:color="CFF0FC"/>
            </w:tcBorders>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September 30,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17,460,961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586,814</w:t>
            </w:r>
          </w:p>
        </w:tc>
        <w:tc>
          <w:tcPr>
            <w:tcW w:w="80" w:type="dxa"/>
            <w:vAlign w:val="bottom"/>
            <w:shd w:val="clear" w:color="auto" w:fill="CFF0FC"/>
          </w:tcPr>
          <w:p>
            <w:pPr>
              <w:spacing w:after="0"/>
              <w:rPr>
                <w:sz w:val="20"/>
                <w:szCs w:val="20"/>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Options exercisable at September 30, 2021</w:t>
            </w:r>
          </w:p>
        </w:tc>
        <w:tc>
          <w:tcPr>
            <w:tcW w:w="1200" w:type="dxa"/>
            <w:vAlign w:val="bottom"/>
          </w:tcPr>
          <w:p>
            <w:pPr>
              <w:jc w:val="right"/>
              <w:spacing w:after="0"/>
              <w:rPr>
                <w:sz w:val="20"/>
                <w:szCs w:val="20"/>
                <w:color w:val="auto"/>
              </w:rPr>
            </w:pPr>
            <w:r>
              <w:rPr>
                <w:rFonts w:ascii="Arial" w:cs="Arial" w:eastAsia="Arial" w:hAnsi="Arial"/>
                <w:sz w:val="18"/>
                <w:szCs w:val="18"/>
                <w:color w:val="auto"/>
              </w:rPr>
              <w:t>1,025,630</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40,943</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-510540</wp:posOffset>
            </wp:positionV>
            <wp:extent cx="16319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weighted-average grant date fair value of stock options granted during the three and nine months ended September 30, 2021 was $9.03 and $6.51, respectively, per option. The weighted-average grant date fair value for the three months ended September 30, 2020 and the period from June 3, 2020 (inception) to September 30, 2020 was $0.68 and $0.21, respectively, per option.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Company’s restricted stock activity during the nine months ended September 30, 2021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Number</w:t>
            </w:r>
          </w:p>
        </w:tc>
      </w:tr>
      <w:tr>
        <w:trPr>
          <w:trHeight w:val="192"/>
        </w:trPr>
        <w:tc>
          <w:tcPr>
            <w:tcW w:w="9260" w:type="dxa"/>
            <w:vAlign w:val="bottom"/>
          </w:tcPr>
          <w:p>
            <w:pPr>
              <w:spacing w:after="0"/>
              <w:rPr>
                <w:sz w:val="16"/>
                <w:szCs w:val="16"/>
                <w:color w:val="auto"/>
              </w:rPr>
            </w:pPr>
          </w:p>
        </w:tc>
        <w:tc>
          <w:tcPr>
            <w:tcW w:w="18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r>
      <w:tr>
        <w:trPr>
          <w:trHeight w:val="25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June 3, 2020 (inception)</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260" w:type="dxa"/>
            <w:vAlign w:val="bottom"/>
          </w:tcPr>
          <w:p>
            <w:pPr>
              <w:ind w:left="200"/>
              <w:spacing w:after="0"/>
              <w:rPr>
                <w:sz w:val="20"/>
                <w:szCs w:val="20"/>
                <w:color w:val="auto"/>
              </w:rPr>
            </w:pPr>
            <w:r>
              <w:rPr>
                <w:rFonts w:ascii="Arial" w:cs="Arial" w:eastAsia="Arial" w:hAnsi="Arial"/>
                <w:sz w:val="18"/>
                <w:szCs w:val="18"/>
                <w:color w:val="auto"/>
              </w:rPr>
              <w:t>Issued</w:t>
            </w:r>
          </w:p>
        </w:tc>
        <w:tc>
          <w:tcPr>
            <w:tcW w:w="1880" w:type="dxa"/>
            <w:vAlign w:val="bottom"/>
          </w:tcPr>
          <w:p>
            <w:pPr>
              <w:jc w:val="right"/>
              <w:spacing w:after="0"/>
              <w:rPr>
                <w:sz w:val="20"/>
                <w:szCs w:val="20"/>
                <w:color w:val="auto"/>
              </w:rPr>
            </w:pPr>
            <w:r>
              <w:rPr>
                <w:rFonts w:ascii="Arial" w:cs="Arial" w:eastAsia="Arial" w:hAnsi="Arial"/>
                <w:sz w:val="18"/>
                <w:szCs w:val="18"/>
                <w:color w:val="auto"/>
              </w:rPr>
              <w:t>6,943,240</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26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(1,350,000 )</w:t>
            </w:r>
          </w:p>
        </w:tc>
      </w:tr>
      <w:tr>
        <w:trPr>
          <w:trHeight w:val="25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5,593,240</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0"/>
              <w:spacing w:after="0"/>
              <w:rPr>
                <w:sz w:val="20"/>
                <w:szCs w:val="20"/>
                <w:color w:val="auto"/>
              </w:rPr>
            </w:pPr>
            <w:r>
              <w:rPr>
                <w:rFonts w:ascii="Arial" w:cs="Arial" w:eastAsia="Arial" w:hAnsi="Arial"/>
                <w:sz w:val="18"/>
                <w:szCs w:val="18"/>
                <w:color w:val="auto"/>
              </w:rPr>
              <w:t>Issued</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(1,734,101 )</w:t>
            </w:r>
          </w:p>
        </w:tc>
      </w:tr>
      <w:tr>
        <w:trPr>
          <w:trHeight w:val="250"/>
        </w:trPr>
        <w:tc>
          <w:tcPr>
            <w:tcW w:w="926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90"/>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at September 30,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3,859,139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September 30, 2021 and December 31, 2020 the liability related to the payments for unvested shares from early-exercised options was less than $0.1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5"/>
                <w:szCs w:val="15"/>
                <w:color w:val="auto"/>
              </w:rPr>
            </w:pPr>
          </w:p>
        </w:tc>
      </w:tr>
      <w:tr>
        <w:trPr>
          <w:trHeight w:val="176"/>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5"/>
                <w:szCs w:val="15"/>
                <w:color w:val="auto"/>
              </w:rPr>
            </w:pPr>
          </w:p>
        </w:tc>
        <w:tc>
          <w:tcPr>
            <w:tcW w:w="1360" w:type="dxa"/>
            <w:vAlign w:val="bottom"/>
          </w:tcPr>
          <w:p>
            <w:pPr>
              <w:jc w:val="center"/>
              <w:ind w:left="144"/>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Nine Months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June 3, 2020</w:t>
            </w:r>
          </w:p>
        </w:tc>
        <w:tc>
          <w:tcPr>
            <w:tcW w:w="80" w:type="dxa"/>
            <w:vAlign w:val="bottom"/>
          </w:tcPr>
          <w:p>
            <w:pPr>
              <w:spacing w:after="0"/>
              <w:rPr>
                <w:sz w:val="15"/>
                <w:szCs w:val="15"/>
                <w:color w:val="auto"/>
              </w:rPr>
            </w:pPr>
          </w:p>
        </w:tc>
      </w:tr>
      <w:tr>
        <w:trPr>
          <w:trHeight w:val="175"/>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1360" w:type="dxa"/>
            <w:vAlign w:val="bottom"/>
          </w:tcPr>
          <w:p>
            <w:pPr>
              <w:jc w:val="center"/>
              <w:ind w:left="164"/>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(Inception) to</w:t>
            </w:r>
          </w:p>
        </w:tc>
        <w:tc>
          <w:tcPr>
            <w:tcW w:w="80" w:type="dxa"/>
            <w:vAlign w:val="bottom"/>
          </w:tcPr>
          <w:p>
            <w:pPr>
              <w:spacing w:after="0"/>
              <w:rPr>
                <w:sz w:val="15"/>
                <w:szCs w:val="15"/>
                <w:color w:val="auto"/>
              </w:rPr>
            </w:pPr>
          </w:p>
        </w:tc>
      </w:tr>
      <w:tr>
        <w:trPr>
          <w:trHeight w:val="186"/>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360" w:type="dxa"/>
            <w:vAlign w:val="bottom"/>
          </w:tcPr>
          <w:p>
            <w:pPr>
              <w:jc w:val="center"/>
              <w:ind w:left="164"/>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6"/>
                <w:szCs w:val="16"/>
                <w:color w:val="auto"/>
              </w:rPr>
            </w:pPr>
          </w:p>
        </w:tc>
      </w:tr>
      <w:tr>
        <w:trPr>
          <w:trHeight w:val="209"/>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8"/>
                <w:szCs w:val="18"/>
                <w:color w:val="auto"/>
              </w:rPr>
            </w:pPr>
          </w:p>
        </w:tc>
        <w:tc>
          <w:tcPr>
            <w:tcW w:w="136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8"/>
                <w:szCs w:val="18"/>
                <w:color w:val="auto"/>
              </w:rPr>
            </w:pPr>
          </w:p>
        </w:tc>
      </w:tr>
      <w:tr>
        <w:trPr>
          <w:trHeight w:val="25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620" w:type="dxa"/>
            <w:vAlign w:val="bottom"/>
            <w:gridSpan w:val="2"/>
            <w:shd w:val="clear" w:color="auto" w:fill="CFF0FC"/>
          </w:tcPr>
          <w:p>
            <w:pPr>
              <w:jc w:val="right"/>
              <w:ind w:right="116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2"/>
                <w:szCs w:val="22"/>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26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90"/>
        </w:trPr>
        <w:tc>
          <w:tcPr>
            <w:tcW w:w="4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2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16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171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171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171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1714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54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of September 30, 2021, total unrecognized stock-based compensation expense related to unvested stock-based awards was $86.7 million, which is expected to be recognized over a weighted-average period of 3.6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For the three and nine months ended September 30, 2021, the three months ended September 30, 2020, and the period from June 3, 2020 (inception) to September 30, 2020, the Company recorded no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3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nine months ended September 30, 2021, the Company contributed $0.2 million and $0.4 million, respectively, to the 401(k) Plan. For the three months ended September 30, 2020 and for the period from June 3, 2020 (inception) to September 30, 2020, the Company contributed an insignificant amount to the 401(k) Plan.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8"/>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(60,375 )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(48,008 )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(143,748 )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(48,106 )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w w:val="98"/>
              </w:rPr>
              <w:t>Weighted-average common shares outstanding, basic and diluted</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61,297,086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1,847,826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20,346,771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(0.98 )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(25.98 )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(7.06 )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diluted</w:t>
            </w:r>
          </w:p>
        </w:tc>
        <w:tc>
          <w:tcPr>
            <w:tcW w:w="140" w:type="dxa"/>
            <w:vAlign w:val="bottom"/>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154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54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289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289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4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jc w:val="both"/>
        <w:ind w:right="20"/>
        <w:spacing w:after="0" w:line="293" w:lineRule="auto"/>
        <w:rPr>
          <w:sz w:val="20"/>
          <w:szCs w:val="20"/>
          <w:color w:val="auto"/>
        </w:rPr>
      </w:pPr>
      <w:r>
        <w:rPr>
          <w:rFonts w:ascii="Arial" w:cs="Arial" w:eastAsia="Arial" w:hAnsi="Arial"/>
          <w:sz w:val="18"/>
          <w:szCs w:val="18"/>
          <w:color w:val="auto"/>
        </w:rPr>
        <w:t>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5"/>
                <w:szCs w:val="15"/>
                <w:color w:val="auto"/>
              </w:rPr>
            </w:pPr>
          </w:p>
        </w:tc>
      </w:tr>
      <w:tr>
        <w:trPr>
          <w:trHeight w:val="176"/>
        </w:trPr>
        <w:tc>
          <w:tcPr>
            <w:tcW w:w="7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Three and Nine Months</w:t>
            </w: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June 3, 2020</w:t>
            </w:r>
          </w:p>
        </w:tc>
        <w:tc>
          <w:tcPr>
            <w:tcW w:w="80" w:type="dxa"/>
            <w:vAlign w:val="bottom"/>
          </w:tcPr>
          <w:p>
            <w:pPr>
              <w:spacing w:after="0"/>
              <w:rPr>
                <w:sz w:val="15"/>
                <w:szCs w:val="15"/>
                <w:color w:val="auto"/>
              </w:rPr>
            </w:pPr>
          </w:p>
        </w:tc>
      </w:tr>
      <w:tr>
        <w:trPr>
          <w:trHeight w:val="175"/>
        </w:trPr>
        <w:tc>
          <w:tcPr>
            <w:tcW w:w="7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(Inception) to</w:t>
            </w:r>
          </w:p>
        </w:tc>
        <w:tc>
          <w:tcPr>
            <w:tcW w:w="80" w:type="dxa"/>
            <w:vAlign w:val="bottom"/>
          </w:tcPr>
          <w:p>
            <w:pPr>
              <w:spacing w:after="0"/>
              <w:rPr>
                <w:sz w:val="15"/>
                <w:szCs w:val="15"/>
                <w:color w:val="auto"/>
              </w:rPr>
            </w:pPr>
          </w:p>
        </w:tc>
      </w:tr>
      <w:tr>
        <w:trPr>
          <w:trHeight w:val="186"/>
        </w:trPr>
        <w:tc>
          <w:tcPr>
            <w:tcW w:w="76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r>
      <w:tr>
        <w:trPr>
          <w:trHeight w:val="249"/>
        </w:trPr>
        <w:tc>
          <w:tcPr>
            <w:tcW w:w="764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21"/>
                <w:szCs w:val="2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 (as converted to common stock)</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56,187,500</w:t>
            </w:r>
          </w:p>
        </w:tc>
        <w:tc>
          <w:tcPr>
            <w:tcW w:w="8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60" w:type="dxa"/>
            <w:vAlign w:val="bottom"/>
          </w:tcPr>
          <w:p>
            <w:pPr>
              <w:jc w:val="right"/>
              <w:spacing w:after="0"/>
              <w:rPr>
                <w:sz w:val="20"/>
                <w:szCs w:val="20"/>
                <w:color w:val="auto"/>
              </w:rPr>
            </w:pPr>
            <w:r>
              <w:rPr>
                <w:rFonts w:ascii="Arial" w:cs="Arial" w:eastAsia="Arial" w:hAnsi="Arial"/>
                <w:sz w:val="18"/>
                <w:szCs w:val="18"/>
                <w:color w:val="auto"/>
              </w:rPr>
              <w:t>17,460,961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2,968,070</w:t>
            </w:r>
          </w:p>
        </w:tc>
        <w:tc>
          <w:tcPr>
            <w:tcW w:w="8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3,859,139</w:t>
            </w:r>
          </w:p>
        </w:tc>
        <w:tc>
          <w:tcPr>
            <w:tcW w:w="2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6,943,240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21,320,100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66,098,810</w:t>
            </w:r>
          </w:p>
        </w:tc>
        <w:tc>
          <w:tcPr>
            <w:tcW w:w="8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wp:posOffset>
            </wp:positionV>
            <wp:extent cx="15430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31"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 Adimab participated in the Series B and C Preferred Stock financings by purchasing 44,076 and 128,064 shares of Series B and C Preferred Stock, respectively, for an aggregate purchase price of $2.5 million and $10 million, respectively (see Note 9).</w:t>
      </w:r>
    </w:p>
    <w:p>
      <w:pPr>
        <w:spacing w:after="0" w:line="4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During the three and nine months ended September 30, 2021, the Company recognized $4.0 million and $7.5 million, respectively, as IPR&amp;D expense in connection with milestones payable under the Adimab Assignment Agreement. For the three months ended September 30, 2020 and for the period from June 3, 2020 (inception) to September 30, 2020 the Company recognized $39.9 million as IPR&amp;D expense in connection with the upfront consideration payable under the Adimab Assignment Agreement (see Note 7).</w:t>
      </w:r>
    </w:p>
    <w:p>
      <w:pPr>
        <w:spacing w:after="0" w:line="77"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During the three and nine months ended September 30, 2021, the Company recognized $0.5 million and $0.9 million of research and development expense, respectively, with respect to services performed by Adimab on the Company’s behalf under the Adimab Assignment Agreement. During the three months ended September 30, 2020, and for the period from June 3, 2020 (inception) to September 30, 2020, the Company recognized $0.3 million of research and development expense with respect to services performed by Adimab on the Company’s behalf under the Adimab Assignment Agreement.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Adimab Collaboration Agreement, the Company is obligated to pay Adimab for certain fees, milestone and royalty payments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130"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For the three and nine months ended September 30, 2021, the Company recognized $1.3 million of research and development expense related to the quarterly fee.</w:t>
      </w:r>
    </w:p>
    <w:p>
      <w:pPr>
        <w:spacing w:after="0" w:line="62"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For the three and nine months ended September 30, 2021, the Company recognized less than $0.1 million and $0.1 million, respectively, of research and development expense with respect to services performed by Adimab on the Company’s behalf under the Adimab Collaboration Agreement.</w:t>
      </w:r>
    </w:p>
    <w:p>
      <w:pPr>
        <w:spacing w:after="0" w:line="1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As of September 30, 2021 and December 31, 2020, $0.6 million and $0.6 million, respectively, was due to Adimab under both the Adimab Assignment Agreement and the Adimab Collaboration Agreement by the Company. As of September 30, 2021 and December 31, 2020, no amounts were due from Adimab under the Adimab Assignment Agreement or the Adimab Collaboration Agreement to the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Quarterly Report on Form 10-Q and our final prospectus for our initial public offering filed pursuant to Rule 424(b)(4) under the Securities Act of 1933, as amended, or the Securities Act, with the SEC, on August 6, 2021 (the “Prospectus”). Unless the context requires otherwise, references in this Quarterly Report on Form 10-Q to “we,” “us,” and “our” refer to Adagio Therapeutics, Inc. together with its consolidated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3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i w:val="1"/>
          <w:iCs w:val="1"/>
          <w:color w:val="auto"/>
        </w:rPr>
        <w:t>The information contained in this discussion and analysis or set forth elsewhere in this Quarterly Report on Form 10-Q, including information with respect to our plans and strategy for our business and related financing, includes forward-looking statements and information within the meaning of Section 27A of the Securities Act, and Section 21E of the Securities Exchange Act of 1934, as amended,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risks set forth in the “Risk Factors” section of this Quarterly Report on Form 10-Q and in our other filings with the SEC. These forward-looking statements are applicable only as of the date on which they are made and we do not assume any obligation to update any forward-looking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Adagio Therapeutics, Inc. is a clinical-stage biopharmaceutical company focused on the discovery, development and commercialization of antibody-based solutions for infectious diseases with pandemic potential, including COVID-19 and influenza. We are developing our lead product candidate, ADG20, for the prevention and treatment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prevention and treatment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400 antibody discovery programs.</w:t>
      </w:r>
    </w:p>
    <w:p>
      <w:pPr>
        <w:spacing w:after="0" w:line="7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ADG20 is designed to be a potent, long-acting and broadly neutralizing antibody for both the prevention and treatment of COVID-19 as either a single or combination agent. We believe several attributes differentiate ADG20. Unlike other antibody-based therapies specifically targeting SARS-CoV-2, ADG20 has demonstrated an ability in non-clinical studies to neutralize a diverse panel of circulating SARS-CoV-2 variants, including the newly emerged Lambda, Mu and Delta plus variants, as well as a broad range of SARS-like viruses with neutralization potency at IC</w:t>
      </w:r>
      <w:r>
        <w:rPr>
          <w:rFonts w:ascii="Arial" w:cs="Arial" w:eastAsia="Arial" w:hAnsi="Arial"/>
          <w:sz w:val="9"/>
          <w:szCs w:val="9"/>
          <w:color w:val="auto"/>
        </w:rPr>
        <w:t>50</w:t>
      </w:r>
      <w:r>
        <w:rPr>
          <w:rFonts w:ascii="Arial" w:cs="Arial" w:eastAsia="Arial" w:hAnsi="Arial"/>
          <w:sz w:val="17"/>
          <w:szCs w:val="17"/>
          <w:color w:val="auto"/>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will translate into a low-clinical dose which, in turn, may translate into the ability to conveniently deliver ADG20 as a single intramuscular, or IM, injection. Data from a six-month evaluation timepoint in our Phase 1 healthy volunteer study ADG20-1-001 confirmed the extended half-life of ADG20, which approached 100 days based on data from the 300 mg IM dose cohort and we believe may allow for protection of up to twelve months. As of September 4, 2021, there were no study drug related adverse events, serious adverse events, injection-site reactions or hypersensitivity reactions reported through a minimum of three months follow-up across all cohorts. In addition, in an exploratory analysis, 50% serum virus neutralizing antibody titers against an authentic SARS-CoV-2 D614G variant measured six months after a single 300 mg IM dose of ADG20 were similar to observed peak titers with the RNA-1273 vaccine series and exceeded those achieved with the AZD1222 vaccine series. We are conducting two separate Phase 2/3 clinical trials: our EVADE trial to evaluate ADG20 for the prevention of COVID-19 and our STAMP trial to evaluate ADG20 for the treatment of COVID-19. Additionally, our portfolio includes multiple broadly neutralizing antibodies, including ADG10, for potential use with ADG20 as a combination therapy for the prevention and treatment of COVID-19 and future coronavirus outbreaks.</w:t>
      </w:r>
    </w:p>
    <w:p>
      <w:pPr>
        <w:spacing w:after="0" w:line="8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4" w:name="page25"/>
    <w:bookmarkEnd w:id="24"/>
    <w:p>
      <w:pPr>
        <w:jc w:val="both"/>
        <w:ind w:firstLine="509"/>
        <w:spacing w:after="0" w:line="304" w:lineRule="auto"/>
        <w:rPr>
          <w:sz w:val="20"/>
          <w:szCs w:val="20"/>
          <w:color w:val="auto"/>
        </w:rPr>
      </w:pPr>
      <w:r>
        <w:rPr>
          <w:rFonts w:ascii="Arial" w:cs="Arial" w:eastAsia="Arial" w:hAnsi="Arial"/>
          <w:sz w:val="16"/>
          <w:szCs w:val="16"/>
          <w:color w:val="auto"/>
        </w:rPr>
        <w:t>Since our inception, we have devoted substantially all of our resources to organizing and staffing, building an intellectual property portfolio, business planning, conducting research and development, establishing 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and testing of our product candidates. Since our inception, we have financed our operations with approximately $464.7 million of net proceeds from sales of our preferred stock, and most recently, with proceeds from our initial public offering, or IPO. 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approximately $330.9 million, after deducting underwriting discounts and commissions, but before deducting offering expenses payable by the Company, which were $3.4 million. To date, we have not generated any revenue from any sources, including product sales. In February 2021, we advanced ADG20 into a Phase 1 clinical trial. In April and August 2021, we advanced ADG20 into two Phase 2/3 clinical trials.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5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Since our inception, we have incurred significant losses, including net losses of $65.3 million for the period from June 3, 2020 (inception) to December 31, 2020 and of $143.7 million for the nine months ended September 30, 2021. As of September 30, 2021, we had an accumulated deficit of $209.1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73"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continue to conduct our ongoing clinical trials of ADG20, including advancement through late-stage global clinical trials, as well as initiate and complete additional clinical trials of future product candidates or current product candidates in new indications or patient populations;</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seek regulatory approval for any product candidates that successfully complete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pursue marketing approvals or EUA and reimbursement for our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acquire or in-license other product candidates, intellectual property and/or technologies;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 establish and validate our commercial-scale current good manufacturing practices, or cGMP, manufacturing process;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manufacture material under cGMP, for potential EUA and commercial sales at our contracted manufacturing facilities;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maintain, expand, enforce, defend and protect our intellectual property portfolio;</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comply with regulatory requirements established by the applicable regulatory authorities;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incur additional legal, accounting and other expenses in operating as a public company.</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for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ind w:firstLine="509"/>
        <w:spacing w:after="0" w:line="271"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83"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4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believe that our existing cash, cash equivalents and marketable securities will enable us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3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March 2020, the World Health Organization declared the outbreak of COVID-19 a global pandemic. The evolving and constantly changing impact of the pandemic will directly affect the potential commercial prospects of ADG20 for the prevention and treatment of COVID-19. The severity of the COVID-19 pandemic and the continued emergence of variants of concern (such as the widespread Delta variant), the availability, administration and acceptance of vaccines, monoclonal antibodies, antiviral agents and other therapeutic modalities, the introduction of local, national and/or employer vaccine mandates,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5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outbreaks and the continued emergence of variants, its impact on our clinical trial design and enrollment, trial sites, contract research organizations, contract manufacturing organizations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contract research organizations, contract manufacturing organizations and other service providers also continue to be impacted. We will continue to monitor developments as it addresses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non-clinical and preclinical development of our product candidates, including our discovery efforts;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left="1080"/>
        <w:spacing w:after="0"/>
        <w:rPr>
          <w:sz w:val="20"/>
          <w:szCs w:val="20"/>
          <w:color w:val="auto"/>
        </w:rPr>
      </w:pPr>
      <w:r>
        <w:rPr>
          <w:rFonts w:ascii="Arial" w:cs="Arial" w:eastAsia="Arial" w:hAnsi="Arial"/>
          <w:sz w:val="18"/>
          <w:szCs w:val="18"/>
          <w:color w:val="auto"/>
        </w:rPr>
        <w:t>the procurement of our product candidates from third-party manufacturers;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global clinical development of our product candidates.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costs consist of:</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costs of outside consultants and advisors, including their fees and stock-based compensation;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payments made under third-party licensing agreements;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expenses incurred as a result of research and development activities.</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5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primary focus since inception has been the development of ADG20.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3"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52"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timing and progress of preclinical and clinical development activities;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62"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nature and severity of adverse events experienced with ADG20 or any other product candidates;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jc w:val="both"/>
        <w:ind w:left="1080"/>
        <w:spacing w:after="0" w:line="293" w:lineRule="auto"/>
        <w:rPr>
          <w:sz w:val="20"/>
          <w:szCs w:val="20"/>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receipt of timely marketing approvals from applicable regulatory authorities;</w:t>
      </w:r>
    </w:p>
    <w:p>
      <w:pPr>
        <w:spacing w:after="0" w:line="131"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54"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We may never succeed in obtaining regulatory approval or EUA for any of our product candidates. In addition, in the absence of a Public Health Emergency (or “PHE”), we may not be able to receive an EUA. The national PHE declaration is currently in effect through January 2022 and may or may not be renewed.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Acquired in-process research and development, or IPR&amp;D, expenses consist primarily of the upfront costs we incurred in July 2020, as well as any costs of contingent milestone payments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payments to Adimab under the terms of the agreement by which we acquired the IPR&amp;D assets.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6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 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Through September 30, 2021, we have operated as a virtual company. Therefore, we do not incur material operating expenses for the rent, maintenance and insurance of facilities or for depreciation of fixed assets.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Interest income consists of interest earned from our cash, cash equivalents and marketable securities. We expect our interest income to modestly increase as we continue to invest the cash received from our sales of Series C preferred stock in April 2021 and the net proceeds from our IPO in August 2021</w:t>
      </w:r>
      <w:r>
        <w:rPr>
          <w:rFonts w:ascii="Arial" w:cs="Arial" w:eastAsia="Arial" w:hAnsi="Arial"/>
          <w:sz w:val="18"/>
          <w:szCs w:val="18"/>
          <w:color w:val="FF0000"/>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 the three and nine months ended September 30, 2021, the three months ended September 30, 2020, and for the period from June 3, 2020 (inception) to September 30, 2020, the Company recorded no income tax benefits for the net operating losses incurred or for the research and development tax credits generated in each period, due to its uncertainty of realizing a benefit from those items.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45,366</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7,251</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38,115</w:t>
            </w: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(35,915 )</w:t>
            </w: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21"/>
                <w:szCs w:val="21"/>
                <w:color w:val="auto"/>
              </w:rPr>
            </w:pPr>
          </w:p>
        </w:tc>
      </w:tr>
      <w:tr>
        <w:trPr>
          <w:trHeight w:val="250"/>
        </w:trPr>
        <w:tc>
          <w:tcPr>
            <w:tcW w:w="6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(60,418 )</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(48,008 )</w:t>
            </w: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(12,410 )</w:t>
            </w:r>
          </w:p>
        </w:tc>
      </w:tr>
      <w:tr>
        <w:trPr>
          <w:trHeight w:val="25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r>
      <w:tr>
        <w:trPr>
          <w:trHeight w:val="257"/>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r>
      <w:tr>
        <w:trPr>
          <w:trHeight w:val="250"/>
        </w:trPr>
        <w:tc>
          <w:tcPr>
            <w:tcW w:w="65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tcBorders>
          </w:tcPr>
          <w:p>
            <w:pPr>
              <w:spacing w:after="0"/>
              <w:rPr>
                <w:sz w:val="21"/>
                <w:szCs w:val="21"/>
                <w:color w:val="auto"/>
              </w:rPr>
            </w:pPr>
          </w:p>
        </w:tc>
      </w:tr>
      <w:tr>
        <w:trPr>
          <w:trHeight w:val="27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(60,375 )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(48,008 )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(12,367 )</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-1033780</wp:posOffset>
            </wp:positionV>
            <wp:extent cx="17145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-1033780</wp:posOffset>
            </wp:positionV>
            <wp:extent cx="15430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-365125</wp:posOffset>
            </wp:positionV>
            <wp:extent cx="17145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-365125</wp:posOffset>
            </wp:positionV>
            <wp:extent cx="1543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71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71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54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154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discussion presents the components of our expenses for the periods presented: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8"/>
                <w:szCs w:val="18"/>
                <w:color w:val="auto"/>
              </w:rPr>
            </w:pPr>
          </w:p>
        </w:tc>
      </w:tr>
      <w:tr>
        <w:trPr>
          <w:trHeight w:val="25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6600" w:type="dxa"/>
            <w:vAlign w:val="bottom"/>
          </w:tcPr>
          <w:p>
            <w:pPr>
              <w:ind w:left="200"/>
              <w:spacing w:after="0"/>
              <w:rPr>
                <w:sz w:val="20"/>
                <w:szCs w:val="20"/>
                <w:color w:val="auto"/>
              </w:rPr>
            </w:pPr>
            <w:r>
              <w:rPr>
                <w:rFonts w:ascii="Arial" w:cs="Arial" w:eastAsia="Arial" w:hAnsi="Arial"/>
                <w:sz w:val="18"/>
                <w:szCs w:val="18"/>
                <w:color w:val="auto"/>
              </w:rPr>
              <w:t>ADG20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31,878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6,294</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25,584</w:t>
            </w:r>
          </w:p>
        </w:tc>
        <w:tc>
          <w:tcPr>
            <w:tcW w:w="80" w:type="dxa"/>
            <w:vAlign w:val="bottom"/>
          </w:tcPr>
          <w:p>
            <w:pPr>
              <w:spacing w:after="0"/>
              <w:rPr>
                <w:sz w:val="21"/>
                <w:szCs w:val="21"/>
                <w:color w:val="auto"/>
              </w:rPr>
            </w:pPr>
          </w:p>
        </w:tc>
      </w:tr>
      <w:tr>
        <w:trPr>
          <w:trHeight w:val="263"/>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ADG10</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FF0FC"/>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Personnel-related costs</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6,857</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80" w:type="dxa"/>
            <w:vAlign w:val="bottom"/>
            <w:shd w:val="clear" w:color="auto" w:fill="CFF0FC"/>
          </w:tcPr>
          <w:p>
            <w:pPr>
              <w:spacing w:after="0"/>
              <w:rPr>
                <w:sz w:val="22"/>
                <w:szCs w:val="22"/>
                <w:color w:val="auto"/>
              </w:rPr>
            </w:pPr>
          </w:p>
        </w:tc>
      </w:tr>
      <w:tr>
        <w:trPr>
          <w:trHeight w:val="250"/>
        </w:trPr>
        <w:tc>
          <w:tcPr>
            <w:tcW w:w="6600" w:type="dxa"/>
            <w:vAlign w:val="bottom"/>
          </w:tcPr>
          <w:p>
            <w:pPr>
              <w:ind w:left="200"/>
              <w:spacing w:after="0"/>
              <w:rPr>
                <w:sz w:val="20"/>
                <w:szCs w:val="20"/>
                <w:color w:val="auto"/>
              </w:rPr>
            </w:pPr>
            <w:r>
              <w:rPr>
                <w:rFonts w:ascii="Arial" w:cs="Arial" w:eastAsia="Arial" w:hAnsi="Arial"/>
                <w:sz w:val="18"/>
                <w:szCs w:val="18"/>
                <w:color w:val="auto"/>
              </w:rPr>
              <w:t>External discovery-related and other costs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21"/>
                <w:szCs w:val="21"/>
                <w:color w:val="auto"/>
              </w:rPr>
            </w:pPr>
          </w:p>
        </w:tc>
      </w:tr>
      <w:tr>
        <w:trPr>
          <w:trHeight w:val="290"/>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45,366</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7,251</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46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289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Research and development expenses were $45.4 million for the three months ended September 30, 2021, compared to $7.3 million for the three months ended September 30, 2020. The increase of $25.6 million in direct costs related to our ADG20 program was primarily due to overall increases in our clinical study costs and manufacturing expenses. The increase of $4.4 million in direct costs related to our ADG10 program was driven by manufacturing expenses, for which there were no costs incurred during the three months ended September 30, 2020.</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Personnel-related costs, including salaries, bonuses, benefits and other compensation-related costs were $4.7 million and stock-based compensation expense was $2.2 million for the three months ended September 30, 2021, compared to personnel-related costs of $0.5 million and stock-based compensation expense of less than $0.1 million for the three months ended September 30, 2020. The overall increase in personnel-related costs is attributable to the hiring of individuals to support the development of our product candidates. The increase in external discovery related costs and other of $1.7 million was primarily driven by the $1.3 million quarterly fee under the Adimab Collaboration Agreement, $0.5 million in professional services and consulting costs, offset by $0.1 million of other research and development related costs.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Acquired IPR&amp;D expenses of $4.0 million for three months ended September 30, 2021 consisted of the cost we incurred in the period under the Adimab Assignment Agreement for a milestone payment that became due to Adimab in August 2021 upon the dosing of the first patient in a Phase 3 global clinical trial evaluating ADG20 for the prevention of COVID-19. The amount of this contingent payment was recognized as an IPR&amp;D expense based on the nature of the associated assets acquired from Adimab on the date of the milestone achievement. Acquired IPR&amp;D expense of $39.9 million for the three months ended September 30, 2020 consisted of the costs we incurred in the period under the Adimab Assignment Agreement to acquire rights to Adimab’s antibodies relating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jc w:val="both"/>
        <w:ind w:right="20"/>
        <w:spacing w:after="0" w:line="359" w:lineRule="auto"/>
        <w:rPr>
          <w:sz w:val="20"/>
          <w:szCs w:val="20"/>
          <w:color w:val="auto"/>
        </w:rPr>
      </w:pPr>
      <w:r>
        <w:rPr>
          <w:rFonts w:ascii="Arial" w:cs="Arial" w:eastAsia="Arial" w:hAnsi="Arial"/>
          <w:sz w:val="16"/>
          <w:szCs w:val="16"/>
          <w:color w:val="auto"/>
        </w:rPr>
        <w:t>to COVID-19 and SARS and related intellectual property and a license to certain of Adimab’s platform patents and technology for use in the research and development of our product candidates. We expensed the cost of the IPR&amp;D assets because they had no alternative future use as of the acquisition date.</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11,052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-193675</wp:posOffset>
            </wp:positionV>
            <wp:extent cx="16319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5430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Selling, general and administrative expenses for the three months ended September 30, 2021 were $11.1 million, compared to $0.8 million for the three months ended September 30, 2020. Personnel-related costs increased by $6.2 million due to increased hiring to support general and administrative functions. Personnel-related costs, including salaries, bonuses, benefits and other compensation-related costs were $2.6 million and stock-based compensation expense was $3.8 million for the three months ended September 30, 2021, compared to personnel-related costs of $0.2 million and stock-based compensation expense of less than $0.1 million for the three months ended September 30, 2020. The increase of $3.6 million in professional services and consultant fees and the increase of $0.4 million in other expenses was attributable to costs incurred as we began operating as a public company, including insurance premiums and other fees.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income was less than $0.1 million for the three months ended September 30, 2021 and $0 for the three months ended September 30, 2020, consisting primarily of interest earned on invested cash balances.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to the period from June 3, 2020 (inception) to September 30, 2020</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2021 and for the period from June 3, 2020 (inception) to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Period from</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Nine Months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June 3, 2020</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(Inception) to</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5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1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114,465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107,166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4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(32,415 )</w:t>
            </w:r>
          </w:p>
        </w:tc>
      </w:tr>
      <w:tr>
        <w:trPr>
          <w:trHeight w:val="250"/>
        </w:trPr>
        <w:tc>
          <w:tcPr>
            <w:tcW w:w="5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143,818</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48,106</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(143,818 )</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(48,106 )</w:t>
            </w:r>
          </w:p>
        </w:tc>
        <w:tc>
          <w:tcPr>
            <w:tcW w:w="2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(95,712 )</w:t>
            </w:r>
          </w:p>
        </w:tc>
      </w:tr>
      <w:tr>
        <w:trPr>
          <w:trHeight w:val="25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22"/>
                <w:szCs w:val="22"/>
                <w:color w:val="auto"/>
              </w:rPr>
            </w:pPr>
          </w:p>
        </w:tc>
        <w:tc>
          <w:tcPr>
            <w:tcW w:w="8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1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14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r>
      <w:tr>
        <w:trPr>
          <w:trHeight w:val="250"/>
        </w:trPr>
        <w:tc>
          <w:tcPr>
            <w:tcW w:w="51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 (expense), net</w:t>
            </w:r>
          </w:p>
        </w:tc>
        <w:tc>
          <w:tcPr>
            <w:tcW w:w="1400" w:type="dxa"/>
            <w:vAlign w:val="bottom"/>
            <w:tcBorders>
              <w:top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gridSpan w:val="2"/>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9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16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(143,748 )</w:t>
            </w:r>
          </w:p>
        </w:tc>
        <w:tc>
          <w:tcPr>
            <w:tcW w:w="180" w:type="dxa"/>
            <w:vAlign w:val="bottom"/>
            <w:shd w:val="clear" w:color="auto" w:fill="CFF0FC"/>
          </w:tcPr>
          <w:p>
            <w:pPr>
              <w:spacing w:after="0"/>
              <w:rPr>
                <w:sz w:val="24"/>
                <w:szCs w:val="24"/>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(48,106 )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(95,642 )</w:t>
            </w:r>
          </w:p>
        </w:tc>
      </w:tr>
      <w:tr>
        <w:trPr>
          <w:trHeight w:val="284"/>
        </w:trPr>
        <w:tc>
          <w:tcPr>
            <w:tcW w:w="5120" w:type="dxa"/>
            <w:vAlign w:val="bottom"/>
            <w:tcBorders>
              <w:top w:val="single" w:sz="8" w:color="CFF0FC"/>
            </w:tcBorders>
          </w:tcPr>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14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88"/>
        </w:trPr>
        <w:tc>
          <w:tcPr>
            <w:tcW w:w="5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Period from</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5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Nine Months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June 3, 2020</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(Inception) to</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5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5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Direct, external research and development expenses by program:</w:t>
            </w:r>
          </w:p>
        </w:tc>
        <w:tc>
          <w:tcPr>
            <w:tcW w:w="1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120" w:type="dxa"/>
            <w:vAlign w:val="bottom"/>
          </w:tcPr>
          <w:p>
            <w:pPr>
              <w:ind w:left="200"/>
              <w:spacing w:after="0"/>
              <w:rPr>
                <w:sz w:val="20"/>
                <w:szCs w:val="20"/>
                <w:color w:val="auto"/>
              </w:rPr>
            </w:pPr>
            <w:r>
              <w:rPr>
                <w:rFonts w:ascii="Arial" w:cs="Arial" w:eastAsia="Arial" w:hAnsi="Arial"/>
                <w:sz w:val="18"/>
                <w:szCs w:val="18"/>
                <w:color w:val="auto"/>
              </w:rPr>
              <w:t>ADG20</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90,561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6,294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84,267</w:t>
            </w:r>
          </w:p>
        </w:tc>
        <w:tc>
          <w:tcPr>
            <w:tcW w:w="80" w:type="dxa"/>
            <w:vAlign w:val="bottom"/>
          </w:tcPr>
          <w:p>
            <w:pPr>
              <w:spacing w:after="0"/>
              <w:rPr>
                <w:sz w:val="21"/>
                <w:szCs w:val="21"/>
                <w:color w:val="auto"/>
              </w:rPr>
            </w:pPr>
          </w:p>
        </w:tc>
      </w:tr>
      <w:tr>
        <w:trPr>
          <w:trHeight w:val="263"/>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ADG10</w:t>
            </w:r>
          </w:p>
        </w:tc>
        <w:tc>
          <w:tcPr>
            <w:tcW w:w="14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4,440</w:t>
            </w: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FF0FC"/>
          </w:tcPr>
          <w:p>
            <w:pPr>
              <w:spacing w:after="0"/>
              <w:rPr>
                <w:sz w:val="22"/>
                <w:szCs w:val="22"/>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Personnel-related costs</w:t>
            </w:r>
          </w:p>
        </w:tc>
        <w:tc>
          <w:tcPr>
            <w:tcW w:w="14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14,457</w:t>
            </w: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13,920</w:t>
            </w:r>
          </w:p>
        </w:tc>
        <w:tc>
          <w:tcPr>
            <w:tcW w:w="80" w:type="dxa"/>
            <w:vAlign w:val="bottom"/>
            <w:shd w:val="clear" w:color="auto" w:fill="CFF0FC"/>
          </w:tcPr>
          <w:p>
            <w:pPr>
              <w:spacing w:after="0"/>
              <w:rPr>
                <w:sz w:val="22"/>
                <w:szCs w:val="22"/>
                <w:color w:val="auto"/>
              </w:rPr>
            </w:pPr>
          </w:p>
        </w:tc>
      </w:tr>
      <w:tr>
        <w:trPr>
          <w:trHeight w:val="250"/>
        </w:trPr>
        <w:tc>
          <w:tcPr>
            <w:tcW w:w="5120" w:type="dxa"/>
            <w:vAlign w:val="bottom"/>
          </w:tcPr>
          <w:p>
            <w:pPr>
              <w:ind w:left="200"/>
              <w:spacing w:after="0"/>
              <w:rPr>
                <w:sz w:val="20"/>
                <w:szCs w:val="20"/>
                <w:color w:val="auto"/>
              </w:rPr>
            </w:pPr>
            <w:r>
              <w:rPr>
                <w:rFonts w:ascii="Arial" w:cs="Arial" w:eastAsia="Arial" w:hAnsi="Arial"/>
                <w:sz w:val="18"/>
                <w:szCs w:val="18"/>
                <w:color w:val="auto"/>
              </w:rPr>
              <w:t>External discovery-related and other costs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5,007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4,539</w:t>
            </w:r>
          </w:p>
        </w:tc>
        <w:tc>
          <w:tcPr>
            <w:tcW w:w="80" w:type="dxa"/>
            <w:vAlign w:val="bottom"/>
          </w:tcPr>
          <w:p>
            <w:pPr>
              <w:spacing w:after="0"/>
              <w:rPr>
                <w:sz w:val="21"/>
                <w:szCs w:val="21"/>
                <w:color w:val="auto"/>
              </w:rPr>
            </w:pPr>
          </w:p>
        </w:tc>
      </w:tr>
      <w:tr>
        <w:trPr>
          <w:trHeight w:val="290"/>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1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114,465</w:t>
            </w:r>
          </w:p>
        </w:tc>
        <w:tc>
          <w:tcPr>
            <w:tcW w:w="180" w:type="dxa"/>
            <w:vAlign w:val="bottom"/>
            <w:shd w:val="clear" w:color="auto" w:fill="CFF0FC"/>
          </w:tcPr>
          <w:p>
            <w:pPr>
              <w:spacing w:after="0"/>
              <w:rPr>
                <w:sz w:val="24"/>
                <w:szCs w:val="2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20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107,166</w:t>
            </w:r>
          </w:p>
        </w:tc>
        <w:tc>
          <w:tcPr>
            <w:tcW w:w="80" w:type="dxa"/>
            <w:vAlign w:val="bottom"/>
            <w:shd w:val="clear" w:color="auto" w:fill="CFF0FC"/>
          </w:tcPr>
          <w:p>
            <w:pPr>
              <w:spacing w:after="0"/>
              <w:rPr>
                <w:sz w:val="24"/>
                <w:szCs w:val="24"/>
                <w:color w:val="auto"/>
              </w:rPr>
            </w:pPr>
          </w:p>
        </w:tc>
      </w:tr>
      <w:tr>
        <w:trPr>
          <w:trHeight w:val="662"/>
        </w:trPr>
        <w:tc>
          <w:tcPr>
            <w:tcW w:w="512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ind w:right="710"/>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-3579495</wp:posOffset>
            </wp:positionV>
            <wp:extent cx="17145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-3579495</wp:posOffset>
            </wp:positionV>
            <wp:extent cx="15430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-3579495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-2910840</wp:posOffset>
            </wp:positionV>
            <wp:extent cx="17145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-2910840</wp:posOffset>
            </wp:positionV>
            <wp:extent cx="1543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-2910840</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-2571115</wp:posOffset>
            </wp:positionV>
            <wp:extent cx="171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-2553970</wp:posOffset>
            </wp:positionV>
            <wp:extent cx="1714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-2571115</wp:posOffset>
            </wp:positionV>
            <wp:extent cx="1543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-2553970</wp:posOffset>
            </wp:positionV>
            <wp:extent cx="1543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-539115</wp:posOffset>
            </wp:positionV>
            <wp:extent cx="1460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-522605</wp:posOffset>
            </wp:positionV>
            <wp:extent cx="1460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-539115</wp:posOffset>
            </wp:positionV>
            <wp:extent cx="1289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-522605</wp:posOffset>
            </wp:positionV>
            <wp:extent cx="1289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-539115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-522605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ind w:firstLine="509"/>
        <w:spacing w:after="0" w:line="319" w:lineRule="auto"/>
        <w:rPr>
          <w:sz w:val="20"/>
          <w:szCs w:val="20"/>
          <w:color w:val="auto"/>
        </w:rPr>
      </w:pPr>
      <w:r>
        <w:rPr>
          <w:rFonts w:ascii="Arial" w:cs="Arial" w:eastAsia="Arial" w:hAnsi="Arial"/>
          <w:sz w:val="16"/>
          <w:szCs w:val="16"/>
          <w:color w:val="auto"/>
        </w:rPr>
        <w:t>Research and development expenses were $114.5 million for the nine months ended September 30, 2021, compared to $7.3 million for the period from June 3, 2020 (inception) to September 30, 2020. The increase of $84.3 million in direct costs related to our ADG20 program was primarily due to overall increases in our clinical study costs and manufacturing expenses. The increase of $4.4 million in direct costs related to our ADG10 program was primarily due to manufacturing expenses, for which there were no costs incurred for the period from June 3, 2020 (inception) to September 30, 2020.</w:t>
      </w:r>
    </w:p>
    <w:p>
      <w:pPr>
        <w:spacing w:after="0" w:line="4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Personnel-related costs, including salaries, bonuses, benefits and other compensation-related costs, were $10.9 million and stock-based compensation expense was $3.6 million for the nine months ended September 30, 2021, compared to personnel-related costs of $0.5 million and stock-based compensation expense of less than $0.1 million for the period from June 3, 2020 (inception) to September 30, 2020. The overall increase in personnel-related costs is attributable to the hiring of more individuals to support the development of ADG20 and ADG10. The increase in external discovery-related and other costs and other of $4.5 million was primarily driven by $1.3 million quarterly fee under the Adimab Collaboration Agreement, $1.5 million related to the TSRI Research Agreement and an increase in professional services and consultant fees.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Acquired IPR&amp;D expenses of $7.5 million for the nine months ended September 30, 2021 consisted of the costs we incurred in the period under the Adimab Assignment Agreement for a $1.0 million milestone payment that became due to Adimab in February 2021 upon the dosing of the first patient in a Phase 1 global clinical trial evaluating ADG20, a $2.5 million milestone payment that became due to Adimab in April 2021 upon the dosing of the first patient in the first Phase 2 global clinical trial of a product licensed under the agreement, and a $4.0 million milestone payment that became due to Adimab in August 2021 upon dosing of the first patient in a Phase 3 global clinical trial evaluating ADG20 for the prevention of COVID-19. The amounts of these contingent payments were recognized as an IPR&amp;D expense based on the nature of the associated assets acquired from Adimab on the date of the milestone achievement. Acquired IPR&amp;D expense of $39.9 million for the three months ended September 30, 2020 consisted of the costs we incurred in the period under the Adimab Assignment Agreement to acquire rights to Adimab’s antibodies relating to COVID-19 and SARS and related intellectual property and a license to certain of Adimab’s platform patents and technology for use in the research and development of our product candidates. We expensed the cost of the IPR&amp;D assets because they had no alternative future use as of the acquisition date.</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Nine Months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June 3, 2020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(Inception) to</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11,980</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11,728</w:t>
            </w: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9,026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21,853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20,961</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-193675</wp:posOffset>
            </wp:positionV>
            <wp:extent cx="16319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543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Selling, general and administrative expenses for the nine months ended September 30, 2021 were $21.9 million, compared to $0.9 million for the period from June 3, 2020 (inception) to September 30, 2020. Personnel-related costs increased by $11.7 million due to increased hiring to support general and administrative functions. Personnel-related costs, including salaries, bonuses, benefits and other compensation-related costs, were $5.7 million and stock-based compensation expense was $6.3 million for the nine months ended September 30, 2021, compared to personnel-related costs of $0.2 million and stock-based compensation expense of less than $0.1 million for the period from June 3, 2020 (inception) to September 30, 2020. The increase of $8.5 million in professional services and consultant fees and the increase of $0.8 million in other expenses is attributable to costs incurred as we began operating as a public company, including insurance premiums and other fees.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income was less than $0.1 million for the nine months ended September 30, 2021 and $0 for the period from June 3, 2020 (inception) to September 30, 2020, consisting of primarily of interest earned on invested cash balances.</w:t>
      </w:r>
    </w:p>
    <w:p>
      <w:pPr>
        <w:spacing w:after="0" w:line="58" w:lineRule="exact"/>
        <w:rPr>
          <w:sz w:val="20"/>
          <w:szCs w:val="20"/>
          <w:color w:val="auto"/>
        </w:rPr>
      </w:pPr>
    </w:p>
    <w:p>
      <w:pPr>
        <w:jc w:val="center"/>
        <w:ind w:right="8740"/>
        <w:spacing w:after="0"/>
        <w:rPr>
          <w:sz w:val="20"/>
          <w:szCs w:val="20"/>
          <w:color w:val="auto"/>
        </w:rPr>
      </w:pPr>
      <w:r>
        <w:rPr>
          <w:rFonts w:ascii="Arial" w:cs="Arial" w:eastAsia="Arial" w:hAnsi="Arial"/>
          <w:sz w:val="16"/>
          <w:szCs w:val="16"/>
          <w:b w:val="1"/>
          <w:bCs w:val="1"/>
          <w:color w:val="auto"/>
        </w:rPr>
        <w:t>Liquidity and Capital Resources</w:t>
      </w:r>
    </w:p>
    <w:p>
      <w:pPr>
        <w:spacing w:after="0" w:line="158"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$467.7 million of net proceeds from sales of our preferred stock, and most recently, with $330.9 million of net proceeds from our IPO completed in August 2021. As of September 30, 2021, we had cash, cash equivalents and marketable securities of $666.3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jc w:val="both"/>
        <w:ind w:firstLine="509"/>
        <w:spacing w:after="0" w:line="275" w:lineRule="auto"/>
        <w:rPr>
          <w:sz w:val="20"/>
          <w:szCs w:val="20"/>
          <w:color w:val="auto"/>
        </w:rPr>
      </w:pPr>
      <w:r>
        <w:rPr>
          <w:rFonts w:ascii="Arial" w:cs="Arial" w:eastAsia="Arial" w:hAnsi="Arial"/>
          <w:sz w:val="18"/>
          <w:szCs w:val="18"/>
          <w:color w:val="auto"/>
        </w:rPr>
        <w:t>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approximately $330.9 million, after deducting underwriting discounts and commissions, but before deducting offering expenses payable by the Company, which were $3.4 million.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r>
      <w:tr>
        <w:trPr>
          <w:trHeight w:val="176"/>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Nine Months</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June 3, 2020</w:t>
            </w:r>
          </w:p>
        </w:tc>
      </w:tr>
      <w:tr>
        <w:trPr>
          <w:trHeight w:val="175"/>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(Inception) to</w:t>
            </w:r>
          </w:p>
        </w:tc>
      </w:tr>
      <w:tr>
        <w:trPr>
          <w:trHeight w:val="186"/>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r>
      <w:tr>
        <w:trPr>
          <w:trHeight w:val="215"/>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8"/>
                <w:szCs w:val="18"/>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(111,524 )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(1,143 )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(188,627 )</w:t>
            </w:r>
          </w:p>
        </w:tc>
        <w:tc>
          <w:tcPr>
            <w:tcW w:w="24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663,432</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363,281</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48,577</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-193675</wp:posOffset>
            </wp:positionV>
            <wp:extent cx="16319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During the nine months ended September 30, 2021, operating activities used $111.5 million of cash, primarily due to our net loss of $143.7 million, partially offset by non-cash stock-based compensation expense of $9.9 million and net cash provided by changes in our operating assets and liabilities of $21.7 million. Net cash provided by changes in our operating assets and liabilities consisted of a $8.9 million increase in accounts payable and a $30.1 million increase in accrued expenses, partially offset by a $11.3 million increase in prepaid expenses and other current assets and a $6.0 million increase in other non-current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and other non-current assets was primarily due to prepayments for external research and development activities and prepayments for insurance premiums.</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period from June 3, 2020 (inception) to September 30, 2020, operating activities used $1.1 million of cash, primarily due to our net loss of $48.1 million, offset by non-cash acquired IPR&amp;D of $39.9 million and net cash provided by changes in our operating assets and liabilities of $7.0 million. Net cash provided by changes in our operating assets and liabilities consisted of a $5.2 million increase in accounts payable and a $1.9 million increase in accrued expenses.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investing activities during the nine months ended September 30, 2021 consisted of $188.6 million in investment purchases.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cash used in or provided by investing activities for the period from June 3, 2020 (inception) to September 30,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Net cash provided by financing activities during the nine months ended September 30, 2021 consisted of $328.3 million from sales of our common stock and $335.2 million of net proceeds from the issuance of our Series C Preferred Stock in April 2021.</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Net cash provided by financing activities from June 3, 2020 (inception) to September 30, 2020 consists of $49.7 million from the issuance of our Series A preferred stock in July 2020.</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rate of progress in the development of AGD20 and our other product candidates;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jc w:val="both"/>
        <w:ind w:left="1080"/>
        <w:spacing w:after="0" w:line="279" w:lineRule="auto"/>
        <w:rPr>
          <w:sz w:val="20"/>
          <w:szCs w:val="20"/>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75" w:lineRule="exact"/>
        <w:rPr>
          <w:sz w:val="20"/>
          <w:szCs w:val="20"/>
          <w:color w:val="auto"/>
        </w:rPr>
      </w:pPr>
    </w:p>
    <w:p>
      <w:pPr>
        <w:ind w:left="1080" w:right="4000"/>
        <w:spacing w:after="0" w:line="440" w:lineRule="auto"/>
        <w:rPr>
          <w:sz w:val="20"/>
          <w:szCs w:val="20"/>
          <w:color w:val="auto"/>
        </w:rPr>
      </w:pPr>
      <w:r>
        <w:rPr>
          <w:rFonts w:ascii="Arial" w:cs="Arial" w:eastAsia="Arial" w:hAnsi="Arial"/>
          <w:sz w:val="16"/>
          <w:szCs w:val="16"/>
          <w:color w:val="auto"/>
        </w:rPr>
        <w:t>the number and development requirements of product candidates that we may pursue; the costs, timing and outcome of regulatory review of our product candidates;</w:t>
      </w:r>
    </w:p>
    <w:p>
      <w:pPr>
        <w:jc w:val="both"/>
        <w:ind w:left="1080"/>
        <w:spacing w:after="0" w:line="293" w:lineRule="auto"/>
        <w:rPr>
          <w:sz w:val="20"/>
          <w:szCs w:val="20"/>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we incur in maintaining business operations;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to implement additional internal systems and infrastructure;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 of competing technological, product and market developments;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of operating as a public company; and</w:t>
      </w:r>
    </w:p>
    <w:p>
      <w:pPr>
        <w:spacing w:after="0" w:line="131" w:lineRule="exact"/>
        <w:rPr>
          <w:sz w:val="20"/>
          <w:szCs w:val="20"/>
          <w:color w:val="auto"/>
        </w:rPr>
      </w:pPr>
    </w:p>
    <w:p>
      <w:pPr>
        <w:jc w:val="both"/>
        <w:ind w:left="1080" w:right="20"/>
        <w:spacing w:after="0" w:line="279" w:lineRule="auto"/>
        <w:rPr>
          <w:sz w:val="20"/>
          <w:szCs w:val="20"/>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As of November 15, 2021, we believe that our existing cash, cash equivalents and marketable securities, including the net proceeds from our IPO, will enable us to fund our operating expenses and capital expenditure requirements into the first quarter of 2023. We have based this estimate on assumptions that may prove to be wrong, and we could exhaust our available capital resources sooner than we expect.</w:t>
      </w:r>
    </w:p>
    <w:p>
      <w:pPr>
        <w:spacing w:after="0" w:line="5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ownership interest will be diluted, and the terms of such securities may include liquidation or other preferences and anti-dilution protections that adversely affect as a common stockholders’ rights.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There have been no material changes to our contractual obligations from those described in the Prospectus. For additional information, see Note 8 to our condensed consolidated financial statements appearing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Significant Judgments and Estimates” in our Prospectus.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Prospectus.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identified a material weakness in our internal control over financial reporting that existed as of September 30, 2021. See Item 4, Controls and Procedures.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As of September 30, 2021, we had cash, cash equivalents and marketable securities of $666.3 million, which consisted of cash, money market funds and marketable securities. Interest income is sensitive to changes in the general level of interest rates; however, due to the nature of these investments, an immediate 10% change in interest rates would not have a material impact on the fair value of our investment portfolio. As of September 30, 2021, we had no debt outstanding. Therefore, we are not exposed to interest rate risk with respect to debt.</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Chief Financial Officer concluded that, as a result of the material weaknesses in our internal control over financial reporting described below, our disclosure controls and procedures were not effective as of September 30, 2021.</w:t>
      </w:r>
    </w:p>
    <w:p>
      <w:pPr>
        <w:spacing w:after="0" w:line="7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Notwithstanding the material weakness described below, management concluded that the unaudited condensed consolidated financial statements contained in this Quarterly Report on Form 10-Q fairly present, in all material respects, our financial condition, results of operations and cash flows for the periods presented in conformity with accounting principles generally accepted in the United States of America.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Reported Material Weakness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disclosed in the section titled Management's Discussion and Analysis of Financial Condition and Results of Operations in Part I, Item 2 of this Quarterly Report on Form 10-Q, we previously identified a material weakness in our internal control over financial reporting that continued to exist as of September 30, 2021.</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condensed consolidated financial statements. Additionally, this material weakness could result in misstatements of the aforementioned account balances or disclosures that would result in a material misstatement of our annual or interim condensed consolidated financial statements that would not be prevented or detected.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undertaken a plan and designed and implemented controls to remediate the material weakness during the third quarter of 2021, including strengthening and formalizing our documentation of policies and further evolving our accounting processes and post-closing review procedures related to the completeness and accuracy of research and development expenses, prepaid expenses, accounts payable and accrued expenses of our contract manufacturing agreements.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While we believe that these efforts have improved our internal control over financial reporting, additional time is needed to support the operating effectiveness of the newly implemented controls.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taken actions to remediate the material weaknesses relating to our internal control over financial reporting, as described above. As a result, there were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are not currently party to any material legal proceedings. From time to time, we may become involved in other litigation or legal proceedings relating to claims arising from the ordinary course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3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62"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recurring losses from operations and financial condition could raise substantial doubt about our ability to continue as a going concern.</w:t>
      </w:r>
    </w:p>
    <w:p>
      <w:pPr>
        <w:spacing w:after="0" w:line="154"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5"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Because ADG20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75" w:lineRule="exact"/>
        <w:rPr>
          <w:sz w:val="20"/>
          <w:szCs w:val="20"/>
          <w:color w:val="auto"/>
        </w:rPr>
      </w:pPr>
    </w:p>
    <w:p>
      <w:pPr>
        <w:jc w:val="both"/>
        <w:ind w:left="960"/>
        <w:spacing w:after="0" w:line="270" w:lineRule="auto"/>
        <w:rPr>
          <w:sz w:val="20"/>
          <w:szCs w:val="20"/>
          <w:color w:val="auto"/>
        </w:rPr>
      </w:pPr>
      <w:r>
        <w:rPr>
          <w:rFonts w:ascii="Arial" w:cs="Arial" w:eastAsia="Arial" w:hAnsi="Arial"/>
          <w:sz w:val="18"/>
          <w:szCs w:val="18"/>
          <w:color w:val="auto"/>
        </w:rPr>
        <w:t>There can be no assurance that the Public Health Emergency (or “PHE”) will continue to be in place for an extended period of time and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5"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be successful in our efforts to build a pipeline of additional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31"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both"/>
        <w:ind w:left="960"/>
        <w:spacing w:after="0" w:line="359" w:lineRule="auto"/>
        <w:rPr>
          <w:sz w:val="20"/>
          <w:szCs w:val="20"/>
          <w:color w:val="auto"/>
        </w:rPr>
      </w:pPr>
      <w:r>
        <w:rPr>
          <w:rFonts w:ascii="Arial" w:cs="Arial" w:eastAsia="Arial" w:hAnsi="Arial"/>
          <w:sz w:val="16"/>
          <w:szCs w:val="16"/>
          <w:color w:val="auto"/>
        </w:rPr>
        <w:t>The affected populations for our lead monoclonal antibody product candidate or our other product candidates may be smaller than we or third parties currently project, which may affect our ability to enroll our clinical trials as well as the addressable markets for our product candidates.</w:t>
      </w:r>
    </w:p>
    <w:p>
      <w:pPr>
        <w:spacing w:after="0" w:line="17"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ADG20 and our other monoclonal antibody product candidates may face significant competition from vaccines, antiviral agents and other therapeutics for COVID-19 that are currently available or in development.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Local, national and/or employer vaccine mandates may impact enrollment and/or retention in our clinical trials for our product candidates.</w:t>
      </w:r>
    </w:p>
    <w:p>
      <w:pPr>
        <w:spacing w:after="0" w:line="154" w:lineRule="exact"/>
        <w:rPr>
          <w:sz w:val="20"/>
          <w:szCs w:val="20"/>
          <w:color w:val="auto"/>
        </w:rPr>
      </w:pPr>
    </w:p>
    <w:p>
      <w:pPr>
        <w:jc w:val="both"/>
        <w:ind w:left="960"/>
        <w:spacing w:after="0" w:line="303" w:lineRule="auto"/>
        <w:rPr>
          <w:sz w:val="20"/>
          <w:szCs w:val="20"/>
          <w:color w:val="auto"/>
        </w:rPr>
      </w:pPr>
      <w:r>
        <w:rPr>
          <w:rFonts w:ascii="Arial" w:cs="Arial" w:eastAsia="Arial" w:hAnsi="Arial"/>
          <w:sz w:val="17"/>
          <w:szCs w:val="17"/>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6"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5" w:lineRule="exact"/>
        <w:rPr>
          <w:sz w:val="20"/>
          <w:szCs w:val="20"/>
          <w:color w:val="auto"/>
        </w:rPr>
      </w:pPr>
    </w:p>
    <w:p>
      <w:pPr>
        <w:jc w:val="both"/>
        <w:ind w:left="960"/>
        <w:spacing w:after="0" w:line="329" w:lineRule="auto"/>
        <w:rPr>
          <w:sz w:val="20"/>
          <w:szCs w:val="20"/>
          <w:color w:val="auto"/>
        </w:rPr>
      </w:pPr>
      <w:r>
        <w:rPr>
          <w:rFonts w:ascii="Arial" w:cs="Arial" w:eastAsia="Arial" w:hAnsi="Arial"/>
          <w:sz w:val="16"/>
          <w:szCs w:val="16"/>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Since our inception, we have incurred significant losses, and we expect to continue to incur significant expenses and operating losses for the foreseeable future. Our net losses were $60.4 million and $143.7 million for the three and nine months ended September 30, 2021, respectively, and $65.3 million for the period from June 3, 2020 (inception) to December 31, 2020. As of September 30, 2021, we had an accumulated deficit of $209.1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initial public offering in August 2021. We have no products approved for commercialization and have never generated any revenue from product sales.</w:t>
      </w:r>
    </w:p>
    <w:p>
      <w:pPr>
        <w:spacing w:after="0" w:line="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5"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continue to conduct our ongoing clinical trials of ADG20, including advancement through late-stage global clinical trials, as well as initiate and complete additional clinical trials of future product candidates or current product candidates in new indications or patient populations;</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seek regulatory approval for any product candidates that successfully complete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pursue marketing approvals or Emergency Use Authorization, or EUA, and reimbursement for our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acquire or in-license other product candidates, intellectual property and/or technologies;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 establish and validate our commercial-scale cGMP manufacturing process;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manufacture material under current good manufacturing practices, or cGMP, for clinical trials and potential EUA and commercial sales at our contracted manufacturing facilities;</w:t>
      </w:r>
    </w:p>
    <w:p>
      <w:pPr>
        <w:spacing w:after="0" w:line="62" w:lineRule="exact"/>
        <w:rPr>
          <w:sz w:val="20"/>
          <w:szCs w:val="20"/>
          <w:color w:val="auto"/>
        </w:rPr>
      </w:pPr>
    </w:p>
    <w:p>
      <w:pPr>
        <w:ind w:left="1080" w:right="3740"/>
        <w:spacing w:after="0" w:line="470" w:lineRule="auto"/>
        <w:rPr>
          <w:sz w:val="20"/>
          <w:szCs w:val="20"/>
          <w:color w:val="auto"/>
        </w:rPr>
      </w:pPr>
      <w:r>
        <w:rPr>
          <w:rFonts w:ascii="Arial" w:cs="Arial" w:eastAsia="Arial" w:hAnsi="Arial"/>
          <w:sz w:val="16"/>
          <w:szCs w:val="16"/>
          <w:color w:val="auto"/>
        </w:rPr>
        <w:t>maintain, expand, enforce, defend and protect our intellectual property portfolio; comply with regulatory requirements established by the applicable regulatory authorities; develop, establish and validate our commercial-scale cGMP manufacturing process;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left="1080"/>
        <w:spacing w:after="0" w:line="293" w:lineRule="auto"/>
        <w:rPr>
          <w:sz w:val="20"/>
          <w:szCs w:val="20"/>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62"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incur additional legal, accounting and other expenses in operating as a public company.</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77"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5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significant expenses and operating losses over the next several years as we continue to develop our product 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ind w:firstLine="509"/>
        <w:spacing w:after="0" w:line="308" w:lineRule="auto"/>
        <w:rPr>
          <w:sz w:val="20"/>
          <w:szCs w:val="20"/>
          <w:color w:val="auto"/>
        </w:rPr>
      </w:pPr>
      <w:r>
        <w:rPr>
          <w:rFonts w:ascii="Arial" w:cs="Arial" w:eastAsia="Arial" w:hAnsi="Arial"/>
          <w:sz w:val="16"/>
          <w:szCs w:val="16"/>
          <w:color w:val="auto"/>
        </w:rPr>
        <w:t>As of September 30, 2021, we had cash, cash equivalents and marketable securities of $666.3 million. As of November 15, 2021, we believe that our existing cash, cash equivalents and marketable securities, will be sufficient to fund our operating expenses and capital expenditure requirements into the first quarter of 2023. This estimate is based on assumptions that may prove to be wrong, and we could exhaust our available capital resources sooner than we expect. We plan to use our cash and cash equivalents to fund clinical development, manufacturing supply and initial commercialization costs for ADG20, and for working capital and other general corporate purposes, including development of additional programs in our pipeline.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rate of progress in the development of AGD20 and our other product candidates;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1"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75" w:lineRule="exact"/>
        <w:rPr>
          <w:sz w:val="20"/>
          <w:szCs w:val="20"/>
          <w:color w:val="auto"/>
        </w:rPr>
      </w:pPr>
    </w:p>
    <w:p>
      <w:pPr>
        <w:ind w:left="1080" w:right="4000"/>
        <w:spacing w:after="0" w:line="440" w:lineRule="auto"/>
        <w:rPr>
          <w:sz w:val="20"/>
          <w:szCs w:val="20"/>
          <w:color w:val="auto"/>
        </w:rPr>
      </w:pPr>
      <w:r>
        <w:rPr>
          <w:rFonts w:ascii="Arial" w:cs="Arial" w:eastAsia="Arial" w:hAnsi="Arial"/>
          <w:sz w:val="16"/>
          <w:szCs w:val="16"/>
          <w:color w:val="auto"/>
        </w:rPr>
        <w:t>the number and development requirements of product candidates that we may pursue; the costs, timing and outcome of regulatory review of our product candidates;</w:t>
      </w:r>
    </w:p>
    <w:p>
      <w:pPr>
        <w:jc w:val="both"/>
        <w:ind w:left="1080"/>
        <w:spacing w:after="0" w:line="293" w:lineRule="auto"/>
        <w:rPr>
          <w:sz w:val="20"/>
          <w:szCs w:val="20"/>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we incur in maintaining business operations;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to implement additional internal systems and infrastructure;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 of competing technological, product and market developments;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of operating as a public company; and</w:t>
      </w:r>
    </w:p>
    <w:p>
      <w:pPr>
        <w:spacing w:after="0" w:line="131" w:lineRule="exact"/>
        <w:rPr>
          <w:sz w:val="20"/>
          <w:szCs w:val="20"/>
          <w:color w:val="auto"/>
        </w:rPr>
      </w:pPr>
    </w:p>
    <w:p>
      <w:pPr>
        <w:jc w:val="both"/>
        <w:ind w:left="1080" w:right="20"/>
        <w:spacing w:after="0" w:line="279" w:lineRule="auto"/>
        <w:rPr>
          <w:sz w:val="20"/>
          <w:szCs w:val="20"/>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recurring losses from operations and financial condition could raise substantial doubt about our ability to continue as a going concern.</w:t>
      </w:r>
    </w:p>
    <w:p>
      <w:pPr>
        <w:spacing w:after="0" w:line="15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 statements for the period from June 3, 2020 (inception) to December 31, 2020 with respect to this uncertainty. As of November 15, 2021, we believe that with our existing cash, cash equivalents and marketable securities, we are able to fund our expenses and capital expenditure requirements beyond twelve months from the issuance of these financial statements and into the first quarter of 2023. Our ability to continue as a going concern beyond this point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In our own future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exists substantial doubt about our ability to continue as a going concern, investors or other financing sources may be unwilling to provide additional funding to us on commercially reasonable terms,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prevention and treatment of COVID-19.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jc w:val="both"/>
        <w:ind w:firstLine="509"/>
        <w:spacing w:after="0" w:line="319" w:lineRule="auto"/>
        <w:rPr>
          <w:sz w:val="20"/>
          <w:szCs w:val="20"/>
          <w:color w:val="auto"/>
        </w:rPr>
      </w:pPr>
      <w:r>
        <w:rPr>
          <w:rFonts w:ascii="Arial" w:cs="Arial" w:eastAsia="Arial" w:hAnsi="Arial"/>
          <w:sz w:val="16"/>
          <w:szCs w:val="16"/>
          <w:color w:val="auto"/>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timing and progress of preclinical and clinical development activities;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jc w:val="both"/>
        <w:ind w:left="1080" w:right="20"/>
        <w:spacing w:after="0" w:line="359" w:lineRule="auto"/>
        <w:rPr>
          <w:sz w:val="20"/>
          <w:szCs w:val="20"/>
          <w:color w:val="auto"/>
        </w:rPr>
      </w:pPr>
      <w:r>
        <w:rPr>
          <w:rFonts w:ascii="Arial" w:cs="Arial" w:eastAsia="Arial" w:hAnsi="Arial"/>
          <w:sz w:val="16"/>
          <w:szCs w:val="16"/>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17"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receipt of timely marketing approvals from applicable regulatory authorities;</w:t>
      </w:r>
    </w:p>
    <w:p>
      <w:pPr>
        <w:spacing w:after="0" w:line="131"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developing and expanding sales, marketing and distribution capabilities and launching commercial sales of products, if approved, whether alone or in collaboration with others;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and severity of adverse events experienced with ADG20 or any other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42" w:lineRule="exact"/>
        <w:rPr>
          <w:sz w:val="20"/>
          <w:szCs w:val="20"/>
          <w:color w:val="auto"/>
        </w:rPr>
      </w:pPr>
    </w:p>
    <w:p>
      <w:pPr>
        <w:jc w:val="both"/>
        <w:ind w:left="1080"/>
        <w:spacing w:after="0" w:line="324" w:lineRule="auto"/>
        <w:rPr>
          <w:sz w:val="20"/>
          <w:szCs w:val="20"/>
          <w:color w:val="auto"/>
        </w:rPr>
      </w:pPr>
      <w:r>
        <w:rPr>
          <w:rFonts w:ascii="Arial" w:cs="Arial" w:eastAsia="Arial" w:hAnsi="Arial"/>
          <w:sz w:val="17"/>
          <w:szCs w:val="17"/>
          <w:color w:val="auto"/>
        </w:rPr>
        <w:t>the continuing need for therapies for the prevention and treatment of COVID-19, including due to the continuation of the pandemic, the development of SARS-CoV-2 into an endemic disease or the inability of other available therapies to address COVID-19;</w:t>
      </w:r>
    </w:p>
    <w:p>
      <w:pPr>
        <w:spacing w:after="0" w:line="39"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maintain a continued acceptable safety, tolerability and efficacy profile of the products following approval; and</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jc w:val="both"/>
        <w:ind w:firstLine="509"/>
        <w:spacing w:after="0" w:line="279"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75" w:lineRule="exact"/>
        <w:rPr>
          <w:sz w:val="20"/>
          <w:szCs w:val="20"/>
          <w:color w:val="auto"/>
        </w:rPr>
      </w:pPr>
    </w:p>
    <w:p>
      <w:pPr>
        <w:jc w:val="both"/>
        <w:ind w:firstLine="509"/>
        <w:spacing w:after="0" w:line="394" w:lineRule="auto"/>
        <w:rPr>
          <w:sz w:val="20"/>
          <w:szCs w:val="20"/>
          <w:color w:val="auto"/>
        </w:rPr>
      </w:pPr>
      <w:r>
        <w:rPr>
          <w:rFonts w:ascii="Arial" w:cs="Arial" w:eastAsia="Arial" w:hAnsi="Arial"/>
          <w:sz w:val="15"/>
          <w:szCs w:val="15"/>
          <w:b w:val="1"/>
          <w:bCs w:val="1"/>
          <w:i w:val="1"/>
          <w:iCs w:val="1"/>
          <w:color w:val="auto"/>
        </w:rPr>
        <w:t>Because ADG20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globally for the prevention and/or treatment of COVID-19. The success or failure of other companies, or perceived success or failure, may negatively impact our ability to obtain future funding or to successfully commercialize our products for COVID-19 prevention and/or treatment.</w:t>
      </w:r>
    </w:p>
    <w:p>
      <w:pPr>
        <w:spacing w:after="0" w:line="88"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To date no monoclonal antibody has been approved for prevention (pre- or post-exposure) or treatment of COVID-19. The FDA has issued EUAs for casirivimab/imdevimab and bamlanivimab/etesevimab for post-exposure prophylaxis of COVID-19 in individuals who are at high risk for disease progression and who are not fully vaccinated or not expected to mount an immune response to vaccine and who have been exposed to an individual with SARS-CoV-2. In addition, three monoclonal antibody products, casirivimab/imdevimab, bamlanivimab/etesevimab and sotrovimab, currently have an EUA from the FDA for the treatment of COVID-19 in patients at high risk of disease progression.</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 symptomatic COVID-19. Even if we are able to identify and develop such antibodies, we cannot ensure that such product candidates will achieve marketing approval to safely and effectively prevent or treat symptomatic COVID-19 or other future coronavirus diseases.</w:t>
      </w:r>
    </w:p>
    <w:p>
      <w:pPr>
        <w:spacing w:after="0" w:line="62"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40"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jc w:val="both"/>
        <w:ind w:firstLine="509"/>
        <w:spacing w:after="0" w:line="279"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jc w:val="both"/>
        <w:ind w:firstLine="509"/>
        <w:spacing w:after="0" w:line="359" w:lineRule="auto"/>
        <w:rPr>
          <w:sz w:val="20"/>
          <w:szCs w:val="20"/>
          <w:color w:val="auto"/>
        </w:rPr>
      </w:pPr>
      <w:r>
        <w:rPr>
          <w:rFonts w:ascii="Arial" w:cs="Arial" w:eastAsia="Arial" w:hAnsi="Arial"/>
          <w:sz w:val="15"/>
          <w:szCs w:val="15"/>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2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All of our product candidates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5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5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8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8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77"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may experience delays in conducting any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marketing approval for or commercialize our product candidates, or that could significantly increase the cost of such trials, including:</w:t>
      </w:r>
    </w:p>
    <w:p>
      <w:pPr>
        <w:spacing w:after="0" w:line="77" w:lineRule="exact"/>
        <w:rPr>
          <w:sz w:val="20"/>
          <w:szCs w:val="20"/>
          <w:color w:val="auto"/>
        </w:rPr>
      </w:pPr>
    </w:p>
    <w:p>
      <w:pPr>
        <w:ind w:left="1080" w:right="1120"/>
        <w:spacing w:after="0" w:line="470" w:lineRule="auto"/>
        <w:rPr>
          <w:sz w:val="20"/>
          <w:szCs w:val="20"/>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clinical trials; delays in sufficiently developing, characterizing or controlling a manufacturing process suitable for advanced clinical trials; delays in developing suitable assays for screening patients for eligibility for trials with respect to certain product candidates;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300"/>
        <w:spacing w:after="0" w:line="391" w:lineRule="auto"/>
        <w:rPr>
          <w:sz w:val="20"/>
          <w:szCs w:val="20"/>
          <w:color w:val="auto"/>
        </w:rPr>
      </w:pPr>
      <w:r>
        <w:rPr>
          <w:rFonts w:ascii="Arial" w:cs="Arial" w:eastAsia="Arial" w:hAnsi="Arial"/>
          <w:sz w:val="18"/>
          <w:szCs w:val="18"/>
          <w:color w:val="auto"/>
        </w:rPr>
        <w:t>delays in reaching agreement with the FDA, EMA or other regulatory authorities as to the design or implementation of our clinical trials; delays in obtaining regulatory authorization to commence a clinical trial;</w:t>
      </w:r>
    </w:p>
    <w:p>
      <w:pPr>
        <w:spacing w:after="0" w:line="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delays in obtaining institutional review board, or IRB, approval at each trial site;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challenges in recruiting suitable patients to participate in a clinical trial;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having patients complete a clinical trial or return for post-treatment follow-up;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clinical sites, CROs or other third parties deviating from trial protocol or dropping out of a trial;</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failure to perform in accordance with the applicable regulatory requirements, including the FDA’s regulations and GCP requirements, or applicable regulatory requirements in other countries;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62" w:lineRule="exact"/>
        <w:rPr>
          <w:sz w:val="20"/>
          <w:szCs w:val="20"/>
          <w:color w:val="auto"/>
        </w:rPr>
      </w:pPr>
    </w:p>
    <w:p>
      <w:pPr>
        <w:ind w:right="3360"/>
        <w:spacing w:after="0" w:line="440" w:lineRule="auto"/>
        <w:rPr>
          <w:sz w:val="20"/>
          <w:szCs w:val="20"/>
          <w:color w:val="auto"/>
        </w:rPr>
      </w:pPr>
      <w:r>
        <w:rPr>
          <w:rFonts w:ascii="Arial" w:cs="Arial" w:eastAsia="Arial" w:hAnsi="Arial"/>
          <w:sz w:val="16"/>
          <w:szCs w:val="16"/>
          <w:color w:val="auto"/>
        </w:rPr>
        <w:t>inability to recruit and/or successfully contract with a sufficient number of clinical trial sites; difficulties in manufacturing sufficient quantities of product candidate for use in clinical trials;</w:t>
      </w:r>
    </w:p>
    <w:p>
      <w:pPr>
        <w:jc w:val="both"/>
        <w:ind w:right="20"/>
        <w:spacing w:after="0" w:line="324" w:lineRule="auto"/>
        <w:rPr>
          <w:sz w:val="20"/>
          <w:szCs w:val="20"/>
          <w:color w:val="auto"/>
        </w:rPr>
      </w:pPr>
      <w:r>
        <w:rPr>
          <w:rFonts w:ascii="Arial" w:cs="Arial" w:eastAsia="Arial" w:hAnsi="Arial"/>
          <w:sz w:val="17"/>
          <w:szCs w:val="17"/>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screen failure rate for clinical trials of our product candidates may be higher than we anticipate, requiring us to screen larger numbers of patients than originally planned;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62"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regulators may revise the requirements for approving our product candidates, or such requirements may not be as we anticipate; and</w:t>
      </w:r>
    </w:p>
    <w:p>
      <w:pPr>
        <w:spacing w:after="0" w:line="2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400" w:top="476" w:right="339" w:bottom="1440" w:gutter="0" w:footer="0" w:header="0"/>
        </w:sectPr>
      </w:pPr>
    </w:p>
    <w:bookmarkStart w:id="45" w:name="page46"/>
    <w:bookmarkEnd w:id="45"/>
    <w:p>
      <w:pPr>
        <w:ind w:left="1080"/>
        <w:spacing w:after="0" w:line="293" w:lineRule="auto"/>
        <w:rPr>
          <w:sz w:val="20"/>
          <w:szCs w:val="20"/>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incur unplanned costs;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marketing approval in some countries and not in others;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subject to additional post-marketing testing requirements;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subject to changes in the way the product is administered; or</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62"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5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6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We may seek an EUA for the prevention and/or treatment of COVID-19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or EUA from the FDA, and we cannot market it in the European Union until we receive approval for a MAA from the EMA, or other required regulatory approval in other countries. To date, we have had discussions with the FDA and have received scientific advice from the Medicines and Healthcare products Regulatory Agency (or “MHRA”), the Swedish Medical Products Agency (or “MPA”), the Paul Ehrlich Institute (or “PEI”) and the European Medicines Agency (or “EMA”) regarding clinical development programs or regulatory approval for any product candidate within the United States, United Kingdom, Sweden, Germany and European Union, respectively. We have had no discussions with other comparable foreign authorities regarding clinical development programs or regulatory approval for any product candidate outside of these jurisdictions.</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fail bioresearch monitoring (or “BIMO”), FDA inspection or comparable foreign regulatory authorities inspection;</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jc w:val="both"/>
        <w:ind w:firstLine="509"/>
        <w:spacing w:after="0" w:line="272"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8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8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8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ADG20 product candidate, can be nonspecific.</w:t>
      </w:r>
    </w:p>
    <w:p>
      <w:pPr>
        <w:spacing w:after="0" w:line="8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jc w:val="both"/>
        <w:spacing w:after="0" w:line="319" w:lineRule="auto"/>
        <w:rPr>
          <w:sz w:val="20"/>
          <w:szCs w:val="20"/>
          <w:color w:val="auto"/>
        </w:rPr>
      </w:pPr>
      <w:r>
        <w:rPr>
          <w:rFonts w:ascii="Arial" w:cs="Arial" w:eastAsia="Arial" w:hAnsi="Arial"/>
          <w:sz w:val="16"/>
          <w:szCs w:val="16"/>
          <w:color w:val="auto"/>
        </w:rPr>
        <w:t>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4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regulatory authorities may require additional warnings on the label;</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required to change the way a product is administered or conduct additional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decide to remove the product from the market;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be able to achieve or maintain third-party payor coverage and adequate reimbursement;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subject to fines, injunctions or the imposition of civil or criminal penalties;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reputation and physician or patient acceptance of our products may suffer.</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56"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spacing w:after="0" w:line="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clinical and commercial success of our monoclonal antibody therapies will depend in part on public acceptance of the use of monoclonal antibody therapies to prevent of treat COVID-19. To date, the FDA has not yet approved any monoclonal antibodies to prevent or treat COVID-19, although three products currently have EUA for the treatment of COVID-19 in patients at high risk of disease progression, including, casirivimab/imdevimab, bamlanvimab/etesevimab and sotrovimab. In addition, the FDA has issued an EUA for casirivimab/imdevimab and bamlamnivimab/etesevimab for post-exposure prophylaxis of COVID-19 in individuals who are at high risk for disease progression and who are not fully vaccinated or not expected to mount an immune response to vaccine and who have been exposed to an individual with SARS-CoV-2. However,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8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spacing w:after="0" w:line="293" w:lineRule="auto"/>
        <w:rPr>
          <w:sz w:val="20"/>
          <w:szCs w:val="20"/>
          <w:color w:val="auto"/>
        </w:rPr>
      </w:pPr>
      <w:r>
        <w:rPr>
          <w:rFonts w:ascii="Arial" w:cs="Arial" w:eastAsia="Arial" w:hAnsi="Arial"/>
          <w:sz w:val="18"/>
          <w:szCs w:val="18"/>
          <w:color w:val="auto"/>
        </w:rPr>
        <w:t>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severity and difficulty of diagnosing the disease under investigation;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contraction of the public health crisis caused by COVID-19;</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eligibility and exclusion criteria for the trial in question;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size of the patient population and process for identifying patients;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recruit clinical trial investigators with the appropriate competencies and experience;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perceived risks and benefits of the product candidate in the trial, including relating to monoclonal antibody and/or vaccine approaches;</w:t>
      </w:r>
    </w:p>
    <w:p>
      <w:pPr>
        <w:spacing w:after="0" w:line="154"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willingness of patients to be enrolled in our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local, national and/or employer COVID-19 vaccine mandates;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efforts to facilitate timely enrollment in clinical trials;</w:t>
      </w:r>
    </w:p>
    <w:p>
      <w:pPr>
        <w:spacing w:after="0" w:line="131" w:lineRule="exact"/>
        <w:rPr>
          <w:sz w:val="20"/>
          <w:szCs w:val="20"/>
          <w:color w:val="auto"/>
        </w:rPr>
      </w:pPr>
    </w:p>
    <w:p>
      <w:pPr>
        <w:jc w:val="both"/>
        <w:ind w:left="1080"/>
        <w:spacing w:after="0" w:line="303" w:lineRule="auto"/>
        <w:rPr>
          <w:sz w:val="20"/>
          <w:szCs w:val="20"/>
          <w:color w:val="auto"/>
        </w:rPr>
      </w:pPr>
      <w:r>
        <w:rPr>
          <w:rFonts w:ascii="Arial" w:cs="Arial" w:eastAsia="Arial" w:hAnsi="Arial"/>
          <w:sz w:val="17"/>
          <w:szCs w:val="17"/>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patient referral practices of physicians;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ability to monitor patients adequately during and after treatment;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131"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4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firstLine="509"/>
        <w:spacing w:after="0" w:line="29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ADG20 for the prevention and treatment of symptomatic COVID-</w:t>
      </w:r>
    </w:p>
    <w:p>
      <w:pPr>
        <w:spacing w:after="0" w:line="1" w:lineRule="exact"/>
        <w:rPr>
          <w:sz w:val="20"/>
          <w:szCs w:val="20"/>
          <w:color w:val="auto"/>
        </w:rPr>
      </w:pPr>
    </w:p>
    <w:p>
      <w:pPr>
        <w:jc w:val="both"/>
        <w:ind w:firstLine="8"/>
        <w:spacing w:after="0" w:line="290" w:lineRule="auto"/>
        <w:tabs>
          <w:tab w:leader="none" w:pos="2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7"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39"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31"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The evolving and constantly changing impact of COVID-19, which was declared a global pandemic by the World Health Organization, or WHO, will directly affect the potential commercial prospects of our lead product candidate for the prevention and treatment of COVID-19. The severity of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5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 and announced a plan directing the Department of Labor’s Occupational Safety and Health Administration (“OSHA”) to issue 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jc w:val="both"/>
        <w:spacing w:after="0" w:line="292" w:lineRule="auto"/>
        <w:rPr>
          <w:sz w:val="20"/>
          <w:szCs w:val="20"/>
          <w:color w:val="auto"/>
        </w:rPr>
      </w:pPr>
      <w:r>
        <w:rPr>
          <w:rFonts w:ascii="Arial" w:cs="Arial" w:eastAsia="Arial" w:hAnsi="Arial"/>
          <w:sz w:val="17"/>
          <w:szCs w:val="17"/>
          <w:color w:val="auto"/>
        </w:rPr>
        <w:t>emergency temporary standard requiring all private employers with 100 or more workers to mandate COVID-19 vaccination or produce a weekly test for all employees. As a company with more than 100 employees, we would thus be required to mandate COVID-19 vaccination of our workforce or require our unvaccinated employees to be tested weekly. We or our suppliers may incur increased costs, labor disruptions or employee attrition as a result of these mandates. If we or other companies in our supply chain lose employees, it may be difficult in the current competitive labor market to find replacement employees, and this could have a material adverse effect on our business and results of operations.</w:t>
      </w:r>
    </w:p>
    <w:p>
      <w:pPr>
        <w:spacing w:after="0" w:line="6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as the outbreak progresses and some of our CROs, CDMOs and other service providers continue to be impacted.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55"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75"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uncertainty around patient enrollment rates due to unpredictable and variable regional rates of infection;</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refusal of the FDA and other regulatory authorities to accept data from clinical trials in these affected geographies.</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The global COVID-19 pandemic continues to rapidly evolve, particularly with regard to the rapid global spread of the Delta variant, as well as the regional emergence of the Mu and Lamba variants in South America and the Delta Plus variant in the United Kingdom. The extent to which the COVID-19 pandemic impacts our business and operations, including our clinical development and regulatory efforts, will depend on future developments that are highly uncertain and cannot be predicted with confidence as of the date of this Quarterly Report,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5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5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Multiple variants of the virus that causes COVID-19 have been documented in the United States and globally during this pandemic, including the highly transmissible Delta variant, as well as the regional emergence of the Mu and Lamba variants in South America and the Delta Plus variant in the United Kingdom.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may develop ADG20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8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jc w:val="both"/>
        <w:spacing w:after="0" w:line="287" w:lineRule="auto"/>
        <w:rPr>
          <w:sz w:val="20"/>
          <w:szCs w:val="20"/>
          <w:color w:val="auto"/>
        </w:rPr>
      </w:pPr>
      <w:r>
        <w:rPr>
          <w:rFonts w:ascii="Arial" w:cs="Arial" w:eastAsia="Arial" w:hAnsi="Arial"/>
          <w:sz w:val="17"/>
          <w:szCs w:val="17"/>
          <w:color w:val="auto"/>
        </w:rPr>
        <w:t>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7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manufacture of monoclonal antibody therapies is technically complex and necessitates substantial expertise and capital investment. Production difficulties caused by unforeseen events may delay the availability of material for our clinical studies or commercialization efforts.</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8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 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8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62" w:lineRule="exact"/>
        <w:rPr>
          <w:sz w:val="20"/>
          <w:szCs w:val="20"/>
          <w:color w:val="auto"/>
        </w:rPr>
      </w:pPr>
    </w:p>
    <w:p>
      <w:pPr>
        <w:jc w:val="both"/>
        <w:ind w:left="1080"/>
        <w:spacing w:after="0" w:line="275" w:lineRule="auto"/>
        <w:rPr>
          <w:sz w:val="20"/>
          <w:szCs w:val="20"/>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7" w:lineRule="exact"/>
        <w:rPr>
          <w:sz w:val="20"/>
          <w:szCs w:val="20"/>
          <w:color w:val="auto"/>
        </w:rPr>
      </w:pPr>
    </w:p>
    <w:p>
      <w:pPr>
        <w:jc w:val="both"/>
        <w:ind w:left="1080"/>
        <w:spacing w:after="0" w:line="303" w:lineRule="auto"/>
        <w:rPr>
          <w:sz w:val="20"/>
          <w:szCs w:val="20"/>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56"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inability to procure raw materials and reagents;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loss, depletion or performance degradation of the cell line starting material; and</w:t>
      </w:r>
    </w:p>
    <w:p>
      <w:pPr>
        <w:spacing w:after="0" w:line="131"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4" w:name="page55"/>
    <w:bookmarkEnd w:id="54"/>
    <w:p>
      <w:pPr>
        <w:jc w:val="both"/>
        <w:ind w:firstLine="509"/>
        <w:spacing w:after="0" w:line="27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7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77"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intend to rely on third parties to produce clinical and commercial supplies of our product candidates.</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7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jc w:val="both"/>
        <w:spacing w:after="0" w:line="293" w:lineRule="auto"/>
        <w:rPr>
          <w:sz w:val="20"/>
          <w:szCs w:val="20"/>
          <w:color w:val="auto"/>
        </w:rPr>
      </w:pPr>
      <w:r>
        <w:rPr>
          <w:rFonts w:ascii="Arial" w:cs="Arial" w:eastAsia="Arial" w:hAnsi="Arial"/>
          <w:sz w:val="18"/>
          <w:szCs w:val="18"/>
          <w:color w:val="auto"/>
        </w:rPr>
        <w:t>manufacturing facilities, which would significantly impact our ability to develop, obtain regulatory approval for or market our product candidates, if approved.</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7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5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July 2021, we entered into a license agreement with Biocon Biologics Limited, or Biocon, to combat the ongoing COVID-19 crisis in southern Asia. Under the license agreement, we will provide Biocon materials and know-how to manufacture and commercialize an antibody treatment based on ADG20 in India and select emerging markets. Biocon’s ability to successfully manufacture in those territories may be restricted by foreign regulatory requirements.</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Further, our reliance on third-party manufacturers entails risks to which we would not be subject if we manufactured product candidates ourselves, including:</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inability to access sufficient manufacturing capacity;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154"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 and</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6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75"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we are reliant on WuXi as the sole procurer of the raw materials used in the manufacture of our product candidates, including certain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jc w:val="both"/>
        <w:spacing w:after="0" w:line="275" w:lineRule="auto"/>
        <w:rPr>
          <w:sz w:val="20"/>
          <w:szCs w:val="20"/>
          <w:color w:val="auto"/>
        </w:rPr>
      </w:pPr>
      <w:r>
        <w:rPr>
          <w:rFonts w:ascii="Arial" w:cs="Arial" w:eastAsia="Arial" w:hAnsi="Arial"/>
          <w:sz w:val="18"/>
          <w:szCs w:val="18"/>
          <w:color w:val="auto"/>
        </w:rPr>
        <w:t>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7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The third parties upon whom we depend may be adversely affected by earthquakes, wildfires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jc w:val="both"/>
        <w:spacing w:after="0" w:line="290" w:lineRule="auto"/>
        <w:rPr>
          <w:sz w:val="20"/>
          <w:szCs w:val="20"/>
          <w:color w:val="auto"/>
        </w:rPr>
      </w:pPr>
      <w:r>
        <w:rPr>
          <w:rFonts w:ascii="Arial" w:cs="Arial" w:eastAsia="Arial" w:hAnsi="Arial"/>
          <w:sz w:val="17"/>
          <w:szCs w:val="17"/>
          <w:color w:val="auto"/>
        </w:rPr>
        <w:t>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efficacy, safety and potential advantages compared to alternative treatments, including oral options;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offer our products for sale at competitive prices;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convenience and ease of administration compared to alternative treatments;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hire and retain a sales force in the United States;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strength of marketing and distribution support;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availability of third-party coverage and adequate reimbursement for ADG20 and any other product candidates, once approved;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and severity of any side effects;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ability to be effective against emerging variants as a monotherapy.</w:t>
      </w:r>
    </w:p>
    <w:p>
      <w:pPr>
        <w:spacing w:after="0" w:line="13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39"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54"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jc w:val="both"/>
        <w:spacing w:after="0" w:line="319" w:lineRule="auto"/>
        <w:rPr>
          <w:sz w:val="20"/>
          <w:szCs w:val="20"/>
          <w:color w:val="auto"/>
        </w:rPr>
      </w:pPr>
      <w:r>
        <w:rPr>
          <w:rFonts w:ascii="Arial" w:cs="Arial" w:eastAsia="Arial" w:hAnsi="Arial"/>
          <w:sz w:val="16"/>
          <w:szCs w:val="16"/>
          <w:color w:val="auto"/>
        </w:rPr>
        <w:t>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4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Our projections of the number of people who are candidates to receive COVID-19 preventatives and treatments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8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A decline, or a widespread perception of a decline, in the spread or severity of the ongoing COVID-19 pandemic, including disease due to variants with relative or absolute resistance to other products, or an increase in available alternative therapies for or widespread immunity to COVID-19, could reduce the total addressable market for our lead product candidate for the prevention and treatment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6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Quarterly Report, and in our other filings with the SEC, including estimates derived from them, may differ from information and estimates made by our competitors or from current or future studies conducted by independent sources.</w:t>
      </w:r>
    </w:p>
    <w:p>
      <w:pPr>
        <w:spacing w:after="0" w:line="70"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7"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5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Many biotechnology and pharmaceutical companies are developing treatments for COVID-19 or vaccines against SARS-CoV-2, the virus that causes COVID-19. Many of these companies, which include large pharmaceutical companies, have greater resources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jc w:val="both"/>
        <w:spacing w:after="0" w:line="306" w:lineRule="auto"/>
        <w:rPr>
          <w:sz w:val="20"/>
          <w:szCs w:val="20"/>
          <w:color w:val="auto"/>
        </w:rPr>
      </w:pPr>
      <w:r>
        <w:rPr>
          <w:rFonts w:ascii="Arial" w:cs="Arial" w:eastAsia="Arial" w:hAnsi="Arial"/>
          <w:sz w:val="16"/>
          <w:szCs w:val="16"/>
          <w:color w:val="auto"/>
        </w:rPr>
        <w:t>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prevention and treatment of symptomatic COVID-19, even if approved, or compete with other treatments or vaccines, which could adversely impact our business and operations.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 and commercialize drugs that are differentiated from products in the market;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attract qualified scientific, product development and commercial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patent or other proprietary protection for our medicines;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required regulatory approvals;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obtain placement in COVID-19 prevention and treatment guidelines from organizations such as the CDC, WHO and the Infectious Diseases Society of America, or IDSA, and equivalent European guidelines;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4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8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Any product candidates for which we intend to seek approval as biologic products may face biosimilar competition sooner than anticipated.</w:t>
      </w:r>
    </w:p>
    <w:p>
      <w:pPr>
        <w:spacing w:after="0" w:line="154"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7"/>
          <w:szCs w:val="17"/>
          <w:color w:val="auto"/>
        </w:rPr>
        <w:t>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8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believe our success depends on obtaining and maintaining coverage and adequate reimbursement for our product candidates, including ADG20 for the prevention and treatment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7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prevention and treatment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jc w:val="both"/>
        <w:spacing w:after="0" w:line="287" w:lineRule="auto"/>
        <w:rPr>
          <w:sz w:val="20"/>
          <w:szCs w:val="20"/>
          <w:color w:val="auto"/>
        </w:rPr>
      </w:pPr>
      <w:r>
        <w:rPr>
          <w:rFonts w:ascii="Arial" w:cs="Arial" w:eastAsia="Arial" w:hAnsi="Arial"/>
          <w:sz w:val="17"/>
          <w:szCs w:val="17"/>
          <w:color w:val="auto"/>
        </w:rPr>
        <w:t>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7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7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decreased demand for any product candidates or drugs that we may develop;</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injury to our reputation and significant negative media attention;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withdrawal of clinical trial participants;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significant costs to defend the related litigation;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substantial monetary awards paid to trial participants or patients;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loss of revenue;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exhaustion of any available insurance and our capital resources;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reduced resources of our management to pursue our business strategy;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inability to commercialize any products that we may develop.</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jc w:val="both"/>
        <w:ind w:firstLine="509"/>
        <w:spacing w:after="0" w:line="287" w:lineRule="auto"/>
        <w:rPr>
          <w:sz w:val="20"/>
          <w:szCs w:val="20"/>
          <w:color w:val="auto"/>
        </w:rPr>
      </w:pPr>
      <w:r>
        <w:rPr>
          <w:rFonts w:ascii="Arial" w:cs="Arial" w:eastAsia="Arial" w:hAnsi="Arial"/>
          <w:sz w:val="17"/>
          <w:szCs w:val="17"/>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jc w:val="both"/>
        <w:spacing w:after="0" w:line="293" w:lineRule="auto"/>
        <w:rPr>
          <w:sz w:val="20"/>
          <w:szCs w:val="20"/>
          <w:color w:val="auto"/>
        </w:rPr>
      </w:pPr>
      <w:r>
        <w:rPr>
          <w:rFonts w:ascii="Arial" w:cs="Arial" w:eastAsia="Arial" w:hAnsi="Arial"/>
          <w:sz w:val="18"/>
          <w:szCs w:val="18"/>
          <w:color w:val="auto"/>
        </w:rPr>
        <w:t>subjects and consumer associations to lodge complaints with supervisory authorities, seek judicial remedies and obtain compensation for damages resulting from violations of the GDPR.</w:t>
      </w:r>
    </w:p>
    <w:p>
      <w:pPr>
        <w:spacing w:after="0" w:line="62"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 United Kingdom may continue to take place without a need for additional safeguards during a further transition period, which expires on the earlier of (i) 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6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7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5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jc w:val="both"/>
        <w:ind w:right="20"/>
        <w:spacing w:after="0" w:line="293" w:lineRule="auto"/>
        <w:rPr>
          <w:sz w:val="20"/>
          <w:szCs w:val="20"/>
          <w:color w:val="auto"/>
        </w:rPr>
      </w:pPr>
      <w:r>
        <w:rPr>
          <w:rFonts w:ascii="Arial" w:cs="Arial" w:eastAsia="Arial" w:hAnsi="Arial"/>
          <w:sz w:val="18"/>
          <w:szCs w:val="18"/>
          <w:color w:val="auto"/>
        </w:rPr>
        <w:t>contamination at our current or past facilities and at third-party facilities. We also could incur significant costs associated with civil or criminal fines and penalties.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35"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7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7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57" w:lineRule="exact"/>
        <w:rPr>
          <w:sz w:val="20"/>
          <w:szCs w:val="20"/>
          <w:color w:val="auto"/>
        </w:rPr>
      </w:pPr>
    </w:p>
    <w:p>
      <w:pPr>
        <w:jc w:val="both"/>
        <w:ind w:right="20" w:firstLine="509"/>
        <w:spacing w:after="0" w:line="359"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jc w:val="both"/>
        <w:spacing w:after="0" w:line="275" w:lineRule="auto"/>
        <w:rPr>
          <w:sz w:val="20"/>
          <w:szCs w:val="20"/>
          <w:color w:val="auto"/>
        </w:rPr>
      </w:pPr>
      <w:r>
        <w:rPr>
          <w:rFonts w:ascii="Arial" w:cs="Arial" w:eastAsia="Arial" w:hAnsi="Arial"/>
          <w:sz w:val="18"/>
          <w:szCs w:val="18"/>
          <w:color w:val="auto"/>
        </w:rPr>
        <w:t>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7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1080" w:right="1220"/>
        <w:spacing w:after="0" w:line="391" w:lineRule="auto"/>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 collaborators may not perform their obligations as expected;</w:t>
      </w:r>
    </w:p>
    <w:p>
      <w:pPr>
        <w:spacing w:after="0" w:line="1" w:lineRule="exact"/>
        <w:rPr>
          <w:sz w:val="20"/>
          <w:szCs w:val="20"/>
          <w:color w:val="auto"/>
        </w:rPr>
      </w:pPr>
    </w:p>
    <w:p>
      <w:pPr>
        <w:jc w:val="both"/>
        <w:ind w:left="1080"/>
        <w:spacing w:after="0" w:line="303" w:lineRule="auto"/>
        <w:rPr>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6"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1" w:lineRule="exact"/>
        <w:rPr>
          <w:sz w:val="20"/>
          <w:szCs w:val="20"/>
          <w:color w:val="auto"/>
        </w:rPr>
      </w:pPr>
    </w:p>
    <w:p>
      <w:pPr>
        <w:jc w:val="both"/>
        <w:ind w:left="1080" w:right="20"/>
        <w:spacing w:after="0" w:line="324" w:lineRule="auto"/>
        <w:rPr>
          <w:sz w:val="20"/>
          <w:szCs w:val="20"/>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9"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2" w:lineRule="exact"/>
        <w:rPr>
          <w:sz w:val="20"/>
          <w:szCs w:val="20"/>
          <w:color w:val="auto"/>
        </w:rPr>
      </w:pPr>
    </w:p>
    <w:p>
      <w:pPr>
        <w:jc w:val="both"/>
        <w:ind w:left="1080"/>
        <w:spacing w:after="0" w:line="275" w:lineRule="auto"/>
        <w:rPr>
          <w:sz w:val="20"/>
          <w:szCs w:val="20"/>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7"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jc w:val="both"/>
        <w:ind w:firstLine="509"/>
        <w:spacing w:after="0" w:line="279"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75"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one allowed U.S. patent application with claims directed to ADG20, which is projected to issue within the next few months.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We cannot offer any assurances about which of our patent applications will issue,the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8"/>
          <w:szCs w:val="18"/>
          <w:color w:val="auto"/>
        </w:rPr>
        <w:t>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75"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70"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jc w:val="both"/>
        <w:ind w:firstLine="509"/>
        <w:spacing w:after="0" w:line="293"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7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79" w:lineRule="exact"/>
        <w:rPr>
          <w:sz w:val="20"/>
          <w:szCs w:val="20"/>
          <w:color w:val="auto"/>
        </w:rPr>
      </w:pPr>
    </w:p>
    <w:p>
      <w:pPr>
        <w:jc w:val="both"/>
        <w:ind w:firstLine="509"/>
        <w:spacing w:after="0" w:line="394" w:lineRule="auto"/>
        <w:rPr>
          <w:sz w:val="20"/>
          <w:szCs w:val="20"/>
          <w:color w:val="auto"/>
        </w:rPr>
      </w:pPr>
      <w:r>
        <w:rPr>
          <w:rFonts w:ascii="Arial" w:cs="Arial" w:eastAsia="Arial" w:hAnsi="Arial"/>
          <w:sz w:val="15"/>
          <w:szCs w:val="15"/>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jc w:val="both"/>
        <w:ind w:firstLine="509"/>
        <w:spacing w:after="0" w:line="329" w:lineRule="auto"/>
        <w:rPr>
          <w:sz w:val="20"/>
          <w:szCs w:val="20"/>
          <w:color w:val="auto"/>
        </w:rPr>
      </w:pPr>
      <w:r>
        <w:rPr>
          <w:rFonts w:ascii="Arial" w:cs="Arial" w:eastAsia="Arial" w:hAnsi="Arial"/>
          <w:sz w:val="16"/>
          <w:szCs w:val="16"/>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80" w:lineRule="exact"/>
        <w:rPr>
          <w:sz w:val="20"/>
          <w:szCs w:val="20"/>
          <w:color w:val="auto"/>
        </w:rPr>
      </w:pPr>
    </w:p>
    <w:p>
      <w:pPr>
        <w:ind w:left="1080" w:right="1520"/>
        <w:spacing w:after="0" w:line="375" w:lineRule="auto"/>
        <w:rPr>
          <w:sz w:val="20"/>
          <w:szCs w:val="20"/>
          <w:color w:val="auto"/>
        </w:rPr>
      </w:pPr>
      <w:r>
        <w:rPr>
          <w:rFonts w:ascii="Arial" w:cs="Arial" w:eastAsia="Arial" w:hAnsi="Arial"/>
          <w:sz w:val="18"/>
          <w:szCs w:val="18"/>
          <w:color w:val="auto"/>
        </w:rPr>
        <w:t>we may be required to issue equity securities that would dilute our stockholders’ percentage ownership of our company; we may be required to assume substantial actual or contingent liabilities;</w:t>
      </w:r>
    </w:p>
    <w:p>
      <w:pPr>
        <w:spacing w:after="0" w:line="1"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29"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62" w:lineRule="exact"/>
        <w:rPr>
          <w:sz w:val="20"/>
          <w:szCs w:val="20"/>
          <w:color w:val="auto"/>
        </w:rPr>
      </w:pPr>
    </w:p>
    <w:p>
      <w:pPr>
        <w:jc w:val="both"/>
        <w:ind w:left="1080"/>
        <w:spacing w:after="0" w:line="263" w:lineRule="auto"/>
        <w:rPr>
          <w:sz w:val="20"/>
          <w:szCs w:val="20"/>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strategic collaborators may experience financial difficulties;</w:t>
      </w:r>
    </w:p>
    <w:p>
      <w:pPr>
        <w:spacing w:after="0" w:line="117"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62"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62" w:lineRule="exact"/>
        <w:rPr>
          <w:sz w:val="20"/>
          <w:szCs w:val="20"/>
          <w:color w:val="auto"/>
        </w:rPr>
      </w:pPr>
    </w:p>
    <w:p>
      <w:pPr>
        <w:jc w:val="both"/>
        <w:ind w:left="1080" w:right="20"/>
        <w:spacing w:after="0" w:line="277" w:lineRule="auto"/>
        <w:rPr>
          <w:sz w:val="20"/>
          <w:szCs w:val="20"/>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6"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jc w:val="both"/>
        <w:ind w:firstLine="509"/>
        <w:spacing w:after="0" w:line="275"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8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6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84"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ADG20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6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7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jc w:val="both"/>
        <w:ind w:firstLine="509"/>
        <w:spacing w:after="0" w:line="305" w:lineRule="auto"/>
        <w:rPr>
          <w:sz w:val="20"/>
          <w:szCs w:val="20"/>
          <w:color w:val="auto"/>
        </w:rPr>
      </w:pPr>
      <w:r>
        <w:rPr>
          <w:rFonts w:ascii="Arial" w:cs="Arial" w:eastAsia="Arial" w:hAnsi="Arial"/>
          <w:sz w:val="16"/>
          <w:szCs w:val="16"/>
          <w:color w:val="auto"/>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6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70"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3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5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8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3"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For example, our license agreement with Biocon pursuant to which we will provide Biocon materials and know-how to manufacture and commercialize an antibody treatment based on ADG20 in India and select emerging markets may also expose us to risks related to enforcement of our intellectual property rights.</w:t>
      </w:r>
    </w:p>
    <w:p>
      <w:pPr>
        <w:spacing w:after="0" w:line="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jc w:val="both"/>
        <w:spacing w:after="0" w:line="272" w:lineRule="auto"/>
        <w:rPr>
          <w:sz w:val="20"/>
          <w:szCs w:val="20"/>
          <w:color w:val="auto"/>
        </w:rPr>
      </w:pPr>
      <w:r>
        <w:rPr>
          <w:rFonts w:ascii="Arial" w:cs="Arial" w:eastAsia="Arial" w:hAnsi="Arial"/>
          <w:sz w:val="18"/>
          <w:szCs w:val="18"/>
          <w:color w:val="auto"/>
        </w:rPr>
        <w:t>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9"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62"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possible that our pending patent applications will not lead to issued patents;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31" w:lineRule="exact"/>
        <w:rPr>
          <w:sz w:val="20"/>
          <w:szCs w:val="20"/>
          <w:color w:val="auto"/>
        </w:rPr>
      </w:pPr>
    </w:p>
    <w:p>
      <w:pPr>
        <w:jc w:val="both"/>
        <w:ind w:left="1080"/>
        <w:spacing w:after="0" w:line="329" w:lineRule="auto"/>
        <w:rPr>
          <w:sz w:val="20"/>
          <w:szCs w:val="20"/>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develop additional proprietary technologies that are patentable;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patents of others may have an adverse effect on our business.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8" w:lineRule="exact"/>
        <w:rPr>
          <w:sz w:val="20"/>
          <w:szCs w:val="20"/>
          <w:color w:val="auto"/>
        </w:rPr>
      </w:pPr>
    </w:p>
    <w:p>
      <w:pPr>
        <w:jc w:val="both"/>
        <w:ind w:left="1080"/>
        <w:spacing w:after="0" w:line="306" w:lineRule="auto"/>
        <w:rPr>
          <w:sz w:val="20"/>
          <w:szCs w:val="20"/>
          <w:color w:val="auto"/>
        </w:rPr>
      </w:pPr>
      <w:r>
        <w:rPr>
          <w:rFonts w:ascii="Arial" w:cs="Arial" w:eastAsia="Arial" w:hAnsi="Arial"/>
          <w:sz w:val="16"/>
          <w:szCs w:val="16"/>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62" w:lineRule="exact"/>
        <w:rPr>
          <w:sz w:val="20"/>
          <w:szCs w:val="20"/>
          <w:color w:val="auto"/>
        </w:rPr>
      </w:pPr>
    </w:p>
    <w:p>
      <w:pPr>
        <w:jc w:val="both"/>
        <w:ind w:left="1080"/>
        <w:spacing w:after="0" w:line="305" w:lineRule="auto"/>
        <w:rPr>
          <w:sz w:val="20"/>
          <w:szCs w:val="20"/>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61" w:lineRule="exact"/>
        <w:rPr>
          <w:sz w:val="20"/>
          <w:szCs w:val="20"/>
          <w:color w:val="auto"/>
        </w:rPr>
      </w:pPr>
    </w:p>
    <w:p>
      <w:pPr>
        <w:jc w:val="both"/>
        <w:ind w:left="1080"/>
        <w:spacing w:after="0" w:line="314" w:lineRule="auto"/>
        <w:rPr>
          <w:sz w:val="20"/>
          <w:szCs w:val="20"/>
          <w:color w:val="auto"/>
        </w:rPr>
      </w:pPr>
      <w:r>
        <w:rPr>
          <w:rFonts w:ascii="Arial" w:cs="Arial" w:eastAsia="Arial" w:hAnsi="Arial"/>
          <w:sz w:val="16"/>
          <w:szCs w:val="16"/>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2" w:lineRule="exact"/>
        <w:rPr>
          <w:sz w:val="20"/>
          <w:szCs w:val="20"/>
          <w:color w:val="auto"/>
        </w:rPr>
      </w:pPr>
    </w:p>
    <w:p>
      <w:pPr>
        <w:jc w:val="both"/>
        <w:ind w:left="1080"/>
        <w:spacing w:after="0" w:line="288" w:lineRule="auto"/>
        <w:rPr>
          <w:sz w:val="20"/>
          <w:szCs w:val="20"/>
          <w:color w:val="auto"/>
        </w:rPr>
      </w:pPr>
      <w:r>
        <w:rPr>
          <w:rFonts w:ascii="Arial" w:cs="Arial" w:eastAsia="Arial" w:hAnsi="Arial"/>
          <w:sz w:val="17"/>
          <w:szCs w:val="17"/>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8" w:name="page79"/>
    <w:bookmarkEnd w:id="78"/>
    <w:p>
      <w:pPr>
        <w:jc w:val="both"/>
        <w:ind w:left="1080"/>
        <w:spacing w:after="0" w:line="272" w:lineRule="auto"/>
        <w:rPr>
          <w:sz w:val="20"/>
          <w:szCs w:val="20"/>
          <w:color w:val="auto"/>
        </w:rPr>
      </w:pPr>
      <w:r>
        <w:rPr>
          <w:rFonts w:ascii="Arial" w:cs="Arial" w:eastAsia="Arial" w:hAnsi="Arial"/>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8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5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7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7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fail to comply with applicable regulatory requirements following approval of ADG20 or any future product candidates, a regulatory authority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30" w:lineRule="exact"/>
        <w:rPr>
          <w:sz w:val="20"/>
          <w:szCs w:val="20"/>
          <w:color w:val="auto"/>
        </w:rPr>
      </w:pPr>
    </w:p>
    <w:p>
      <w:pPr>
        <w:ind w:left="1080" w:right="3720"/>
        <w:spacing w:after="0" w:line="404" w:lineRule="auto"/>
        <w:rPr>
          <w:sz w:val="20"/>
          <w:szCs w:val="20"/>
          <w:color w:val="auto"/>
        </w:rPr>
      </w:pPr>
      <w:r>
        <w:rPr>
          <w:rFonts w:ascii="Arial" w:cs="Arial" w:eastAsia="Arial" w:hAnsi="Arial"/>
          <w:sz w:val="18"/>
          <w:szCs w:val="18"/>
          <w:color w:val="auto"/>
        </w:rPr>
        <w:t>issue an untitled letter or warning letter asserting that we are in violation of the law; seek an injunction or impose administrative, civil or criminal penalties or monetary fines; suspend or withdraw regulatory approval;</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9" w:name="page80"/>
    <w:bookmarkEnd w:id="79"/>
    <w:p>
      <w:pPr>
        <w:ind w:left="1080"/>
        <w:spacing w:after="0"/>
        <w:rPr>
          <w:sz w:val="20"/>
          <w:szCs w:val="20"/>
          <w:color w:val="auto"/>
        </w:rPr>
      </w:pPr>
      <w:r>
        <w:rPr>
          <w:rFonts w:ascii="Arial" w:cs="Arial" w:eastAsia="Arial" w:hAnsi="Arial"/>
          <w:sz w:val="18"/>
          <w:szCs w:val="18"/>
          <w:color w:val="auto"/>
        </w:rPr>
        <w:t>suspend any ongoing clinical trials;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restrict the marketing or manufacturing of the drug;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seize or detain the drug or otherwise require the withdrawal of the drug from the market;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refuse to permit the import or export of products or product candidates; or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refuse to allow us to enter into supply contracts, including government contracts.</w:t>
      </w:r>
    </w:p>
    <w:p>
      <w:pPr>
        <w:spacing w:after="0" w:line="131"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75"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7"/>
          <w:szCs w:val="17"/>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3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7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0" w:name="page81"/>
    <w:bookmarkEnd w:id="80"/>
    <w:p>
      <w:pPr>
        <w:jc w:val="both"/>
        <w:ind w:firstLine="509"/>
        <w:spacing w:after="0" w:line="284" w:lineRule="auto"/>
        <w:rPr>
          <w:sz w:val="20"/>
          <w:szCs w:val="20"/>
          <w:color w:val="auto"/>
        </w:rPr>
      </w:pPr>
      <w:r>
        <w:rPr>
          <w:rFonts w:ascii="Arial" w:cs="Arial" w:eastAsia="Arial" w:hAnsi="Arial"/>
          <w:sz w:val="17"/>
          <w:szCs w:val="17"/>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79"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62" w:lineRule="exact"/>
        <w:rPr>
          <w:sz w:val="20"/>
          <w:szCs w:val="20"/>
          <w:color w:val="auto"/>
        </w:rPr>
      </w:pPr>
    </w:p>
    <w:p>
      <w:pPr>
        <w:jc w:val="both"/>
        <w:ind w:firstLine="509"/>
        <w:spacing w:after="0" w:line="302" w:lineRule="auto"/>
        <w:rPr>
          <w:sz w:val="20"/>
          <w:szCs w:val="20"/>
          <w:color w:val="auto"/>
        </w:rPr>
      </w:pPr>
      <w:r>
        <w:rPr>
          <w:rFonts w:ascii="Arial" w:cs="Arial" w:eastAsia="Arial" w:hAnsi="Arial"/>
          <w:sz w:val="16"/>
          <w:szCs w:val="16"/>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1" w:name="page82"/>
    <w:bookmarkEnd w:id="81"/>
    <w:p>
      <w:pPr>
        <w:jc w:val="both"/>
        <w:ind w:firstLine="509"/>
        <w:spacing w:after="0" w:line="306" w:lineRule="auto"/>
        <w:rPr>
          <w:sz w:val="20"/>
          <w:szCs w:val="20"/>
          <w:color w:val="auto"/>
        </w:rPr>
      </w:pPr>
      <w:r>
        <w:rPr>
          <w:rFonts w:ascii="Arial" w:cs="Arial" w:eastAsia="Arial" w:hAnsi="Arial"/>
          <w:sz w:val="16"/>
          <w:szCs w:val="16"/>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 clinical trials to be conducted prior to obtaining approval;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to manufacturing methods;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recalls, replacements or discontinuance of one or more of our products, if approved;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 recordkeeping.</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75"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70.2% of our common stock as of November 8, 2021. Therefore, these stockholders, and in particular, 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Adimab is currently our largest stockholder and beneficially owns approximately 25.0% of the voting power of our outstanding common stock as of November 8,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5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3" w:name="page84"/>
    <w:bookmarkEnd w:id="83"/>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6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be developed or sustained.</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Prior to our initial public offering, there was no public market for our common stock. Although our common stock is listed on the Nasdaq Global Market, an active market for our common stock does not develop or is not sustained, it may be difficult for you to sell shares at an attractive price or at all.</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54"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40"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timing, progress and results of our ongoing clinical trials of ADG20 or the commencement, enrollment or results of any future clinical trials we may conduct, or changes in the development status of our product candidates;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any delay in our regulatory filings for ADG20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delays in or termination of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unanticipated serious safety concerns related to the use of ADG20 or any other product candidate;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financial estimates by us or by any equity research analysts who might cover our stock;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ind w:left="1080"/>
        <w:spacing w:after="0"/>
        <w:rPr>
          <w:sz w:val="20"/>
          <w:szCs w:val="20"/>
          <w:color w:val="auto"/>
        </w:rPr>
      </w:pPr>
      <w:r>
        <w:rPr>
          <w:rFonts w:ascii="Arial" w:cs="Arial" w:eastAsia="Arial" w:hAnsi="Arial"/>
          <w:sz w:val="18"/>
          <w:szCs w:val="18"/>
          <w:color w:val="auto"/>
        </w:rPr>
        <w:t>conditions or trends in our industry;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market valuations of similar companies;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54"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relationships with our collaborators;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investors’ general perception of our company and our business;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recruitment or departure of key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overall performance of the equity markets;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trading volume of our common stock;</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significant lawsuits, including patent or stockholder litigation;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political and economic conditions;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events or factors, many of which are beyond our control.</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75"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4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identified a material weakness in our internal control over financial reporting that was identified during our March 31, 2021 review. The material weakness continued to exist as of September 30, 2021.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7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condensed consolidated financial statements. Additionally, this material weakness could result in misstatements of the aforementioned account balances or disclosures that would result in a material misstatement of our annual or interim condensed consolidated financial statements that would not be prevented or detected.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jc w:val="both"/>
        <w:ind w:firstLine="509"/>
        <w:spacing w:after="0" w:line="293" w:lineRule="auto"/>
        <w:rPr>
          <w:sz w:val="20"/>
          <w:szCs w:val="20"/>
          <w:color w:val="auto"/>
        </w:rPr>
      </w:pPr>
      <w:r>
        <w:rPr>
          <w:rFonts w:ascii="Arial" w:cs="Arial" w:eastAsia="Arial" w:hAnsi="Arial"/>
          <w:sz w:val="18"/>
          <w:szCs w:val="18"/>
          <w:color w:val="auto"/>
        </w:rPr>
        <w:t>In order to remediate this material weakness, we are in the process of designing and implementing controls during interim periods related to the completeness and accuracy of the contract manufacturing accrual process.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If we are unable to design and maintain effective internal control over financial reporting, investors may lose confidence in the accuracy and completeness of our financial reports and the market price of our common stock may decline.</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initial public offering, we began the process of documenting, reviewing and improving our internal control over financial reporting for compliance with Section 404 of the Sarbanes-Oxley Act, which requires annual management assessment of the effectiveness of our internal control over financial reporting.</w:t>
      </w:r>
    </w:p>
    <w:p>
      <w:pPr>
        <w:spacing w:after="0" w:line="8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35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6" w:name="page87"/>
    <w:bookmarkEnd w:id="86"/>
    <w:p>
      <w:pPr>
        <w:jc w:val="both"/>
        <w:ind w:firstLine="509"/>
        <w:spacing w:after="0" w:line="292" w:lineRule="auto"/>
        <w:rPr>
          <w:sz w:val="20"/>
          <w:szCs w:val="20"/>
          <w:color w:val="auto"/>
        </w:rPr>
      </w:pPr>
      <w:r>
        <w:rPr>
          <w:rFonts w:ascii="Arial" w:cs="Arial" w:eastAsia="Arial" w:hAnsi="Arial"/>
          <w:sz w:val="17"/>
          <w:szCs w:val="17"/>
          <w:color w:val="auto"/>
        </w:rPr>
        <w:t>As of November 8, 2021, we had outstanding 111,251,660 shares of common stock. Of these shares, 20,930,000 shares sold in our initial public offering are freely tradable and substantially all of the additional shares of common stock will be available for sale in the public market on February 1, 2022, which is 180 days after the date of the prospectus for our initial public offering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66"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In addition, we have filed registration statements on Form S-8 under the Securities Act of 1933, as amended, or the Securities Act, registering the issuance of approximately 36.4 million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48"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Additionally, the holders of an aggregate of approximately 84.7 million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48"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only one of our three classes of directors will be elected each year;</w:t>
      </w:r>
    </w:p>
    <w:p>
      <w:pPr>
        <w:spacing w:after="0" w:line="1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 will not be entitled to remove directors other than by a 66</w:t>
      </w:r>
      <w:r>
        <w:rPr>
          <w:rFonts w:ascii="Arial" w:cs="Arial" w:eastAsia="Arial" w:hAnsi="Arial"/>
          <w:sz w:val="24"/>
          <w:szCs w:val="24"/>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vote and only for cause;</w:t>
      </w:r>
    </w:p>
    <w:p>
      <w:pPr>
        <w:spacing w:after="0" w:line="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 will not be permitted to take actions by written consent;</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 cannot call a special meeting of stockholders; and</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stockholders must give advance notice to nominate directors or submit proposals for consideration at stockholder</w:t>
      </w:r>
    </w:p>
    <w:p>
      <w:pPr>
        <w:spacing w:after="0" w:line="3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meetings.</w:t>
      </w:r>
    </w:p>
    <w:p>
      <w:pPr>
        <w:spacing w:after="0" w:line="130"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70.2% of our outstanding common stock as of November 8, 2021</w:t>
      </w:r>
      <w:r>
        <w:rPr>
          <w:rFonts w:ascii="Arial" w:cs="Arial" w:eastAsia="Arial" w:hAnsi="Arial"/>
          <w:sz w:val="18"/>
          <w:szCs w:val="18"/>
          <w:color w:val="0000FF"/>
        </w:rPr>
        <w:t>.</w:t>
      </w:r>
      <w:r>
        <w:rPr>
          <w:rFonts w:ascii="Arial" w:cs="Arial" w:eastAsia="Arial" w:hAnsi="Arial"/>
          <w:sz w:val="18"/>
          <w:szCs w:val="18"/>
          <w:color w:val="auto"/>
        </w:rPr>
        <w:t xml:space="preserve">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77"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7" w:name="page88"/>
    <w:bookmarkEnd w:id="87"/>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4"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7" w:lineRule="exact"/>
        <w:rPr>
          <w:sz w:val="20"/>
          <w:szCs w:val="20"/>
          <w:color w:val="auto"/>
        </w:rPr>
      </w:pPr>
    </w:p>
    <w:p>
      <w:pPr>
        <w:ind w:left="1080" w:right="320"/>
        <w:spacing w:after="0" w:line="391" w:lineRule="auto"/>
        <w:rPr>
          <w:sz w:val="20"/>
          <w:szCs w:val="20"/>
          <w:color w:val="auto"/>
        </w:rPr>
      </w:pPr>
      <w:r>
        <w:rPr>
          <w:rFonts w:ascii="Arial" w:cs="Arial" w:eastAsia="Arial" w:hAnsi="Arial"/>
          <w:sz w:val="18"/>
          <w:szCs w:val="18"/>
          <w:color w:val="auto"/>
        </w:rPr>
        <w:t>an exemption from compliance with the auditor attestation requirement in the assessment of our internal control over financial reporting; reduced disclosure obligations regarding executive compensation;</w:t>
      </w:r>
    </w:p>
    <w:p>
      <w:pPr>
        <w:spacing w:after="0" w:line="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will have broad discretion in the use of our cash and cash equivalents, including the net proceeds from our initial public offering.</w:t>
      </w:r>
    </w:p>
    <w:p>
      <w:pPr>
        <w:spacing w:after="0" w:line="15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We will have broad discretion over the use of our cash and cash equivalents, including the net proceeds from our initial public offering.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8" w:name="page89"/>
    <w:bookmarkEnd w:id="88"/>
    <w:p>
      <w:pPr>
        <w:jc w:val="both"/>
        <w:spacing w:after="0" w:line="293" w:lineRule="auto"/>
        <w:rPr>
          <w:sz w:val="20"/>
          <w:szCs w:val="20"/>
          <w:color w:val="auto"/>
        </w:rPr>
      </w:pPr>
      <w:r>
        <w:rPr>
          <w:rFonts w:ascii="Arial" w:cs="Arial" w:eastAsia="Arial" w:hAnsi="Arial"/>
          <w:sz w:val="18"/>
          <w:szCs w:val="18"/>
          <w:b w:val="1"/>
          <w:bCs w:val="1"/>
          <w:i w:val="1"/>
          <w:iCs w:val="1"/>
          <w:color w:val="auto"/>
        </w:rPr>
        <w:t>stockholders, which could limit our stockholders’ ability to obtain a favorable judicial forum for disputes with us or our directors, officers or employees.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breach of fiduciary duty;</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5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2020, we had U.S. federal net operating loss, or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less than $0.1 million, respectively, which may be available to reduce future tax liabilities and expire at various dates beginning in 2040 and 2035, respectively.</w:t>
      </w:r>
    </w:p>
    <w:p>
      <w:pPr>
        <w:spacing w:after="0" w:line="88"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Our initial public offering, together with private placements and other transactions that have occurred since our inception, may trigger such an ownership change pursuant to Section</w:t>
      </w:r>
    </w:p>
    <w:p>
      <w:pPr>
        <w:spacing w:after="0" w:line="3" w:lineRule="exact"/>
        <w:rPr>
          <w:sz w:val="20"/>
          <w:szCs w:val="20"/>
          <w:color w:val="auto"/>
        </w:rPr>
      </w:pPr>
    </w:p>
    <w:p>
      <w:pPr>
        <w:jc w:val="both"/>
        <w:ind w:firstLine="8"/>
        <w:spacing w:after="0" w:line="329" w:lineRule="auto"/>
        <w:tabs>
          <w:tab w:leader="none" w:pos="3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business activities will be subject to the Foreign Corrupt Practices Act, or FCPA, and similar anti-bribery and anti-corruption laws.</w:t>
      </w:r>
    </w:p>
    <w:p>
      <w:pPr>
        <w:spacing w:after="0" w:line="15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6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0" w:name="page91"/>
    <w:bookmarkEnd w:id="90"/>
    <w:p>
      <w:pPr>
        <w:jc w:val="both"/>
        <w:ind w:firstLine="509"/>
        <w:spacing w:after="0" w:line="271"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8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Issued Upon Conversion of Preferred Stock</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On August 12, 2021, upon the closing of our IPO, all shares of our then-outstanding convertible preferred stock were converted into 84,722,420 shares of common stock. The issuance of such shares of common stock was exempt from registration under Section 3(a)(9) of the Securities 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August 5, 2021, our Registration Statement on Form S-1, as amended (File No. 333-257975), was declared effective in connection with our initial public offering,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r>
        <w:rPr>
          <w:rFonts w:ascii="Arial" w:cs="Arial" w:eastAsia="Arial" w:hAnsi="Arial"/>
          <w:sz w:val="18"/>
          <w:szCs w:val="18"/>
          <w:b w:val="1"/>
          <w:bCs w:val="1"/>
          <w:color w:val="auto"/>
        </w:rPr>
        <w:t>.</w:t>
      </w:r>
    </w:p>
    <w:p>
      <w:pPr>
        <w:spacing w:after="0" w:line="77"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The initial public offering closed on August 10, 2021. The aggregate net proceeds received by the Company from the IPO were approximately $330.9 million, after deducting underwriting discounts and commissions of $24.9 million, but before deducting offering expenses payable by the Company, which were $3.4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August 6, 2021.</w:t>
      </w:r>
    </w:p>
    <w:p>
      <w:pPr>
        <w:spacing w:after="0" w:line="5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Upon the closing of the IPO, all shares of the Company’s convertible preferred stock then outstanding converted into 84,722,420 shares of common stock (see Note 10).</w:t>
      </w:r>
    </w:p>
    <w:p>
      <w:pPr>
        <w:spacing w:after="0" w:line="58" w:lineRule="exact"/>
        <w:rPr>
          <w:sz w:val="20"/>
          <w:szCs w:val="20"/>
          <w:color w:val="auto"/>
        </w:rPr>
      </w:pPr>
    </w:p>
    <w:p>
      <w:pPr>
        <w:jc w:val="center"/>
        <w:ind w:right="816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58"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158"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46"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6300" w:type="dxa"/>
            <w:vAlign w:val="bottom"/>
            <w:tcBorders>
              <w:bottom w:val="single" w:sz="8" w:color="auto"/>
            </w:tcBorders>
            <w:gridSpan w:val="12"/>
          </w:tcPr>
          <w:p>
            <w:pPr>
              <w:ind w:left="90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9980" w:type="dxa"/>
            <w:vAlign w:val="bottom"/>
            <w:tcBorders>
              <w:bottom w:val="single" w:sz="8" w:color="0000FF"/>
            </w:tcBorders>
            <w:gridSpan w:val="12"/>
          </w:tcPr>
          <w:p>
            <w:pPr>
              <w:spacing w:after="0" w:line="182"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Amended and Restated Certificate of Incorporation (incorporated by reference to Exhibit 3.1 of the Company’s Current Report on Form 8-</w:t>
              </w:r>
            </w:hyperlink>
          </w:p>
        </w:tc>
        <w:tc>
          <w:tcPr>
            <w:tcW w:w="100" w:type="dxa"/>
            <w:vAlign w:val="bottom"/>
            <w:gridSpan w:val="4"/>
          </w:tcPr>
          <w:p>
            <w:pPr>
              <w:spacing w:after="0"/>
              <w:rPr>
                <w:sz w:val="15"/>
                <w:szCs w:val="15"/>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Borders>
              <w:bottom w:val="single" w:sz="8" w:color="0000FF"/>
            </w:tcBorders>
            <w:gridSpan w:val="7"/>
          </w:tcPr>
          <w:p>
            <w:pPr>
              <w:spacing w:after="0"/>
              <w:rPr>
                <w:rFonts w:ascii="Arial" w:cs="Arial" w:eastAsia="Arial" w:hAnsi="Arial"/>
                <w:sz w:val="18"/>
                <w:szCs w:val="18"/>
                <w:color w:val="0000FF"/>
                <w:w w:val="91"/>
              </w:rPr>
            </w:pPr>
            <w:hyperlink r:id="rId287">
              <w:r>
                <w:rPr>
                  <w:rFonts w:ascii="Arial" w:cs="Arial" w:eastAsia="Arial" w:hAnsi="Arial"/>
                  <w:sz w:val="18"/>
                  <w:szCs w:val="18"/>
                  <w:color w:val="0000FF"/>
                  <w:w w:val="91"/>
                </w:rPr>
                <w:t>K (File No. 001-40703), filed with the Securities and Exchange Commission on August 10, 2021).</w:t>
              </w:r>
            </w:hyperlink>
          </w:p>
        </w:tc>
        <w:tc>
          <w:tcPr>
            <w:tcW w:w="20" w:type="dxa"/>
            <w:vAlign w:val="bottom"/>
            <w:tcBorders>
              <w:bottom w:val="single" w:sz="8" w:color="0000EE"/>
            </w:tcBorders>
          </w:tcPr>
          <w:p>
            <w:pPr>
              <w:spacing w:after="0"/>
              <w:rPr>
                <w:sz w:val="18"/>
                <w:szCs w:val="18"/>
                <w:color w:val="auto"/>
              </w:rPr>
            </w:pPr>
          </w:p>
        </w:tc>
        <w:tc>
          <w:tcPr>
            <w:tcW w:w="2960" w:type="dxa"/>
            <w:vAlign w:val="bottom"/>
            <w:gridSpan w:val="8"/>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740" w:type="dxa"/>
            <w:vAlign w:val="bottom"/>
            <w:tcBorders>
              <w:bottom w:val="single" w:sz="8" w:color="0000FF"/>
            </w:tcBorders>
            <w:gridSpan w:val="11"/>
          </w:tcPr>
          <w:p>
            <w:pPr>
              <w:spacing w:after="0"/>
              <w:rPr>
                <w:rFonts w:ascii="Arial" w:cs="Arial" w:eastAsia="Arial" w:hAnsi="Arial"/>
                <w:sz w:val="18"/>
                <w:szCs w:val="18"/>
                <w:color w:val="0000FF"/>
                <w:w w:val="91"/>
              </w:rPr>
            </w:pPr>
            <w:hyperlink r:id="rId288">
              <w:r>
                <w:rPr>
                  <w:rFonts w:ascii="Arial" w:cs="Arial" w:eastAsia="Arial" w:hAnsi="Arial"/>
                  <w:sz w:val="18"/>
                  <w:szCs w:val="18"/>
                  <w:color w:val="0000FF"/>
                  <w:w w:val="91"/>
                </w:rPr>
                <w:t>Amended and Restated Bylaws (incorporated by reference to Exhibit 3.2 of the Company’s Current Report on Form 8-K (File No. 001-</w:t>
              </w:r>
            </w:hyperlink>
          </w:p>
        </w:tc>
        <w:tc>
          <w:tcPr>
            <w:tcW w:w="340" w:type="dxa"/>
            <w:vAlign w:val="bottom"/>
            <w:gridSpan w:val="5"/>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tcBorders>
              <w:bottom w:val="single" w:sz="8" w:color="0000FF"/>
            </w:tcBorders>
            <w:gridSpan w:val="6"/>
          </w:tcPr>
          <w:p>
            <w:pPr>
              <w:spacing w:after="0"/>
              <w:rPr>
                <w:rFonts w:ascii="Arial" w:cs="Arial" w:eastAsia="Arial" w:hAnsi="Arial"/>
                <w:sz w:val="18"/>
                <w:szCs w:val="18"/>
                <w:color w:val="0000FF"/>
                <w:w w:val="90"/>
              </w:rPr>
            </w:pPr>
            <w:hyperlink r:id="rId288">
              <w:r>
                <w:rPr>
                  <w:rFonts w:ascii="Arial" w:cs="Arial" w:eastAsia="Arial" w:hAnsi="Arial"/>
                  <w:sz w:val="18"/>
                  <w:szCs w:val="18"/>
                  <w:color w:val="0000FF"/>
                  <w:w w:val="90"/>
                </w:rPr>
                <w:t>40703)</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filed with the Securities and Exchange Commission on August 10, 2021).</w:t>
              </w:r>
            </w:hyperlink>
          </w:p>
        </w:tc>
        <w:tc>
          <w:tcPr>
            <w:tcW w:w="4180" w:type="dxa"/>
            <w:vAlign w:val="bottom"/>
            <w:gridSpan w:val="10"/>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0080" w:type="dxa"/>
            <w:vAlign w:val="bottom"/>
            <w:gridSpan w:val="1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Form of Executive Officer Employment Agreement.</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w:t>
            </w:r>
            <w:r>
              <w:rPr>
                <w:rFonts w:ascii="Arial" w:cs="Arial" w:eastAsia="Arial" w:hAnsi="Arial"/>
                <w:sz w:val="16"/>
                <w:szCs w:val="16"/>
                <w:color w:val="auto"/>
              </w:rPr>
              <w:t>†</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Amended and Restated Commercial Manufacturing Services Agreement by and between the Registrant and WuXi Biologics (Hong Kong)</w:t>
              </w:r>
            </w:hyperlink>
          </w:p>
        </w:tc>
        <w:tc>
          <w:tcPr>
            <w:tcW w:w="80" w:type="dxa"/>
            <w:vAlign w:val="bottom"/>
            <w:gridSpan w:val="3"/>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16"/>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Limited, dated August 12,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966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60">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20" w:type="dxa"/>
            <w:vAlign w:val="bottom"/>
            <w:gridSpan w:val="6"/>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60">
              <w:r>
                <w:rPr>
                  <w:rFonts w:ascii="Arial" w:cs="Arial" w:eastAsia="Arial" w:hAnsi="Arial"/>
                  <w:sz w:val="18"/>
                  <w:szCs w:val="18"/>
                  <w:color w:val="0000FF"/>
                  <w:w w:val="90"/>
                </w:rPr>
                <w:t>Adopted Pursuant to Section 302 of the Sarbanes-Oxley Act of 2002.</w:t>
              </w:r>
            </w:hyperlink>
          </w:p>
        </w:tc>
        <w:tc>
          <w:tcPr>
            <w:tcW w:w="5100" w:type="dxa"/>
            <w:vAlign w:val="bottom"/>
            <w:gridSpan w:val="11"/>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96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61">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480" w:type="dxa"/>
            <w:vAlign w:val="bottom"/>
            <w:gridSpan w:val="7"/>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61">
              <w:r>
                <w:rPr>
                  <w:rFonts w:ascii="Arial" w:cs="Arial" w:eastAsia="Arial" w:hAnsi="Arial"/>
                  <w:sz w:val="18"/>
                  <w:szCs w:val="18"/>
                  <w:color w:val="0000FF"/>
                  <w:w w:val="90"/>
                </w:rPr>
                <w:t>Adopted Pursuant to Section 302 of the Sarbanes-Oxley Act of 2002.</w:t>
              </w:r>
            </w:hyperlink>
          </w:p>
        </w:tc>
        <w:tc>
          <w:tcPr>
            <w:tcW w:w="5100" w:type="dxa"/>
            <w:vAlign w:val="bottom"/>
            <w:gridSpan w:val="11"/>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1006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62">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20" w:type="dxa"/>
            <w:vAlign w:val="bottom"/>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00FF"/>
            </w:tcBorders>
          </w:tcPr>
          <w:p>
            <w:pPr>
              <w:spacing w:after="0"/>
              <w:rPr>
                <w:rFonts w:ascii="Arial" w:cs="Arial" w:eastAsia="Arial" w:hAnsi="Arial"/>
                <w:sz w:val="18"/>
                <w:szCs w:val="18"/>
                <w:color w:val="0000FF"/>
                <w:w w:val="91"/>
              </w:rPr>
            </w:pPr>
            <w:hyperlink w:anchor="page162">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14"/>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00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63">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40" w:type="dxa"/>
            <w:vAlign w:val="bottom"/>
            <w:gridSpan w:val="2"/>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00FF"/>
            </w:tcBorders>
          </w:tcPr>
          <w:p>
            <w:pPr>
              <w:spacing w:after="0"/>
              <w:rPr>
                <w:rFonts w:ascii="Arial" w:cs="Arial" w:eastAsia="Arial" w:hAnsi="Arial"/>
                <w:sz w:val="18"/>
                <w:szCs w:val="18"/>
                <w:color w:val="0000FF"/>
                <w:w w:val="91"/>
              </w:rPr>
            </w:pPr>
            <w:hyperlink w:anchor="page163">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14"/>
          </w:tcPr>
          <w:p>
            <w:pPr>
              <w:spacing w:after="0"/>
              <w:rPr>
                <w:sz w:val="18"/>
                <w:szCs w:val="18"/>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61" w:lineRule="exact"/>
        <w:rPr>
          <w:sz w:val="20"/>
          <w:szCs w:val="20"/>
          <w:color w:val="auto"/>
        </w:rPr>
      </w:pPr>
    </w:p>
    <w:p>
      <w:pPr>
        <w:ind w:left="480" w:hanging="459"/>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 management contract or compensatory plan.</w:t>
      </w:r>
    </w:p>
    <w:p>
      <w:pPr>
        <w:spacing w:after="0" w:line="41" w:lineRule="exact"/>
        <w:rPr>
          <w:sz w:val="20"/>
          <w:szCs w:val="20"/>
          <w:color w:val="auto"/>
        </w:rPr>
      </w:pPr>
    </w:p>
    <w:p>
      <w:pPr>
        <w:ind w:left="480" w:right="540" w:hanging="459"/>
        <w:spacing w:after="0" w:line="287"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480" w:hanging="459"/>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80" w:right="520" w:hanging="459"/>
        <w:spacing w:after="0" w:line="329"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Adagio Therapeutics, Inc.</w:t>
      </w:r>
    </w:p>
    <w:p>
      <w:pPr>
        <w:spacing w:after="0" w:line="279" w:lineRule="exact"/>
        <w:rPr>
          <w:sz w:val="20"/>
          <w:szCs w:val="20"/>
          <w:color w:val="auto"/>
        </w:rPr>
      </w:pPr>
    </w:p>
    <w:p>
      <w:pPr>
        <w:ind w:left="20"/>
        <w:spacing w:after="0"/>
        <w:tabs>
          <w:tab w:leader="none" w:pos="5680" w:val="left"/>
          <w:tab w:leader="none" w:pos="75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Tillman U. Gerngross, Ph.D.</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Co-Founder, Chief Executive Officer, Director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9" w:lineRule="exact"/>
        <w:rPr>
          <w:sz w:val="20"/>
          <w:szCs w:val="20"/>
          <w:color w:val="auto"/>
        </w:rPr>
      </w:pPr>
    </w:p>
    <w:p>
      <w:pPr>
        <w:ind w:left="20"/>
        <w:spacing w:after="0"/>
        <w:tabs>
          <w:tab w:leader="none" w:pos="5680" w:val="left"/>
          <w:tab w:leader="none" w:pos="76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Jane Pritchett Henderson</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ind w:left="10120"/>
        <w:spacing w:after="0"/>
        <w:rPr>
          <w:sz w:val="20"/>
          <w:szCs w:val="20"/>
          <w:color w:val="auto"/>
        </w:rPr>
      </w:pPr>
      <w:r>
        <w:rPr>
          <w:rFonts w:ascii="Arial" w:cs="Arial" w:eastAsia="Arial" w:hAnsi="Arial"/>
          <w:sz w:val="19"/>
          <w:szCs w:val="19"/>
          <w:b w:val="1"/>
          <w:bCs w:val="1"/>
          <w:color w:val="auto"/>
        </w:rPr>
        <w:t>Exhibit 10.1</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Form of Employment Agreement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For Executives other than CEO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EMPLOYMENT AGREEMENT</w:t>
      </w:r>
    </w:p>
    <w:p>
      <w:pPr>
        <w:spacing w:after="0" w:line="362" w:lineRule="exact"/>
        <w:rPr>
          <w:sz w:val="20"/>
          <w:szCs w:val="20"/>
          <w:color w:val="auto"/>
        </w:rPr>
      </w:pPr>
    </w:p>
    <w:p>
      <w:pPr>
        <w:ind w:right="240" w:firstLine="749"/>
        <w:spacing w:after="0" w:line="276"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b w:val="1"/>
          <w:bCs w:val="1"/>
          <w:i w:val="1"/>
          <w:iCs w:val="1"/>
          <w:u w:val="single" w:color="auto"/>
          <w:color w:val="auto"/>
        </w:rPr>
        <w:t>Agreement</w:t>
      </w:r>
      <w:r>
        <w:rPr>
          <w:rFonts w:ascii="Arial" w:cs="Arial" w:eastAsia="Arial" w:hAnsi="Arial"/>
          <w:sz w:val="22"/>
          <w:szCs w:val="22"/>
          <w:color w:val="auto"/>
        </w:rPr>
        <w:t>”) is made between Adagio Therapeutics, Inc., a Delaware corporation (the “</w:t>
      </w:r>
      <w:r>
        <w:rPr>
          <w:rFonts w:ascii="Arial" w:cs="Arial" w:eastAsia="Arial" w:hAnsi="Arial"/>
          <w:sz w:val="22"/>
          <w:szCs w:val="22"/>
          <w:b w:val="1"/>
          <w:bCs w:val="1"/>
          <w:i w:val="1"/>
          <w:iCs w:val="1"/>
          <w:u w:val="single" w:color="auto"/>
          <w:color w:val="auto"/>
        </w:rPr>
        <w:t>Company</w:t>
      </w:r>
      <w:r>
        <w:rPr>
          <w:rFonts w:ascii="Arial" w:cs="Arial" w:eastAsia="Arial" w:hAnsi="Arial"/>
          <w:sz w:val="22"/>
          <w:szCs w:val="22"/>
          <w:color w:val="auto"/>
        </w:rPr>
        <w:t>”), and [_________________] (the “</w:t>
      </w:r>
      <w:r>
        <w:rPr>
          <w:rFonts w:ascii="Arial" w:cs="Arial" w:eastAsia="Arial" w:hAnsi="Arial"/>
          <w:sz w:val="22"/>
          <w:szCs w:val="22"/>
          <w:b w:val="1"/>
          <w:bCs w:val="1"/>
          <w:i w:val="1"/>
          <w:iCs w:val="1"/>
          <w:u w:val="single" w:color="auto"/>
          <w:color w:val="auto"/>
        </w:rPr>
        <w:t>Executive</w:t>
      </w:r>
      <w:r>
        <w:rPr>
          <w:rFonts w:ascii="Arial" w:cs="Arial" w:eastAsia="Arial" w:hAnsi="Arial"/>
          <w:sz w:val="22"/>
          <w:szCs w:val="22"/>
          <w:color w:val="auto"/>
        </w:rPr>
        <w:t>”), this [___] day of [_______] 2021.</w:t>
      </w:r>
    </w:p>
    <w:p>
      <w:pPr>
        <w:spacing w:after="0" w:line="168"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for Executive to provide services to the Company, and wishes to provide Executive with</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compensation and benefits in return for such employment services, and Executive wishes to be employed by the Company and to provide personal services to the Company in return for certain compensation and benefits; and</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Executive desire to enter into this Agreement, effective as of [date] (the “</w:t>
      </w:r>
      <w:r>
        <w:rPr>
          <w:rFonts w:ascii="Arial" w:cs="Arial" w:eastAsia="Arial" w:hAnsi="Arial"/>
          <w:sz w:val="20"/>
          <w:szCs w:val="20"/>
          <w:b w:val="1"/>
          <w:bCs w:val="1"/>
          <w:i w:val="1"/>
          <w:iCs w:val="1"/>
          <w:u w:val="single" w:color="auto"/>
          <w:color w:val="auto"/>
        </w:rPr>
        <w:t>Effective Date</w:t>
      </w:r>
      <w:r>
        <w:rPr>
          <w:rFonts w:ascii="Arial" w:cs="Arial" w:eastAsia="Arial" w:hAnsi="Arial"/>
          <w:sz w:val="20"/>
          <w:szCs w:val="20"/>
          <w:color w:val="auto"/>
        </w:rPr>
        <w:t>”).</w:t>
      </w:r>
    </w:p>
    <w:p>
      <w:pPr>
        <w:spacing w:after="0" w:line="256" w:lineRule="exact"/>
        <w:rPr>
          <w:sz w:val="20"/>
          <w:szCs w:val="20"/>
          <w:color w:val="auto"/>
        </w:rPr>
      </w:pPr>
    </w:p>
    <w:p>
      <w:pPr>
        <w:ind w:right="280" w:firstLine="749"/>
        <w:spacing w:after="0" w:line="36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herein contained and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is hereby acknowledged, the parties agree as follows:</w:t>
      </w:r>
    </w:p>
    <w:p>
      <w:pPr>
        <w:spacing w:after="0" w:line="99" w:lineRule="exact"/>
        <w:rPr>
          <w:sz w:val="20"/>
          <w:szCs w:val="20"/>
          <w:color w:val="auto"/>
        </w:rPr>
      </w:pPr>
    </w:p>
    <w:p>
      <w:pPr>
        <w:ind w:left="1400" w:hanging="600"/>
        <w:spacing w:after="0"/>
        <w:tabs>
          <w:tab w:leader="none" w:pos="1400" w:val="left"/>
        </w:tabs>
        <w:numPr>
          <w:ilvl w:val="0"/>
          <w:numId w:val="1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right="160" w:firstLine="1678"/>
        <w:spacing w:after="0" w:line="276" w:lineRule="auto"/>
        <w:tabs>
          <w:tab w:leader="none" w:pos="2793" w:val="left"/>
        </w:tabs>
        <w:numPr>
          <w:ilvl w:val="1"/>
          <w:numId w:val="1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21"/>
          <w:szCs w:val="21"/>
          <w:b w:val="1"/>
          <w:bCs w:val="1"/>
          <w:i w:val="1"/>
          <w:iCs w:val="1"/>
          <w:u w:val="single" w:color="auto"/>
          <w:color w:val="auto"/>
        </w:rPr>
        <w:t>Term</w:t>
      </w:r>
      <w:r>
        <w:rPr>
          <w:rFonts w:ascii="Arial" w:cs="Arial" w:eastAsia="Arial" w:hAnsi="Arial"/>
          <w:sz w:val="21"/>
          <w:szCs w:val="21"/>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7" w:lineRule="exact"/>
        <w:rPr>
          <w:rFonts w:ascii="Arial" w:cs="Arial" w:eastAsia="Arial" w:hAnsi="Arial"/>
          <w:sz w:val="21"/>
          <w:szCs w:val="21"/>
          <w:u w:val="single" w:color="auto"/>
          <w:color w:val="auto"/>
        </w:rPr>
      </w:pPr>
    </w:p>
    <w:p>
      <w:pPr>
        <w:ind w:left="2800" w:hanging="1122"/>
        <w:spacing w:after="0"/>
        <w:tabs>
          <w:tab w:leader="none" w:pos="2800" w:val="left"/>
        </w:tabs>
        <w:numPr>
          <w:ilvl w:val="1"/>
          <w:numId w:val="1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The Executive shall serve as the [</w:t>
      </w:r>
      <w:r>
        <w:rPr>
          <w:rFonts w:ascii="Arial" w:cs="Arial" w:eastAsia="Arial" w:hAnsi="Arial"/>
          <w:sz w:val="22"/>
          <w:szCs w:val="22"/>
          <w:b w:val="1"/>
          <w:bCs w:val="1"/>
          <w:color w:val="auto"/>
        </w:rPr>
        <w:t>Title</w:t>
      </w:r>
      <w:r>
        <w:rPr>
          <w:rFonts w:ascii="Arial" w:cs="Arial" w:eastAsia="Arial" w:hAnsi="Arial"/>
          <w:sz w:val="22"/>
          <w:szCs w:val="22"/>
          <w:color w:val="auto"/>
        </w:rPr>
        <w:t>] of the Company and shall have such powers and duties as customarily associated with the office of [</w:t>
      </w:r>
      <w:r>
        <w:rPr>
          <w:rFonts w:ascii="Arial" w:cs="Arial" w:eastAsia="Arial" w:hAnsi="Arial"/>
          <w:sz w:val="22"/>
          <w:szCs w:val="22"/>
          <w:b w:val="1"/>
          <w:bCs w:val="1"/>
          <w:color w:val="auto"/>
        </w:rPr>
        <w:t>Title</w:t>
      </w:r>
      <w:r>
        <w:rPr>
          <w:rFonts w:ascii="Arial" w:cs="Arial" w:eastAsia="Arial" w:hAnsi="Arial"/>
          <w:sz w:val="22"/>
          <w:szCs w:val="22"/>
          <w:color w:val="auto"/>
        </w:rPr>
        <w:t>], and as may from time to time be prescribed by the Chief Executive Officer of the Company (the “</w:t>
      </w:r>
      <w:r>
        <w:rPr>
          <w:rFonts w:ascii="Arial" w:cs="Arial" w:eastAsia="Arial" w:hAnsi="Arial"/>
          <w:sz w:val="22"/>
          <w:szCs w:val="22"/>
          <w:b w:val="1"/>
          <w:bCs w:val="1"/>
          <w:i w:val="1"/>
          <w:iCs w:val="1"/>
          <w:u w:val="single" w:color="auto"/>
          <w:color w:val="auto"/>
        </w:rPr>
        <w:t>CEO</w:t>
      </w:r>
      <w:r>
        <w:rPr>
          <w:rFonts w:ascii="Arial" w:cs="Arial" w:eastAsia="Arial" w:hAnsi="Arial"/>
          <w:sz w:val="22"/>
          <w:szCs w:val="22"/>
          <w:color w:val="auto"/>
        </w:rPr>
        <w:t>”), subject to the direction and control of the CEO. The Executive shall report to the CEO.</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pacing w:after="0" w:line="12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5" w:name="page96"/>
    <w:bookmarkEnd w:id="95"/>
    <w:p>
      <w:pPr>
        <w:ind w:firstLine="1678"/>
        <w:spacing w:after="0" w:line="266" w:lineRule="auto"/>
        <w:tabs>
          <w:tab w:leader="none" w:pos="2793" w:val="left"/>
        </w:tabs>
        <w:numPr>
          <w:ilvl w:val="0"/>
          <w:numId w:val="1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Outside Activities</w:t>
      </w:r>
      <w:r>
        <w:rPr>
          <w:rFonts w:ascii="Arial" w:cs="Arial" w:eastAsia="Arial" w:hAnsi="Arial"/>
          <w:sz w:val="22"/>
          <w:szCs w:val="22"/>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21"/>
          <w:szCs w:val="21"/>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83" w:lineRule="exact"/>
        <w:rPr>
          <w:sz w:val="20"/>
          <w:szCs w:val="20"/>
          <w:color w:val="auto"/>
        </w:rPr>
      </w:pPr>
    </w:p>
    <w:p>
      <w:pPr>
        <w:ind w:right="480"/>
        <w:spacing w:after="0" w:line="276" w:lineRule="auto"/>
        <w:rPr>
          <w:sz w:val="20"/>
          <w:szCs w:val="20"/>
          <w:color w:val="auto"/>
        </w:rPr>
      </w:pPr>
      <w:r>
        <w:rPr>
          <w:rFonts w:ascii="Arial" w:cs="Arial" w:eastAsia="Arial" w:hAnsi="Arial"/>
          <w:sz w:val="22"/>
          <w:szCs w:val="22"/>
          <w:color w:val="auto"/>
        </w:rPr>
        <w:t>The Executive may retain any compensation or benefits received as a result of consented to service as a director without any offset in respect of any compensation or benefits to be provided hereunder.</w:t>
      </w:r>
    </w:p>
    <w:p>
      <w:pPr>
        <w:spacing w:after="0" w:line="174" w:lineRule="exact"/>
        <w:rPr>
          <w:sz w:val="20"/>
          <w:szCs w:val="20"/>
          <w:color w:val="auto"/>
        </w:rPr>
      </w:pPr>
    </w:p>
    <w:p>
      <w:pPr>
        <w:ind w:right="20" w:firstLine="800"/>
        <w:spacing w:after="0" w:line="276" w:lineRule="auto"/>
        <w:tabs>
          <w:tab w:leader="none" w:pos="1397"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 This Section 2 sets forth the compensation and benefits to be provided to the Executive during the Term.</w:t>
      </w:r>
    </w:p>
    <w:p>
      <w:pPr>
        <w:spacing w:after="0" w:line="174" w:lineRule="exact"/>
        <w:rPr>
          <w:rFonts w:ascii="Arial" w:cs="Arial" w:eastAsia="Arial" w:hAnsi="Arial"/>
          <w:sz w:val="22"/>
          <w:szCs w:val="22"/>
          <w:u w:val="single" w:color="auto"/>
          <w:color w:val="auto"/>
        </w:rPr>
      </w:pPr>
    </w:p>
    <w:p>
      <w:pPr>
        <w:ind w:right="220" w:firstLine="1678"/>
        <w:spacing w:after="0" w:line="260" w:lineRule="auto"/>
        <w:tabs>
          <w:tab w:leader="none" w:pos="2793" w:val="left"/>
        </w:tabs>
        <w:numPr>
          <w:ilvl w:val="1"/>
          <w:numId w:val="1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The Executive will continue to pay Executive, as compensation for the performance of the Executive’s duties and obligations hereunder, salary at the rate of $[__________] per year. The Executive’s salary shall be subject to annual review not later than March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each year for possible increase by the Board or the Compensation Committee of the Board (the “</w:t>
      </w:r>
      <w:r>
        <w:rPr>
          <w:rFonts w:ascii="Arial" w:cs="Arial" w:eastAsia="Arial" w:hAnsi="Arial"/>
          <w:sz w:val="21"/>
          <w:szCs w:val="21"/>
          <w:b w:val="1"/>
          <w:bCs w:val="1"/>
          <w:i w:val="1"/>
          <w:iCs w:val="1"/>
          <w:u w:val="single" w:color="auto"/>
          <w:color w:val="auto"/>
        </w:rPr>
        <w:t>Compensation Committee</w:t>
      </w:r>
      <w:r>
        <w:rPr>
          <w:rFonts w:ascii="Arial" w:cs="Arial" w:eastAsia="Arial" w:hAnsi="Arial"/>
          <w:sz w:val="21"/>
          <w:szCs w:val="21"/>
          <w:color w:val="auto"/>
        </w:rPr>
        <w:t>”), which may be adjusted from time to time. The base salary in effect at any given time is referred to herein as “</w:t>
      </w:r>
      <w:r>
        <w:rPr>
          <w:rFonts w:ascii="Arial" w:cs="Arial" w:eastAsia="Arial" w:hAnsi="Arial"/>
          <w:sz w:val="21"/>
          <w:szCs w:val="21"/>
          <w:b w:val="1"/>
          <w:bCs w:val="1"/>
          <w:i w:val="1"/>
          <w:iCs w:val="1"/>
          <w:u w:val="single" w:color="auto"/>
          <w:color w:val="auto"/>
        </w:rPr>
        <w:t>Base Salary</w:t>
      </w:r>
      <w:r>
        <w:rPr>
          <w:rFonts w:ascii="Arial" w:cs="Arial" w:eastAsia="Arial" w:hAnsi="Arial"/>
          <w:sz w:val="21"/>
          <w:szCs w:val="21"/>
          <w:color w:val="auto"/>
        </w:rPr>
        <w:t>.” The Base Salary shall be payable in a manner that is consistent with the Company’s usual payroll practices for its executive officers</w:t>
      </w:r>
    </w:p>
    <w:p>
      <w:pPr>
        <w:spacing w:after="0" w:line="191" w:lineRule="exact"/>
        <w:rPr>
          <w:rFonts w:ascii="Arial" w:cs="Arial" w:eastAsia="Arial" w:hAnsi="Arial"/>
          <w:sz w:val="21"/>
          <w:szCs w:val="21"/>
          <w:u w:val="single" w:color="auto"/>
          <w:color w:val="auto"/>
        </w:rPr>
      </w:pPr>
    </w:p>
    <w:p>
      <w:pPr>
        <w:ind w:right="60" w:firstLine="1678"/>
        <w:spacing w:after="0" w:line="293" w:lineRule="auto"/>
        <w:tabs>
          <w:tab w:leader="none" w:pos="2793" w:val="left"/>
        </w:tabs>
        <w:numPr>
          <w:ilvl w:val="1"/>
          <w:numId w:val="1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The Executive shall participate in an annual cash incentive compensation plan (the “</w:t>
      </w:r>
      <w:r>
        <w:rPr>
          <w:rFonts w:ascii="Arial" w:cs="Arial" w:eastAsia="Arial" w:hAnsi="Arial"/>
          <w:sz w:val="19"/>
          <w:szCs w:val="19"/>
          <w:b w:val="1"/>
          <w:bCs w:val="1"/>
          <w:i w:val="1"/>
          <w:iCs w:val="1"/>
          <w:u w:val="single" w:color="auto"/>
          <w:color w:val="auto"/>
        </w:rPr>
        <w:t>Annual Bonus Plan</w:t>
      </w:r>
      <w:r>
        <w:rPr>
          <w:rFonts w:ascii="Arial" w:cs="Arial" w:eastAsia="Arial" w:hAnsi="Arial"/>
          <w:sz w:val="19"/>
          <w:szCs w:val="19"/>
          <w:color w:val="auto"/>
        </w:rPr>
        <w:t>”). The Executive will be eligible to earn an annual bonus for each full calendar year completed (the “</w:t>
      </w:r>
      <w:r>
        <w:rPr>
          <w:rFonts w:ascii="Arial" w:cs="Arial" w:eastAsia="Arial" w:hAnsi="Arial"/>
          <w:sz w:val="19"/>
          <w:szCs w:val="19"/>
          <w:b w:val="1"/>
          <w:bCs w:val="1"/>
          <w:i w:val="1"/>
          <w:iCs w:val="1"/>
          <w:u w:val="single" w:color="auto"/>
          <w:color w:val="auto"/>
        </w:rPr>
        <w:t>Annual Bonus</w:t>
      </w:r>
      <w:r>
        <w:rPr>
          <w:rFonts w:ascii="Arial" w:cs="Arial" w:eastAsia="Arial" w:hAnsi="Arial"/>
          <w:sz w:val="19"/>
          <w:szCs w:val="19"/>
          <w:color w:val="auto"/>
        </w:rPr>
        <w:t>”). The Executive’s target Annual Bonus will be [__________] percent ([_]%) of Executive’s Base Salary (the “</w:t>
      </w:r>
      <w:r>
        <w:rPr>
          <w:rFonts w:ascii="Arial" w:cs="Arial" w:eastAsia="Arial" w:hAnsi="Arial"/>
          <w:sz w:val="19"/>
          <w:szCs w:val="19"/>
          <w:b w:val="1"/>
          <w:bCs w:val="1"/>
          <w:i w:val="1"/>
          <w:iCs w:val="1"/>
          <w:u w:val="single" w:color="auto"/>
          <w:color w:val="auto"/>
        </w:rPr>
        <w:t>Target Bonus</w:t>
      </w:r>
      <w:r>
        <w:rPr>
          <w:rFonts w:ascii="Arial" w:cs="Arial" w:eastAsia="Arial" w:hAnsi="Arial"/>
          <w:sz w:val="19"/>
          <w:szCs w:val="19"/>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64" w:lineRule="exact"/>
        <w:rPr>
          <w:rFonts w:ascii="Arial" w:cs="Arial" w:eastAsia="Arial" w:hAnsi="Arial"/>
          <w:sz w:val="19"/>
          <w:szCs w:val="19"/>
          <w:u w:val="single" w:color="auto"/>
          <w:color w:val="auto"/>
        </w:rPr>
      </w:pPr>
    </w:p>
    <w:p>
      <w:pPr>
        <w:ind w:right="620" w:firstLine="1678"/>
        <w:spacing w:after="0" w:line="266" w:lineRule="auto"/>
        <w:tabs>
          <w:tab w:leader="none" w:pos="2793" w:val="left"/>
        </w:tabs>
        <w:numPr>
          <w:ilvl w:val="1"/>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shall promptly pay or reimburse the Executive for all reasonable expenses incurred by the Executive while performing services hereunder, including but not limited to travel expenses and attendance at industry events, in accordance with</w:t>
      </w:r>
    </w:p>
    <w:p>
      <w:pPr>
        <w:spacing w:after="0" w:line="15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6" w:name="page97"/>
    <w:bookmarkEnd w:id="96"/>
    <w:p>
      <w:pPr>
        <w:ind w:right="280"/>
        <w:spacing w:after="0" w:line="301" w:lineRule="auto"/>
        <w:rPr>
          <w:sz w:val="20"/>
          <w:szCs w:val="20"/>
          <w:color w:val="auto"/>
        </w:rPr>
      </w:pPr>
      <w:r>
        <w:rPr>
          <w:rFonts w:ascii="Arial" w:cs="Arial" w:eastAsia="Arial" w:hAnsi="Arial"/>
          <w:sz w:val="21"/>
          <w:szCs w:val="21"/>
          <w:color w:val="auto"/>
        </w:rPr>
        <w:t>the policies and procedures then in effect and established by the Company for its executive officers, but in no event later than thirty (30) days submission of a reimbursement request in accordance with such policies or procedures.</w:t>
      </w:r>
    </w:p>
    <w:p>
      <w:pPr>
        <w:spacing w:after="0" w:line="150" w:lineRule="exact"/>
        <w:rPr>
          <w:sz w:val="20"/>
          <w:szCs w:val="20"/>
          <w:color w:val="auto"/>
        </w:rPr>
      </w:pPr>
    </w:p>
    <w:p>
      <w:pPr>
        <w:ind w:right="300" w:firstLine="1678"/>
        <w:spacing w:after="0" w:line="276" w:lineRule="auto"/>
        <w:tabs>
          <w:tab w:leader="none" w:pos="2793" w:val="left"/>
        </w:tabs>
        <w:numPr>
          <w:ilvl w:val="0"/>
          <w:numId w:val="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The Executive shall be eligible to participate in or receive benefits under the Company’s employee benefit plans in effect from time to time, subject to the terms of such plans.</w:t>
      </w:r>
    </w:p>
    <w:p>
      <w:pPr>
        <w:spacing w:after="0" w:line="174" w:lineRule="exact"/>
        <w:rPr>
          <w:rFonts w:ascii="Arial" w:cs="Arial" w:eastAsia="Arial" w:hAnsi="Arial"/>
          <w:sz w:val="22"/>
          <w:szCs w:val="22"/>
          <w:u w:val="single" w:color="auto"/>
          <w:color w:val="auto"/>
        </w:rPr>
      </w:pPr>
    </w:p>
    <w:p>
      <w:pPr>
        <w:ind w:right="440" w:firstLine="1678"/>
        <w:spacing w:after="0" w:line="276" w:lineRule="auto"/>
        <w:tabs>
          <w:tab w:leader="none" w:pos="2793" w:val="left"/>
        </w:tabs>
        <w:numPr>
          <w:ilvl w:val="0"/>
          <w:numId w:val="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The Executive shall be entitled to take paid time off in accordance with the Company’s applicable paid time off policy for executives, as may be in effect from time to time.</w:t>
      </w:r>
    </w:p>
    <w:p>
      <w:pPr>
        <w:spacing w:after="0" w:line="174" w:lineRule="exact"/>
        <w:rPr>
          <w:rFonts w:ascii="Arial" w:cs="Arial" w:eastAsia="Arial" w:hAnsi="Arial"/>
          <w:sz w:val="22"/>
          <w:szCs w:val="22"/>
          <w:u w:val="single" w:color="auto"/>
          <w:color w:val="auto"/>
        </w:rPr>
      </w:pPr>
    </w:p>
    <w:p>
      <w:pPr>
        <w:ind w:firstLine="1678"/>
        <w:spacing w:after="0" w:line="276" w:lineRule="auto"/>
        <w:tabs>
          <w:tab w:leader="none" w:pos="2793" w:val="left"/>
        </w:tabs>
        <w:numPr>
          <w:ilvl w:val="0"/>
          <w:numId w:val="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Ownership Guidelines</w:t>
      </w:r>
      <w:r>
        <w:rPr>
          <w:rFonts w:ascii="Arial" w:cs="Arial" w:eastAsia="Arial" w:hAnsi="Arial"/>
          <w:sz w:val="22"/>
          <w:szCs w:val="22"/>
          <w:color w:val="auto"/>
        </w:rPr>
        <w:t>. The Executive shall be subject to the Company’s Executive Stock Ownership Guidelines while providing services under this Agreement.</w:t>
      </w:r>
    </w:p>
    <w:p>
      <w:pPr>
        <w:spacing w:after="0" w:line="174" w:lineRule="exact"/>
        <w:rPr>
          <w:rFonts w:ascii="Arial" w:cs="Arial" w:eastAsia="Arial" w:hAnsi="Arial"/>
          <w:sz w:val="22"/>
          <w:szCs w:val="22"/>
          <w:u w:val="single" w:color="auto"/>
          <w:color w:val="auto"/>
        </w:rPr>
      </w:pPr>
    </w:p>
    <w:p>
      <w:pPr>
        <w:ind w:right="20" w:firstLine="1678"/>
        <w:spacing w:after="0" w:line="308" w:lineRule="auto"/>
        <w:tabs>
          <w:tab w:leader="none" w:pos="2793" w:val="left"/>
        </w:tabs>
        <w:numPr>
          <w:ilvl w:val="0"/>
          <w:numId w:val="1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Treatment of Equity Awards upon a Change in Control</w:t>
      </w:r>
      <w:r>
        <w:rPr>
          <w:rFonts w:ascii="Arial" w:cs="Arial" w:eastAsia="Arial" w:hAnsi="Arial"/>
          <w:sz w:val="19"/>
          <w:szCs w:val="19"/>
          <w:color w:val="auto"/>
        </w:rPr>
        <w:t>. The following provisions shall apply to any award granted under the Adagio Therapeutics, Inc. 2021 Equity Incentive Plan (the “</w:t>
      </w:r>
      <w:r>
        <w:rPr>
          <w:rFonts w:ascii="Arial" w:cs="Arial" w:eastAsia="Arial" w:hAnsi="Arial"/>
          <w:sz w:val="19"/>
          <w:szCs w:val="19"/>
          <w:b w:val="1"/>
          <w:bCs w:val="1"/>
          <w:i w:val="1"/>
          <w:iCs w:val="1"/>
          <w:u w:val="single" w:color="auto"/>
          <w:color w:val="auto"/>
        </w:rPr>
        <w:t>Plan</w:t>
      </w:r>
      <w:r>
        <w:rPr>
          <w:rFonts w:ascii="Arial" w:cs="Arial" w:eastAsia="Arial" w:hAnsi="Arial"/>
          <w:sz w:val="19"/>
          <w:szCs w:val="19"/>
          <w:color w:val="auto"/>
        </w:rPr>
        <w:t>”) or any other plan, agreement or arrangement based on the value of a share of the Company’s common stock on or after the Effective Date (collectively, the “</w:t>
      </w:r>
      <w:r>
        <w:rPr>
          <w:rFonts w:ascii="Arial" w:cs="Arial" w:eastAsia="Arial" w:hAnsi="Arial"/>
          <w:sz w:val="19"/>
          <w:szCs w:val="19"/>
          <w:b w:val="1"/>
          <w:bCs w:val="1"/>
          <w:i w:val="1"/>
          <w:iCs w:val="1"/>
          <w:u w:val="single" w:color="auto"/>
          <w:color w:val="auto"/>
        </w:rPr>
        <w:t>Equity Awards</w:t>
      </w:r>
      <w:r>
        <w:rPr>
          <w:rFonts w:ascii="Arial" w:cs="Arial" w:eastAsia="Arial" w:hAnsi="Arial"/>
          <w:sz w:val="19"/>
          <w:szCs w:val="19"/>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154" w:lineRule="exact"/>
        <w:rPr>
          <w:sz w:val="20"/>
          <w:szCs w:val="20"/>
          <w:color w:val="auto"/>
        </w:rPr>
      </w:pPr>
    </w:p>
    <w:p>
      <w:pPr>
        <w:jc w:val="both"/>
        <w:ind w:left="2260" w:right="100" w:firstLine="1322"/>
        <w:spacing w:after="0" w:line="311" w:lineRule="auto"/>
        <w:tabs>
          <w:tab w:leader="none" w:pos="5054"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9"/>
          <w:szCs w:val="19"/>
          <w:b w:val="1"/>
          <w:bCs w:val="1"/>
          <w:i w:val="1"/>
          <w:iCs w:val="1"/>
          <w:u w:val="single" w:color="auto"/>
          <w:color w:val="auto"/>
        </w:rPr>
        <w:t>Time-Based Equity Awards</w:t>
      </w:r>
      <w:r>
        <w:rPr>
          <w:rFonts w:ascii="Arial" w:cs="Arial" w:eastAsia="Arial" w:hAnsi="Arial"/>
          <w:sz w:val="19"/>
          <w:szCs w:val="19"/>
          <w:color w:val="auto"/>
        </w:rPr>
        <w:t>”) shall not immediately accelerate and become fully vested and exercisable or non-forfeitable on such a Change in Control, and</w:t>
      </w:r>
    </w:p>
    <w:p>
      <w:pPr>
        <w:spacing w:after="0" w:line="150" w:lineRule="exact"/>
        <w:rPr>
          <w:sz w:val="20"/>
          <w:szCs w:val="20"/>
          <w:color w:val="auto"/>
        </w:rPr>
      </w:pPr>
    </w:p>
    <w:p>
      <w:pPr>
        <w:ind w:left="3540"/>
        <w:spacing w:after="0"/>
        <w:tabs>
          <w:tab w:leader="none" w:pos="508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21"/>
          <w:szCs w:val="21"/>
          <w:color w:val="auto"/>
        </w:rPr>
        <w:t>all other Equity Awards, including but not limited to performance</w:t>
      </w:r>
    </w:p>
    <w:p>
      <w:pPr>
        <w:spacing w:after="0" w:line="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stock units vesting based on achieving pre-established performance goals (collectively, the</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Performance-Based Equity Awards</w:t>
      </w:r>
      <w:r>
        <w:rPr>
          <w:rFonts w:ascii="Arial" w:cs="Arial" w:eastAsia="Arial" w:hAnsi="Arial"/>
          <w:sz w:val="19"/>
          <w:szCs w:val="19"/>
          <w:color w:val="auto"/>
        </w:rPr>
        <w:t>”) shall be governed by the terms of the Plan and the applicable</w:t>
      </w:r>
    </w:p>
    <w:p>
      <w:pPr>
        <w:spacing w:after="0" w:line="5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award agreement.</w:t>
      </w:r>
    </w:p>
    <w:p>
      <w:pPr>
        <w:spacing w:after="0" w:line="229" w:lineRule="exact"/>
        <w:rPr>
          <w:sz w:val="20"/>
          <w:szCs w:val="20"/>
          <w:color w:val="auto"/>
        </w:rPr>
      </w:pPr>
    </w:p>
    <w:p>
      <w:pPr>
        <w:ind w:right="60" w:firstLine="800"/>
        <w:spacing w:after="0" w:line="276" w:lineRule="auto"/>
        <w:tabs>
          <w:tab w:leader="none" w:pos="1397" w:val="left"/>
        </w:tabs>
        <w:numPr>
          <w:ilvl w:val="0"/>
          <w:numId w:val="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Executive’s employment hereunder may be terminated without any breach of this Agreement under the following circumstances:</w:t>
      </w:r>
    </w:p>
    <w:p>
      <w:pPr>
        <w:spacing w:after="0" w:line="174" w:lineRule="exact"/>
        <w:rPr>
          <w:rFonts w:ascii="Arial" w:cs="Arial" w:eastAsia="Arial" w:hAnsi="Arial"/>
          <w:sz w:val="22"/>
          <w:szCs w:val="22"/>
          <w:u w:val="single" w:color="auto"/>
          <w:color w:val="auto"/>
        </w:rPr>
      </w:pPr>
    </w:p>
    <w:p>
      <w:pPr>
        <w:ind w:left="2800" w:hanging="1122"/>
        <w:spacing w:after="0"/>
        <w:tabs>
          <w:tab w:leader="none" w:pos="2800" w:val="left"/>
        </w:tabs>
        <w:numPr>
          <w:ilvl w:val="1"/>
          <w:numId w:val="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death.</w:t>
      </w:r>
    </w:p>
    <w:p>
      <w:pPr>
        <w:spacing w:after="0" w:line="233" w:lineRule="exact"/>
        <w:rPr>
          <w:rFonts w:ascii="Arial" w:cs="Arial" w:eastAsia="Arial" w:hAnsi="Arial"/>
          <w:sz w:val="22"/>
          <w:szCs w:val="22"/>
          <w:u w:val="single" w:color="auto"/>
          <w:color w:val="auto"/>
        </w:rPr>
      </w:pPr>
    </w:p>
    <w:p>
      <w:pPr>
        <w:ind w:right="40" w:firstLine="1678"/>
        <w:spacing w:after="0" w:line="276" w:lineRule="auto"/>
        <w:tabs>
          <w:tab w:leader="none" w:pos="2793" w:val="left"/>
        </w:tabs>
        <w:numPr>
          <w:ilvl w:val="1"/>
          <w:numId w:val="2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97" w:name="page98"/>
    <w:bookmarkEnd w:id="97"/>
    <w:p>
      <w:pPr>
        <w:ind w:right="100"/>
        <w:spacing w:after="0" w:line="272" w:lineRule="auto"/>
        <w:rPr>
          <w:sz w:val="20"/>
          <w:szCs w:val="20"/>
          <w:color w:val="auto"/>
        </w:rPr>
      </w:pPr>
      <w:r>
        <w:rPr>
          <w:rFonts w:ascii="Arial" w:cs="Arial" w:eastAsia="Arial" w:hAnsi="Arial"/>
          <w:sz w:val="21"/>
          <w:szCs w:val="21"/>
          <w:color w:val="auto"/>
        </w:rPr>
        <w:t xml:space="preserve">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the Americans with Disabilities Act, 42 U.S.C. §12101 </w:t>
      </w:r>
      <w:r>
        <w:rPr>
          <w:rFonts w:ascii="Arial" w:cs="Arial" w:eastAsia="Arial" w:hAnsi="Arial"/>
          <w:sz w:val="21"/>
          <w:szCs w:val="21"/>
          <w:i w:val="1"/>
          <w:iCs w:val="1"/>
          <w:color w:val="auto"/>
        </w:rPr>
        <w:t>et seq.</w:t>
      </w:r>
    </w:p>
    <w:p>
      <w:pPr>
        <w:spacing w:after="0" w:line="183" w:lineRule="exact"/>
        <w:rPr>
          <w:sz w:val="20"/>
          <w:szCs w:val="20"/>
          <w:color w:val="auto"/>
        </w:rPr>
      </w:pPr>
    </w:p>
    <w:p>
      <w:pPr>
        <w:ind w:right="940" w:firstLine="1678"/>
        <w:spacing w:after="0" w:line="358" w:lineRule="auto"/>
        <w:tabs>
          <w:tab w:leader="none" w:pos="2793" w:val="left"/>
        </w:tabs>
        <w:numPr>
          <w:ilvl w:val="0"/>
          <w:numId w:val="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by the Company for Cause</w:t>
      </w:r>
      <w:r>
        <w:rPr>
          <w:rFonts w:ascii="Arial" w:cs="Arial" w:eastAsia="Arial" w:hAnsi="Arial"/>
          <w:sz w:val="19"/>
          <w:szCs w:val="19"/>
          <w:color w:val="auto"/>
        </w:rPr>
        <w:t>. The Company may terminate the Executive’s employment hereunder for Cause. For purposes of this Agreement, “</w:t>
      </w:r>
      <w:r>
        <w:rPr>
          <w:rFonts w:ascii="Arial" w:cs="Arial" w:eastAsia="Arial" w:hAnsi="Arial"/>
          <w:sz w:val="19"/>
          <w:szCs w:val="19"/>
          <w:b w:val="1"/>
          <w:bCs w:val="1"/>
          <w:i w:val="1"/>
          <w:iCs w:val="1"/>
          <w:u w:val="single" w:color="auto"/>
          <w:color w:val="auto"/>
        </w:rPr>
        <w:t>Cause</w:t>
      </w:r>
      <w:r>
        <w:rPr>
          <w:rFonts w:ascii="Arial" w:cs="Arial" w:eastAsia="Arial" w:hAnsi="Arial"/>
          <w:sz w:val="19"/>
          <w:szCs w:val="19"/>
          <w:color w:val="auto"/>
        </w:rPr>
        <w:t>” shall mean any of the following:</w:t>
      </w:r>
    </w:p>
    <w:p>
      <w:pPr>
        <w:spacing w:after="0" w:line="104" w:lineRule="exact"/>
        <w:rPr>
          <w:rFonts w:ascii="Arial" w:cs="Arial" w:eastAsia="Arial" w:hAnsi="Arial"/>
          <w:sz w:val="19"/>
          <w:szCs w:val="19"/>
          <w:u w:val="single" w:color="auto"/>
          <w:color w:val="auto"/>
        </w:rPr>
      </w:pPr>
    </w:p>
    <w:p>
      <w:pPr>
        <w:ind w:left="2260" w:firstLine="556"/>
        <w:spacing w:after="0" w:line="262" w:lineRule="auto"/>
        <w:tabs>
          <w:tab w:leader="none" w:pos="3657"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191" w:lineRule="exact"/>
        <w:rPr>
          <w:rFonts w:ascii="Arial" w:cs="Arial" w:eastAsia="Arial" w:hAnsi="Arial"/>
          <w:sz w:val="22"/>
          <w:szCs w:val="22"/>
          <w:color w:val="auto"/>
        </w:rPr>
      </w:pPr>
    </w:p>
    <w:p>
      <w:pPr>
        <w:jc w:val="both"/>
        <w:ind w:left="2260" w:right="140" w:firstLine="501"/>
        <w:spacing w:after="0" w:line="262" w:lineRule="auto"/>
        <w:tabs>
          <w:tab w:leader="none" w:pos="3657"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191" w:lineRule="exact"/>
        <w:rPr>
          <w:rFonts w:ascii="Arial" w:cs="Arial" w:eastAsia="Arial" w:hAnsi="Arial"/>
          <w:sz w:val="22"/>
          <w:szCs w:val="22"/>
          <w:color w:val="auto"/>
        </w:rPr>
      </w:pPr>
    </w:p>
    <w:p>
      <w:pPr>
        <w:ind w:left="2260" w:right="80" w:firstLine="446"/>
        <w:spacing w:after="0" w:line="273" w:lineRule="auto"/>
        <w:tabs>
          <w:tab w:leader="none" w:pos="3657"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183" w:lineRule="exact"/>
        <w:rPr>
          <w:rFonts w:ascii="Arial" w:cs="Arial" w:eastAsia="Arial" w:hAnsi="Arial"/>
          <w:sz w:val="21"/>
          <w:szCs w:val="21"/>
          <w:color w:val="auto"/>
        </w:rPr>
      </w:pPr>
    </w:p>
    <w:p>
      <w:pPr>
        <w:ind w:left="2260" w:right="780" w:firstLine="457"/>
        <w:spacing w:after="0" w:line="358" w:lineRule="auto"/>
        <w:tabs>
          <w:tab w:leader="none" w:pos="3657" w:val="left"/>
        </w:tabs>
        <w:numPr>
          <w:ilvl w:val="1"/>
          <w:numId w:val="22"/>
        </w:numPr>
        <w:rPr>
          <w:rFonts w:ascii="Arial" w:cs="Arial" w:eastAsia="Arial" w:hAnsi="Arial"/>
          <w:sz w:val="19"/>
          <w:szCs w:val="19"/>
          <w:color w:val="auto"/>
        </w:rPr>
      </w:pPr>
      <w:r>
        <w:rPr>
          <w:rFonts w:ascii="Arial" w:cs="Arial" w:eastAsia="Arial" w:hAnsi="Arial"/>
          <w:sz w:val="19"/>
          <w:szCs w:val="19"/>
          <w:color w:val="auto"/>
        </w:rPr>
        <w:t>any act of fraud, embezzlement or material misappropriation committed by the Executive against the Company (other than good faith expense account disputes);</w:t>
      </w:r>
    </w:p>
    <w:p>
      <w:pPr>
        <w:spacing w:after="0" w:line="104" w:lineRule="exact"/>
        <w:rPr>
          <w:rFonts w:ascii="Arial" w:cs="Arial" w:eastAsia="Arial" w:hAnsi="Arial"/>
          <w:sz w:val="19"/>
          <w:szCs w:val="19"/>
          <w:color w:val="auto"/>
        </w:rPr>
      </w:pPr>
    </w:p>
    <w:p>
      <w:pPr>
        <w:ind w:left="2260" w:right="600" w:firstLine="512"/>
        <w:spacing w:after="0" w:line="266" w:lineRule="auto"/>
        <w:tabs>
          <w:tab w:leader="none" w:pos="3657" w:val="left"/>
        </w:tabs>
        <w:numPr>
          <w:ilvl w:val="1"/>
          <w:numId w:val="22"/>
        </w:numPr>
        <w:rPr>
          <w:rFonts w:ascii="Arial" w:cs="Arial" w:eastAsia="Arial" w:hAnsi="Arial"/>
          <w:sz w:val="22"/>
          <w:szCs w:val="22"/>
          <w:color w:val="auto"/>
        </w:rPr>
      </w:pPr>
      <w:r>
        <w:rPr>
          <w:rFonts w:ascii="Arial" w:cs="Arial" w:eastAsia="Arial" w:hAnsi="Arial"/>
          <w:sz w:val="22"/>
          <w:szCs w:val="22"/>
          <w:color w:val="auto"/>
        </w:rPr>
        <w:t>willful engaging by the Executive in any act that brings the Company into public disrepute or disgrace or causes material harm to the customer relations, operations or business prospects of the Company; or</w:t>
      </w:r>
    </w:p>
    <w:p>
      <w:pPr>
        <w:spacing w:after="0" w:line="15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ind w:left="2260" w:right="40" w:firstLine="457"/>
        <w:spacing w:after="0" w:line="276" w:lineRule="auto"/>
        <w:tabs>
          <w:tab w:leader="none" w:pos="3657"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22"/>
          <w:szCs w:val="22"/>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56" w:lineRule="exact"/>
        <w:rPr>
          <w:sz w:val="20"/>
          <w:szCs w:val="20"/>
          <w:color w:val="auto"/>
        </w:rPr>
      </w:pPr>
    </w:p>
    <w:p>
      <w:pPr>
        <w:ind w:right="100" w:firstLine="1678"/>
        <w:spacing w:after="0" w:line="317" w:lineRule="auto"/>
        <w:tabs>
          <w:tab w:leader="none" w:pos="2793" w:val="left"/>
        </w:tabs>
        <w:numPr>
          <w:ilvl w:val="0"/>
          <w:numId w:val="2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141" w:lineRule="exact"/>
        <w:rPr>
          <w:rFonts w:ascii="Arial" w:cs="Arial" w:eastAsia="Arial" w:hAnsi="Arial"/>
          <w:sz w:val="19"/>
          <w:szCs w:val="19"/>
          <w:u w:val="single" w:color="auto"/>
          <w:color w:val="auto"/>
        </w:rPr>
      </w:pPr>
    </w:p>
    <w:p>
      <w:pPr>
        <w:jc w:val="both"/>
        <w:ind w:firstLine="1678"/>
        <w:spacing w:after="0" w:line="279" w:lineRule="auto"/>
        <w:tabs>
          <w:tab w:leader="none" w:pos="2793" w:val="left"/>
        </w:tabs>
        <w:numPr>
          <w:ilvl w:val="0"/>
          <w:numId w:val="2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Termination by the Executive</w:t>
      </w:r>
      <w:r>
        <w:rPr>
          <w:rFonts w:ascii="Arial" w:cs="Arial" w:eastAsia="Arial" w:hAnsi="Arial"/>
          <w:sz w:val="21"/>
          <w:szCs w:val="21"/>
          <w:color w:val="auto"/>
        </w:rPr>
        <w:t>. The Executive may terminate employment hereunder at any time for any reason, including but not limited to, Good Reason. For purposes of this Agreement, “</w:t>
      </w:r>
      <w:r>
        <w:rPr>
          <w:rFonts w:ascii="Arial" w:cs="Arial" w:eastAsia="Arial" w:hAnsi="Arial"/>
          <w:sz w:val="21"/>
          <w:szCs w:val="21"/>
          <w:b w:val="1"/>
          <w:bCs w:val="1"/>
          <w:i w:val="1"/>
          <w:iCs w:val="1"/>
          <w:u w:val="single" w:color="auto"/>
          <w:color w:val="auto"/>
        </w:rPr>
        <w:t>Good Reason</w:t>
      </w:r>
      <w:r>
        <w:rPr>
          <w:rFonts w:ascii="Arial" w:cs="Arial" w:eastAsia="Arial" w:hAnsi="Arial"/>
          <w:sz w:val="21"/>
          <w:szCs w:val="21"/>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21"/>
          <w:szCs w:val="21"/>
          <w:b w:val="1"/>
          <w:bCs w:val="1"/>
          <w:i w:val="1"/>
          <w:iCs w:val="1"/>
          <w:u w:val="single" w:color="auto"/>
          <w:color w:val="auto"/>
        </w:rPr>
        <w:t>Good Reason Condition</w:t>
      </w:r>
      <w:r>
        <w:rPr>
          <w:rFonts w:ascii="Arial" w:cs="Arial" w:eastAsia="Arial" w:hAnsi="Arial"/>
          <w:sz w:val="21"/>
          <w:szCs w:val="21"/>
          <w:color w:val="auto"/>
        </w:rPr>
        <w:t>”):</w:t>
      </w:r>
    </w:p>
    <w:p>
      <w:pPr>
        <w:spacing w:after="0" w:line="173" w:lineRule="exact"/>
        <w:rPr>
          <w:rFonts w:ascii="Arial" w:cs="Arial" w:eastAsia="Arial" w:hAnsi="Arial"/>
          <w:sz w:val="21"/>
          <w:szCs w:val="21"/>
          <w:u w:val="single" w:color="auto"/>
          <w:color w:val="auto"/>
        </w:rPr>
      </w:pPr>
    </w:p>
    <w:p>
      <w:pPr>
        <w:ind w:left="2260" w:right="80" w:firstLine="556"/>
        <w:spacing w:after="0" w:line="266" w:lineRule="auto"/>
        <w:tabs>
          <w:tab w:leader="none" w:pos="3657"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material diminution in the Executive’s title, responsibilities, authority or duties; or a material reduction in the authority, duties, or responsibilities of the CEO to whom the Executive is required to report;</w:t>
      </w:r>
    </w:p>
    <w:p>
      <w:pPr>
        <w:spacing w:after="0" w:line="184" w:lineRule="exact"/>
        <w:rPr>
          <w:rFonts w:ascii="Arial" w:cs="Arial" w:eastAsia="Arial" w:hAnsi="Arial"/>
          <w:sz w:val="22"/>
          <w:szCs w:val="22"/>
          <w:color w:val="auto"/>
        </w:rPr>
      </w:pPr>
    </w:p>
    <w:p>
      <w:pPr>
        <w:ind w:left="2260" w:right="300" w:firstLine="501"/>
        <w:spacing w:after="0" w:line="276" w:lineRule="auto"/>
        <w:tabs>
          <w:tab w:leader="none" w:pos="3657"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Change in Control following which either: (A) there is a material reduction in the budget over which the Executive retains authority or (B) the</w:t>
      </w:r>
    </w:p>
    <w:p>
      <w:pPr>
        <w:spacing w:after="0" w:line="14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99" w:name="page100"/>
    <w:bookmarkEnd w:id="99"/>
    <w:p>
      <w:pPr>
        <w:ind w:left="2260"/>
        <w:spacing w:after="0" w:line="364" w:lineRule="auto"/>
        <w:rPr>
          <w:sz w:val="20"/>
          <w:szCs w:val="20"/>
          <w:color w:val="auto"/>
        </w:rPr>
      </w:pPr>
      <w:r>
        <w:rPr>
          <w:rFonts w:ascii="Arial" w:cs="Arial" w:eastAsia="Arial" w:hAnsi="Arial"/>
          <w:sz w:val="19"/>
          <w:szCs w:val="19"/>
          <w:color w:val="auto"/>
        </w:rPr>
        <w:t xml:space="preserve">Executive is not </w:t>
      </w:r>
      <w:r>
        <w:rPr>
          <w:rFonts w:ascii="Arial" w:cs="Arial" w:eastAsia="Arial" w:hAnsi="Arial"/>
          <w:sz w:val="19"/>
          <w:szCs w:val="19"/>
          <w:b w:val="1"/>
          <w:bCs w:val="1"/>
          <w:color w:val="auto"/>
        </w:rPr>
        <w:t>[title]</w:t>
      </w:r>
      <w:r>
        <w:rPr>
          <w:rFonts w:ascii="Arial" w:cs="Arial" w:eastAsia="Arial" w:hAnsi="Arial"/>
          <w:sz w:val="19"/>
          <w:szCs w:val="19"/>
          <w:color w:val="auto"/>
        </w:rPr>
        <w:t xml:space="preserve"> of the Company or, if the Company becomes a subsidiary of one or more entities following the Change in Control, the post-consummation ultimate parent entity of the Company; or</w:t>
      </w:r>
    </w:p>
    <w:p>
      <w:pPr>
        <w:spacing w:after="0" w:line="99" w:lineRule="exact"/>
        <w:rPr>
          <w:sz w:val="20"/>
          <w:szCs w:val="20"/>
          <w:color w:val="auto"/>
        </w:rPr>
      </w:pPr>
    </w:p>
    <w:p>
      <w:pPr>
        <w:ind w:left="2260" w:right="20" w:firstLine="446"/>
        <w:spacing w:after="0" w:line="306" w:lineRule="auto"/>
        <w:tabs>
          <w:tab w:leader="none" w:pos="3711" w:val="left"/>
        </w:tabs>
        <w:numPr>
          <w:ilvl w:val="1"/>
          <w:numId w:val="25"/>
        </w:numPr>
        <w:rPr>
          <w:rFonts w:ascii="Arial" w:cs="Arial" w:eastAsia="Arial" w:hAnsi="Arial"/>
          <w:sz w:val="19"/>
          <w:szCs w:val="19"/>
          <w:color w:val="auto"/>
        </w:rPr>
      </w:pPr>
      <w:r>
        <w:rPr>
          <w:rFonts w:ascii="Arial" w:cs="Arial" w:eastAsia="Arial" w:hAnsi="Arial"/>
          <w:sz w:val="19"/>
          <w:szCs w:val="19"/>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56" w:lineRule="exact"/>
        <w:rPr>
          <w:rFonts w:ascii="Arial" w:cs="Arial" w:eastAsia="Arial" w:hAnsi="Arial"/>
          <w:sz w:val="19"/>
          <w:szCs w:val="19"/>
          <w:color w:val="auto"/>
        </w:rPr>
      </w:pPr>
    </w:p>
    <w:p>
      <w:pPr>
        <w:ind w:left="2800" w:hanging="1122"/>
        <w:spacing w:after="0"/>
        <w:tabs>
          <w:tab w:leader="none" w:pos="2800" w:val="left"/>
        </w:tabs>
        <w:numPr>
          <w:ilvl w:val="0"/>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Good Reason Process</w:t>
      </w:r>
      <w:r>
        <w:rPr>
          <w:rFonts w:ascii="Arial" w:cs="Arial" w:eastAsia="Arial" w:hAnsi="Arial"/>
          <w:sz w:val="22"/>
          <w:szCs w:val="22"/>
          <w:color w:val="auto"/>
        </w:rPr>
        <w:t>. The “</w:t>
      </w:r>
      <w:r>
        <w:rPr>
          <w:rFonts w:ascii="Arial" w:cs="Arial" w:eastAsia="Arial" w:hAnsi="Arial"/>
          <w:sz w:val="22"/>
          <w:szCs w:val="22"/>
          <w:b w:val="1"/>
          <w:bCs w:val="1"/>
          <w:i w:val="1"/>
          <w:iCs w:val="1"/>
          <w:u w:val="single" w:color="auto"/>
          <w:color w:val="auto"/>
        </w:rPr>
        <w:t>Good Reason Process</w:t>
      </w:r>
      <w:r>
        <w:rPr>
          <w:rFonts w:ascii="Arial" w:cs="Arial" w:eastAsia="Arial" w:hAnsi="Arial"/>
          <w:sz w:val="22"/>
          <w:szCs w:val="22"/>
          <w:color w:val="auto"/>
        </w:rPr>
        <w:t>” consists of the following steps:</w:t>
      </w:r>
    </w:p>
    <w:p>
      <w:pPr>
        <w:spacing w:after="0" w:line="233" w:lineRule="exact"/>
        <w:rPr>
          <w:rFonts w:ascii="Arial" w:cs="Arial" w:eastAsia="Arial" w:hAnsi="Arial"/>
          <w:sz w:val="22"/>
          <w:szCs w:val="22"/>
          <w:u w:val="single" w:color="auto"/>
          <w:color w:val="auto"/>
        </w:rPr>
      </w:pPr>
    </w:p>
    <w:p>
      <w:pPr>
        <w:ind w:left="3660" w:hanging="844"/>
        <w:spacing w:after="0"/>
        <w:tabs>
          <w:tab w:leader="none" w:pos="36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Executive reasonably determines in good faith that a Good Reason Condition has</w:t>
      </w:r>
    </w:p>
    <w:p>
      <w:pPr>
        <w:spacing w:after="0" w:line="55" w:lineRule="exact"/>
        <w:rPr>
          <w:rFonts w:ascii="Arial" w:cs="Arial" w:eastAsia="Arial" w:hAnsi="Arial"/>
          <w:sz w:val="19"/>
          <w:szCs w:val="19"/>
          <w:color w:val="auto"/>
        </w:rPr>
      </w:pPr>
    </w:p>
    <w:p>
      <w:pPr>
        <w:ind w:left="2260"/>
        <w:spacing w:after="0"/>
        <w:rPr>
          <w:rFonts w:ascii="Arial" w:cs="Arial" w:eastAsia="Arial" w:hAnsi="Arial"/>
          <w:sz w:val="19"/>
          <w:szCs w:val="19"/>
          <w:color w:val="auto"/>
        </w:rPr>
      </w:pPr>
      <w:r>
        <w:rPr>
          <w:rFonts w:ascii="Arial" w:cs="Arial" w:eastAsia="Arial" w:hAnsi="Arial"/>
          <w:sz w:val="22"/>
          <w:szCs w:val="22"/>
          <w:color w:val="auto"/>
        </w:rPr>
        <w:t>occurred;</w:t>
      </w:r>
    </w:p>
    <w:p>
      <w:pPr>
        <w:spacing w:after="0" w:line="228" w:lineRule="exact"/>
        <w:rPr>
          <w:rFonts w:ascii="Arial" w:cs="Arial" w:eastAsia="Arial" w:hAnsi="Arial"/>
          <w:sz w:val="19"/>
          <w:szCs w:val="19"/>
          <w:color w:val="auto"/>
        </w:rPr>
      </w:pPr>
    </w:p>
    <w:p>
      <w:pPr>
        <w:ind w:left="2260" w:right="500" w:firstLine="501"/>
        <w:spacing w:after="0" w:line="301" w:lineRule="auto"/>
        <w:tabs>
          <w:tab w:leader="none" w:pos="3711"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Executive notifies the Company in writing of the first occurrence of the Good Reason Condition within sixty (60) days of the first occurrence of such condition;</w:t>
      </w:r>
    </w:p>
    <w:p>
      <w:pPr>
        <w:spacing w:after="0" w:line="150" w:lineRule="exact"/>
        <w:rPr>
          <w:rFonts w:ascii="Arial" w:cs="Arial" w:eastAsia="Arial" w:hAnsi="Arial"/>
          <w:sz w:val="21"/>
          <w:szCs w:val="21"/>
          <w:color w:val="auto"/>
        </w:rPr>
      </w:pPr>
    </w:p>
    <w:p>
      <w:pPr>
        <w:ind w:left="2260" w:right="180" w:firstLine="446"/>
        <w:spacing w:after="0" w:line="266" w:lineRule="auto"/>
        <w:tabs>
          <w:tab w:leader="none" w:pos="3657"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Executive cooperates in good faith with the Company’s efforts, for a period of not less than thirty (30) days following such notice (the “</w:t>
      </w:r>
      <w:r>
        <w:rPr>
          <w:rFonts w:ascii="Arial" w:cs="Arial" w:eastAsia="Arial" w:hAnsi="Arial"/>
          <w:sz w:val="22"/>
          <w:szCs w:val="22"/>
          <w:b w:val="1"/>
          <w:bCs w:val="1"/>
          <w:i w:val="1"/>
          <w:iCs w:val="1"/>
          <w:u w:val="single" w:color="auto"/>
          <w:color w:val="auto"/>
        </w:rPr>
        <w:t>Cure Period</w:t>
      </w:r>
      <w:r>
        <w:rPr>
          <w:rFonts w:ascii="Arial" w:cs="Arial" w:eastAsia="Arial" w:hAnsi="Arial"/>
          <w:sz w:val="22"/>
          <w:szCs w:val="22"/>
          <w:color w:val="auto"/>
        </w:rPr>
        <w:t>”), to remedy the Good Reason Condition;</w:t>
      </w:r>
    </w:p>
    <w:p>
      <w:pPr>
        <w:spacing w:after="0" w:line="184" w:lineRule="exact"/>
        <w:rPr>
          <w:rFonts w:ascii="Arial" w:cs="Arial" w:eastAsia="Arial" w:hAnsi="Arial"/>
          <w:sz w:val="22"/>
          <w:szCs w:val="22"/>
          <w:color w:val="auto"/>
        </w:rPr>
      </w:pPr>
    </w:p>
    <w:p>
      <w:pPr>
        <w:ind w:left="2260" w:right="160" w:firstLine="457"/>
        <w:spacing w:after="0" w:line="276" w:lineRule="auto"/>
        <w:tabs>
          <w:tab w:leader="none" w:pos="3657" w:val="left"/>
        </w:tabs>
        <w:numPr>
          <w:ilvl w:val="1"/>
          <w:numId w:val="26"/>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at the end of the Cure Period; and</w:t>
      </w:r>
    </w:p>
    <w:p>
      <w:pPr>
        <w:spacing w:after="0" w:line="174" w:lineRule="exact"/>
        <w:rPr>
          <w:rFonts w:ascii="Arial" w:cs="Arial" w:eastAsia="Arial" w:hAnsi="Arial"/>
          <w:sz w:val="22"/>
          <w:szCs w:val="22"/>
          <w:color w:val="auto"/>
        </w:rPr>
      </w:pPr>
    </w:p>
    <w:p>
      <w:pPr>
        <w:ind w:left="3660" w:hanging="888"/>
        <w:spacing w:after="0"/>
        <w:tabs>
          <w:tab w:leader="none" w:pos="36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Executive terminates employment within sixty (60) days after the end of the Cure</w:t>
      </w:r>
    </w:p>
    <w:p>
      <w:pPr>
        <w:spacing w:after="0" w:line="55" w:lineRule="exact"/>
        <w:rPr>
          <w:rFonts w:ascii="Arial" w:cs="Arial" w:eastAsia="Arial" w:hAnsi="Arial"/>
          <w:sz w:val="19"/>
          <w:szCs w:val="19"/>
          <w:color w:val="auto"/>
        </w:rPr>
      </w:pPr>
    </w:p>
    <w:p>
      <w:pPr>
        <w:ind w:left="2260"/>
        <w:spacing w:after="0"/>
        <w:rPr>
          <w:rFonts w:ascii="Arial" w:cs="Arial" w:eastAsia="Arial" w:hAnsi="Arial"/>
          <w:sz w:val="19"/>
          <w:szCs w:val="19"/>
          <w:color w:val="auto"/>
        </w:rPr>
      </w:pPr>
      <w:r>
        <w:rPr>
          <w:rFonts w:ascii="Arial" w:cs="Arial" w:eastAsia="Arial" w:hAnsi="Arial"/>
          <w:sz w:val="22"/>
          <w:szCs w:val="22"/>
          <w:color w:val="auto"/>
        </w:rPr>
        <w:t>Period.</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If the Company cures the Good Reason Condition during the Cure Period, Good Reason shall be deemed not to have occurred.</w:t>
      </w:r>
    </w:p>
    <w:p>
      <w:pPr>
        <w:spacing w:after="0" w:line="268" w:lineRule="exact"/>
        <w:rPr>
          <w:sz w:val="20"/>
          <w:szCs w:val="20"/>
          <w:color w:val="auto"/>
        </w:rPr>
      </w:pPr>
    </w:p>
    <w:p>
      <w:pPr>
        <w:ind w:left="1400" w:hanging="600"/>
        <w:spacing w:after="0"/>
        <w:tabs>
          <w:tab w:leader="none" w:pos="1400" w:val="left"/>
        </w:tabs>
        <w:numPr>
          <w:ilvl w:val="0"/>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Matters Related to Termination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right="80" w:firstLine="1678"/>
        <w:spacing w:after="0" w:line="279" w:lineRule="auto"/>
        <w:tabs>
          <w:tab w:leader="none" w:pos="2793" w:val="left"/>
        </w:tabs>
        <w:numPr>
          <w:ilvl w:val="1"/>
          <w:numId w:val="2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21"/>
          <w:szCs w:val="21"/>
          <w:b w:val="1"/>
          <w:bCs w:val="1"/>
          <w:i w:val="1"/>
          <w:iCs w:val="1"/>
          <w:u w:val="single" w:color="auto"/>
          <w:color w:val="auto"/>
        </w:rPr>
        <w:t>Notice of Termination</w:t>
      </w:r>
      <w:r>
        <w:rPr>
          <w:rFonts w:ascii="Arial" w:cs="Arial" w:eastAsia="Arial" w:hAnsi="Arial"/>
          <w:sz w:val="21"/>
          <w:szCs w:val="21"/>
          <w:color w:val="auto"/>
        </w:rPr>
        <w:t>” shall mean a notice which shall indicate the specific termination provision in this Agreement relied upon.</w:t>
      </w:r>
    </w:p>
    <w:p>
      <w:pPr>
        <w:spacing w:after="0" w:line="173" w:lineRule="exact"/>
        <w:rPr>
          <w:rFonts w:ascii="Arial" w:cs="Arial" w:eastAsia="Arial" w:hAnsi="Arial"/>
          <w:sz w:val="21"/>
          <w:szCs w:val="21"/>
          <w:u w:val="single" w:color="auto"/>
          <w:color w:val="auto"/>
        </w:rPr>
      </w:pPr>
    </w:p>
    <w:p>
      <w:pPr>
        <w:ind w:right="280" w:firstLine="1678"/>
        <w:spacing w:after="0" w:line="266" w:lineRule="auto"/>
        <w:tabs>
          <w:tab w:leader="none" w:pos="2793" w:val="left"/>
        </w:tabs>
        <w:numPr>
          <w:ilvl w:val="1"/>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w:t>
      </w:r>
      <w:r>
        <w:rPr>
          <w:rFonts w:ascii="Arial" w:cs="Arial" w:eastAsia="Arial" w:hAnsi="Arial"/>
          <w:sz w:val="22"/>
          <w:szCs w:val="22"/>
          <w:b w:val="1"/>
          <w:bCs w:val="1"/>
          <w:i w:val="1"/>
          <w:iCs w:val="1"/>
          <w:u w:val="single" w:color="auto"/>
          <w:color w:val="auto"/>
        </w:rPr>
        <w:t>Date of Termination</w:t>
      </w:r>
      <w:r>
        <w:rPr>
          <w:rFonts w:ascii="Arial" w:cs="Arial" w:eastAsia="Arial" w:hAnsi="Arial"/>
          <w:sz w:val="22"/>
          <w:szCs w:val="22"/>
          <w:color w:val="auto"/>
        </w:rPr>
        <w:t>” shall mean: (i) if the Executive’s employment is terminated by death, the date of death; (ii) if the Executive’s employment is terminated on account of disability under Section 3(b) or by the Company for</w:t>
      </w:r>
    </w:p>
    <w:p>
      <w:pPr>
        <w:spacing w:after="0" w:line="15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ind w:right="120"/>
        <w:spacing w:after="0" w:line="305" w:lineRule="auto"/>
        <w:rPr>
          <w:sz w:val="20"/>
          <w:szCs w:val="20"/>
          <w:color w:val="auto"/>
        </w:rPr>
      </w:pPr>
      <w:r>
        <w:rPr>
          <w:rFonts w:ascii="Arial" w:cs="Arial" w:eastAsia="Arial" w:hAnsi="Arial"/>
          <w:sz w:val="19"/>
          <w:szCs w:val="19"/>
          <w:color w:val="auto"/>
        </w:rPr>
        <w:t>Cause under Section 3(c), the date on which Notice of Termination is given; (iii) if the Executive’s employment is terminated by the Company without Cause under Section 3(d), thirty (30) days after the date on which a Notice of Termination is given or a later date otherwise specified by the Company in the Notice of Termination; (iv) if the Executive’s employment is terminated by the Executive under Section 3(e) other than for Good Reason, thirty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5" w:lineRule="exact"/>
        <w:rPr>
          <w:sz w:val="20"/>
          <w:szCs w:val="20"/>
          <w:color w:val="auto"/>
        </w:rPr>
      </w:pPr>
    </w:p>
    <w:p>
      <w:pPr>
        <w:ind w:right="40" w:firstLine="1678"/>
        <w:spacing w:after="0" w:line="303" w:lineRule="auto"/>
        <w:tabs>
          <w:tab w:leader="none" w:pos="2793" w:val="left"/>
        </w:tabs>
        <w:numPr>
          <w:ilvl w:val="1"/>
          <w:numId w:val="2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9"/>
          <w:szCs w:val="19"/>
          <w:b w:val="1"/>
          <w:bCs w:val="1"/>
          <w:i w:val="1"/>
          <w:iCs w:val="1"/>
          <w:u w:val="single" w:color="auto"/>
          <w:color w:val="auto"/>
        </w:rPr>
        <w:t>Accrued Obligations</w:t>
      </w:r>
      <w:r>
        <w:rPr>
          <w:rFonts w:ascii="Arial" w:cs="Arial" w:eastAsia="Arial" w:hAnsi="Arial"/>
          <w:sz w:val="19"/>
          <w:szCs w:val="19"/>
          <w:color w:val="auto"/>
        </w:rPr>
        <w:t>.”</w:t>
      </w:r>
    </w:p>
    <w:p>
      <w:pPr>
        <w:spacing w:after="0" w:line="157" w:lineRule="exact"/>
        <w:rPr>
          <w:rFonts w:ascii="Arial" w:cs="Arial" w:eastAsia="Arial" w:hAnsi="Arial"/>
          <w:sz w:val="19"/>
          <w:szCs w:val="19"/>
          <w:u w:val="single" w:color="auto"/>
          <w:color w:val="auto"/>
        </w:rPr>
      </w:pPr>
    </w:p>
    <w:p>
      <w:pPr>
        <w:ind w:right="180" w:firstLine="1678"/>
        <w:spacing w:after="0" w:line="317" w:lineRule="auto"/>
        <w:tabs>
          <w:tab w:leader="none" w:pos="2793" w:val="left"/>
        </w:tabs>
        <w:numPr>
          <w:ilvl w:val="1"/>
          <w:numId w:val="2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Resignation of All Other Positions</w:t>
      </w:r>
      <w:r>
        <w:rPr>
          <w:rFonts w:ascii="Arial" w:cs="Arial" w:eastAsia="Arial" w:hAnsi="Arial"/>
          <w:sz w:val="19"/>
          <w:szCs w:val="19"/>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41" w:lineRule="exact"/>
        <w:rPr>
          <w:rFonts w:ascii="Arial" w:cs="Arial" w:eastAsia="Arial" w:hAnsi="Arial"/>
          <w:sz w:val="19"/>
          <w:szCs w:val="19"/>
          <w:u w:val="single" w:color="auto"/>
          <w:color w:val="auto"/>
        </w:rPr>
      </w:pPr>
    </w:p>
    <w:p>
      <w:pPr>
        <w:ind w:firstLine="800"/>
        <w:spacing w:after="0" w:line="306" w:lineRule="auto"/>
        <w:tabs>
          <w:tab w:leader="none" w:pos="1397"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Severance Pay and Benefits Upon Termination by the Company without Cause or by the Executive for Good Reason</w:t>
      </w:r>
      <w:r>
        <w:rPr>
          <w:rFonts w:ascii="Arial" w:cs="Arial" w:eastAsia="Arial" w:hAnsi="Arial"/>
          <w:sz w:val="19"/>
          <w:szCs w:val="19"/>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(the “</w:t>
      </w:r>
      <w:r>
        <w:rPr>
          <w:rFonts w:ascii="Arial" w:cs="Arial" w:eastAsia="Arial" w:hAnsi="Arial"/>
          <w:sz w:val="19"/>
          <w:szCs w:val="19"/>
          <w:b w:val="1"/>
          <w:bCs w:val="1"/>
          <w:i w:val="1"/>
          <w:iCs w:val="1"/>
          <w:u w:val="single" w:color="auto"/>
          <w:color w:val="auto"/>
        </w:rPr>
        <w:t>Separation Agreement</w:t>
      </w:r>
      <w:r>
        <w:rPr>
          <w:rFonts w:ascii="Arial" w:cs="Arial" w:eastAsia="Arial" w:hAnsi="Arial"/>
          <w:sz w:val="19"/>
          <w:szCs w:val="19"/>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56" w:lineRule="exact"/>
        <w:rPr>
          <w:rFonts w:ascii="Arial" w:cs="Arial" w:eastAsia="Arial" w:hAnsi="Arial"/>
          <w:sz w:val="19"/>
          <w:szCs w:val="19"/>
          <w:u w:val="single" w:color="auto"/>
          <w:color w:val="auto"/>
        </w:rPr>
      </w:pPr>
    </w:p>
    <w:p>
      <w:pPr>
        <w:jc w:val="both"/>
        <w:ind w:right="100" w:firstLine="1678"/>
        <w:spacing w:after="0" w:line="262" w:lineRule="auto"/>
        <w:tabs>
          <w:tab w:leader="none" w:pos="2793" w:val="left"/>
        </w:tabs>
        <w:numPr>
          <w:ilvl w:val="1"/>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Cash Severance</w:t>
      </w:r>
      <w:r>
        <w:rPr>
          <w:rFonts w:ascii="Arial" w:cs="Arial" w:eastAsia="Arial" w:hAnsi="Arial"/>
          <w:sz w:val="22"/>
          <w:szCs w:val="22"/>
          <w:color w:val="auto"/>
        </w:rPr>
        <w:t>. The Company shall pay the Executive an amount equal to nine (9) months’ of the Executive’s Base Salary (the “</w:t>
      </w:r>
      <w:r>
        <w:rPr>
          <w:rFonts w:ascii="Arial" w:cs="Arial" w:eastAsia="Arial" w:hAnsi="Arial"/>
          <w:sz w:val="22"/>
          <w:szCs w:val="22"/>
          <w:b w:val="1"/>
          <w:bCs w:val="1"/>
          <w:i w:val="1"/>
          <w:iCs w:val="1"/>
          <w:u w:val="single" w:color="auto"/>
          <w:color w:val="auto"/>
        </w:rPr>
        <w:t>Severance Amount</w:t>
      </w:r>
      <w:r>
        <w:rPr>
          <w:rFonts w:ascii="Arial" w:cs="Arial" w:eastAsia="Arial" w:hAnsi="Arial"/>
          <w:sz w:val="22"/>
          <w:szCs w:val="22"/>
          <w:color w:val="auto"/>
        </w:rPr>
        <w:t>”) and, in the event that the Executive’s employment is terminated after the end of the calendar year but prior to the payment of any Annual Bonus for the immediately preceding calendar year, the Executive shall</w:t>
      </w:r>
    </w:p>
    <w:p>
      <w:pPr>
        <w:spacing w:after="0" w:line="16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1" w:name="page102"/>
    <w:bookmarkEnd w:id="101"/>
    <w:p>
      <w:pPr>
        <w:ind w:right="80"/>
        <w:spacing w:after="0" w:line="266" w:lineRule="auto"/>
        <w:rPr>
          <w:sz w:val="20"/>
          <w:szCs w:val="20"/>
          <w:color w:val="auto"/>
        </w:rPr>
      </w:pPr>
      <w:r>
        <w:rPr>
          <w:rFonts w:ascii="Arial" w:cs="Arial" w:eastAsia="Arial" w:hAnsi="Arial"/>
          <w:sz w:val="22"/>
          <w:szCs w:val="22"/>
          <w:color w:val="auto"/>
        </w:rPr>
        <w:t>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22"/>
          <w:szCs w:val="22"/>
          <w:b w:val="1"/>
          <w:bCs w:val="1"/>
          <w:i w:val="1"/>
          <w:iCs w:val="1"/>
          <w:u w:val="single" w:color="auto"/>
          <w:color w:val="auto"/>
        </w:rPr>
        <w:t>Earned Bonus</w:t>
      </w:r>
      <w:r>
        <w:rPr>
          <w:rFonts w:ascii="Arial" w:cs="Arial" w:eastAsia="Arial" w:hAnsi="Arial"/>
          <w:sz w:val="22"/>
          <w:szCs w:val="22"/>
          <w:color w:val="auto"/>
        </w:rPr>
        <w:t>”).</w:t>
      </w:r>
    </w:p>
    <w:p>
      <w:pPr>
        <w:spacing w:after="0" w:line="185" w:lineRule="exact"/>
        <w:rPr>
          <w:sz w:val="20"/>
          <w:szCs w:val="20"/>
          <w:color w:val="auto"/>
        </w:rPr>
      </w:pPr>
    </w:p>
    <w:p>
      <w:pPr>
        <w:ind w:right="20" w:firstLine="1678"/>
        <w:spacing w:after="0" w:line="302" w:lineRule="auto"/>
        <w:tabs>
          <w:tab w:leader="none" w:pos="2793" w:val="left"/>
        </w:tabs>
        <w:numPr>
          <w:ilvl w:val="0"/>
          <w:numId w:val="3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COBRA Premiums</w:t>
      </w:r>
      <w:r>
        <w:rPr>
          <w:rFonts w:ascii="Arial" w:cs="Arial" w:eastAsia="Arial" w:hAnsi="Arial"/>
          <w:sz w:val="19"/>
          <w:szCs w:val="19"/>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9"/>
          <w:szCs w:val="19"/>
          <w:b w:val="1"/>
          <w:bCs w:val="1"/>
          <w:i w:val="1"/>
          <w:iCs w:val="1"/>
          <w:u w:val="single" w:color="auto"/>
          <w:color w:val="auto"/>
        </w:rPr>
        <w:t>COBRA</w:t>
      </w:r>
      <w:r>
        <w:rPr>
          <w:rFonts w:ascii="Arial" w:cs="Arial" w:eastAsia="Arial" w:hAnsi="Arial"/>
          <w:sz w:val="19"/>
          <w:szCs w:val="19"/>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0" w:lineRule="exact"/>
        <w:rPr>
          <w:rFonts w:ascii="Arial" w:cs="Arial" w:eastAsia="Arial" w:hAnsi="Arial"/>
          <w:sz w:val="19"/>
          <w:szCs w:val="19"/>
          <w:u w:val="single" w:color="auto"/>
          <w:color w:val="auto"/>
        </w:rPr>
      </w:pPr>
    </w:p>
    <w:p>
      <w:pPr>
        <w:spacing w:after="0" w:line="231" w:lineRule="exact"/>
        <w:rPr>
          <w:rFonts w:ascii="Arial" w:cs="Arial" w:eastAsia="Arial" w:hAnsi="Arial"/>
          <w:sz w:val="19"/>
          <w:szCs w:val="19"/>
          <w:u w:val="single" w:color="auto"/>
          <w:color w:val="auto"/>
        </w:rPr>
      </w:pPr>
    </w:p>
    <w:p>
      <w:pPr>
        <w:ind w:right="20" w:firstLine="1678"/>
        <w:spacing w:after="0" w:line="301" w:lineRule="auto"/>
        <w:tabs>
          <w:tab w:leader="none" w:pos="2793" w:val="left"/>
        </w:tabs>
        <w:numPr>
          <w:ilvl w:val="0"/>
          <w:numId w:val="3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Delayed Forfeiture of Time-Based Equity Awards</w:t>
      </w:r>
      <w:r>
        <w:rPr>
          <w:rFonts w:ascii="Arial" w:cs="Arial" w:eastAsia="Arial" w:hAnsi="Arial"/>
          <w:sz w:val="19"/>
          <w:szCs w:val="19"/>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9"/>
          <w:szCs w:val="19"/>
          <w:b w:val="1"/>
          <w:bCs w:val="1"/>
          <w:i w:val="1"/>
          <w:iCs w:val="1"/>
          <w:u w:val="single" w:color="auto"/>
          <w:color w:val="auto"/>
        </w:rPr>
        <w:t>Pre-CIC Protection Period</w:t>
      </w:r>
      <w:r>
        <w:rPr>
          <w:rFonts w:ascii="Arial" w:cs="Arial" w:eastAsia="Arial" w:hAnsi="Arial"/>
          <w:sz w:val="19"/>
          <w:szCs w:val="19"/>
          <w:color w:val="auto"/>
        </w:rPr>
        <w:t>”). If the Company has not, prior to the end of the Pre-CIC Protection Period, entered into a definitive agreement that, if closed, would result in a Change in Control (a “</w:t>
      </w:r>
      <w:r>
        <w:rPr>
          <w:rFonts w:ascii="Arial" w:cs="Arial" w:eastAsia="Arial" w:hAnsi="Arial"/>
          <w:sz w:val="19"/>
          <w:szCs w:val="19"/>
          <w:b w:val="1"/>
          <w:bCs w:val="1"/>
          <w:i w:val="1"/>
          <w:iCs w:val="1"/>
          <w:u w:val="single" w:color="auto"/>
          <w:color w:val="auto"/>
        </w:rPr>
        <w:t>P&amp;S Agreement</w:t>
      </w:r>
      <w:r>
        <w:rPr>
          <w:rFonts w:ascii="Arial" w:cs="Arial" w:eastAsia="Arial" w:hAnsi="Arial"/>
          <w:sz w:val="19"/>
          <w:szCs w:val="19"/>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63" w:lineRule="exact"/>
        <w:rPr>
          <w:rFonts w:ascii="Arial" w:cs="Arial" w:eastAsia="Arial" w:hAnsi="Arial"/>
          <w:sz w:val="19"/>
          <w:szCs w:val="19"/>
          <w:u w:val="single" w:color="auto"/>
          <w:color w:val="auto"/>
        </w:rPr>
      </w:pPr>
    </w:p>
    <w:p>
      <w:pPr>
        <w:ind w:firstLine="1678"/>
        <w:spacing w:after="0" w:line="276" w:lineRule="auto"/>
        <w:tabs>
          <w:tab w:leader="none" w:pos="2793" w:val="left"/>
        </w:tabs>
        <w:numPr>
          <w:ilvl w:val="0"/>
          <w:numId w:val="3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Severance Payment Timing</w:t>
      </w:r>
      <w:r>
        <w:rPr>
          <w:rFonts w:ascii="Arial" w:cs="Arial" w:eastAsia="Arial" w:hAnsi="Arial"/>
          <w:sz w:val="21"/>
          <w:szCs w:val="21"/>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ind w:right="20"/>
        <w:spacing w:after="0" w:line="279" w:lineRule="auto"/>
        <w:rPr>
          <w:sz w:val="20"/>
          <w:szCs w:val="20"/>
          <w:color w:val="auto"/>
        </w:rPr>
      </w:pPr>
      <w:r>
        <w:rPr>
          <w:rFonts w:ascii="Arial" w:cs="Arial" w:eastAsia="Arial" w:hAnsi="Arial"/>
          <w:sz w:val="21"/>
          <w:szCs w:val="21"/>
          <w:color w:val="auto"/>
        </w:rPr>
        <w:t>the extent they qualify as “non-qualified deferred compensation” within the meaning of Section 409A of the Internal Revenue Code of 1986, as amended (the “</w:t>
      </w:r>
      <w:r>
        <w:rPr>
          <w:rFonts w:ascii="Arial" w:cs="Arial" w:eastAsia="Arial" w:hAnsi="Arial"/>
          <w:sz w:val="21"/>
          <w:szCs w:val="21"/>
          <w:b w:val="1"/>
          <w:bCs w:val="1"/>
          <w:i w:val="1"/>
          <w:iCs w:val="1"/>
          <w:u w:val="single" w:color="auto"/>
          <w:color w:val="auto"/>
        </w:rPr>
        <w:t>Code</w:t>
      </w:r>
      <w:r>
        <w:rPr>
          <w:rFonts w:ascii="Arial" w:cs="Arial" w:eastAsia="Arial" w:hAnsi="Arial"/>
          <w:sz w:val="21"/>
          <w:szCs w:val="21"/>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73" w:lineRule="exact"/>
        <w:rPr>
          <w:sz w:val="20"/>
          <w:szCs w:val="20"/>
          <w:color w:val="auto"/>
        </w:rPr>
      </w:pPr>
    </w:p>
    <w:p>
      <w:pPr>
        <w:ind w:firstLine="800"/>
        <w:spacing w:after="0" w:line="297" w:lineRule="auto"/>
        <w:tabs>
          <w:tab w:leader="none" w:pos="1397" w:val="left"/>
        </w:tabs>
        <w:numPr>
          <w:ilvl w:val="1"/>
          <w:numId w:val="3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Severance Pay and Benefits Upon Termination by the Company without Cause or by the Executive for Good Reason within the Change in Control Period</w:t>
      </w:r>
      <w:r>
        <w:rPr>
          <w:rFonts w:ascii="Arial" w:cs="Arial" w:eastAsia="Arial" w:hAnsi="Arial"/>
          <w:sz w:val="19"/>
          <w:szCs w:val="19"/>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9"/>
          <w:szCs w:val="19"/>
          <w:b w:val="1"/>
          <w:bCs w:val="1"/>
          <w:i w:val="1"/>
          <w:iCs w:val="1"/>
          <w:u w:val="single" w:color="auto"/>
          <w:color w:val="auto"/>
        </w:rPr>
        <w:t>Change in Control Period</w:t>
      </w:r>
      <w:r>
        <w:rPr>
          <w:rFonts w:ascii="Arial" w:cs="Arial" w:eastAsia="Arial" w:hAnsi="Arial"/>
          <w:sz w:val="19"/>
          <w:szCs w:val="19"/>
          <w:color w:val="auto"/>
        </w:rPr>
        <w:t>” shall begin on the earlier of (a) the signing of a P&amp;S Agreement and</w:t>
      </w:r>
    </w:p>
    <w:p>
      <w:pPr>
        <w:spacing w:after="0" w:line="2" w:lineRule="exact"/>
        <w:rPr>
          <w:rFonts w:ascii="Arial" w:cs="Arial" w:eastAsia="Arial" w:hAnsi="Arial"/>
          <w:sz w:val="19"/>
          <w:szCs w:val="19"/>
          <w:u w:val="single" w:color="auto"/>
          <w:color w:val="auto"/>
        </w:rPr>
      </w:pPr>
    </w:p>
    <w:p>
      <w:pPr>
        <w:ind w:right="60" w:firstLine="8"/>
        <w:spacing w:after="0" w:line="273" w:lineRule="auto"/>
        <w:tabs>
          <w:tab w:leader="none" w:pos="306"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9" w:lineRule="exact"/>
        <w:rPr>
          <w:sz w:val="20"/>
          <w:szCs w:val="20"/>
          <w:color w:val="auto"/>
        </w:rPr>
      </w:pPr>
    </w:p>
    <w:p>
      <w:pPr>
        <w:ind w:right="140"/>
        <w:spacing w:after="0" w:line="311" w:lineRule="auto"/>
        <w:rPr>
          <w:sz w:val="20"/>
          <w:szCs w:val="20"/>
          <w:color w:val="auto"/>
        </w:rPr>
      </w:pPr>
      <w:r>
        <w:rPr>
          <w:rFonts w:ascii="Arial" w:cs="Arial" w:eastAsia="Arial" w:hAnsi="Arial"/>
          <w:sz w:val="19"/>
          <w:szCs w:val="19"/>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50" w:lineRule="exact"/>
        <w:rPr>
          <w:sz w:val="20"/>
          <w:szCs w:val="20"/>
          <w:color w:val="auto"/>
        </w:rPr>
      </w:pPr>
    </w:p>
    <w:p>
      <w:pPr>
        <w:ind w:right="120" w:firstLine="1678"/>
        <w:spacing w:after="0" w:line="261" w:lineRule="auto"/>
        <w:tabs>
          <w:tab w:leader="none" w:pos="2793" w:val="left"/>
        </w:tabs>
        <w:numPr>
          <w:ilvl w:val="0"/>
          <w:numId w:val="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Cash Severance</w:t>
      </w:r>
      <w:r>
        <w:rPr>
          <w:rFonts w:ascii="Arial" w:cs="Arial" w:eastAsia="Arial" w:hAnsi="Arial"/>
          <w:sz w:val="22"/>
          <w:szCs w:val="22"/>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22"/>
          <w:szCs w:val="22"/>
          <w:b w:val="1"/>
          <w:bCs w:val="1"/>
          <w:i w:val="1"/>
          <w:iCs w:val="1"/>
          <w:u w:val="single" w:color="auto"/>
          <w:color w:val="auto"/>
        </w:rPr>
        <w:t>Change in Control Payment</w:t>
      </w:r>
      <w:r>
        <w:rPr>
          <w:rFonts w:ascii="Arial" w:cs="Arial" w:eastAsia="Arial" w:hAnsi="Arial"/>
          <w:sz w:val="22"/>
          <w:szCs w:val="22"/>
          <w:color w:val="auto"/>
        </w:rPr>
        <w:t>”).</w:t>
      </w:r>
    </w:p>
    <w:p>
      <w:pPr>
        <w:spacing w:after="0" w:line="190" w:lineRule="exact"/>
        <w:rPr>
          <w:rFonts w:ascii="Arial" w:cs="Arial" w:eastAsia="Arial" w:hAnsi="Arial"/>
          <w:sz w:val="22"/>
          <w:szCs w:val="22"/>
          <w:u w:val="single" w:color="auto"/>
          <w:color w:val="auto"/>
        </w:rPr>
      </w:pPr>
    </w:p>
    <w:p>
      <w:pPr>
        <w:ind w:firstLine="1678"/>
        <w:spacing w:after="0" w:line="308" w:lineRule="auto"/>
        <w:tabs>
          <w:tab w:leader="none" w:pos="2793" w:val="left"/>
        </w:tabs>
        <w:numPr>
          <w:ilvl w:val="0"/>
          <w:numId w:val="3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COBRA Premiums</w:t>
      </w:r>
      <w:r>
        <w:rPr>
          <w:rFonts w:ascii="Arial" w:cs="Arial" w:eastAsia="Arial" w:hAnsi="Arial"/>
          <w:sz w:val="19"/>
          <w:szCs w:val="19"/>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w:t>
      </w:r>
    </w:p>
    <w:p>
      <w:pPr>
        <w:spacing w:after="0" w:line="12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3" w:name="page104"/>
    <w:bookmarkEnd w:id="103"/>
    <w:p>
      <w:pPr>
        <w:ind w:right="180"/>
        <w:spacing w:after="0" w:line="311" w:lineRule="auto"/>
        <w:rPr>
          <w:sz w:val="20"/>
          <w:szCs w:val="20"/>
          <w:color w:val="auto"/>
        </w:rPr>
      </w:pPr>
      <w:r>
        <w:rPr>
          <w:rFonts w:ascii="Arial" w:cs="Arial" w:eastAsia="Arial" w:hAnsi="Arial"/>
          <w:sz w:val="19"/>
          <w:szCs w:val="19"/>
          <w:color w:val="auto"/>
        </w:rPr>
        <w:t>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50" w:lineRule="exact"/>
        <w:rPr>
          <w:sz w:val="20"/>
          <w:szCs w:val="20"/>
          <w:color w:val="auto"/>
        </w:rPr>
      </w:pPr>
    </w:p>
    <w:p>
      <w:pPr>
        <w:ind w:firstLine="1678"/>
        <w:spacing w:after="0" w:line="303" w:lineRule="auto"/>
        <w:tabs>
          <w:tab w:leader="none" w:pos="2793" w:val="left"/>
        </w:tabs>
        <w:numPr>
          <w:ilvl w:val="1"/>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Accelerated Vesting of Equity Awards</w:t>
      </w:r>
      <w:r>
        <w:rPr>
          <w:rFonts w:ascii="Arial" w:cs="Arial" w:eastAsia="Arial" w:hAnsi="Arial"/>
          <w:sz w:val="19"/>
          <w:szCs w:val="19"/>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9"/>
          <w:szCs w:val="19"/>
          <w:b w:val="1"/>
          <w:bCs w:val="1"/>
          <w:i w:val="1"/>
          <w:iCs w:val="1"/>
          <w:u w:val="single" w:color="auto"/>
          <w:color w:val="auto"/>
        </w:rPr>
        <w:t>Accelerated Vesting Date</w:t>
      </w:r>
      <w:r>
        <w:rPr>
          <w:rFonts w:ascii="Arial" w:cs="Arial" w:eastAsia="Arial" w:hAnsi="Arial"/>
          <w:sz w:val="19"/>
          <w:szCs w:val="19"/>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57" w:lineRule="exact"/>
        <w:rPr>
          <w:rFonts w:ascii="Arial" w:cs="Arial" w:eastAsia="Arial" w:hAnsi="Arial"/>
          <w:sz w:val="19"/>
          <w:szCs w:val="19"/>
          <w:u w:val="single" w:color="auto"/>
          <w:color w:val="auto"/>
        </w:rPr>
      </w:pPr>
    </w:p>
    <w:p>
      <w:pPr>
        <w:ind w:right="180" w:firstLine="1678"/>
        <w:spacing w:after="0" w:line="311" w:lineRule="auto"/>
        <w:tabs>
          <w:tab w:leader="none" w:pos="2793" w:val="left"/>
        </w:tabs>
        <w:numPr>
          <w:ilvl w:val="1"/>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Change in Control Payment Timing</w:t>
      </w:r>
      <w:r>
        <w:rPr>
          <w:rFonts w:ascii="Arial" w:cs="Arial" w:eastAsia="Arial" w:hAnsi="Arial"/>
          <w:sz w:val="19"/>
          <w:szCs w:val="19"/>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50" w:lineRule="exact"/>
        <w:rPr>
          <w:rFonts w:ascii="Arial" w:cs="Arial" w:eastAsia="Arial" w:hAnsi="Arial"/>
          <w:sz w:val="19"/>
          <w:szCs w:val="19"/>
          <w:u w:val="single" w:color="auto"/>
          <w:color w:val="auto"/>
        </w:rPr>
      </w:pPr>
    </w:p>
    <w:p>
      <w:pPr>
        <w:ind w:left="1400" w:hanging="600"/>
        <w:spacing w:after="0"/>
        <w:tabs>
          <w:tab w:leader="none" w:pos="1400" w:val="left"/>
        </w:tabs>
        <w:numPr>
          <w:ilvl w:val="0"/>
          <w:numId w:val="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280G Limitation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firstLine="1678"/>
        <w:spacing w:after="0" w:line="302" w:lineRule="auto"/>
        <w:tabs>
          <w:tab w:leader="none" w:pos="2793" w:val="left"/>
        </w:tabs>
        <w:numPr>
          <w:ilvl w:val="1"/>
          <w:numId w:val="35"/>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9"/>
          <w:szCs w:val="19"/>
          <w:b w:val="1"/>
          <w:bCs w:val="1"/>
          <w:i w:val="1"/>
          <w:iCs w:val="1"/>
          <w:u w:val="single" w:color="auto"/>
          <w:color w:val="auto"/>
        </w:rPr>
        <w:t>Aggregate Payments</w:t>
      </w:r>
      <w:r>
        <w:rPr>
          <w:rFonts w:ascii="Arial" w:cs="Arial" w:eastAsia="Arial" w:hAnsi="Arial"/>
          <w:sz w:val="19"/>
          <w:szCs w:val="19"/>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w:t>
      </w:r>
    </w:p>
    <w:p>
      <w:pPr>
        <w:spacing w:after="0" w:line="13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04" w:name="page105"/>
    <w:bookmarkEnd w:id="104"/>
    <w:p>
      <w:pPr>
        <w:ind w:right="40"/>
        <w:spacing w:after="0" w:line="317" w:lineRule="auto"/>
        <w:rPr>
          <w:sz w:val="20"/>
          <w:szCs w:val="20"/>
          <w:color w:val="auto"/>
        </w:rPr>
      </w:pPr>
      <w:r>
        <w:rPr>
          <w:rFonts w:ascii="Arial" w:cs="Arial" w:eastAsia="Arial" w:hAnsi="Arial"/>
          <w:sz w:val="19"/>
          <w:szCs w:val="19"/>
          <w:color w:val="auto"/>
        </w:rPr>
        <w:t>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42" w:lineRule="exact"/>
        <w:rPr>
          <w:sz w:val="20"/>
          <w:szCs w:val="20"/>
          <w:color w:val="auto"/>
        </w:rPr>
      </w:pPr>
    </w:p>
    <w:p>
      <w:pPr>
        <w:ind w:right="300" w:firstLine="1678"/>
        <w:spacing w:after="0" w:line="306" w:lineRule="auto"/>
        <w:tabs>
          <w:tab w:leader="none" w:pos="2793" w:val="left"/>
        </w:tabs>
        <w:numPr>
          <w:ilvl w:val="1"/>
          <w:numId w:val="36"/>
        </w:numPr>
        <w:rPr>
          <w:rFonts w:ascii="Arial" w:cs="Arial" w:eastAsia="Arial" w:hAnsi="Arial"/>
          <w:sz w:val="19"/>
          <w:szCs w:val="19"/>
          <w:color w:val="auto"/>
        </w:rPr>
      </w:pPr>
      <w:r>
        <w:rPr>
          <w:rFonts w:ascii="Arial" w:cs="Arial" w:eastAsia="Arial" w:hAnsi="Arial"/>
          <w:sz w:val="19"/>
          <w:szCs w:val="19"/>
          <w:color w:val="auto"/>
        </w:rPr>
        <w:t>For purposes of this Section 7, the “</w:t>
      </w:r>
      <w:r>
        <w:rPr>
          <w:rFonts w:ascii="Arial" w:cs="Arial" w:eastAsia="Arial" w:hAnsi="Arial"/>
          <w:sz w:val="19"/>
          <w:szCs w:val="19"/>
          <w:b w:val="1"/>
          <w:bCs w:val="1"/>
          <w:i w:val="1"/>
          <w:iCs w:val="1"/>
          <w:u w:val="single" w:color="auto"/>
          <w:color w:val="auto"/>
        </w:rPr>
        <w:t>After Tax Amount</w:t>
      </w:r>
      <w:r>
        <w:rPr>
          <w:rFonts w:ascii="Arial" w:cs="Arial" w:eastAsia="Arial" w:hAnsi="Arial"/>
          <w:sz w:val="19"/>
          <w:szCs w:val="19"/>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6" w:lineRule="exact"/>
        <w:rPr>
          <w:rFonts w:ascii="Arial" w:cs="Arial" w:eastAsia="Arial" w:hAnsi="Arial"/>
          <w:sz w:val="19"/>
          <w:szCs w:val="19"/>
          <w:color w:val="auto"/>
        </w:rPr>
      </w:pPr>
    </w:p>
    <w:p>
      <w:pPr>
        <w:ind w:firstLine="1678"/>
        <w:spacing w:after="0" w:line="301" w:lineRule="auto"/>
        <w:tabs>
          <w:tab w:leader="none" w:pos="2793" w:val="left"/>
        </w:tabs>
        <w:numPr>
          <w:ilvl w:val="1"/>
          <w:numId w:val="36"/>
        </w:numPr>
        <w:rPr>
          <w:rFonts w:ascii="Arial" w:cs="Arial" w:eastAsia="Arial" w:hAnsi="Arial"/>
          <w:sz w:val="19"/>
          <w:szCs w:val="19"/>
          <w:color w:val="auto"/>
        </w:rPr>
      </w:pPr>
      <w:r>
        <w:rPr>
          <w:rFonts w:ascii="Arial" w:cs="Arial" w:eastAsia="Arial" w:hAnsi="Arial"/>
          <w:sz w:val="19"/>
          <w:szCs w:val="19"/>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9"/>
          <w:szCs w:val="19"/>
          <w:b w:val="1"/>
          <w:bCs w:val="1"/>
          <w:i w:val="1"/>
          <w:iCs w:val="1"/>
          <w:color w:val="auto"/>
        </w:rPr>
        <w:t>Independent Advisors</w:t>
      </w:r>
      <w:r>
        <w:rPr>
          <w:rFonts w:ascii="Arial" w:cs="Arial" w:eastAsia="Arial" w:hAnsi="Arial"/>
          <w:sz w:val="19"/>
          <w:szCs w:val="19"/>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1400" w:hanging="600"/>
        <w:spacing w:after="0"/>
        <w:tabs>
          <w:tab w:leader="none" w:pos="1400"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right="80" w:firstLine="1678"/>
        <w:spacing w:after="0" w:line="274" w:lineRule="auto"/>
        <w:tabs>
          <w:tab w:leader="none" w:pos="2793" w:val="left"/>
        </w:tabs>
        <w:numPr>
          <w:ilvl w:val="1"/>
          <w:numId w:val="37"/>
        </w:numPr>
        <w:rPr>
          <w:rFonts w:ascii="Arial" w:cs="Arial" w:eastAsia="Arial" w:hAnsi="Arial"/>
          <w:sz w:val="21"/>
          <w:szCs w:val="21"/>
          <w:color w:val="auto"/>
        </w:rPr>
      </w:pPr>
      <w:r>
        <w:rPr>
          <w:rFonts w:ascii="Arial" w:cs="Arial" w:eastAsia="Arial" w:hAnsi="Arial"/>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w:t>
      </w:r>
    </w:p>
    <w:p>
      <w:pPr>
        <w:spacing w:after="0" w:line="15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5" w:name="page106"/>
    <w:bookmarkEnd w:id="105"/>
    <w:p>
      <w:pPr>
        <w:ind w:right="60"/>
        <w:spacing w:after="0" w:line="311" w:lineRule="auto"/>
        <w:rPr>
          <w:sz w:val="20"/>
          <w:szCs w:val="20"/>
          <w:color w:val="auto"/>
        </w:rPr>
      </w:pPr>
      <w:r>
        <w:rPr>
          <w:rFonts w:ascii="Arial" w:cs="Arial" w:eastAsia="Arial" w:hAnsi="Arial"/>
          <w:sz w:val="19"/>
          <w:szCs w:val="19"/>
          <w:color w:val="auto"/>
        </w:rPr>
        <w:t>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50" w:lineRule="exact"/>
        <w:rPr>
          <w:sz w:val="20"/>
          <w:szCs w:val="20"/>
          <w:color w:val="auto"/>
        </w:rPr>
      </w:pPr>
    </w:p>
    <w:p>
      <w:pPr>
        <w:ind w:right="140" w:firstLine="1678"/>
        <w:spacing w:after="0" w:line="306" w:lineRule="auto"/>
        <w:tabs>
          <w:tab w:leader="none" w:pos="2793"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6" w:lineRule="exact"/>
        <w:rPr>
          <w:rFonts w:ascii="Arial" w:cs="Arial" w:eastAsia="Arial" w:hAnsi="Arial"/>
          <w:sz w:val="19"/>
          <w:szCs w:val="19"/>
          <w:color w:val="auto"/>
        </w:rPr>
      </w:pPr>
    </w:p>
    <w:p>
      <w:pPr>
        <w:ind w:right="100" w:firstLine="1678"/>
        <w:spacing w:after="0" w:line="271" w:lineRule="exact"/>
        <w:tabs>
          <w:tab w:leader="none" w:pos="2793"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1(h).</w:t>
      </w:r>
    </w:p>
    <w:p>
      <w:pPr>
        <w:spacing w:after="0" w:line="212" w:lineRule="exact"/>
        <w:rPr>
          <w:rFonts w:ascii="Arial" w:cs="Arial" w:eastAsia="Arial" w:hAnsi="Arial"/>
          <w:sz w:val="21"/>
          <w:szCs w:val="21"/>
          <w:color w:val="auto"/>
        </w:rPr>
      </w:pPr>
    </w:p>
    <w:p>
      <w:pPr>
        <w:ind w:firstLine="1678"/>
        <w:spacing w:after="0" w:line="270" w:lineRule="exact"/>
        <w:tabs>
          <w:tab w:leader="none" w:pos="2793"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19" w:lineRule="exact"/>
        <w:rPr>
          <w:rFonts w:ascii="Arial" w:cs="Arial" w:eastAsia="Arial" w:hAnsi="Arial"/>
          <w:sz w:val="21"/>
          <w:szCs w:val="21"/>
          <w:color w:val="auto"/>
        </w:rPr>
      </w:pPr>
    </w:p>
    <w:p>
      <w:pPr>
        <w:jc w:val="both"/>
        <w:ind w:right="20" w:firstLine="1678"/>
        <w:spacing w:after="0" w:line="284" w:lineRule="auto"/>
        <w:tabs>
          <w:tab w:leader="none" w:pos="2793"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42"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ind w:left="920" w:hanging="600"/>
        <w:spacing w:after="0"/>
        <w:tabs>
          <w:tab w:leader="none" w:pos="920" w:val="left"/>
        </w:tabs>
        <w:numPr>
          <w:ilvl w:val="0"/>
          <w:numId w:val="3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Continuing Obligations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left="-480" w:right="260" w:firstLine="1678"/>
        <w:spacing w:after="0" w:line="308" w:lineRule="auto"/>
        <w:tabs>
          <w:tab w:leader="none" w:pos="2313" w:val="left"/>
        </w:tabs>
        <w:numPr>
          <w:ilvl w:val="1"/>
          <w:numId w:val="3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Restrictive Covenants Agreement</w:t>
      </w:r>
      <w:r>
        <w:rPr>
          <w:rFonts w:ascii="Arial" w:cs="Arial" w:eastAsia="Arial" w:hAnsi="Arial"/>
          <w:sz w:val="19"/>
          <w:szCs w:val="19"/>
          <w:color w:val="auto"/>
        </w:rPr>
        <w:t>. As a condition of entering into this Agreement, Executive agrees to the terms of the Employee Proprietary Information and Inventions Assignment Agreement, dated [______________] between the Company and the Executive (the “</w:t>
      </w:r>
      <w:r>
        <w:rPr>
          <w:rFonts w:ascii="Arial" w:cs="Arial" w:eastAsia="Arial" w:hAnsi="Arial"/>
          <w:sz w:val="19"/>
          <w:szCs w:val="19"/>
          <w:b w:val="1"/>
          <w:bCs w:val="1"/>
          <w:i w:val="1"/>
          <w:iCs w:val="1"/>
          <w:u w:val="single" w:color="auto"/>
          <w:color w:val="auto"/>
        </w:rPr>
        <w:t>Restrictive Covenants Agreement</w:t>
      </w:r>
      <w:r>
        <w:rPr>
          <w:rFonts w:ascii="Arial" w:cs="Arial" w:eastAsia="Arial" w:hAnsi="Arial"/>
          <w:sz w:val="19"/>
          <w:szCs w:val="19"/>
          <w:color w:val="auto"/>
        </w:rPr>
        <w:t>”). For purposes of this Agreement, the obligations in this Section 9 and those that arise in the 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9"/>
          <w:szCs w:val="19"/>
          <w:b w:val="1"/>
          <w:bCs w:val="1"/>
          <w:i w:val="1"/>
          <w:iCs w:val="1"/>
          <w:u w:val="single" w:color="auto"/>
          <w:color w:val="auto"/>
        </w:rPr>
        <w:t>Continuing Obligations</w:t>
      </w:r>
      <w:r>
        <w:rPr>
          <w:rFonts w:ascii="Arial" w:cs="Arial" w:eastAsia="Arial" w:hAnsi="Arial"/>
          <w:sz w:val="19"/>
          <w:szCs w:val="19"/>
          <w:color w:val="auto"/>
        </w:rPr>
        <w:t>.”</w:t>
      </w:r>
    </w:p>
    <w:p>
      <w:pPr>
        <w:spacing w:after="0" w:line="153" w:lineRule="exact"/>
        <w:rPr>
          <w:rFonts w:ascii="Arial" w:cs="Arial" w:eastAsia="Arial" w:hAnsi="Arial"/>
          <w:sz w:val="19"/>
          <w:szCs w:val="19"/>
          <w:u w:val="single" w:color="auto"/>
          <w:color w:val="auto"/>
        </w:rPr>
      </w:pPr>
    </w:p>
    <w:p>
      <w:pPr>
        <w:ind w:left="-480" w:firstLine="1678"/>
        <w:spacing w:after="0" w:line="304" w:lineRule="auto"/>
        <w:tabs>
          <w:tab w:leader="none" w:pos="2313" w:val="left"/>
        </w:tabs>
        <w:numPr>
          <w:ilvl w:val="1"/>
          <w:numId w:val="3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Third-Party Agreements and Rights</w:t>
      </w:r>
      <w:r>
        <w:rPr>
          <w:rFonts w:ascii="Arial" w:cs="Arial" w:eastAsia="Arial" w:hAnsi="Arial"/>
          <w:sz w:val="19"/>
          <w:szCs w:val="19"/>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55" w:lineRule="exact"/>
        <w:rPr>
          <w:rFonts w:ascii="Arial" w:cs="Arial" w:eastAsia="Arial" w:hAnsi="Arial"/>
          <w:sz w:val="19"/>
          <w:szCs w:val="19"/>
          <w:u w:val="single" w:color="auto"/>
          <w:color w:val="auto"/>
        </w:rPr>
      </w:pPr>
    </w:p>
    <w:p>
      <w:pPr>
        <w:ind w:left="-480" w:right="40" w:firstLine="1678"/>
        <w:spacing w:after="0" w:line="275" w:lineRule="exact"/>
        <w:tabs>
          <w:tab w:leader="none" w:pos="2313" w:val="left"/>
        </w:tabs>
        <w:numPr>
          <w:ilvl w:val="1"/>
          <w:numId w:val="3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the Executive’s performance of obligations pursuant to this Section 9(c), which shall be in addition to its obligations to provide indemnification to the Executive.</w:t>
      </w:r>
    </w:p>
    <w:p>
      <w:pPr>
        <w:spacing w:after="0" w:line="200" w:lineRule="exact"/>
        <w:rPr>
          <w:rFonts w:ascii="Arial" w:cs="Arial" w:eastAsia="Arial" w:hAnsi="Arial"/>
          <w:sz w:val="19"/>
          <w:szCs w:val="19"/>
          <w:u w:val="single" w:color="auto"/>
          <w:color w:val="auto"/>
        </w:rPr>
      </w:pPr>
    </w:p>
    <w:p>
      <w:pPr>
        <w:spacing w:after="0" w:line="226" w:lineRule="exact"/>
        <w:rPr>
          <w:rFonts w:ascii="Arial" w:cs="Arial" w:eastAsia="Arial" w:hAnsi="Arial"/>
          <w:sz w:val="19"/>
          <w:szCs w:val="19"/>
          <w:u w:val="single" w:color="auto"/>
          <w:color w:val="auto"/>
        </w:rPr>
      </w:pPr>
    </w:p>
    <w:p>
      <w:pPr>
        <w:jc w:val="both"/>
        <w:ind w:left="-480" w:right="80" w:firstLine="1678"/>
        <w:spacing w:after="0" w:line="279" w:lineRule="auto"/>
        <w:tabs>
          <w:tab w:leader="none" w:pos="2313" w:val="left"/>
        </w:tabs>
        <w:numPr>
          <w:ilvl w:val="1"/>
          <w:numId w:val="3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Relief</w:t>
      </w:r>
      <w:r>
        <w:rPr>
          <w:rFonts w:ascii="Arial" w:cs="Arial" w:eastAsia="Arial" w:hAnsi="Arial"/>
          <w:sz w:val="21"/>
          <w:szCs w:val="21"/>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21"/>
          <w:szCs w:val="21"/>
          <w:b w:val="1"/>
          <w:bCs w:val="1"/>
          <w:color w:val="auto"/>
        </w:rPr>
        <w:t>,</w:t>
      </w:r>
      <w:r>
        <w:rPr>
          <w:rFonts w:ascii="Arial" w:cs="Arial" w:eastAsia="Arial" w:hAnsi="Arial"/>
          <w:sz w:val="21"/>
          <w:szCs w:val="21"/>
          <w:color w:val="auto"/>
        </w:rPr>
        <w:t xml:space="preserve"> the Executive agrees that if the Executive breaches, or proposes to breach, any portion of the Continuing Obligations, the Company shall be entitled,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-6090920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54610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00" w:top="361" w:right="379" w:bottom="1440" w:gutter="0" w:footer="0" w:header="0"/>
        </w:sectPr>
      </w:pPr>
    </w:p>
    <w:bookmarkStart w:id="107" w:name="page108"/>
    <w:bookmarkEnd w:id="107"/>
    <w:p>
      <w:pPr>
        <w:ind w:right="300"/>
        <w:spacing w:after="0" w:line="276" w:lineRule="auto"/>
        <w:rPr>
          <w:sz w:val="20"/>
          <w:szCs w:val="20"/>
          <w:color w:val="auto"/>
        </w:rPr>
      </w:pPr>
      <w:r>
        <w:rPr>
          <w:rFonts w:ascii="Arial" w:cs="Arial" w:eastAsia="Arial" w:hAnsi="Arial"/>
          <w:sz w:val="22"/>
          <w:szCs w:val="22"/>
          <w:color w:val="auto"/>
        </w:rPr>
        <w:t>addition to all other remedies that it may have, to an injunction or other appropriate equitable relief to restrain any such breach without showing or proving any actual damage to the Company.</w:t>
      </w:r>
    </w:p>
    <w:p>
      <w:pPr>
        <w:spacing w:after="0" w:line="168" w:lineRule="exact"/>
        <w:rPr>
          <w:sz w:val="20"/>
          <w:szCs w:val="20"/>
          <w:color w:val="auto"/>
        </w:rPr>
      </w:pPr>
    </w:p>
    <w:p>
      <w:pPr>
        <w:ind w:right="20" w:firstLine="800"/>
        <w:spacing w:after="0" w:line="302" w:lineRule="auto"/>
        <w:tabs>
          <w:tab w:leader="none" w:pos="1397" w:val="left"/>
        </w:tabs>
        <w:numPr>
          <w:ilvl w:val="1"/>
          <w:numId w:val="4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The parties hereby consent to the jurisdiction of the state and federal courts of [</w:t>
      </w:r>
      <w:r>
        <w:rPr>
          <w:rFonts w:ascii="Arial" w:cs="Arial" w:eastAsia="Arial" w:hAnsi="Arial"/>
          <w:sz w:val="19"/>
          <w:szCs w:val="19"/>
          <w:b w:val="1"/>
          <w:bCs w:val="1"/>
          <w:color w:val="auto"/>
        </w:rPr>
        <w:t>State</w:t>
      </w:r>
      <w:r>
        <w:rPr>
          <w:rFonts w:ascii="Arial" w:cs="Arial" w:eastAsia="Arial" w:hAnsi="Arial"/>
          <w:sz w:val="19"/>
          <w:szCs w:val="19"/>
          <w:color w:val="auto"/>
        </w:rPr>
        <w:t>]. Accordingly, with respect to any such court action, the Executive (a) submits to the exclusive personal jurisdiction of such courts;</w:t>
      </w:r>
    </w:p>
    <w:p>
      <w:pPr>
        <w:ind w:right="100" w:firstLine="8"/>
        <w:spacing w:after="0" w:line="272" w:lineRule="auto"/>
        <w:tabs>
          <w:tab w:leader="none" w:pos="306"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2"/>
          <w:szCs w:val="22"/>
          <w:color w:val="auto"/>
        </w:rPr>
      </w:pPr>
    </w:p>
    <w:p>
      <w:pPr>
        <w:ind w:right="140" w:firstLine="800"/>
        <w:spacing w:after="0" w:line="262" w:lineRule="auto"/>
        <w:tabs>
          <w:tab w:leader="none" w:pos="1397" w:val="left"/>
        </w:tabs>
        <w:numPr>
          <w:ilvl w:val="1"/>
          <w:numId w:val="4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22"/>
          <w:szCs w:val="22"/>
          <w:b w:val="1"/>
          <w:bCs w:val="1"/>
          <w:color w:val="auto"/>
        </w:rPr>
        <w:t>,</w:t>
      </w:r>
      <w:r>
        <w:rPr>
          <w:rFonts w:ascii="Arial" w:cs="Arial" w:eastAsia="Arial" w:hAnsi="Arial"/>
          <w:sz w:val="22"/>
          <w:szCs w:val="22"/>
          <w:color w:val="auto"/>
        </w:rPr>
        <w:t xml:space="preserve"> including the Prior Agreement, provided that the Restrictive Covenants Agreement and the agreements governing any Equity Awards remain in full force and effect.</w:t>
      </w:r>
    </w:p>
    <w:p>
      <w:pPr>
        <w:spacing w:after="0" w:line="191" w:lineRule="exact"/>
        <w:rPr>
          <w:rFonts w:ascii="Arial" w:cs="Arial" w:eastAsia="Arial" w:hAnsi="Arial"/>
          <w:sz w:val="22"/>
          <w:szCs w:val="22"/>
          <w:u w:val="single" w:color="auto"/>
          <w:color w:val="auto"/>
        </w:rPr>
      </w:pPr>
    </w:p>
    <w:p>
      <w:pPr>
        <w:ind w:right="220" w:firstLine="800"/>
        <w:spacing w:after="0" w:line="317" w:lineRule="auto"/>
        <w:tabs>
          <w:tab w:leader="none" w:pos="1397" w:val="left"/>
        </w:tabs>
        <w:numPr>
          <w:ilvl w:val="1"/>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Withholding; Tax Effect</w:t>
      </w:r>
      <w:r>
        <w:rPr>
          <w:rFonts w:ascii="Arial" w:cs="Arial" w:eastAsia="Arial" w:hAnsi="Arial"/>
          <w:sz w:val="19"/>
          <w:szCs w:val="19"/>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41" w:lineRule="exact"/>
        <w:rPr>
          <w:rFonts w:ascii="Arial" w:cs="Arial" w:eastAsia="Arial" w:hAnsi="Arial"/>
          <w:sz w:val="19"/>
          <w:szCs w:val="19"/>
          <w:u w:val="single" w:color="auto"/>
          <w:color w:val="auto"/>
        </w:rPr>
      </w:pPr>
    </w:p>
    <w:p>
      <w:pPr>
        <w:ind w:firstLine="800"/>
        <w:spacing w:after="0" w:line="300" w:lineRule="auto"/>
        <w:tabs>
          <w:tab w:leader="none" w:pos="1397" w:val="left"/>
        </w:tabs>
        <w:numPr>
          <w:ilvl w:val="1"/>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w:t>
      </w:r>
    </w:p>
    <w:p>
      <w:pPr>
        <w:spacing w:after="0" w:line="13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ind w:right="1040"/>
        <w:spacing w:after="0" w:line="276" w:lineRule="auto"/>
        <w:rPr>
          <w:sz w:val="20"/>
          <w:szCs w:val="20"/>
          <w:color w:val="auto"/>
        </w:rPr>
      </w:pPr>
      <w:r>
        <w:rPr>
          <w:rFonts w:ascii="Arial" w:cs="Arial" w:eastAsia="Arial" w:hAnsi="Arial"/>
          <w:sz w:val="22"/>
          <w:szCs w:val="22"/>
          <w:color w:val="auto"/>
        </w:rPr>
        <w:t>or the laws of descent and distribution. Any other attempted assignment, transfer, conveyance, or other disposition of Executive’s right to compensation or other benefits will be null and void.</w:t>
      </w:r>
    </w:p>
    <w:p>
      <w:pPr>
        <w:spacing w:after="0" w:line="174" w:lineRule="exact"/>
        <w:rPr>
          <w:sz w:val="20"/>
          <w:szCs w:val="20"/>
          <w:color w:val="auto"/>
        </w:rPr>
      </w:pPr>
    </w:p>
    <w:p>
      <w:pPr>
        <w:ind w:right="280" w:firstLine="800"/>
        <w:spacing w:after="0" w:line="276" w:lineRule="auto"/>
        <w:tabs>
          <w:tab w:leader="none" w:pos="1397" w:val="left"/>
        </w:tabs>
        <w:numPr>
          <w:ilvl w:val="0"/>
          <w:numId w:val="4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rFonts w:ascii="Arial" w:cs="Arial" w:eastAsia="Arial" w:hAnsi="Arial"/>
          <w:sz w:val="21"/>
          <w:szCs w:val="21"/>
          <w:u w:val="single" w:color="auto"/>
          <w:color w:val="auto"/>
        </w:rPr>
      </w:pPr>
    </w:p>
    <w:p>
      <w:pPr>
        <w:ind w:right="220" w:firstLine="800"/>
        <w:spacing w:after="0" w:line="262" w:lineRule="auto"/>
        <w:tabs>
          <w:tab w:leader="none" w:pos="1397" w:val="left"/>
        </w:tabs>
        <w:numPr>
          <w:ilvl w:val="0"/>
          <w:numId w:val="4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91" w:lineRule="exact"/>
        <w:rPr>
          <w:rFonts w:ascii="Arial" w:cs="Arial" w:eastAsia="Arial" w:hAnsi="Arial"/>
          <w:sz w:val="22"/>
          <w:szCs w:val="22"/>
          <w:u w:val="single" w:color="auto"/>
          <w:color w:val="auto"/>
        </w:rPr>
      </w:pPr>
    </w:p>
    <w:p>
      <w:pPr>
        <w:ind w:firstLine="800"/>
        <w:spacing w:after="0" w:line="262" w:lineRule="auto"/>
        <w:tabs>
          <w:tab w:leader="none" w:pos="1397" w:val="left"/>
        </w:tabs>
        <w:numPr>
          <w:ilvl w:val="0"/>
          <w:numId w:val="4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91" w:lineRule="exact"/>
        <w:rPr>
          <w:rFonts w:ascii="Arial" w:cs="Arial" w:eastAsia="Arial" w:hAnsi="Arial"/>
          <w:sz w:val="22"/>
          <w:szCs w:val="22"/>
          <w:u w:val="single" w:color="auto"/>
          <w:color w:val="auto"/>
        </w:rPr>
      </w:pPr>
    </w:p>
    <w:p>
      <w:pPr>
        <w:ind w:right="20" w:firstLine="800"/>
        <w:spacing w:after="0" w:line="311" w:lineRule="auto"/>
        <w:tabs>
          <w:tab w:leader="none" w:pos="1397" w:val="left"/>
        </w:tabs>
        <w:numPr>
          <w:ilvl w:val="0"/>
          <w:numId w:val="4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50" w:lineRule="exact"/>
        <w:rPr>
          <w:rFonts w:ascii="Arial" w:cs="Arial" w:eastAsia="Arial" w:hAnsi="Arial"/>
          <w:sz w:val="19"/>
          <w:szCs w:val="19"/>
          <w:u w:val="single" w:color="auto"/>
          <w:color w:val="auto"/>
        </w:rPr>
      </w:pPr>
    </w:p>
    <w:p>
      <w:pPr>
        <w:ind w:right="900" w:firstLine="800"/>
        <w:spacing w:after="0" w:line="276" w:lineRule="auto"/>
        <w:tabs>
          <w:tab w:leader="none" w:pos="1397" w:val="left"/>
        </w:tabs>
        <w:numPr>
          <w:ilvl w:val="0"/>
          <w:numId w:val="4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174" w:lineRule="exact"/>
        <w:rPr>
          <w:rFonts w:ascii="Arial" w:cs="Arial" w:eastAsia="Arial" w:hAnsi="Arial"/>
          <w:sz w:val="22"/>
          <w:szCs w:val="22"/>
          <w:u w:val="single" w:color="auto"/>
          <w:color w:val="auto"/>
        </w:rPr>
      </w:pPr>
    </w:p>
    <w:p>
      <w:pPr>
        <w:ind w:right="60" w:firstLine="800"/>
        <w:spacing w:after="0" w:line="303" w:lineRule="auto"/>
        <w:tabs>
          <w:tab w:leader="none" w:pos="1397" w:val="left"/>
        </w:tabs>
        <w:numPr>
          <w:ilvl w:val="0"/>
          <w:numId w:val="4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w:t>
      </w:r>
    </w:p>
    <w:p>
      <w:pPr>
        <w:spacing w:after="0" w:line="13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9" w:name="page110"/>
    <w:bookmarkEnd w:id="109"/>
    <w:p>
      <w:pPr>
        <w:ind w:right="260"/>
        <w:spacing w:after="0" w:line="317" w:lineRule="auto"/>
        <w:rPr>
          <w:sz w:val="20"/>
          <w:szCs w:val="20"/>
          <w:color w:val="auto"/>
        </w:rPr>
      </w:pPr>
      <w:r>
        <w:rPr>
          <w:rFonts w:ascii="Arial" w:cs="Arial" w:eastAsia="Arial" w:hAnsi="Arial"/>
          <w:sz w:val="19"/>
          <w:szCs w:val="19"/>
          <w:color w:val="auto"/>
        </w:rPr>
        <w:t>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42" w:lineRule="exact"/>
        <w:rPr>
          <w:sz w:val="20"/>
          <w:szCs w:val="20"/>
          <w:color w:val="auto"/>
        </w:rPr>
      </w:pPr>
    </w:p>
    <w:p>
      <w:pPr>
        <w:ind w:right="40" w:firstLine="800"/>
        <w:spacing w:after="0" w:line="276" w:lineRule="auto"/>
        <w:tabs>
          <w:tab w:leader="none" w:pos="1397" w:val="left"/>
        </w:tabs>
        <w:numPr>
          <w:ilvl w:val="0"/>
          <w:numId w:val="4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 Mitigation; Offset</w:t>
      </w:r>
      <w:r>
        <w:rPr>
          <w:rFonts w:ascii="Arial" w:cs="Arial" w:eastAsia="Arial" w:hAnsi="Arial"/>
          <w:sz w:val="21"/>
          <w:szCs w:val="21"/>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77" w:lineRule="exact"/>
        <w:rPr>
          <w:rFonts w:ascii="Arial" w:cs="Arial" w:eastAsia="Arial" w:hAnsi="Arial"/>
          <w:sz w:val="21"/>
          <w:szCs w:val="21"/>
          <w:u w:val="single" w:color="auto"/>
          <w:color w:val="auto"/>
        </w:rPr>
      </w:pPr>
    </w:p>
    <w:p>
      <w:pPr>
        <w:ind w:right="140" w:firstLine="800"/>
        <w:spacing w:after="0" w:line="303" w:lineRule="auto"/>
        <w:tabs>
          <w:tab w:leader="none" w:pos="1397" w:val="left"/>
        </w:tabs>
        <w:numPr>
          <w:ilvl w:val="0"/>
          <w:numId w:val="4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Effect on Other Plans and Agreements</w:t>
      </w:r>
      <w:r>
        <w:rPr>
          <w:rFonts w:ascii="Arial" w:cs="Arial" w:eastAsia="Arial" w:hAnsi="Arial"/>
          <w:sz w:val="19"/>
          <w:szCs w:val="19"/>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57" w:lineRule="exact"/>
        <w:rPr>
          <w:rFonts w:ascii="Arial" w:cs="Arial" w:eastAsia="Arial" w:hAnsi="Arial"/>
          <w:sz w:val="19"/>
          <w:szCs w:val="19"/>
          <w:u w:val="single" w:color="auto"/>
          <w:color w:val="auto"/>
        </w:rPr>
      </w:pPr>
    </w:p>
    <w:p>
      <w:pPr>
        <w:ind w:left="1400" w:hanging="600"/>
        <w:spacing w:after="0"/>
        <w:tabs>
          <w:tab w:leader="none" w:pos="1400"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Governing Law; Venue and Enforcement</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right="180" w:firstLine="1678"/>
        <w:spacing w:after="0" w:line="261" w:lineRule="auto"/>
        <w:tabs>
          <w:tab w:leader="none" w:pos="2793"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This Agreement will be governed by and construed in accordance with applicable federal laws and, to the extent not inconsistent therewith or preempted thereby, with the laws of [State], including any applicable statutes of limitation, without regard to any otherwise applicable principles of conflicts of laws or choice of law rules (whether of [</w:t>
      </w:r>
      <w:r>
        <w:rPr>
          <w:rFonts w:ascii="Arial" w:cs="Arial" w:eastAsia="Arial" w:hAnsi="Arial"/>
          <w:sz w:val="22"/>
          <w:szCs w:val="22"/>
          <w:b w:val="1"/>
          <w:bCs w:val="1"/>
          <w:color w:val="auto"/>
        </w:rPr>
        <w:t>Commonwealth</w:t>
      </w:r>
      <w:r>
        <w:rPr>
          <w:rFonts w:ascii="Arial" w:cs="Arial" w:eastAsia="Arial" w:hAnsi="Arial"/>
          <w:sz w:val="22"/>
          <w:szCs w:val="22"/>
          <w:color w:val="auto"/>
        </w:rPr>
        <w:t>] [</w:t>
      </w:r>
      <w:r>
        <w:rPr>
          <w:rFonts w:ascii="Arial" w:cs="Arial" w:eastAsia="Arial" w:hAnsi="Arial"/>
          <w:sz w:val="22"/>
          <w:szCs w:val="22"/>
          <w:b w:val="1"/>
          <w:bCs w:val="1"/>
          <w:color w:val="auto"/>
        </w:rPr>
        <w:t>State</w:t>
      </w:r>
      <w:r>
        <w:rPr>
          <w:rFonts w:ascii="Arial" w:cs="Arial" w:eastAsia="Arial" w:hAnsi="Arial"/>
          <w:sz w:val="22"/>
          <w:szCs w:val="22"/>
          <w:color w:val="auto"/>
        </w:rPr>
        <w:t>] or any other jurisdiction) that would result in the application of the substantive or procedural rules or law of any other jurisdiction.</w:t>
      </w:r>
    </w:p>
    <w:p>
      <w:pPr>
        <w:spacing w:after="0" w:line="190" w:lineRule="exact"/>
        <w:rPr>
          <w:rFonts w:ascii="Arial" w:cs="Arial" w:eastAsia="Arial" w:hAnsi="Arial"/>
          <w:sz w:val="22"/>
          <w:szCs w:val="22"/>
          <w:color w:val="auto"/>
        </w:rPr>
      </w:pPr>
    </w:p>
    <w:p>
      <w:pPr>
        <w:ind w:firstLine="1678"/>
        <w:spacing w:after="0" w:line="260" w:lineRule="auto"/>
        <w:tabs>
          <w:tab w:leader="none" w:pos="2793" w:val="left"/>
        </w:tabs>
        <w:numPr>
          <w:ilvl w:val="1"/>
          <w:numId w:val="43"/>
        </w:numPr>
        <w:rPr>
          <w:rFonts w:ascii="Arial" w:cs="Arial" w:eastAsia="Arial" w:hAnsi="Arial"/>
          <w:sz w:val="22"/>
          <w:szCs w:val="22"/>
          <w:color w:val="auto"/>
        </w:rPr>
      </w:pPr>
      <w:r>
        <w:rPr>
          <w:rFonts w:ascii="Arial" w:cs="Arial" w:eastAsia="Arial" w:hAnsi="Arial"/>
          <w:sz w:val="22"/>
          <w:szCs w:val="22"/>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6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0" w:name="page111"/>
    <w:bookmarkEnd w:id="110"/>
    <w:p>
      <w:pPr>
        <w:ind w:left="-500" w:firstLine="1678"/>
        <w:spacing w:after="0" w:line="261" w:lineRule="auto"/>
        <w:tabs>
          <w:tab w:leader="none" w:pos="2293"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90" w:lineRule="exact"/>
        <w:rPr>
          <w:rFonts w:ascii="Arial" w:cs="Arial" w:eastAsia="Arial" w:hAnsi="Arial"/>
          <w:sz w:val="22"/>
          <w:szCs w:val="22"/>
          <w:color w:val="auto"/>
        </w:rPr>
      </w:pPr>
    </w:p>
    <w:p>
      <w:pPr>
        <w:ind w:left="-500" w:right="20" w:firstLine="1678"/>
        <w:spacing w:after="0" w:line="302" w:lineRule="auto"/>
        <w:tabs>
          <w:tab w:leader="none" w:pos="2293" w:val="left"/>
        </w:tabs>
        <w:numPr>
          <w:ilvl w:val="1"/>
          <w:numId w:val="44"/>
        </w:numPr>
        <w:rPr>
          <w:rFonts w:ascii="Arial" w:cs="Arial" w:eastAsia="Arial" w:hAnsi="Arial"/>
          <w:sz w:val="19"/>
          <w:szCs w:val="19"/>
          <w:color w:val="auto"/>
        </w:rPr>
      </w:pPr>
      <w:r>
        <w:rPr>
          <w:rFonts w:ascii="Arial" w:cs="Arial" w:eastAsia="Arial" w:hAnsi="Arial"/>
          <w:sz w:val="19"/>
          <w:szCs w:val="19"/>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56" w:lineRule="exact"/>
        <w:rPr>
          <w:rFonts w:ascii="Arial" w:cs="Arial" w:eastAsia="Arial" w:hAnsi="Arial"/>
          <w:sz w:val="19"/>
          <w:szCs w:val="19"/>
          <w:color w:val="auto"/>
        </w:rPr>
      </w:pPr>
    </w:p>
    <w:p>
      <w:pPr>
        <w:ind w:left="-500" w:right="20" w:firstLine="800"/>
        <w:spacing w:after="0" w:line="301" w:lineRule="auto"/>
        <w:tabs>
          <w:tab w:leader="none" w:pos="897" w:val="left"/>
        </w:tabs>
        <w:numPr>
          <w:ilvl w:val="0"/>
          <w:numId w:val="4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54610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20" w:top="361" w:right="399" w:bottom="1440" w:gutter="0" w:footer="0" w:header="0"/>
        </w:sectPr>
      </w:pPr>
    </w:p>
    <w:bookmarkStart w:id="111" w:name="page112"/>
    <w:bookmarkEnd w:id="111"/>
    <w:p>
      <w:pPr>
        <w:ind w:firstLine="800"/>
        <w:spacing w:after="0" w:line="358" w:lineRule="auto"/>
        <w:tabs>
          <w:tab w:leader="none" w:pos="1397" w:val="left"/>
        </w:tabs>
        <w:numPr>
          <w:ilvl w:val="0"/>
          <w:numId w:val="4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when so executed and delivered shall be taken to be an original; but such counterparts shall together constitute one and the same document.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IN WITNESS WHEREOF, the parties have executed this Agreement effective on the Effective Date.</w:t>
      </w:r>
    </w:p>
    <w:p>
      <w:pPr>
        <w:spacing w:after="0" w:line="227"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ADAGIO THERAPEUTICS,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-17780</wp:posOffset>
            </wp:positionV>
            <wp:extent cx="274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-20320</wp:posOffset>
            </wp:positionV>
            <wp:extent cx="274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568325</wp:posOffset>
            </wp:positionV>
            <wp:extent cx="274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Outside Activities</w:t>
      </w:r>
    </w:p>
    <w:p>
      <w:pPr>
        <w:spacing w:after="0" w:line="200" w:lineRule="exact"/>
        <w:rPr>
          <w:sz w:val="20"/>
          <w:szCs w:val="20"/>
          <w:color w:val="auto"/>
        </w:rPr>
      </w:pP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54610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Appendix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SEPARATION AGREEMENT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Separation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33" w:lineRule="exact"/>
        <w:rPr>
          <w:sz w:val="20"/>
          <w:szCs w:val="20"/>
          <w:color w:val="auto"/>
        </w:rPr>
      </w:pPr>
    </w:p>
    <w:p>
      <w:pPr>
        <w:ind w:right="900"/>
        <w:spacing w:after="0" w:line="276" w:lineRule="auto"/>
        <w:rPr>
          <w:sz w:val="20"/>
          <w:szCs w:val="20"/>
          <w:color w:val="auto"/>
        </w:rPr>
      </w:pPr>
      <w:r>
        <w:rPr>
          <w:rFonts w:ascii="Arial" w:cs="Arial" w:eastAsia="Arial" w:hAnsi="Arial"/>
          <w:sz w:val="22"/>
          <w:szCs w:val="22"/>
          <w:color w:val="auto"/>
        </w:rPr>
        <w:t>This letter sets forth the substance of the separation agreement (the “Agreement”) which Adagio Therapeutics, Inc. (the “Company”) is offering to you to aid in your employment transition.</w:t>
      </w:r>
    </w:p>
    <w:p>
      <w:pPr>
        <w:spacing w:after="0" w:line="168" w:lineRule="exact"/>
        <w:rPr>
          <w:sz w:val="20"/>
          <w:szCs w:val="20"/>
          <w:color w:val="auto"/>
        </w:rPr>
      </w:pPr>
    </w:p>
    <w:p>
      <w:pPr>
        <w:jc w:val="both"/>
        <w:ind w:left="180" w:hanging="161"/>
        <w:spacing w:after="0" w:line="282" w:lineRule="auto"/>
        <w:rPr>
          <w:sz w:val="20"/>
          <w:szCs w:val="20"/>
          <w:color w:val="auto"/>
        </w:rPr>
      </w:pPr>
      <w:r>
        <w:rPr>
          <w:rFonts w:ascii="Arial" w:cs="Arial" w:eastAsia="Arial" w:hAnsi="Arial"/>
          <w:sz w:val="22"/>
          <w:szCs w:val="22"/>
          <w:b w:val="1"/>
          <w:bCs w:val="1"/>
          <w:color w:val="auto"/>
        </w:rPr>
        <w:t xml:space="preserve">1.Separation. </w:t>
      </w:r>
      <w:r>
        <w:rPr>
          <w:rFonts w:ascii="Arial" w:cs="Arial" w:eastAsia="Arial" w:hAnsi="Arial"/>
          <w:sz w:val="22"/>
          <w:szCs w:val="22"/>
          <w:color w:val="auto"/>
        </w:rPr>
        <w:t>Your last day of work with the Company and your employment termination date will be [Date] (the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162"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22"/>
          <w:szCs w:val="22"/>
          <w:b w:val="1"/>
          <w:bCs w:val="1"/>
          <w:color w:val="auto"/>
        </w:rPr>
        <w:t xml:space="preserve">2.Accrued Salary. </w:t>
      </w:r>
      <w:r>
        <w:rPr>
          <w:rFonts w:ascii="Arial" w:cs="Arial" w:eastAsia="Arial" w:hAnsi="Arial"/>
          <w:sz w:val="22"/>
          <w:szCs w:val="22"/>
          <w:color w:val="auto"/>
        </w:rPr>
        <w:t>On the Separation Date, the Company will pay you all accrued salary earned through the Separation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standard payroll deductions and withholdings. You will receive these payments regardless of whether or not you sign this Agreement.</w:t>
      </w:r>
    </w:p>
    <w:p>
      <w:pPr>
        <w:spacing w:after="0" w:line="175" w:lineRule="exact"/>
        <w:rPr>
          <w:sz w:val="20"/>
          <w:szCs w:val="20"/>
          <w:color w:val="auto"/>
        </w:rPr>
      </w:pPr>
    </w:p>
    <w:p>
      <w:pPr>
        <w:jc w:val="both"/>
        <w:ind w:left="180" w:hanging="161"/>
        <w:spacing w:after="0" w:line="282" w:lineRule="auto"/>
        <w:rPr>
          <w:sz w:val="20"/>
          <w:szCs w:val="20"/>
          <w:color w:val="auto"/>
        </w:rPr>
      </w:pPr>
      <w:r>
        <w:rPr>
          <w:rFonts w:ascii="Arial" w:cs="Arial" w:eastAsia="Arial" w:hAnsi="Arial"/>
          <w:sz w:val="22"/>
          <w:szCs w:val="22"/>
          <w:b w:val="1"/>
          <w:bCs w:val="1"/>
          <w:color w:val="auto"/>
        </w:rPr>
        <w:t xml:space="preserve">3.Severance Benefits. </w:t>
      </w:r>
      <w:r>
        <w:rPr>
          <w:rFonts w:ascii="Arial" w:cs="Arial" w:eastAsia="Arial" w:hAnsi="Arial"/>
          <w:sz w:val="22"/>
          <w:szCs w:val="22"/>
          <w:color w:val="auto"/>
        </w:rPr>
        <w:t>If you execute and do not revoke this Agreement, the Company will provide you with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Benefits pursuant to the terms of your [month, date, year] Employment Agreement.</w:t>
      </w:r>
    </w:p>
    <w:p>
      <w:pPr>
        <w:spacing w:after="0" w:line="168" w:lineRule="exact"/>
        <w:rPr>
          <w:sz w:val="20"/>
          <w:szCs w:val="20"/>
          <w:color w:val="auto"/>
        </w:rPr>
      </w:pPr>
    </w:p>
    <w:p>
      <w:pPr>
        <w:ind w:right="60" w:firstLine="749"/>
        <w:spacing w:after="0" w:line="260" w:lineRule="auto"/>
        <w:rPr>
          <w:sz w:val="20"/>
          <w:szCs w:val="20"/>
          <w:color w:val="auto"/>
        </w:rPr>
      </w:pPr>
      <w:r>
        <w:rPr>
          <w:rFonts w:ascii="Arial" w:cs="Arial" w:eastAsia="Arial" w:hAnsi="Arial"/>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4.Benefit Plans.</w:t>
      </w:r>
    </w:p>
    <w:p>
      <w:pPr>
        <w:spacing w:after="0" w:line="239" w:lineRule="exact"/>
        <w:rPr>
          <w:sz w:val="20"/>
          <w:szCs w:val="20"/>
          <w:color w:val="auto"/>
        </w:rPr>
      </w:pPr>
    </w:p>
    <w:p>
      <w:pPr>
        <w:ind w:right="40"/>
        <w:spacing w:after="0" w:line="276" w:lineRule="auto"/>
        <w:rPr>
          <w:sz w:val="20"/>
          <w:szCs w:val="20"/>
          <w:color w:val="auto"/>
        </w:rPr>
      </w:pPr>
      <w:r>
        <w:rPr>
          <w:rFonts w:ascii="Arial" w:cs="Arial" w:eastAsia="Arial" w:hAnsi="Arial"/>
          <w:sz w:val="21"/>
          <w:szCs w:val="21"/>
          <w:color w:val="auto"/>
        </w:rPr>
        <w:t xml:space="preserve">If you are currently participating in the Company’s group health insurance plans, your participation as an employee will end on [the Separation Date] </w:t>
      </w:r>
      <w:r>
        <w:rPr>
          <w:rFonts w:ascii="Arial" w:cs="Arial" w:eastAsia="Arial" w:hAnsi="Arial"/>
          <w:sz w:val="21"/>
          <w:szCs w:val="21"/>
          <w:i w:val="1"/>
          <w:iCs w:val="1"/>
          <w:color w:val="auto"/>
        </w:rPr>
        <w:t>or</w:t>
      </w:r>
      <w:r>
        <w:rPr>
          <w:rFonts w:ascii="Arial" w:cs="Arial" w:eastAsia="Arial" w:hAnsi="Arial"/>
          <w:sz w:val="21"/>
          <w:szCs w:val="21"/>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4" w:name="page115"/>
    <w:bookmarkEnd w:id="114"/>
    <w:p>
      <w:pPr>
        <w:jc w:val="both"/>
        <w:ind w:right="20"/>
        <w:spacing w:after="0" w:line="276" w:lineRule="auto"/>
        <w:rPr>
          <w:sz w:val="20"/>
          <w:szCs w:val="20"/>
          <w:color w:val="auto"/>
        </w:rPr>
      </w:pPr>
      <w:r>
        <w:rPr>
          <w:rFonts w:ascii="Arial" w:cs="Arial" w:eastAsia="Arial" w:hAnsi="Arial"/>
          <w:sz w:val="22"/>
          <w:szCs w:val="22"/>
          <w:color w:val="auto"/>
        </w:rPr>
        <w:t>Deductions for the 401(k) Plan will end with your last regular paycheck. You will receive information by mail concerning 401(k) plan rollover procedures should you be a participant in this program.</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You may be eligible for unemployment insurance benefits after the Separation Date. The Massachusetts Department of Unemployment Assistance, not the Company, will determine your eligibility for such benefits.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5.Stock Options.  </w:t>
      </w:r>
      <w:r>
        <w:rPr>
          <w:rFonts w:ascii="Arial" w:cs="Arial" w:eastAsia="Arial" w:hAnsi="Arial"/>
          <w:sz w:val="19"/>
          <w:szCs w:val="19"/>
          <w:color w:val="auto"/>
        </w:rPr>
        <w:t>You were granted an option to purchase ________ shares of the Company’s common stock, pursuant to the</w:t>
      </w:r>
    </w:p>
    <w:p>
      <w:pPr>
        <w:spacing w:after="0" w:line="62" w:lineRule="exact"/>
        <w:rPr>
          <w:sz w:val="20"/>
          <w:szCs w:val="20"/>
          <w:color w:val="auto"/>
        </w:rPr>
      </w:pPr>
    </w:p>
    <w:p>
      <w:pPr>
        <w:ind w:left="180" w:right="20"/>
        <w:spacing w:after="0" w:line="272" w:lineRule="auto"/>
        <w:rPr>
          <w:sz w:val="20"/>
          <w:szCs w:val="20"/>
          <w:color w:val="auto"/>
        </w:rPr>
      </w:pPr>
      <w:r>
        <w:rPr>
          <w:rFonts w:ascii="Arial" w:cs="Arial" w:eastAsia="Arial" w:hAnsi="Arial"/>
          <w:sz w:val="22"/>
          <w:szCs w:val="22"/>
          <w:color w:val="auto"/>
        </w:rPr>
        <w:t>Company’s [correct name of Stock or incentive plan] (the “Plan”). Under the terms of the Plan and your stock option grant, vesting will cease as of the Separation Date.</w:t>
      </w:r>
    </w:p>
    <w:p>
      <w:pPr>
        <w:spacing w:after="0" w:line="172" w:lineRule="exact"/>
        <w:rPr>
          <w:sz w:val="20"/>
          <w:szCs w:val="20"/>
          <w:color w:val="auto"/>
        </w:rPr>
      </w:pPr>
    </w:p>
    <w:p>
      <w:pPr>
        <w:jc w:val="both"/>
        <w:ind w:left="180" w:hanging="161"/>
        <w:spacing w:after="0" w:line="276" w:lineRule="auto"/>
        <w:rPr>
          <w:sz w:val="20"/>
          <w:szCs w:val="20"/>
          <w:color w:val="auto"/>
        </w:rPr>
      </w:pPr>
      <w:r>
        <w:rPr>
          <w:rFonts w:ascii="Arial" w:cs="Arial" w:eastAsia="Arial" w:hAnsi="Arial"/>
          <w:sz w:val="22"/>
          <w:szCs w:val="22"/>
          <w:b w:val="1"/>
          <w:bCs w:val="1"/>
          <w:color w:val="auto"/>
        </w:rPr>
        <w:t>6.Other Compensation or Benefits.</w:t>
      </w:r>
      <w:r>
        <w:rPr>
          <w:sz w:val="20"/>
          <w:szCs w:val="20"/>
          <w:color w:val="auto"/>
        </w:rPr>
        <w:t xml:space="preserve"> </w:t>
      </w:r>
      <w:r>
        <w:rPr>
          <w:rFonts w:ascii="Arial" w:cs="Arial" w:eastAsia="Arial" w:hAnsi="Arial"/>
          <w:sz w:val="22"/>
          <w:szCs w:val="22"/>
          <w:color w:val="auto"/>
        </w:rPr>
        <w:t>You acknowledge that, except as expressly provided in this Agreement, you will not receive any additional compensation, severance or benefits after the Separation Date.</w:t>
      </w:r>
    </w:p>
    <w:p>
      <w:pPr>
        <w:spacing w:after="0" w:line="174" w:lineRule="exact"/>
        <w:rPr>
          <w:sz w:val="20"/>
          <w:szCs w:val="20"/>
          <w:color w:val="auto"/>
        </w:rPr>
      </w:pPr>
    </w:p>
    <w:p>
      <w:pPr>
        <w:jc w:val="both"/>
        <w:ind w:left="180" w:hanging="161"/>
        <w:spacing w:after="0" w:line="262" w:lineRule="auto"/>
        <w:rPr>
          <w:sz w:val="20"/>
          <w:szCs w:val="20"/>
          <w:color w:val="auto"/>
        </w:rPr>
      </w:pPr>
      <w:r>
        <w:rPr>
          <w:rFonts w:ascii="Arial" w:cs="Arial" w:eastAsia="Arial" w:hAnsi="Arial"/>
          <w:sz w:val="22"/>
          <w:szCs w:val="22"/>
          <w:b w:val="1"/>
          <w:bCs w:val="1"/>
          <w:color w:val="auto"/>
        </w:rPr>
        <w:t>7.Expense Reimbursements.</w:t>
      </w:r>
      <w:r>
        <w:rPr>
          <w:sz w:val="20"/>
          <w:szCs w:val="20"/>
          <w:color w:val="auto"/>
        </w:rPr>
        <w:t xml:space="preserve"> </w:t>
      </w:r>
      <w:r>
        <w:rPr>
          <w:rFonts w:ascii="Arial" w:cs="Arial" w:eastAsia="Arial" w:hAnsi="Arial"/>
          <w:sz w:val="22"/>
          <w:szCs w:val="22"/>
          <w:color w:val="auto"/>
        </w:rPr>
        <w:t>You agree that, within ten (10) days of the Separation Date, you will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91" w:lineRule="exact"/>
        <w:rPr>
          <w:sz w:val="20"/>
          <w:szCs w:val="20"/>
          <w:color w:val="auto"/>
        </w:rPr>
      </w:pPr>
    </w:p>
    <w:p>
      <w:pPr>
        <w:jc w:val="both"/>
        <w:ind w:left="180" w:hanging="161"/>
        <w:spacing w:after="0" w:line="307" w:lineRule="auto"/>
        <w:rPr>
          <w:sz w:val="20"/>
          <w:szCs w:val="20"/>
          <w:color w:val="auto"/>
        </w:rPr>
      </w:pPr>
      <w:r>
        <w:rPr>
          <w:rFonts w:ascii="Arial" w:cs="Arial" w:eastAsia="Arial" w:hAnsi="Arial"/>
          <w:sz w:val="19"/>
          <w:szCs w:val="19"/>
          <w:b w:val="1"/>
          <w:bCs w:val="1"/>
          <w:color w:val="auto"/>
        </w:rPr>
        <w:t xml:space="preserve">8.Return of Company Property. </w:t>
      </w:r>
      <w:r>
        <w:rPr>
          <w:rFonts w:ascii="Arial" w:cs="Arial" w:eastAsia="Arial" w:hAnsi="Arial"/>
          <w:sz w:val="19"/>
          <w:szCs w:val="19"/>
          <w:color w:val="auto"/>
        </w:rPr>
        <w:t>By the Separation Date, you agree to return to the Company all Company documents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9"/>
          <w:szCs w:val="19"/>
          <w:b w:val="1"/>
          <w:bCs w:val="1"/>
          <w:color w:val="auto"/>
        </w:rPr>
        <w:t>Receipt of the severance benefits</w:t>
      </w:r>
      <w:r>
        <w:rPr>
          <w:rFonts w:ascii="Arial" w:cs="Arial" w:eastAsia="Arial" w:hAnsi="Arial"/>
          <w:sz w:val="19"/>
          <w:szCs w:val="19"/>
          <w:color w:val="auto"/>
        </w:rPr>
        <w:t xml:space="preserve"> </w:t>
      </w:r>
      <w:r>
        <w:rPr>
          <w:rFonts w:ascii="Arial" w:cs="Arial" w:eastAsia="Arial" w:hAnsi="Arial"/>
          <w:sz w:val="19"/>
          <w:szCs w:val="19"/>
          <w:b w:val="1"/>
          <w:bCs w:val="1"/>
          <w:color w:val="auto"/>
        </w:rPr>
        <w:t>described in Section 3 of this Agreement is expressly conditioned upon return of all Company Property.</w:t>
      </w:r>
    </w:p>
    <w:p>
      <w:pPr>
        <w:spacing w:after="0" w:line="150" w:lineRule="exact"/>
        <w:rPr>
          <w:sz w:val="20"/>
          <w:szCs w:val="20"/>
          <w:color w:val="auto"/>
        </w:rPr>
      </w:pPr>
    </w:p>
    <w:p>
      <w:pPr>
        <w:jc w:val="both"/>
        <w:ind w:left="180" w:hanging="161"/>
        <w:spacing w:after="0" w:line="304" w:lineRule="auto"/>
        <w:rPr>
          <w:sz w:val="20"/>
          <w:szCs w:val="20"/>
          <w:color w:val="auto"/>
        </w:rPr>
      </w:pPr>
      <w:r>
        <w:rPr>
          <w:rFonts w:ascii="Arial" w:cs="Arial" w:eastAsia="Arial" w:hAnsi="Arial"/>
          <w:sz w:val="19"/>
          <w:szCs w:val="19"/>
          <w:b w:val="1"/>
          <w:bCs w:val="1"/>
          <w:color w:val="auto"/>
        </w:rPr>
        <w:t xml:space="preserve">9.Confidential Information and Post-Termination Obligations. </w:t>
      </w:r>
      <w:r>
        <w:rPr>
          <w:rFonts w:ascii="Arial" w:cs="Arial" w:eastAsia="Arial" w:hAnsi="Arial"/>
          <w:sz w:val="19"/>
          <w:szCs w:val="19"/>
          <w:color w:val="auto"/>
        </w:rPr>
        <w:t>Both during and after your employment you acknowledge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your continuing 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w:t>
      </w:r>
    </w:p>
    <w:p>
      <w:pPr>
        <w:spacing w:after="0" w:line="12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spacing w:after="0" w:line="266" w:lineRule="auto"/>
        <w:rPr>
          <w:sz w:val="20"/>
          <w:szCs w:val="20"/>
          <w:color w:val="auto"/>
        </w:rPr>
      </w:pPr>
      <w:r>
        <w:rPr>
          <w:rFonts w:ascii="Arial" w:cs="Arial" w:eastAsia="Arial" w:hAnsi="Arial"/>
          <w:sz w:val="22"/>
          <w:szCs w:val="22"/>
          <w:color w:val="auto"/>
        </w:rPr>
        <w:t>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9" w:lineRule="exact"/>
        <w:rPr>
          <w:sz w:val="20"/>
          <w:szCs w:val="20"/>
          <w:color w:val="auto"/>
        </w:rPr>
      </w:pPr>
    </w:p>
    <w:p>
      <w:pPr>
        <w:jc w:val="both"/>
        <w:ind w:left="280" w:hanging="269"/>
        <w:spacing w:after="0" w:line="303" w:lineRule="auto"/>
        <w:rPr>
          <w:sz w:val="20"/>
          <w:szCs w:val="20"/>
          <w:color w:val="auto"/>
        </w:rPr>
      </w:pPr>
      <w:r>
        <w:rPr>
          <w:rFonts w:ascii="Arial" w:cs="Arial" w:eastAsia="Arial" w:hAnsi="Arial"/>
          <w:sz w:val="22"/>
          <w:szCs w:val="22"/>
          <w:b w:val="1"/>
          <w:bCs w:val="1"/>
          <w:color w:val="auto"/>
        </w:rPr>
        <w:t>10.Non-Compete.</w:t>
      </w:r>
      <w:r>
        <w:rPr>
          <w:sz w:val="20"/>
          <w:szCs w:val="20"/>
          <w:color w:val="auto"/>
        </w:rPr>
        <w:t xml:space="preserve"> </w:t>
      </w:r>
      <w:r>
        <w:rPr>
          <w:rFonts w:ascii="Arial" w:cs="Arial" w:eastAsia="Arial" w:hAnsi="Arial"/>
          <w:sz w:val="19"/>
          <w:szCs w:val="19"/>
          <w:color w:val="auto"/>
        </w:rPr>
        <w:t>In exchange for the payments and other consideration under this Agreement, to which you would not 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64" w:lineRule="exact"/>
        <w:rPr>
          <w:sz w:val="20"/>
          <w:szCs w:val="20"/>
          <w:color w:val="auto"/>
        </w:rPr>
      </w:pPr>
    </w:p>
    <w:p>
      <w:pPr>
        <w:jc w:val="both"/>
        <w:ind w:firstLine="800"/>
        <w:spacing w:after="0" w:line="266" w:lineRule="auto"/>
        <w:tabs>
          <w:tab w:leader="none" w:pos="1397" w:val="left"/>
        </w:tabs>
        <w:numPr>
          <w:ilvl w:val="0"/>
          <w:numId w:val="47"/>
        </w:numPr>
        <w:rPr>
          <w:rFonts w:ascii="Arial" w:cs="Arial" w:eastAsia="Arial" w:hAnsi="Arial"/>
          <w:sz w:val="22"/>
          <w:szCs w:val="22"/>
          <w:b w:val="1"/>
          <w:bCs w:val="1"/>
          <w:color w:val="auto"/>
        </w:rPr>
      </w:pPr>
      <w:r>
        <w:rPr>
          <w:rFonts w:ascii="Arial" w:cs="Arial" w:eastAsia="Arial" w:hAnsi="Arial"/>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84" w:lineRule="exact"/>
        <w:rPr>
          <w:rFonts w:ascii="Arial" w:cs="Arial" w:eastAsia="Arial" w:hAnsi="Arial"/>
          <w:sz w:val="22"/>
          <w:szCs w:val="22"/>
          <w:b w:val="1"/>
          <w:bCs w:val="1"/>
          <w:color w:val="auto"/>
        </w:rPr>
      </w:pPr>
    </w:p>
    <w:p>
      <w:pPr>
        <w:jc w:val="both"/>
        <w:ind w:firstLine="800"/>
        <w:spacing w:after="0" w:line="266" w:lineRule="auto"/>
        <w:tabs>
          <w:tab w:leader="none" w:pos="1397" w:val="left"/>
        </w:tabs>
        <w:numPr>
          <w:ilvl w:val="0"/>
          <w:numId w:val="47"/>
        </w:numPr>
        <w:rPr>
          <w:rFonts w:ascii="Arial" w:cs="Arial" w:eastAsia="Arial" w:hAnsi="Arial"/>
          <w:sz w:val="22"/>
          <w:szCs w:val="22"/>
          <w:b w:val="1"/>
          <w:bCs w:val="1"/>
          <w:color w:val="auto"/>
        </w:rPr>
      </w:pPr>
      <w:r>
        <w:rPr>
          <w:rFonts w:ascii="Arial" w:cs="Arial" w:eastAsia="Arial" w:hAnsi="Arial"/>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79" w:lineRule="exact"/>
        <w:rPr>
          <w:sz w:val="20"/>
          <w:szCs w:val="20"/>
          <w:color w:val="auto"/>
        </w:rPr>
      </w:pPr>
    </w:p>
    <w:p>
      <w:pPr>
        <w:jc w:val="right"/>
        <w:spacing w:after="0" w:line="302" w:lineRule="auto"/>
        <w:rPr>
          <w:sz w:val="20"/>
          <w:szCs w:val="20"/>
          <w:color w:val="auto"/>
        </w:rPr>
      </w:pPr>
      <w:r>
        <w:rPr>
          <w:rFonts w:ascii="Arial" w:cs="Arial" w:eastAsia="Arial" w:hAnsi="Arial"/>
          <w:sz w:val="19"/>
          <w:szCs w:val="19"/>
          <w:b w:val="1"/>
          <w:bCs w:val="1"/>
          <w:color w:val="auto"/>
        </w:rPr>
        <w:t xml:space="preserve">3.Confidentiality.  </w:t>
      </w:r>
      <w:r>
        <w:rPr>
          <w:rFonts w:ascii="Arial" w:cs="Arial" w:eastAsia="Arial" w:hAnsi="Arial"/>
          <w:sz w:val="19"/>
          <w:szCs w:val="19"/>
          <w:color w:val="auto"/>
        </w:rPr>
        <w:t>The provisions of this Agreement will be held in strictest confidence by you and will not be publicized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disclosed in any manner whatsoever;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you may disclose this Agreement to your immediate family;</w:t>
      </w:r>
    </w:p>
    <w:p>
      <w:pPr>
        <w:spacing w:after="0" w:line="1" w:lineRule="exact"/>
        <w:rPr>
          <w:sz w:val="20"/>
          <w:szCs w:val="20"/>
          <w:color w:val="auto"/>
        </w:rPr>
      </w:pPr>
    </w:p>
    <w:p>
      <w:pPr>
        <w:ind w:left="480" w:hanging="310"/>
        <w:spacing w:after="0"/>
        <w:tabs>
          <w:tab w:leader="none" w:pos="4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you may disclose this Agreement in confidence to your attorney, accountant, auditor, tax preparer, and financial advisor; and</w:t>
      </w:r>
    </w:p>
    <w:p>
      <w:pPr>
        <w:spacing w:after="0" w:line="51" w:lineRule="exact"/>
        <w:rPr>
          <w:rFonts w:ascii="Arial" w:cs="Arial" w:eastAsia="Arial" w:hAnsi="Arial"/>
          <w:sz w:val="19"/>
          <w:szCs w:val="19"/>
          <w:color w:val="auto"/>
        </w:rPr>
      </w:pPr>
    </w:p>
    <w:p>
      <w:pPr>
        <w:jc w:val="both"/>
        <w:ind w:left="180" w:hanging="10"/>
        <w:spacing w:after="0" w:line="275" w:lineRule="auto"/>
        <w:tabs>
          <w:tab w:leader="none" w:pos="474" w:val="left"/>
        </w:tabs>
        <w:numPr>
          <w:ilvl w:val="0"/>
          <w:numId w:val="48"/>
        </w:numPr>
        <w:rPr>
          <w:rFonts w:ascii="Arial" w:cs="Arial" w:eastAsia="Arial" w:hAnsi="Arial"/>
          <w:sz w:val="21"/>
          <w:szCs w:val="21"/>
          <w:color w:val="auto"/>
        </w:rPr>
      </w:pPr>
      <w:r>
        <w:rPr>
          <w:rFonts w:ascii="Arial" w:cs="Arial" w:eastAsia="Arial" w:hAnsi="Arial"/>
          <w:sz w:val="21"/>
          <w:szCs w:val="21"/>
          <w:color w:val="auto"/>
        </w:rPr>
        <w:t>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2" w:lineRule="exact"/>
        <w:rPr>
          <w:sz w:val="20"/>
          <w:szCs w:val="20"/>
          <w:color w:val="auto"/>
        </w:rPr>
      </w:pPr>
    </w:p>
    <w:p>
      <w:pPr>
        <w:jc w:val="both"/>
        <w:ind w:left="180" w:hanging="161"/>
        <w:spacing w:after="0" w:line="260" w:lineRule="auto"/>
        <w:rPr>
          <w:sz w:val="20"/>
          <w:szCs w:val="20"/>
          <w:color w:val="auto"/>
        </w:rPr>
      </w:pPr>
      <w:r>
        <w:rPr>
          <w:rFonts w:ascii="Arial" w:cs="Arial" w:eastAsia="Arial" w:hAnsi="Arial"/>
          <w:sz w:val="22"/>
          <w:szCs w:val="22"/>
          <w:b w:val="1"/>
          <w:bCs w:val="1"/>
          <w:color w:val="auto"/>
        </w:rPr>
        <w:t xml:space="preserve">4.Non-Disparagement. </w:t>
      </w:r>
      <w:r>
        <w:rPr>
          <w:rFonts w:ascii="Arial" w:cs="Arial" w:eastAsia="Arial" w:hAnsi="Arial"/>
          <w:sz w:val="22"/>
          <w:szCs w:val="22"/>
          <w:color w:val="auto"/>
        </w:rPr>
        <w:t>You agree not to disparage the Company, and the Company’s attorneys, directors, managers, partners,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w:t>
      </w:r>
    </w:p>
    <w:p>
      <w:pPr>
        <w:spacing w:after="0" w:line="16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22"/>
          <w:szCs w:val="22"/>
          <w:color w:val="auto"/>
        </w:rPr>
        <w:t>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84" w:lineRule="exact"/>
        <w:rPr>
          <w:sz w:val="20"/>
          <w:szCs w:val="20"/>
          <w:color w:val="auto"/>
        </w:rPr>
      </w:pPr>
    </w:p>
    <w:p>
      <w:pPr>
        <w:jc w:val="both"/>
        <w:ind w:left="180" w:hanging="161"/>
        <w:spacing w:after="0" w:line="281" w:lineRule="auto"/>
        <w:rPr>
          <w:sz w:val="20"/>
          <w:szCs w:val="20"/>
          <w:color w:val="auto"/>
        </w:rPr>
      </w:pPr>
      <w:r>
        <w:rPr>
          <w:rFonts w:ascii="Arial" w:cs="Arial" w:eastAsia="Arial" w:hAnsi="Arial"/>
          <w:sz w:val="21"/>
          <w:szCs w:val="21"/>
          <w:b w:val="1"/>
          <w:bCs w:val="1"/>
          <w:color w:val="auto"/>
        </w:rPr>
        <w:t xml:space="preserve">5.Cooperation after Termination. </w:t>
      </w:r>
      <w:r>
        <w:rPr>
          <w:rFonts w:ascii="Arial" w:cs="Arial" w:eastAsia="Arial" w:hAnsi="Arial"/>
          <w:sz w:val="21"/>
          <w:szCs w:val="21"/>
          <w:color w:val="auto"/>
        </w:rPr>
        <w:t>You agree to cooperate fully with the Company in all matters relating to the transition of your</w:t>
      </w:r>
      <w:r>
        <w:rPr>
          <w:rFonts w:ascii="Arial" w:cs="Arial" w:eastAsia="Arial" w:hAnsi="Arial"/>
          <w:sz w:val="21"/>
          <w:szCs w:val="21"/>
          <w:b w:val="1"/>
          <w:bCs w:val="1"/>
          <w:color w:val="auto"/>
        </w:rPr>
        <w:t xml:space="preserve"> </w:t>
      </w:r>
      <w:r>
        <w:rPr>
          <w:rFonts w:ascii="Arial" w:cs="Arial" w:eastAsia="Arial" w:hAnsi="Arial"/>
          <w:sz w:val="21"/>
          <w:szCs w:val="21"/>
          <w:color w:val="auto"/>
        </w:rPr>
        <w:t>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65" w:lineRule="exact"/>
        <w:rPr>
          <w:sz w:val="20"/>
          <w:szCs w:val="20"/>
          <w:color w:val="auto"/>
        </w:rPr>
      </w:pPr>
    </w:p>
    <w:p>
      <w:pPr>
        <w:jc w:val="both"/>
        <w:ind w:left="180" w:hanging="161"/>
        <w:spacing w:after="0" w:line="301" w:lineRule="auto"/>
        <w:rPr>
          <w:sz w:val="20"/>
          <w:szCs w:val="20"/>
          <w:color w:val="auto"/>
        </w:rPr>
      </w:pPr>
      <w:r>
        <w:rPr>
          <w:rFonts w:ascii="Arial" w:cs="Arial" w:eastAsia="Arial" w:hAnsi="Arial"/>
          <w:sz w:val="19"/>
          <w:szCs w:val="19"/>
          <w:b w:val="1"/>
          <w:bCs w:val="1"/>
          <w:color w:val="auto"/>
        </w:rPr>
        <w:t xml:space="preserve">6.Release. </w:t>
      </w:r>
      <w:r>
        <w:rPr>
          <w:rFonts w:ascii="Arial" w:cs="Arial" w:eastAsia="Arial" w:hAnsi="Arial"/>
          <w:sz w:val="19"/>
          <w:szCs w:val="19"/>
          <w:color w:val="auto"/>
        </w:rPr>
        <w:t>In exchange for the payments and other consideration under this Agreement, to which you would not otherwise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58" w:lineRule="exact"/>
        <w:rPr>
          <w:sz w:val="20"/>
          <w:szCs w:val="20"/>
          <w:color w:val="auto"/>
        </w:rPr>
      </w:pPr>
    </w:p>
    <w:p>
      <w:pPr>
        <w:ind w:left="1500" w:right="680" w:hanging="690"/>
        <w:spacing w:after="0" w:line="276" w:lineRule="auto"/>
        <w:tabs>
          <w:tab w:leader="none" w:pos="12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has violated its personnel policies, handbooks, contracts of employment, or covenants of good faith and fair dealing;</w:t>
      </w:r>
    </w:p>
    <w:p>
      <w:pPr>
        <w:spacing w:after="0" w:line="174" w:lineRule="exact"/>
        <w:rPr>
          <w:rFonts w:ascii="Arial" w:cs="Arial" w:eastAsia="Arial" w:hAnsi="Arial"/>
          <w:sz w:val="22"/>
          <w:szCs w:val="22"/>
          <w:color w:val="auto"/>
        </w:rPr>
      </w:pPr>
    </w:p>
    <w:p>
      <w:pPr>
        <w:ind w:left="1500" w:right="80" w:hanging="690"/>
        <w:spacing w:after="0" w:line="273" w:lineRule="auto"/>
        <w:tabs>
          <w:tab w:leader="none" w:pos="1237" w:val="left"/>
        </w:tabs>
        <w:numPr>
          <w:ilvl w:val="0"/>
          <w:numId w:val="49"/>
        </w:numPr>
        <w:rPr>
          <w:rFonts w:ascii="Arial" w:cs="Arial" w:eastAsia="Arial" w:hAnsi="Arial"/>
          <w:sz w:val="21"/>
          <w:szCs w:val="21"/>
          <w:color w:val="auto"/>
        </w:rPr>
      </w:pPr>
      <w:r>
        <w:rPr>
          <w:rFonts w:ascii="Arial" w:cs="Arial" w:eastAsia="Arial" w:hAnsi="Arial"/>
          <w:sz w:val="21"/>
          <w:szCs w:val="21"/>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w:t>
      </w:r>
    </w:p>
    <w:p>
      <w:pPr>
        <w:spacing w:after="0" w:line="15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ind w:left="1500" w:right="240"/>
        <w:spacing w:after="0" w:line="304" w:lineRule="auto"/>
        <w:rPr>
          <w:sz w:val="20"/>
          <w:szCs w:val="20"/>
          <w:color w:val="auto"/>
        </w:rPr>
      </w:pPr>
      <w:r>
        <w:rPr>
          <w:rFonts w:ascii="Arial" w:cs="Arial" w:eastAsia="Arial" w:hAnsi="Arial"/>
          <w:sz w:val="19"/>
          <w:szCs w:val="19"/>
          <w:color w:val="auto"/>
        </w:rPr>
        <w:t>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155" w:lineRule="exact"/>
        <w:rPr>
          <w:sz w:val="20"/>
          <w:szCs w:val="20"/>
          <w:color w:val="auto"/>
        </w:rPr>
      </w:pPr>
    </w:p>
    <w:p>
      <w:pPr>
        <w:ind w:left="1500" w:hanging="690"/>
        <w:spacing w:after="0" w:line="303" w:lineRule="auto"/>
        <w:tabs>
          <w:tab w:leader="none" w:pos="1237" w:val="left"/>
        </w:tabs>
        <w:numPr>
          <w:ilvl w:val="0"/>
          <w:numId w:val="50"/>
        </w:numPr>
        <w:rPr>
          <w:rFonts w:ascii="Arial" w:cs="Arial" w:eastAsia="Arial" w:hAnsi="Arial"/>
          <w:sz w:val="19"/>
          <w:szCs w:val="19"/>
          <w:color w:val="auto"/>
        </w:rPr>
      </w:pPr>
      <w:r>
        <w:rPr>
          <w:rFonts w:ascii="Arial" w:cs="Arial" w:eastAsia="Arial" w:hAnsi="Arial"/>
          <w:sz w:val="19"/>
          <w:szCs w:val="19"/>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57" w:lineRule="exact"/>
        <w:rPr>
          <w:rFonts w:ascii="Arial" w:cs="Arial" w:eastAsia="Arial" w:hAnsi="Arial"/>
          <w:sz w:val="19"/>
          <w:szCs w:val="19"/>
          <w:color w:val="auto"/>
        </w:rPr>
      </w:pPr>
    </w:p>
    <w:p>
      <w:pPr>
        <w:ind w:left="1500" w:right="100" w:hanging="690"/>
        <w:spacing w:after="0" w:line="272" w:lineRule="auto"/>
        <w:tabs>
          <w:tab w:leader="none" w:pos="1237" w:val="left"/>
        </w:tabs>
        <w:numPr>
          <w:ilvl w:val="0"/>
          <w:numId w:val="50"/>
        </w:numPr>
        <w:rPr>
          <w:rFonts w:ascii="Arial" w:cs="Arial" w:eastAsia="Arial" w:hAnsi="Arial"/>
          <w:sz w:val="21"/>
          <w:szCs w:val="21"/>
          <w:color w:val="auto"/>
        </w:rPr>
      </w:pPr>
      <w:r>
        <w:rPr>
          <w:rFonts w:ascii="Arial" w:cs="Arial" w:eastAsia="Arial" w:hAnsi="Arial"/>
          <w:sz w:val="21"/>
          <w:szCs w:val="21"/>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8" w:name="page119"/>
    <w:bookmarkEnd w:id="118"/>
    <w:p>
      <w:pPr>
        <w:ind w:right="40"/>
        <w:spacing w:after="0" w:line="300" w:lineRule="auto"/>
        <w:rPr>
          <w:sz w:val="20"/>
          <w:szCs w:val="20"/>
          <w:color w:val="auto"/>
        </w:rPr>
      </w:pPr>
      <w:r>
        <w:rPr>
          <w:rFonts w:ascii="Arial" w:cs="Arial" w:eastAsia="Arial" w:hAnsi="Arial"/>
          <w:sz w:val="19"/>
          <w:szCs w:val="19"/>
          <w:color w:val="auto"/>
        </w:rPr>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63" w:lineRule="exact"/>
        <w:rPr>
          <w:sz w:val="20"/>
          <w:szCs w:val="20"/>
          <w:color w:val="auto"/>
        </w:rPr>
      </w:pPr>
    </w:p>
    <w:p>
      <w:pPr>
        <w:jc w:val="both"/>
        <w:ind w:left="180" w:hanging="161"/>
        <w:spacing w:after="0" w:line="300" w:lineRule="auto"/>
        <w:rPr>
          <w:sz w:val="20"/>
          <w:szCs w:val="20"/>
          <w:color w:val="auto"/>
        </w:rPr>
      </w:pPr>
      <w:r>
        <w:rPr>
          <w:rFonts w:ascii="Arial" w:cs="Arial" w:eastAsia="Arial" w:hAnsi="Arial"/>
          <w:sz w:val="19"/>
          <w:szCs w:val="19"/>
          <w:b w:val="1"/>
          <w:bCs w:val="1"/>
          <w:color w:val="auto"/>
        </w:rPr>
        <w:t xml:space="preserve">7.Your Acknowledgments and Affirmations/ Effective Date of Agreement. </w:t>
      </w:r>
      <w:r>
        <w:rPr>
          <w:rFonts w:ascii="Arial" w:cs="Arial" w:eastAsia="Arial" w:hAnsi="Arial"/>
          <w:sz w:val="19"/>
          <w:szCs w:val="19"/>
          <w:color w:val="auto"/>
        </w:rPr>
        <w:t>You acknowledge that you are knowingly and</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w:t>
      </w:r>
    </w:p>
    <w:p>
      <w:pPr>
        <w:spacing w:after="0" w:line="200" w:lineRule="exact"/>
        <w:rPr>
          <w:sz w:val="20"/>
          <w:szCs w:val="20"/>
          <w:color w:val="auto"/>
        </w:rPr>
      </w:pPr>
    </w:p>
    <w:p>
      <w:pPr>
        <w:spacing w:after="0" w:line="20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jc w:val="both"/>
        <w:spacing w:after="0" w:line="276" w:lineRule="auto"/>
        <w:rPr>
          <w:sz w:val="20"/>
          <w:szCs w:val="20"/>
          <w:color w:val="auto"/>
        </w:rPr>
      </w:pPr>
      <w:r>
        <w:rPr>
          <w:rFonts w:ascii="Arial" w:cs="Arial" w:eastAsia="Arial" w:hAnsi="Arial"/>
          <w:sz w:val="22"/>
          <w:szCs w:val="22"/>
          <w:color w:val="auto"/>
        </w:rPr>
        <w:t>shall not be effective until the date upon which the revocation period has expired unexercised (the "Effective Date"), which shall be the eighth business day after this Agreement is executed by you.</w:t>
      </w:r>
    </w:p>
    <w:p>
      <w:pPr>
        <w:spacing w:after="0" w:line="168"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22"/>
          <w:szCs w:val="22"/>
          <w:b w:val="1"/>
          <w:bCs w:val="1"/>
          <w:color w:val="auto"/>
        </w:rPr>
        <w:t xml:space="preserve">8.No Admission. </w:t>
      </w:r>
      <w:r>
        <w:rPr>
          <w:rFonts w:ascii="Arial" w:cs="Arial" w:eastAsia="Arial" w:hAnsi="Arial"/>
          <w:sz w:val="22"/>
          <w:szCs w:val="22"/>
          <w:color w:val="auto"/>
        </w:rPr>
        <w:t>This Agreement does not constitute an admission by the Company of any wrongful action or violation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state, or local statute, or common law rights, including those relating to the provisions of any law or statute concerning employment actions, or of any other possible or claimed violation of law or rights.</w:t>
      </w:r>
    </w:p>
    <w:p>
      <w:pPr>
        <w:spacing w:after="0" w:line="175" w:lineRule="exact"/>
        <w:rPr>
          <w:sz w:val="20"/>
          <w:szCs w:val="20"/>
          <w:color w:val="auto"/>
        </w:rPr>
      </w:pPr>
    </w:p>
    <w:p>
      <w:pPr>
        <w:jc w:val="both"/>
        <w:ind w:left="180" w:hanging="161"/>
        <w:spacing w:after="0" w:line="273" w:lineRule="auto"/>
        <w:rPr>
          <w:sz w:val="20"/>
          <w:szCs w:val="20"/>
          <w:color w:val="auto"/>
        </w:rPr>
      </w:pPr>
      <w:r>
        <w:rPr>
          <w:rFonts w:ascii="Arial" w:cs="Arial" w:eastAsia="Arial" w:hAnsi="Arial"/>
          <w:sz w:val="21"/>
          <w:szCs w:val="21"/>
          <w:b w:val="1"/>
          <w:bCs w:val="1"/>
          <w:color w:val="auto"/>
        </w:rPr>
        <w:t xml:space="preserve">9.Breach. </w:t>
      </w:r>
      <w:r>
        <w:rPr>
          <w:rFonts w:ascii="Arial" w:cs="Arial" w:eastAsia="Arial" w:hAnsi="Arial"/>
          <w:sz w:val="21"/>
          <w:szCs w:val="21"/>
          <w:color w:val="auto"/>
        </w:rPr>
        <w:t>You agree that upon any breach of this Agreement you will forfeit all amounts paid or owing to you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74" w:lineRule="exact"/>
        <w:rPr>
          <w:sz w:val="20"/>
          <w:szCs w:val="20"/>
          <w:color w:val="auto"/>
        </w:rPr>
      </w:pPr>
    </w:p>
    <w:p>
      <w:pPr>
        <w:jc w:val="both"/>
        <w:ind w:left="280" w:hanging="269"/>
        <w:spacing w:after="0" w:line="304" w:lineRule="auto"/>
        <w:rPr>
          <w:sz w:val="20"/>
          <w:szCs w:val="20"/>
          <w:color w:val="auto"/>
        </w:rPr>
      </w:pPr>
      <w:r>
        <w:rPr>
          <w:rFonts w:ascii="Arial" w:cs="Arial" w:eastAsia="Arial" w:hAnsi="Arial"/>
          <w:sz w:val="19"/>
          <w:szCs w:val="19"/>
          <w:b w:val="1"/>
          <w:bCs w:val="1"/>
          <w:color w:val="auto"/>
        </w:rPr>
        <w:t xml:space="preserve">10.Miscellaneous. </w:t>
      </w:r>
      <w:r>
        <w:rPr>
          <w:rFonts w:ascii="Arial" w:cs="Arial" w:eastAsia="Arial" w:hAnsi="Arial"/>
          <w:sz w:val="19"/>
          <w:szCs w:val="19"/>
          <w:color w:val="auto"/>
        </w:rPr>
        <w:t>This Agreement, including any exhibits, constitutes the complete, final and exclusive embodiment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200" w:lineRule="exact"/>
        <w:rPr>
          <w:sz w:val="20"/>
          <w:szCs w:val="20"/>
          <w:color w:val="auto"/>
        </w:rPr>
      </w:pPr>
    </w:p>
    <w:p>
      <w:pPr>
        <w:spacing w:after="0" w:line="219" w:lineRule="exact"/>
        <w:rPr>
          <w:sz w:val="20"/>
          <w:szCs w:val="20"/>
          <w:color w:val="auto"/>
        </w:rPr>
      </w:pPr>
    </w:p>
    <w:p>
      <w:pPr>
        <w:jc w:val="both"/>
        <w:ind w:left="260" w:hanging="257"/>
        <w:spacing w:after="0" w:line="272" w:lineRule="auto"/>
        <w:rPr>
          <w:sz w:val="20"/>
          <w:szCs w:val="20"/>
          <w:color w:val="auto"/>
        </w:rPr>
      </w:pPr>
      <w:r>
        <w:rPr>
          <w:rFonts w:ascii="Arial" w:cs="Arial" w:eastAsia="Arial" w:hAnsi="Arial"/>
          <w:sz w:val="21"/>
          <w:szCs w:val="21"/>
          <w:b w:val="1"/>
          <w:bCs w:val="1"/>
          <w:color w:val="auto"/>
        </w:rPr>
        <w:t>11.</w:t>
      </w:r>
      <w:r>
        <w:rPr>
          <w:rFonts w:ascii="Arial" w:cs="Arial" w:eastAsia="Arial" w:hAnsi="Arial"/>
          <w:sz w:val="21"/>
          <w:szCs w:val="21"/>
          <w:color w:val="auto"/>
        </w:rPr>
        <w:t>To ensure the rapid and economical resolution of disputes that may arise in connection with your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8"/>
          <w:szCs w:val="18"/>
          <w:color w:val="auto"/>
        </w:rPr>
        <w:t>http://www.jamsadr.com/rules-employment-arbitration/</w:t>
      </w:r>
      <w:r>
        <w:rPr>
          <w:rFonts w:ascii="Arial" w:cs="Arial" w:eastAsia="Arial" w:hAnsi="Arial"/>
          <w:sz w:val="21"/>
          <w:szCs w:val="21"/>
          <w:color w:val="auto"/>
        </w:rPr>
        <w:t xml:space="preserve">). </w:t>
      </w:r>
      <w:r>
        <w:rPr>
          <w:rFonts w:ascii="Arial" w:cs="Arial" w:eastAsia="Arial" w:hAnsi="Arial"/>
          <w:sz w:val="21"/>
          <w:szCs w:val="21"/>
          <w:b w:val="1"/>
          <w:bCs w:val="1"/>
          <w:color w:val="auto"/>
        </w:rPr>
        <w:t>You acknowledge that by agreeing to this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arbitration procedure, both you and the Company waive the right to resolve any such dispute through a trial by jury or judge or administrative proceeding. </w:t>
      </w:r>
      <w:r>
        <w:rPr>
          <w:rFonts w:ascii="Arial" w:cs="Arial" w:eastAsia="Arial" w:hAnsi="Arial"/>
          <w:sz w:val="21"/>
          <w:szCs w:val="21"/>
          <w:color w:val="auto"/>
        </w:rPr>
        <w:t>You</w:t>
      </w:r>
    </w:p>
    <w:p>
      <w:pPr>
        <w:spacing w:after="0" w:line="15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spacing w:after="0" w:line="299" w:lineRule="auto"/>
        <w:rPr>
          <w:sz w:val="20"/>
          <w:szCs w:val="20"/>
          <w:color w:val="auto"/>
        </w:rPr>
      </w:pPr>
      <w:r>
        <w:rPr>
          <w:rFonts w:ascii="Arial" w:cs="Arial" w:eastAsia="Arial" w:hAnsi="Arial"/>
          <w:sz w:val="19"/>
          <w:szCs w:val="19"/>
          <w:color w:val="auto"/>
        </w:rPr>
        <w:t>will have the right to be represented by legal counsel at any arbitration proceeding. The arbitrator shall: (a) have the authority to compel adequate discovery for the resolution of the dispute and to award such relief as would otherwise be permitted by law; and</w:t>
      </w:r>
    </w:p>
    <w:p>
      <w:pPr>
        <w:jc w:val="both"/>
        <w:ind w:firstLine="8"/>
        <w:spacing w:after="0" w:line="307" w:lineRule="auto"/>
        <w:tabs>
          <w:tab w:leader="none" w:pos="316" w:val="left"/>
        </w:tabs>
        <w:numPr>
          <w:ilvl w:val="0"/>
          <w:numId w:val="51"/>
        </w:numPr>
        <w:rPr>
          <w:rFonts w:ascii="Arial" w:cs="Arial" w:eastAsia="Arial" w:hAnsi="Arial"/>
          <w:sz w:val="19"/>
          <w:szCs w:val="19"/>
          <w:color w:val="auto"/>
        </w:rPr>
      </w:pPr>
      <w:r>
        <w:rPr>
          <w:rFonts w:ascii="Arial" w:cs="Arial" w:eastAsia="Arial" w:hAnsi="Arial"/>
          <w:sz w:val="19"/>
          <w:szCs w:val="19"/>
          <w:color w:val="auto"/>
        </w:rPr>
        <w:t>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55" w:lineRule="exact"/>
        <w:rPr>
          <w:sz w:val="20"/>
          <w:szCs w:val="20"/>
          <w:color w:val="auto"/>
        </w:rPr>
      </w:pPr>
    </w:p>
    <w:p>
      <w:pPr>
        <w:jc w:val="both"/>
        <w:ind w:right="280"/>
        <w:spacing w:after="0" w:line="266" w:lineRule="auto"/>
        <w:rPr>
          <w:sz w:val="20"/>
          <w:szCs w:val="20"/>
          <w:color w:val="auto"/>
        </w:rPr>
      </w:pPr>
      <w:r>
        <w:rPr>
          <w:rFonts w:ascii="Arial" w:cs="Arial" w:eastAsia="Arial" w:hAnsi="Arial"/>
          <w:sz w:val="22"/>
          <w:szCs w:val="22"/>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 wish you good luck in your future endeavors.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Adagio Therapeutics,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GREED TO AND</w:t>
      </w:r>
      <w:r>
        <w:rPr>
          <w:rFonts w:ascii="Arial" w:cs="Arial" w:eastAsia="Arial" w:hAnsi="Arial"/>
          <w:sz w:val="22"/>
          <w:szCs w:val="22"/>
          <w:color w:val="auto"/>
        </w:rPr>
        <w:t xml:space="preserve"> A</w:t>
      </w:r>
      <w:r>
        <w:rPr>
          <w:rFonts w:ascii="Arial" w:cs="Arial" w:eastAsia="Arial" w:hAnsi="Arial"/>
          <w:sz w:val="14"/>
          <w:szCs w:val="14"/>
          <w:color w:val="auto"/>
        </w:rPr>
        <w:t>CCEPTED</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center"/>
        <w:ind w:right="-259"/>
        <w:spacing w:after="0"/>
        <w:rPr>
          <w:sz w:val="20"/>
          <w:szCs w:val="20"/>
          <w:color w:val="auto"/>
        </w:rPr>
      </w:pPr>
      <w:r>
        <w:rPr>
          <w:rFonts w:ascii="Arial" w:cs="Arial" w:eastAsia="Arial" w:hAnsi="Arial"/>
          <w:sz w:val="22"/>
          <w:szCs w:val="22"/>
          <w:b w:val="1"/>
          <w:bCs w:val="1"/>
          <w:color w:val="auto"/>
        </w:rPr>
        <w:t>CONSIDERATION PERIOD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I, ____________________, understand that I have the right to take at least 21 days to consider whether to sign this Agreement,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which I received on ___________ __, 20__. If I elect to sign this Agreement before 21 days have passed, I understand I am to</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sign and date below this paragraph to confirm that I knowingly and voluntarily agree to waive the 21-day consideration period.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274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55" w:right="579" w:bottom="1440" w:gutter="0" w:footer="0" w:header="0"/>
        </w:sectPr>
      </w:pPr>
    </w:p>
    <w:bookmarkStart w:id="122" w:name="page123"/>
    <w:bookmarkEnd w:id="122"/>
    <w:p>
      <w:pPr>
        <w:ind w:left="10120"/>
        <w:spacing w:after="0"/>
        <w:rPr>
          <w:sz w:val="20"/>
          <w:szCs w:val="20"/>
          <w:color w:val="auto"/>
        </w:rPr>
      </w:pPr>
      <w:r>
        <w:rPr>
          <w:rFonts w:ascii="Arial" w:cs="Arial" w:eastAsia="Arial" w:hAnsi="Arial"/>
          <w:sz w:val="19"/>
          <w:szCs w:val="19"/>
          <w:b w:val="1"/>
          <w:bCs w:val="1"/>
          <w:color w:val="323E4F"/>
        </w:rPr>
        <w:t>Exhibit 10.2</w:t>
      </w:r>
    </w:p>
    <w:p>
      <w:pPr>
        <w:spacing w:after="0" w:line="328" w:lineRule="exact"/>
        <w:rPr>
          <w:sz w:val="20"/>
          <w:szCs w:val="20"/>
          <w:color w:val="auto"/>
        </w:rPr>
      </w:pPr>
    </w:p>
    <w:p>
      <w:pPr>
        <w:jc w:val="center"/>
        <w:ind w:right="60"/>
        <w:spacing w:after="0" w:line="27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is both not material and the type that the registrant treats as private or confidential.</w:t>
      </w:r>
    </w:p>
    <w:p>
      <w:pPr>
        <w:spacing w:after="0" w:line="270" w:lineRule="exact"/>
        <w:rPr>
          <w:sz w:val="20"/>
          <w:szCs w:val="20"/>
          <w:color w:val="auto"/>
        </w:rPr>
      </w:pPr>
    </w:p>
    <w:p>
      <w:pPr>
        <w:ind w:right="1580"/>
        <w:spacing w:after="0" w:line="292" w:lineRule="auto"/>
        <w:rPr>
          <w:sz w:val="20"/>
          <w:szCs w:val="20"/>
          <w:color w:val="auto"/>
        </w:rPr>
      </w:pPr>
      <w:r>
        <w:rPr>
          <w:rFonts w:ascii="Arial" w:cs="Arial" w:eastAsia="Arial" w:hAnsi="Arial"/>
          <w:sz w:val="46"/>
          <w:szCs w:val="46"/>
          <w:color w:val="323E4F"/>
        </w:rPr>
        <w:t>AMENDED AND RESTATED COMMERCIAL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COMMERCIAL MANUFACTURING SERVICES AGREEMENT</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THIS AMENDED AND RESTATED COMMERCIAL MANUFACTURING SERVICES AGREEMENT is made as of August 12, 2021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WuXi Biologics (Hong Kong) Limited, a corporation organized under the laws of Hong Kong, with its registered address at Flat/RM826, 8/F Ocean Centre Harbour City, 5 Canton Road TST, Hong Kong (“</w:t>
      </w:r>
      <w:r>
        <w:rPr>
          <w:rFonts w:ascii="Arial" w:cs="Arial" w:eastAsia="Arial" w:hAnsi="Arial"/>
          <w:sz w:val="20"/>
          <w:szCs w:val="20"/>
          <w:b w:val="1"/>
          <w:bCs w:val="1"/>
          <w:color w:val="auto"/>
        </w:rPr>
        <w:t>WuXi Biologics</w:t>
      </w:r>
      <w:r>
        <w:rPr>
          <w:rFonts w:ascii="Arial" w:cs="Arial" w:eastAsia="Arial" w:hAnsi="Arial"/>
          <w:sz w:val="20"/>
          <w:szCs w:val="20"/>
          <w:color w:val="auto"/>
        </w:rPr>
        <w:t>”), and Adagio Therapeutics, Inc., with an address at 303 Wyman Street, Suite 300, Waltham, MA 02451 (“</w:t>
      </w:r>
      <w:r>
        <w:rPr>
          <w:rFonts w:ascii="Arial" w:cs="Arial" w:eastAsia="Arial" w:hAnsi="Arial"/>
          <w:sz w:val="20"/>
          <w:szCs w:val="20"/>
          <w:b w:val="1"/>
          <w:bCs w:val="1"/>
          <w:color w:val="auto"/>
        </w:rPr>
        <w:t>Client</w:t>
      </w:r>
      <w:r>
        <w:rPr>
          <w:rFonts w:ascii="Arial" w:cs="Arial" w:eastAsia="Arial" w:hAnsi="Arial"/>
          <w:sz w:val="20"/>
          <w:szCs w:val="20"/>
          <w:color w:val="auto"/>
        </w:rPr>
        <w:t>”). WuXi Biologics and Client may be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WHEREAS, Client and its Affiliates are engaged in the discovery, development, manufacture and sale of biopharmaceutical</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products;</w:t>
      </w:r>
    </w:p>
    <w:p>
      <w:pPr>
        <w:spacing w:after="0" w:line="243"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20"/>
          <w:szCs w:val="20"/>
          <w:color w:val="auto"/>
        </w:rPr>
        <w:t>WHEREAS, WuXi Biologics has the requisite infrastructure, licenses, permits and capabilities, including trained and experienced personnel and technical skills, to manufacture and supply the Products (as defined below) to Client;</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auto"/>
        </w:rPr>
        <w:t>WHEREAS, the Parties entered into a Commercial Manufacturing Services Agreement effective on December 24, 2020 (the “</w:t>
      </w:r>
      <w:r>
        <w:rPr>
          <w:rFonts w:ascii="Arial" w:cs="Arial" w:eastAsia="Arial" w:hAnsi="Arial"/>
          <w:sz w:val="20"/>
          <w:szCs w:val="20"/>
          <w:b w:val="1"/>
          <w:bCs w:val="1"/>
          <w:color w:val="auto"/>
        </w:rPr>
        <w:t>Original Agreement</w:t>
      </w:r>
      <w:r>
        <w:rPr>
          <w:rFonts w:ascii="Arial" w:cs="Arial" w:eastAsia="Arial" w:hAnsi="Arial"/>
          <w:sz w:val="20"/>
          <w:szCs w:val="20"/>
          <w:color w:val="auto"/>
        </w:rPr>
        <w:t>”), pursuant to which Client engaged WuXi Biologics for services relating to the commercial manufacture of the drug substance of Products;</w:t>
      </w:r>
    </w:p>
    <w:p>
      <w:pPr>
        <w:spacing w:after="0" w:line="18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auto"/>
        </w:rPr>
        <w:t>WHEREAS, both Parties desire to amend, restate, and replace in its entirety the Original Agreement with effect from the Effective Date of this Agreement, for WuXi Biologics to provide Client services relating to the commercial manufacture of the drug substance and drug product of Products as described in this Agreement (“</w:t>
      </w:r>
      <w:r>
        <w:rPr>
          <w:rFonts w:ascii="Arial" w:cs="Arial" w:eastAsia="Arial" w:hAnsi="Arial"/>
          <w:sz w:val="20"/>
          <w:szCs w:val="20"/>
          <w:b w:val="1"/>
          <w:bCs w:val="1"/>
          <w:color w:val="auto"/>
        </w:rPr>
        <w:t>Services</w:t>
      </w:r>
      <w:r>
        <w:rPr>
          <w:rFonts w:ascii="Arial" w:cs="Arial" w:eastAsia="Arial" w:hAnsi="Arial"/>
          <w:sz w:val="20"/>
          <w:szCs w:val="20"/>
          <w:color w:val="auto"/>
        </w:rPr>
        <w:t>”); and</w:t>
      </w:r>
    </w:p>
    <w:p>
      <w:pPr>
        <w:spacing w:after="0" w:line="180"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color w:val="auto"/>
        </w:rPr>
        <w:t>WHEREAS, Client and WuXi Biologics entered a Cell Line License Agreement effective December 2, 2020 (the “</w:t>
      </w:r>
      <w:r>
        <w:rPr>
          <w:rFonts w:ascii="Arial" w:cs="Arial" w:eastAsia="Arial" w:hAnsi="Arial"/>
          <w:sz w:val="20"/>
          <w:szCs w:val="20"/>
          <w:b w:val="1"/>
          <w:bCs w:val="1"/>
          <w:color w:val="auto"/>
        </w:rPr>
        <w:t>Cell Line</w:t>
      </w:r>
      <w:r>
        <w:rPr>
          <w:rFonts w:ascii="Arial" w:cs="Arial" w:eastAsia="Arial" w:hAnsi="Arial"/>
          <w:sz w:val="20"/>
          <w:szCs w:val="20"/>
          <w:color w:val="auto"/>
        </w:rPr>
        <w:t xml:space="preserve"> </w:t>
      </w:r>
      <w:r>
        <w:rPr>
          <w:rFonts w:ascii="Arial" w:cs="Arial" w:eastAsia="Arial" w:hAnsi="Arial"/>
          <w:sz w:val="20"/>
          <w:szCs w:val="20"/>
          <w:b w:val="1"/>
          <w:bCs w:val="1"/>
          <w:color w:val="auto"/>
        </w:rPr>
        <w:t>License Agreement</w:t>
      </w:r>
      <w:r>
        <w:rPr>
          <w:rFonts w:ascii="Arial" w:cs="Arial" w:eastAsia="Arial" w:hAnsi="Arial"/>
          <w:sz w:val="20"/>
          <w:szCs w:val="20"/>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3" w:name="page124"/>
    <w:bookmarkEnd w:id="123"/>
    <w:p>
      <w:pPr>
        <w:jc w:val="both"/>
        <w:ind w:firstLine="749"/>
        <w:spacing w:after="0" w:line="278" w:lineRule="auto"/>
        <w:rPr>
          <w:sz w:val="20"/>
          <w:szCs w:val="20"/>
          <w:color w:val="auto"/>
        </w:rPr>
      </w:pPr>
      <w:r>
        <w:rPr>
          <w:rFonts w:ascii="Arial" w:cs="Arial" w:eastAsia="Arial" w:hAnsi="Arial"/>
          <w:sz w:val="20"/>
          <w:szCs w:val="20"/>
          <w:color w:val="auto"/>
        </w:rPr>
        <w:t>NOW, THEREFORE, in consideration of the mutual promises, covenants and agreements set forth herein, and for other good and valuable consideration, the receipt and sufficiency of which are hereby acknowledged, and intending to be legally bound, the Parties hereby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Unless otherwise specifically provided herein, the following terms shall have the following meanings:</w:t>
      </w:r>
    </w:p>
    <w:p>
      <w:pPr>
        <w:spacing w:after="0" w:line="237"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color w:val="auto"/>
        </w:rPr>
        <w:t>“</w:t>
      </w:r>
      <w:r>
        <w:rPr>
          <w:rFonts w:ascii="Arial" w:cs="Arial" w:eastAsia="Arial" w:hAnsi="Arial"/>
          <w:sz w:val="20"/>
          <w:szCs w:val="20"/>
          <w:b w:val="1"/>
          <w:bCs w:val="1"/>
          <w:color w:val="auto"/>
        </w:rPr>
        <w:t>Adverse Event</w:t>
      </w:r>
      <w:r>
        <w:rPr>
          <w:rFonts w:ascii="Arial" w:cs="Arial" w:eastAsia="Arial" w:hAnsi="Arial"/>
          <w:sz w:val="20"/>
          <w:szCs w:val="20"/>
          <w:color w:val="auto"/>
        </w:rPr>
        <w:t>” means any unfavorable or unintended sign, symptom or disease temporally associated with the use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by humans (including any adverse drug experience), whether or not considered related to the Products.</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 person or entity that Controls, is Controlled by or is under common Control with a Party, but only for so</w:t>
      </w:r>
      <w:r>
        <w:rPr>
          <w:rFonts w:ascii="Arial" w:cs="Arial" w:eastAsia="Arial" w:hAnsi="Arial"/>
          <w:sz w:val="20"/>
          <w:szCs w:val="20"/>
          <w:b w:val="1"/>
          <w:bCs w:val="1"/>
          <w:color w:val="auto"/>
        </w:rPr>
        <w:t xml:space="preserve"> </w:t>
      </w:r>
      <w:r>
        <w:rPr>
          <w:rFonts w:ascii="Arial" w:cs="Arial" w:eastAsia="Arial" w:hAnsi="Arial"/>
          <w:sz w:val="20"/>
          <w:szCs w:val="20"/>
          <w:color w:val="auto"/>
        </w:rPr>
        <w:t>long as such control exists.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agreement incorporating all schedules, as amended from time to time by written agreement of the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Parties.</w:t>
      </w:r>
    </w:p>
    <w:p>
      <w:pPr>
        <w:spacing w:after="0" w:line="237"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color w:val="auto"/>
        </w:rPr>
        <w:t>“</w:t>
      </w:r>
      <w:r>
        <w:rPr>
          <w:rFonts w:ascii="Arial" w:cs="Arial" w:eastAsia="Arial" w:hAnsi="Arial"/>
          <w:sz w:val="20"/>
          <w:szCs w:val="20"/>
          <w:b w:val="1"/>
          <w:bCs w:val="1"/>
          <w:color w:val="auto"/>
        </w:rPr>
        <w:t>Applicable Laws</w:t>
      </w:r>
      <w:r>
        <w:rPr>
          <w:rFonts w:ascii="Arial" w:cs="Arial" w:eastAsia="Arial" w:hAnsi="Arial"/>
          <w:sz w:val="20"/>
          <w:szCs w:val="20"/>
          <w:color w:val="auto"/>
        </w:rPr>
        <w:t>” means the applicable provisions of constitutions, statutes, laws, rules, treaties, regulations, orders and</w:t>
      </w:r>
      <w:r>
        <w:rPr>
          <w:rFonts w:ascii="Arial" w:cs="Arial" w:eastAsia="Arial" w:hAnsi="Arial"/>
          <w:sz w:val="20"/>
          <w:szCs w:val="20"/>
          <w:b w:val="1"/>
          <w:bCs w:val="1"/>
          <w:color w:val="auto"/>
        </w:rPr>
        <w:t xml:space="preserve"> </w:t>
      </w:r>
      <w:r>
        <w:rPr>
          <w:rFonts w:ascii="Arial" w:cs="Arial" w:eastAsia="Arial" w:hAnsi="Arial"/>
          <w:sz w:val="20"/>
          <w:szCs w:val="20"/>
          <w:color w:val="auto"/>
        </w:rPr>
        <w:t>decrees of all applicable Regulatory Authorities.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means a defined quantity of Product that has been or is being Manufactured in accordance with the Specifications.</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color w:val="auto"/>
        </w:rPr>
        <w:t>“</w:t>
      </w:r>
      <w:r>
        <w:rPr>
          <w:rFonts w:ascii="Arial" w:cs="Arial" w:eastAsia="Arial" w:hAnsi="Arial"/>
          <w:sz w:val="19"/>
          <w:szCs w:val="19"/>
          <w:b w:val="1"/>
          <w:bCs w:val="1"/>
          <w:color w:val="auto"/>
        </w:rPr>
        <w:t>Certificate of Analysis</w:t>
      </w:r>
      <w:r>
        <w:rPr>
          <w:rFonts w:ascii="Arial" w:cs="Arial" w:eastAsia="Arial" w:hAnsi="Arial"/>
          <w:sz w:val="19"/>
          <w:szCs w:val="19"/>
          <w:color w:val="auto"/>
        </w:rPr>
        <w:t>” means a certificate for testing of Specifications of a Product in a form agreed by both Parties.</w:t>
      </w:r>
    </w:p>
    <w:p>
      <w:pPr>
        <w:spacing w:after="0" w:line="25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color w:val="auto"/>
        </w:rPr>
        <w:t>“</w:t>
      </w:r>
      <w:r>
        <w:rPr>
          <w:rFonts w:ascii="Arial" w:cs="Arial" w:eastAsia="Arial" w:hAnsi="Arial"/>
          <w:sz w:val="20"/>
          <w:szCs w:val="20"/>
          <w:b w:val="1"/>
          <w:bCs w:val="1"/>
          <w:color w:val="auto"/>
        </w:rPr>
        <w:t>Certificate of Compliance</w:t>
      </w:r>
      <w:r>
        <w:rPr>
          <w:rFonts w:ascii="Arial" w:cs="Arial" w:eastAsia="Arial" w:hAnsi="Arial"/>
          <w:sz w:val="20"/>
          <w:szCs w:val="20"/>
          <w:color w:val="auto"/>
        </w:rPr>
        <w:t>” means a document issued by WuXi Biologics attesting that a cGMP Product Batch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manufactured in compliance with cGMP’s and that Manufacturing Batch records have been reviewed and approved by WuXi Biologics’ Quality Assurance.</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1.8 </w:t>
      </w:r>
      <w:r>
        <w:rPr>
          <w:rFonts w:ascii="Arial" w:cs="Arial" w:eastAsia="Arial" w:hAnsi="Arial"/>
          <w:sz w:val="20"/>
          <w:szCs w:val="20"/>
          <w:color w:val="auto"/>
        </w:rPr>
        <w:t>“</w:t>
      </w:r>
      <w:r>
        <w:rPr>
          <w:rFonts w:ascii="Arial" w:cs="Arial" w:eastAsia="Arial" w:hAnsi="Arial"/>
          <w:sz w:val="20"/>
          <w:szCs w:val="20"/>
          <w:b w:val="1"/>
          <w:bCs w:val="1"/>
          <w:color w:val="auto"/>
        </w:rPr>
        <w:t>Certificate of Testing</w:t>
      </w:r>
      <w:r>
        <w:rPr>
          <w:rFonts w:ascii="Arial" w:cs="Arial" w:eastAsia="Arial" w:hAnsi="Arial"/>
          <w:sz w:val="20"/>
          <w:szCs w:val="20"/>
          <w:color w:val="auto"/>
        </w:rPr>
        <w:t>” means a certificate for testing of selected Specifications of a Product in a form agreed by both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selected testing performed by WuXi Biologics.</w:t>
      </w:r>
    </w:p>
    <w:p>
      <w:pPr>
        <w:spacing w:after="0" w:line="16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 xml:space="preserve">1.9 </w:t>
      </w:r>
      <w:r>
        <w:rPr>
          <w:rFonts w:ascii="Arial" w:cs="Arial" w:eastAsia="Arial" w:hAnsi="Arial"/>
          <w:sz w:val="20"/>
          <w:szCs w:val="20"/>
          <w:color w:val="auto"/>
        </w:rPr>
        <w:t>“</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the efforts to be expended by either Party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objective, such reasonable, diligent, and good faith efforts as such Party would normally use to accomplish a similar objective under similar circumstances as expeditiously as possible, which in no event shall be less than the standard of care generally adhered to in the industry of such Party when providing such efforts.</w:t>
      </w:r>
    </w:p>
    <w:p>
      <w:pPr>
        <w:spacing w:after="0" w:line="18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b w:val="1"/>
          <w:bCs w:val="1"/>
          <w:color w:val="auto"/>
        </w:rPr>
        <w:t xml:space="preserve">1.10 </w:t>
      </w: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 with respect to Client, any and all information (in whatever form, tangible or</w:t>
      </w:r>
      <w:r>
        <w:rPr>
          <w:rFonts w:ascii="Arial" w:cs="Arial" w:eastAsia="Arial" w:hAnsi="Arial"/>
          <w:sz w:val="20"/>
          <w:szCs w:val="20"/>
          <w:b w:val="1"/>
          <w:bCs w:val="1"/>
          <w:color w:val="auto"/>
        </w:rPr>
        <w:t xml:space="preserve"> </w:t>
      </w:r>
      <w:r>
        <w:rPr>
          <w:rFonts w:ascii="Arial" w:cs="Arial" w:eastAsia="Arial" w:hAnsi="Arial"/>
          <w:sz w:val="20"/>
          <w:szCs w:val="20"/>
          <w:color w:val="auto"/>
        </w:rPr>
        <w:t>intangible) relating to Client’s, its Affiliates’ and/or their business partners’, business, employee or customer information or data which is disclosed, or otherwise comes into possession of WuXi Biologics, directly or indirectly as a result of this Agreement and which is of a confidential nature (including, without limitation, any information relating to business affairs, operations, products, processes, methodologies, formulae, plans, intentions, projections, Intellectual Property rights, trade secrets, market opportunities, suppliers, customers, marketing activities, sales, software, computer and telecommunications systems, costs and prices, wage rates, records, finances and personnel); and (b) with respect to WuXi Biologics, any and all information (in whatever form, tangible or intangible) relating to WuXi Biologics’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4" w:name="page125"/>
    <w:bookmarkEnd w:id="124"/>
    <w:p>
      <w:pPr>
        <w:jc w:val="both"/>
        <w:spacing w:after="0" w:line="278" w:lineRule="auto"/>
        <w:rPr>
          <w:sz w:val="20"/>
          <w:szCs w:val="20"/>
          <w:color w:val="auto"/>
        </w:rPr>
      </w:pPr>
      <w:r>
        <w:rPr>
          <w:rFonts w:ascii="Arial" w:cs="Arial" w:eastAsia="Arial" w:hAnsi="Arial"/>
          <w:sz w:val="20"/>
          <w:szCs w:val="20"/>
          <w:color w:val="auto"/>
        </w:rPr>
        <w:t>or its Affiliates’ methodology, testing processes, packaging and manufacturing techniques, data collection and data management techniques which is disclosed, or otherwise comes into possession of Client, directly or indirectly as a result of this Agreement and which is of a confidential nature.</w:t>
      </w:r>
    </w:p>
    <w:p>
      <w:pPr>
        <w:spacing w:after="0" w:line="180" w:lineRule="exact"/>
        <w:rPr>
          <w:sz w:val="20"/>
          <w:szCs w:val="20"/>
          <w:color w:val="auto"/>
        </w:rPr>
      </w:pPr>
    </w:p>
    <w:p>
      <w:pPr>
        <w:jc w:val="both"/>
        <w:ind w:firstLine="749"/>
        <w:spacing w:after="0" w:line="354"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ownership of more than fifty (50) percent of the voting stock of any organization or the legal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direct or cause the direction of the general management of the organization as appropriate,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11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0"/>
          <w:szCs w:val="20"/>
          <w:color w:val="auto"/>
        </w:rPr>
        <w:t>“</w:t>
      </w:r>
      <w:r>
        <w:rPr>
          <w:rFonts w:ascii="Arial" w:cs="Arial" w:eastAsia="Arial" w:hAnsi="Arial"/>
          <w:sz w:val="20"/>
          <w:szCs w:val="20"/>
          <w:b w:val="1"/>
          <w:bCs w:val="1"/>
          <w:color w:val="auto"/>
        </w:rPr>
        <w:t>Current Good Manufacturing Practice</w:t>
      </w:r>
      <w:r>
        <w:rPr>
          <w:rFonts w:ascii="Arial" w:cs="Arial" w:eastAsia="Arial" w:hAnsi="Arial"/>
          <w:sz w:val="20"/>
          <w:szCs w:val="20"/>
          <w:color w:val="auto"/>
        </w:rPr>
        <w:t>” or “</w:t>
      </w:r>
      <w:r>
        <w:rPr>
          <w:rFonts w:ascii="Arial" w:cs="Arial" w:eastAsia="Arial" w:hAnsi="Arial"/>
          <w:sz w:val="20"/>
          <w:szCs w:val="20"/>
          <w:b w:val="1"/>
          <w:bCs w:val="1"/>
          <w:color w:val="auto"/>
        </w:rPr>
        <w:t>cGMP</w:t>
      </w:r>
      <w:r>
        <w:rPr>
          <w:rFonts w:ascii="Arial" w:cs="Arial" w:eastAsia="Arial" w:hAnsi="Arial"/>
          <w:sz w:val="20"/>
          <w:szCs w:val="20"/>
          <w:color w:val="auto"/>
        </w:rPr>
        <w:t>” means all applicable standards relating to current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practices for intermediates, bulk products or finished pharmaceutical products (as appropriate), as required:</w:t>
      </w:r>
    </w:p>
    <w:p>
      <w:pPr>
        <w:spacing w:after="0" w:line="170" w:lineRule="exact"/>
        <w:rPr>
          <w:sz w:val="20"/>
          <w:szCs w:val="20"/>
          <w:color w:val="auto"/>
        </w:rPr>
      </w:pPr>
    </w:p>
    <w:p>
      <w:pPr>
        <w:jc w:val="both"/>
        <w:ind w:firstLine="1678"/>
        <w:spacing w:after="0" w:line="278" w:lineRule="auto"/>
        <w:tabs>
          <w:tab w:leader="none" w:pos="27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by the standards, rules, principles and guidelines set out in the provisions of Chapter II of EC Commission Directive 2003/94/EC, together with Volume 4 of the Rules Governing Medicinal Products in the European Union entitled “EU Guidelines to Good Manufacturing Practice Medicinal Products for Human and Veterinary Use”;</w:t>
      </w:r>
    </w:p>
    <w:p>
      <w:pPr>
        <w:spacing w:after="0" w:line="186" w:lineRule="exact"/>
        <w:rPr>
          <w:rFonts w:ascii="Arial" w:cs="Arial" w:eastAsia="Arial" w:hAnsi="Arial"/>
          <w:sz w:val="20"/>
          <w:szCs w:val="20"/>
          <w:color w:val="auto"/>
        </w:rPr>
      </w:pPr>
    </w:p>
    <w:p>
      <w:pPr>
        <w:ind w:firstLine="1678"/>
        <w:spacing w:after="0" w:line="288" w:lineRule="auto"/>
        <w:tabs>
          <w:tab w:leader="none" w:pos="27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by the provisions of 21 C.F.R., parts 210 and 211 and all applicable rules, regulations, orders and guidance published by the United States Food and Drug Administration;</w:t>
      </w:r>
    </w:p>
    <w:p>
      <w:pPr>
        <w:spacing w:after="0" w:line="177" w:lineRule="exact"/>
        <w:rPr>
          <w:rFonts w:ascii="Arial" w:cs="Arial" w:eastAsia="Arial" w:hAnsi="Arial"/>
          <w:sz w:val="20"/>
          <w:szCs w:val="20"/>
          <w:color w:val="auto"/>
        </w:rPr>
      </w:pPr>
    </w:p>
    <w:p>
      <w:pPr>
        <w:ind w:left="2800" w:hanging="1122"/>
        <w:spacing w:after="0"/>
        <w:tabs>
          <w:tab w:leader="none" w:pos="28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by the MHLW GMP/GQP ordinances and accompanying regulations in Japan;</w:t>
      </w:r>
    </w:p>
    <w:p>
      <w:pPr>
        <w:spacing w:after="0" w:line="242" w:lineRule="exact"/>
        <w:rPr>
          <w:rFonts w:ascii="Arial" w:cs="Arial" w:eastAsia="Arial" w:hAnsi="Arial"/>
          <w:sz w:val="20"/>
          <w:szCs w:val="20"/>
          <w:color w:val="auto"/>
        </w:rPr>
      </w:pPr>
    </w:p>
    <w:p>
      <w:pPr>
        <w:ind w:firstLine="1678"/>
        <w:spacing w:after="0" w:line="288" w:lineRule="auto"/>
        <w:tabs>
          <w:tab w:leader="none" w:pos="27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such other applicable standards as the Parties may agree in writing to reflect the requirements of Regulatory Authorities in the country of Manufacture or supply; and</w:t>
      </w:r>
    </w:p>
    <w:p>
      <w:pPr>
        <w:spacing w:after="0" w:line="177" w:lineRule="exact"/>
        <w:rPr>
          <w:rFonts w:ascii="Arial" w:cs="Arial" w:eastAsia="Arial" w:hAnsi="Arial"/>
          <w:sz w:val="20"/>
          <w:szCs w:val="20"/>
          <w:color w:val="auto"/>
        </w:rPr>
      </w:pPr>
    </w:p>
    <w:p>
      <w:pPr>
        <w:ind w:firstLine="1678"/>
        <w:spacing w:after="0" w:line="288" w:lineRule="auto"/>
        <w:tabs>
          <w:tab w:leader="none" w:pos="27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such other requirements as agreed between the Parties and set out in a Quality Agreement, if applicable, as amended and updated from time to time.</w:t>
      </w:r>
    </w:p>
    <w:p>
      <w:pPr>
        <w:spacing w:after="0" w:line="171" w:lineRule="exact"/>
        <w:rPr>
          <w:sz w:val="20"/>
          <w:szCs w:val="20"/>
          <w:color w:val="auto"/>
        </w:rPr>
      </w:pPr>
    </w:p>
    <w:p>
      <w:pPr>
        <w:ind w:firstLine="749"/>
        <w:spacing w:after="0" w:line="295" w:lineRule="auto"/>
        <w:rPr>
          <w:sz w:val="20"/>
          <w:szCs w:val="20"/>
          <w:color w:val="auto"/>
        </w:rPr>
      </w:pPr>
      <w:r>
        <w:rPr>
          <w:rFonts w:ascii="Arial" w:cs="Arial" w:eastAsia="Arial" w:hAnsi="Arial"/>
          <w:sz w:val="20"/>
          <w:szCs w:val="20"/>
          <w:b w:val="1"/>
          <w:bCs w:val="1"/>
          <w:color w:val="auto"/>
        </w:rPr>
        <w:t xml:space="preserve">1.13 </w:t>
      </w:r>
      <w:r>
        <w:rPr>
          <w:rFonts w:ascii="Arial" w:cs="Arial" w:eastAsia="Arial" w:hAnsi="Arial"/>
          <w:sz w:val="20"/>
          <w:szCs w:val="20"/>
          <w:color w:val="auto"/>
        </w:rPr>
        <w:t>“</w:t>
      </w:r>
      <w:r>
        <w:rPr>
          <w:rFonts w:ascii="Arial" w:cs="Arial" w:eastAsia="Arial" w:hAnsi="Arial"/>
          <w:sz w:val="20"/>
          <w:szCs w:val="20"/>
          <w:b w:val="1"/>
          <w:bCs w:val="1"/>
          <w:color w:val="auto"/>
        </w:rPr>
        <w:t>Current Good Distribution Practices</w:t>
      </w:r>
      <w:r>
        <w:rPr>
          <w:rFonts w:ascii="Arial" w:cs="Arial" w:eastAsia="Arial" w:hAnsi="Arial"/>
          <w:sz w:val="20"/>
          <w:szCs w:val="20"/>
          <w:color w:val="auto"/>
        </w:rPr>
        <w:t>” or “</w:t>
      </w:r>
      <w:r>
        <w:rPr>
          <w:rFonts w:ascii="Arial" w:cs="Arial" w:eastAsia="Arial" w:hAnsi="Arial"/>
          <w:sz w:val="20"/>
          <w:szCs w:val="20"/>
          <w:b w:val="1"/>
          <w:bCs w:val="1"/>
          <w:color w:val="auto"/>
        </w:rPr>
        <w:t>cGDP</w:t>
      </w:r>
      <w:r>
        <w:rPr>
          <w:rFonts w:ascii="Arial" w:cs="Arial" w:eastAsia="Arial" w:hAnsi="Arial"/>
          <w:sz w:val="20"/>
          <w:szCs w:val="20"/>
          <w:color w:val="auto"/>
        </w:rPr>
        <w:t>” means all applicable standards relating to current distribution practices of</w:t>
      </w:r>
      <w:r>
        <w:rPr>
          <w:rFonts w:ascii="Arial" w:cs="Arial" w:eastAsia="Arial" w:hAnsi="Arial"/>
          <w:sz w:val="20"/>
          <w:szCs w:val="20"/>
          <w:b w:val="1"/>
          <w:bCs w:val="1"/>
          <w:color w:val="auto"/>
        </w:rPr>
        <w:t xml:space="preserve"> </w:t>
      </w:r>
      <w:r>
        <w:rPr>
          <w:rFonts w:ascii="Arial" w:cs="Arial" w:eastAsia="Arial" w:hAnsi="Arial"/>
          <w:sz w:val="20"/>
          <w:szCs w:val="20"/>
          <w:color w:val="auto"/>
        </w:rPr>
        <w:t>medicinal products for human use, as required:</w:t>
      </w:r>
    </w:p>
    <w:p>
      <w:pPr>
        <w:spacing w:after="0" w:line="170" w:lineRule="exact"/>
        <w:rPr>
          <w:sz w:val="20"/>
          <w:szCs w:val="20"/>
          <w:color w:val="auto"/>
        </w:rPr>
      </w:pPr>
    </w:p>
    <w:p>
      <w:pPr>
        <w:ind w:firstLine="1678"/>
        <w:spacing w:after="0" w:line="316" w:lineRule="auto"/>
        <w:tabs>
          <w:tab w:leader="none" w:pos="2793" w:val="left"/>
        </w:tabs>
        <w:numPr>
          <w:ilvl w:val="0"/>
          <w:numId w:val="53"/>
        </w:numPr>
        <w:rPr>
          <w:rFonts w:ascii="Arial" w:cs="Arial" w:eastAsia="Arial" w:hAnsi="Arial"/>
          <w:sz w:val="19"/>
          <w:szCs w:val="19"/>
          <w:color w:val="auto"/>
        </w:rPr>
      </w:pPr>
      <w:r>
        <w:rPr>
          <w:rFonts w:ascii="Arial" w:cs="Arial" w:eastAsia="Arial" w:hAnsi="Arial"/>
          <w:sz w:val="19"/>
          <w:szCs w:val="19"/>
          <w:color w:val="auto"/>
        </w:rPr>
        <w:t>by the standards, rules, principles and guidelines set out in Article 84 and 85b(3) of EC Commission Directive 2001/83/EC, together with Directive 2011/62/EU and revised Guidelines published on November 2013 (2013/C 343/01);</w:t>
      </w:r>
    </w:p>
    <w:p>
      <w:pPr>
        <w:spacing w:after="0" w:line="153" w:lineRule="exact"/>
        <w:rPr>
          <w:rFonts w:ascii="Arial" w:cs="Arial" w:eastAsia="Arial" w:hAnsi="Arial"/>
          <w:sz w:val="19"/>
          <w:szCs w:val="19"/>
          <w:color w:val="auto"/>
        </w:rPr>
      </w:pPr>
    </w:p>
    <w:p>
      <w:pPr>
        <w:ind w:right="20" w:firstLine="1678"/>
        <w:spacing w:after="0" w:line="288" w:lineRule="auto"/>
        <w:tabs>
          <w:tab w:leader="none" w:pos="2793"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other part of the world, such standards as the Parties may agree in writing to reflect the requirements of Regulatory Authorities in the country of Manufacture or supply; and</w:t>
      </w:r>
    </w:p>
    <w:p>
      <w:pPr>
        <w:spacing w:after="0" w:line="177" w:lineRule="exact"/>
        <w:rPr>
          <w:rFonts w:ascii="Arial" w:cs="Arial" w:eastAsia="Arial" w:hAnsi="Arial"/>
          <w:sz w:val="20"/>
          <w:szCs w:val="20"/>
          <w:color w:val="auto"/>
        </w:rPr>
      </w:pPr>
    </w:p>
    <w:p>
      <w:pPr>
        <w:ind w:firstLine="1678"/>
        <w:spacing w:after="0" w:line="288" w:lineRule="auto"/>
        <w:tabs>
          <w:tab w:leader="none" w:pos="2793" w:val="left"/>
        </w:tabs>
        <w:numPr>
          <w:ilvl w:val="0"/>
          <w:numId w:val="53"/>
        </w:numPr>
        <w:rPr>
          <w:rFonts w:ascii="Arial" w:cs="Arial" w:eastAsia="Arial" w:hAnsi="Arial"/>
          <w:sz w:val="20"/>
          <w:szCs w:val="20"/>
          <w:color w:val="auto"/>
        </w:rPr>
      </w:pPr>
      <w:r>
        <w:rPr>
          <w:rFonts w:ascii="Arial" w:cs="Arial" w:eastAsia="Arial" w:hAnsi="Arial"/>
          <w:sz w:val="20"/>
          <w:szCs w:val="20"/>
          <w:color w:val="auto"/>
        </w:rPr>
        <w:t>such other requirements as agreed between the Parties and set out in the Quality Agreement, in each case, as amended and updated from time to time.</w:t>
      </w:r>
    </w:p>
    <w:p>
      <w:pPr>
        <w:spacing w:after="0" w:line="171" w:lineRule="exact"/>
        <w:rPr>
          <w:sz w:val="20"/>
          <w:szCs w:val="20"/>
          <w:color w:val="auto"/>
        </w:rPr>
      </w:pPr>
    </w:p>
    <w:p>
      <w:pPr>
        <w:ind w:right="20" w:firstLine="749"/>
        <w:spacing w:after="0" w:line="295" w:lineRule="auto"/>
        <w:rPr>
          <w:sz w:val="20"/>
          <w:szCs w:val="20"/>
          <w:color w:val="auto"/>
        </w:rPr>
      </w:pPr>
      <w:r>
        <w:rPr>
          <w:rFonts w:ascii="Arial" w:cs="Arial" w:eastAsia="Arial" w:hAnsi="Arial"/>
          <w:sz w:val="20"/>
          <w:szCs w:val="20"/>
          <w:b w:val="1"/>
          <w:bCs w:val="1"/>
          <w:color w:val="auto"/>
        </w:rPr>
        <w:t xml:space="preserve">1.14 </w:t>
      </w:r>
      <w:r>
        <w:rPr>
          <w:rFonts w:ascii="Arial" w:cs="Arial" w:eastAsia="Arial" w:hAnsi="Arial"/>
          <w:sz w:val="20"/>
          <w:szCs w:val="20"/>
          <w:color w:val="auto"/>
        </w:rPr>
        <w:t>“</w:t>
      </w:r>
      <w:r>
        <w:rPr>
          <w:rFonts w:ascii="Arial" w:cs="Arial" w:eastAsia="Arial" w:hAnsi="Arial"/>
          <w:sz w:val="20"/>
          <w:szCs w:val="20"/>
          <w:b w:val="1"/>
          <w:bCs w:val="1"/>
          <w:color w:val="auto"/>
        </w:rPr>
        <w:t>Defect</w:t>
      </w:r>
      <w:r>
        <w:rPr>
          <w:rFonts w:ascii="Arial" w:cs="Arial" w:eastAsia="Arial" w:hAnsi="Arial"/>
          <w:sz w:val="20"/>
          <w:szCs w:val="20"/>
          <w:color w:val="auto"/>
        </w:rPr>
        <w:t>” means, in respect of a Product, a failure to comply with the Product warranties set forth in 17.2. “</w:t>
      </w:r>
      <w:r>
        <w:rPr>
          <w:rFonts w:ascii="Arial" w:cs="Arial" w:eastAsia="Arial" w:hAnsi="Arial"/>
          <w:sz w:val="20"/>
          <w:szCs w:val="20"/>
          <w:b w:val="1"/>
          <w:bCs w:val="1"/>
          <w:color w:val="auto"/>
        </w:rPr>
        <w:t>Defective</w:t>
      </w:r>
      <w:r>
        <w:rPr>
          <w:rFonts w:ascii="Arial" w:cs="Arial" w:eastAsia="Arial" w:hAnsi="Arial"/>
          <w:sz w:val="20"/>
          <w:szCs w:val="20"/>
          <w:color w:val="auto"/>
        </w:rPr>
        <w: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accordingly.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color w:val="auto"/>
        </w:rPr>
        <w:t>“</w:t>
      </w:r>
      <w:r>
        <w:rPr>
          <w:rFonts w:ascii="Arial" w:cs="Arial" w:eastAsia="Arial" w:hAnsi="Arial"/>
          <w:sz w:val="20"/>
          <w:szCs w:val="20"/>
          <w:b w:val="1"/>
          <w:bCs w:val="1"/>
          <w:color w:val="auto"/>
        </w:rPr>
        <w:t>Defective Product</w:t>
      </w:r>
      <w:r>
        <w:rPr>
          <w:rFonts w:ascii="Arial" w:cs="Arial" w:eastAsia="Arial" w:hAnsi="Arial"/>
          <w:sz w:val="20"/>
          <w:szCs w:val="20"/>
          <w:color w:val="auto"/>
        </w:rPr>
        <w:t>” means a Product with a Defect.</w:t>
      </w:r>
    </w:p>
    <w:p>
      <w:pPr>
        <w:spacing w:after="0" w:line="243" w:lineRule="exact"/>
        <w:rPr>
          <w:sz w:val="20"/>
          <w:szCs w:val="20"/>
          <w:color w:val="auto"/>
        </w:rPr>
      </w:pPr>
    </w:p>
    <w:p>
      <w:pPr>
        <w:ind w:firstLine="749"/>
        <w:spacing w:after="0" w:line="295" w:lineRule="auto"/>
        <w:rPr>
          <w:sz w:val="20"/>
          <w:szCs w:val="20"/>
          <w:color w:val="auto"/>
        </w:rPr>
      </w:pPr>
      <w:r>
        <w:rPr>
          <w:rFonts w:ascii="Arial" w:cs="Arial" w:eastAsia="Arial" w:hAnsi="Arial"/>
          <w:sz w:val="20"/>
          <w:szCs w:val="20"/>
          <w:b w:val="1"/>
          <w:bCs w:val="1"/>
          <w:color w:val="auto"/>
        </w:rPr>
        <w:t xml:space="preserve">1.16 </w:t>
      </w:r>
      <w:r>
        <w:rPr>
          <w:rFonts w:ascii="Arial" w:cs="Arial" w:eastAsia="Arial" w:hAnsi="Arial"/>
          <w:sz w:val="20"/>
          <w:szCs w:val="20"/>
          <w:color w:val="auto"/>
        </w:rPr>
        <w:t>“</w:t>
      </w:r>
      <w:r>
        <w:rPr>
          <w:rFonts w:ascii="Arial" w:cs="Arial" w:eastAsia="Arial" w:hAnsi="Arial"/>
          <w:sz w:val="20"/>
          <w:szCs w:val="20"/>
          <w:b w:val="1"/>
          <w:bCs w:val="1"/>
          <w:color w:val="auto"/>
        </w:rPr>
        <w:t>Delivery Terms</w:t>
      </w:r>
      <w:r>
        <w:rPr>
          <w:rFonts w:ascii="Arial" w:cs="Arial" w:eastAsia="Arial" w:hAnsi="Arial"/>
          <w:sz w:val="20"/>
          <w:szCs w:val="20"/>
          <w:color w:val="auto"/>
        </w:rPr>
        <w:t>” shall mean FCA (Incoterms 2020) with respect to Products, or such other terms as may be agreed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and terms such as “</w:t>
      </w:r>
      <w:r>
        <w:rPr>
          <w:rFonts w:ascii="Arial" w:cs="Arial" w:eastAsia="Arial" w:hAnsi="Arial"/>
          <w:sz w:val="20"/>
          <w:szCs w:val="20"/>
          <w:b w:val="1"/>
          <w:bCs w:val="1"/>
          <w:color w:val="auto"/>
        </w:rPr>
        <w:t>Delivery</w:t>
      </w:r>
      <w:r>
        <w:rPr>
          <w:rFonts w:ascii="Arial" w:cs="Arial" w:eastAsia="Arial" w:hAnsi="Arial"/>
          <w:sz w:val="20"/>
          <w:szCs w:val="20"/>
          <w:color w:val="auto"/>
        </w:rPr>
        <w:t>” and “</w:t>
      </w:r>
      <w:r>
        <w:rPr>
          <w:rFonts w:ascii="Arial" w:cs="Arial" w:eastAsia="Arial" w:hAnsi="Arial"/>
          <w:sz w:val="20"/>
          <w:szCs w:val="20"/>
          <w:b w:val="1"/>
          <w:bCs w:val="1"/>
          <w:color w:val="auto"/>
        </w:rPr>
        <w:t>Delivered</w:t>
      </w:r>
      <w:r>
        <w:rPr>
          <w:rFonts w:ascii="Arial" w:cs="Arial" w:eastAsia="Arial" w:hAnsi="Arial"/>
          <w:sz w:val="20"/>
          <w:szCs w:val="20"/>
          <w:color w:val="auto"/>
        </w:rPr>
        <w:t>” shall be construed accordingly.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1.17 </w:t>
      </w:r>
      <w:r>
        <w:rPr>
          <w:rFonts w:ascii="Arial" w:cs="Arial" w:eastAsia="Arial" w:hAnsi="Arial"/>
          <w:sz w:val="20"/>
          <w:szCs w:val="20"/>
          <w:color w:val="auto"/>
        </w:rPr>
        <w:t>“</w:t>
      </w:r>
      <w:r>
        <w:rPr>
          <w:rFonts w:ascii="Arial" w:cs="Arial" w:eastAsia="Arial" w:hAnsi="Arial"/>
          <w:sz w:val="20"/>
          <w:szCs w:val="20"/>
          <w:b w:val="1"/>
          <w:bCs w:val="1"/>
          <w:color w:val="auto"/>
        </w:rPr>
        <w:t>Executive Officers</w:t>
      </w:r>
      <w:r>
        <w:rPr>
          <w:rFonts w:ascii="Arial" w:cs="Arial" w:eastAsia="Arial" w:hAnsi="Arial"/>
          <w:sz w:val="20"/>
          <w:szCs w:val="20"/>
          <w:color w:val="auto"/>
        </w:rPr>
        <w:t>” means, together, [***] or their respective designees.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5" w:name="page126"/>
    <w:bookmarkEnd w:id="125"/>
    <w:p>
      <w:pPr>
        <w:jc w:val="both"/>
        <w:ind w:firstLine="749"/>
        <w:spacing w:after="0" w:line="290" w:lineRule="auto"/>
        <w:rPr>
          <w:sz w:val="20"/>
          <w:szCs w:val="20"/>
          <w:color w:val="auto"/>
        </w:rPr>
      </w:pPr>
      <w:r>
        <w:rPr>
          <w:rFonts w:ascii="Arial" w:cs="Arial" w:eastAsia="Arial" w:hAnsi="Arial"/>
          <w:sz w:val="19"/>
          <w:szCs w:val="19"/>
          <w:b w:val="1"/>
          <w:bCs w:val="1"/>
          <w:color w:val="auto"/>
        </w:rPr>
        <w:t xml:space="preserve">1.18 </w:t>
      </w:r>
      <w:r>
        <w:rPr>
          <w:rFonts w:ascii="Arial" w:cs="Arial" w:eastAsia="Arial" w:hAnsi="Arial"/>
          <w:sz w:val="19"/>
          <w:szCs w:val="19"/>
          <w:color w:val="auto"/>
        </w:rPr>
        <w:t>“</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in relation to either Party, any acts or restraints of governments or public authorities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embargos, sanctions, prohibitions), war, terrorism, revolution, riot or civil disturbances or commotion, disruption of suppliers, pandemic, fire, explosion, accident, lightning, washout, storm, flood, sabotage, lack of adequate fuel, power, raw materials, transportation, labor dispute, general strike of a national or industry-wide nature, or any similar circumstances or occurrences (excluding the payment of money, unless the circumstance or occurrence directly affects all of a Party’s payment mechanisms needed to make such payment) beyond the reasonable control (including the taking of reasonable precautions) of that Party.</w:t>
      </w:r>
    </w:p>
    <w:p>
      <w:pPr>
        <w:spacing w:after="0" w:line="171"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20"/>
          <w:szCs w:val="20"/>
          <w:b w:val="1"/>
          <w:bCs w:val="1"/>
          <w:color w:val="auto"/>
        </w:rPr>
        <w:t xml:space="preserve">1.19 </w:t>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court, tribunal, arbitrator, agency, legislative body, commission, official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instrumentality of (a) any government of any country, (b) a federal, state, province, county, city or other political subdivision thereof or (c) any supranational body, including any Regulatory Authority.</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 xml:space="preserve">1.20 </w:t>
      </w: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any material or substance that, whether by its nature or use, is now or hereafter defined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regulated as a hazardous waste, hazardous substance, pollutant, or contaminant under any Applicable Laws relating to or addressing public and employee health and safety and protection of the environment, or which is toxic, explosive, corrosive, flammable, radioactive, carcinogenic, mutagenic or otherwise hazardous or which is or contains petroleum, gasoline, diesel, fuel, another petroleum hydrocarbon product, or polychlorinated biphenyls. Hazardous Materials specifically include asbestos-containing materials (ACM), mold and lead-based paints.</w:t>
      </w:r>
    </w:p>
    <w:p>
      <w:pPr>
        <w:spacing w:after="0" w:line="185"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19"/>
          <w:szCs w:val="19"/>
          <w:color w:val="auto"/>
        </w:rPr>
        <w:t>“</w:t>
      </w:r>
      <w:r>
        <w:rPr>
          <w:rFonts w:ascii="Arial" w:cs="Arial" w:eastAsia="Arial" w:hAnsi="Arial"/>
          <w:sz w:val="19"/>
          <w:szCs w:val="19"/>
          <w:b w:val="1"/>
          <w:bCs w:val="1"/>
          <w:color w:val="auto"/>
        </w:rPr>
        <w:t>Independent Expert</w:t>
      </w:r>
      <w:r>
        <w:rPr>
          <w:rFonts w:ascii="Arial" w:cs="Arial" w:eastAsia="Arial" w:hAnsi="Arial"/>
          <w:sz w:val="19"/>
          <w:szCs w:val="19"/>
          <w:color w:val="auto"/>
        </w:rPr>
        <w:t>” means a laboratory or expert mutually agreed upon by the Parties, and if no agreement can be reached</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Parties will accept a laboratory or expert appointed by the International Chamber of Commerce of Switzerland.</w:t>
      </w:r>
    </w:p>
    <w:p>
      <w:pPr>
        <w:spacing w:after="0" w:line="141"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patents, trademarks, service marks, design rights, including applications for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 copyright, all rights in know-how, trade or business names and other rights or forms of protection of a similar nature or having equivalent or similar effect to any of these which may subsist anywhere in the world whether registerable or not. For the purposes of this definition, know-how shall mean any current and future scientific, technical, or commercial information, results and data of any type whatsoever, developed or generated in relation to the Products, in any tangible and intangible form, that is not in the public domain or otherwise publicly known, including, without limitation, discoveries, inventions, trade secrets, databases, practices, protocols, regulatory filings, methods, processes, techniques, biological and other materials, reagents, specifications, formulations, formulae, data (including pharmacological, biological, chemical, toxicological and clinical information, analytical, quality control and stability data, studies and procedures), manufacturing process and development information, results and data, whether or not patentable.</w:t>
      </w:r>
    </w:p>
    <w:p>
      <w:pPr>
        <w:spacing w:after="0" w:line="165"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w:t>
      </w:r>
      <w:r>
        <w:rPr>
          <w:rFonts w:ascii="Arial" w:cs="Arial" w:eastAsia="Arial" w:hAnsi="Arial"/>
          <w:sz w:val="20"/>
          <w:szCs w:val="20"/>
          <w:b w:val="1"/>
          <w:bCs w:val="1"/>
          <w:color w:val="auto"/>
        </w:rPr>
        <w:t>Latent Defect</w:t>
      </w:r>
      <w:r>
        <w:rPr>
          <w:rFonts w:ascii="Arial" w:cs="Arial" w:eastAsia="Arial" w:hAnsi="Arial"/>
          <w:sz w:val="20"/>
          <w:szCs w:val="20"/>
          <w:color w:val="auto"/>
        </w:rPr>
        <w:t>” means a Defect existing at the time of delivery of the Product in question to Client, but which could not</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be discovered by a visual inspection of its outer packaging.</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means all losses, claims, liabilities, costs, awards, fines, penalties, expenses (including legal fees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professional expenses) and damages of any nature whatsoever and whether or not reasonably foreseeable or avoidable.</w:t>
      </w:r>
    </w:p>
    <w:p>
      <w:pPr>
        <w:spacing w:after="0" w:line="16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0"/>
          <w:szCs w:val="20"/>
          <w:color w:val="auto"/>
        </w:rPr>
        <w:t>“</w:t>
      </w:r>
      <w:r>
        <w:rPr>
          <w:rFonts w:ascii="Arial" w:cs="Arial" w:eastAsia="Arial" w:hAnsi="Arial"/>
          <w:sz w:val="20"/>
          <w:szCs w:val="20"/>
          <w:b w:val="1"/>
          <w:bCs w:val="1"/>
          <w:color w:val="auto"/>
        </w:rPr>
        <w:t>Manufacture</w:t>
      </w:r>
      <w:r>
        <w:rPr>
          <w:rFonts w:ascii="Arial" w:cs="Arial" w:eastAsia="Arial" w:hAnsi="Arial"/>
          <w:sz w:val="20"/>
          <w:szCs w:val="20"/>
          <w:color w:val="auto"/>
        </w:rPr>
        <w:t>” means the planning, purchasing, manufacture, processing, compounding, storage, filling, packaging, labeling,</w:t>
      </w:r>
      <w:r>
        <w:rPr>
          <w:rFonts w:ascii="Arial" w:cs="Arial" w:eastAsia="Arial" w:hAnsi="Arial"/>
          <w:sz w:val="20"/>
          <w:szCs w:val="20"/>
          <w:b w:val="1"/>
          <w:bCs w:val="1"/>
          <w:color w:val="auto"/>
        </w:rPr>
        <w:t xml:space="preserve"> </w:t>
      </w:r>
      <w:r>
        <w:rPr>
          <w:rFonts w:ascii="Arial" w:cs="Arial" w:eastAsia="Arial" w:hAnsi="Arial"/>
          <w:sz w:val="20"/>
          <w:szCs w:val="20"/>
          <w:color w:val="auto"/>
        </w:rPr>
        <w:t>leafleting, testing, sample retention, stability testing, release and dispatch of the Products. This term will also include variations such as “</w:t>
      </w:r>
      <w:r>
        <w:rPr>
          <w:rFonts w:ascii="Arial" w:cs="Arial" w:eastAsia="Arial" w:hAnsi="Arial"/>
          <w:sz w:val="20"/>
          <w:szCs w:val="20"/>
          <w:b w:val="1"/>
          <w:bCs w:val="1"/>
          <w:color w:val="auto"/>
        </w:rPr>
        <w:t>Manufacturing</w:t>
      </w:r>
      <w:r>
        <w:rPr>
          <w:rFonts w:ascii="Arial" w:cs="Arial" w:eastAsia="Arial" w:hAnsi="Arial"/>
          <w:sz w:val="20"/>
          <w:szCs w:val="20"/>
          <w:color w:val="auto"/>
        </w:rPr>
        <w:t>” and “</w:t>
      </w:r>
      <w:r>
        <w:rPr>
          <w:rFonts w:ascii="Arial" w:cs="Arial" w:eastAsia="Arial" w:hAnsi="Arial"/>
          <w:sz w:val="20"/>
          <w:szCs w:val="20"/>
          <w:b w:val="1"/>
          <w:bCs w:val="1"/>
          <w:color w:val="auto"/>
        </w:rPr>
        <w:t>Manufactured</w:t>
      </w:r>
      <w:r>
        <w:rPr>
          <w:rFonts w:ascii="Arial" w:cs="Arial" w:eastAsia="Arial" w:hAnsi="Arial"/>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jc w:val="both"/>
        <w:ind w:firstLine="749"/>
        <w:spacing w:after="0" w:line="295" w:lineRule="auto"/>
        <w:rPr>
          <w:sz w:val="20"/>
          <w:szCs w:val="20"/>
          <w:color w:val="auto"/>
        </w:rPr>
      </w:pPr>
      <w:r>
        <w:rPr>
          <w:rFonts w:ascii="Arial" w:cs="Arial" w:eastAsia="Arial" w:hAnsi="Arial"/>
          <w:sz w:val="19"/>
          <w:szCs w:val="19"/>
          <w:b w:val="1"/>
          <w:bCs w:val="1"/>
          <w:color w:val="auto"/>
        </w:rPr>
        <w:t xml:space="preserve">1.26 </w:t>
      </w:r>
      <w:r>
        <w:rPr>
          <w:rFonts w:ascii="Arial" w:cs="Arial" w:eastAsia="Arial" w:hAnsi="Arial"/>
          <w:sz w:val="19"/>
          <w:szCs w:val="19"/>
          <w:color w:val="auto"/>
        </w:rPr>
        <w:t>“</w:t>
      </w:r>
      <w:r>
        <w:rPr>
          <w:rFonts w:ascii="Arial" w:cs="Arial" w:eastAsia="Arial" w:hAnsi="Arial"/>
          <w:sz w:val="19"/>
          <w:szCs w:val="19"/>
          <w:b w:val="1"/>
          <w:bCs w:val="1"/>
          <w:color w:val="auto"/>
        </w:rPr>
        <w:t>Manufacturing License</w:t>
      </w:r>
      <w:r>
        <w:rPr>
          <w:rFonts w:ascii="Arial" w:cs="Arial" w:eastAsia="Arial" w:hAnsi="Arial"/>
          <w:sz w:val="19"/>
          <w:szCs w:val="19"/>
          <w:color w:val="auto"/>
        </w:rPr>
        <w:t>” means any consent, permit, authorization or approval required for or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of the Products at the Manufacturing Site(s), and the export/import of the Products to Client in accordance with the Delivery Terms (including any license required pursuant to Article 13.1 of the Directive 2001/20/EC or other applicable Regulatory Authority) including as applicable, a current drug establishment registration with the FDA as set forth in 21 C.F.R. §207.</w:t>
      </w:r>
    </w:p>
    <w:p>
      <w:pPr>
        <w:spacing w:after="0" w:line="16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 xml:space="preserve">1.27 </w:t>
      </w:r>
      <w:r>
        <w:rPr>
          <w:rFonts w:ascii="Arial" w:cs="Arial" w:eastAsia="Arial" w:hAnsi="Arial"/>
          <w:sz w:val="20"/>
          <w:szCs w:val="20"/>
          <w:color w:val="auto"/>
        </w:rPr>
        <w:t>“</w:t>
      </w:r>
      <w:r>
        <w:rPr>
          <w:rFonts w:ascii="Arial" w:cs="Arial" w:eastAsia="Arial" w:hAnsi="Arial"/>
          <w:sz w:val="20"/>
          <w:szCs w:val="20"/>
          <w:b w:val="1"/>
          <w:bCs w:val="1"/>
          <w:color w:val="auto"/>
        </w:rPr>
        <w:t>Manufacturing Site</w:t>
      </w:r>
      <w:r>
        <w:rPr>
          <w:rFonts w:ascii="Arial" w:cs="Arial" w:eastAsia="Arial" w:hAnsi="Arial"/>
          <w:sz w:val="20"/>
          <w:szCs w:val="20"/>
          <w:color w:val="auto"/>
        </w:rPr>
        <w:t>” means the manufacturing facility of WuXi Biologics Co., Ltd. registered at 108 Meiliang Road.</w:t>
      </w:r>
      <w:r>
        <w:rPr>
          <w:rFonts w:ascii="Arial" w:cs="Arial" w:eastAsia="Arial" w:hAnsi="Arial"/>
          <w:sz w:val="20"/>
          <w:szCs w:val="20"/>
          <w:b w:val="1"/>
          <w:bCs w:val="1"/>
          <w:color w:val="auto"/>
        </w:rPr>
        <w:t xml:space="preserve"> </w:t>
      </w:r>
      <w:r>
        <w:rPr>
          <w:rFonts w:ascii="Arial" w:cs="Arial" w:eastAsia="Arial" w:hAnsi="Arial"/>
          <w:sz w:val="20"/>
          <w:szCs w:val="20"/>
          <w:color w:val="auto"/>
        </w:rPr>
        <w:t>MaShan - Binhu District, Wuxi 214092, including MFG5 facility for drug substance and DP2 facility for drug product, or such other manufacturing facility of WuXi Biologics as agreed to by the Parties pursuant to the change control procedures set out in the Quality Agreement.</w:t>
      </w:r>
    </w:p>
    <w:p>
      <w:pPr>
        <w:spacing w:after="0" w:line="18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0"/>
          <w:szCs w:val="20"/>
          <w:color w:val="auto"/>
        </w:rPr>
        <w:t>“</w:t>
      </w:r>
      <w:r>
        <w:rPr>
          <w:rFonts w:ascii="Arial" w:cs="Arial" w:eastAsia="Arial" w:hAnsi="Arial"/>
          <w:sz w:val="20"/>
          <w:szCs w:val="20"/>
          <w:b w:val="1"/>
          <w:bCs w:val="1"/>
          <w:color w:val="auto"/>
        </w:rPr>
        <w:t>Materials</w:t>
      </w:r>
      <w:r>
        <w:rPr>
          <w:rFonts w:ascii="Arial" w:cs="Arial" w:eastAsia="Arial" w:hAnsi="Arial"/>
          <w:sz w:val="20"/>
          <w:szCs w:val="20"/>
          <w:color w:val="auto"/>
        </w:rPr>
        <w:t>” means the active ingredients, raw materials, excipients, packaging materials and components used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of the Products.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Payment Default</w:t>
      </w:r>
      <w:r>
        <w:rPr>
          <w:rFonts w:ascii="Arial" w:cs="Arial" w:eastAsia="Arial" w:hAnsi="Arial"/>
          <w:sz w:val="18"/>
          <w:szCs w:val="18"/>
          <w:color w:val="auto"/>
        </w:rPr>
        <w:t>” means, Client’s failure to pay an undisputed invoice on or before the payment due date for such invoice.</w:t>
      </w:r>
    </w:p>
    <w:p>
      <w:pPr>
        <w:spacing w:after="0" w:line="266"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1.30 </w:t>
      </w:r>
      <w:r>
        <w:rPr>
          <w:rFonts w:ascii="Arial" w:cs="Arial" w:eastAsia="Arial" w:hAnsi="Arial"/>
          <w:sz w:val="20"/>
          <w:szCs w:val="20"/>
          <w:color w:val="auto"/>
        </w:rPr>
        <w:t>“</w:t>
      </w:r>
      <w:r>
        <w:rPr>
          <w:rFonts w:ascii="Arial" w:cs="Arial" w:eastAsia="Arial" w:hAnsi="Arial"/>
          <w:sz w:val="20"/>
          <w:szCs w:val="20"/>
          <w:b w:val="1"/>
          <w:bCs w:val="1"/>
          <w:color w:val="auto"/>
        </w:rPr>
        <w:t>Payment Default Rate</w:t>
      </w:r>
      <w:r>
        <w:rPr>
          <w:rFonts w:ascii="Arial" w:cs="Arial" w:eastAsia="Arial" w:hAnsi="Arial"/>
          <w:sz w:val="20"/>
          <w:szCs w:val="20"/>
          <w:color w:val="auto"/>
        </w:rPr>
        <w:t>” means that, in the event of a Payment Default, interest of [***] will be accrued [***] (up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maximum legally permissible rate in the Client’s jurisdiction, or [***], whichever is less) of the overdue payment starting on the date such undisputed invoice was due to be paid.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w:t>
      </w:r>
      <w:r>
        <w:rPr>
          <w:rFonts w:ascii="Arial" w:cs="Arial" w:eastAsia="Arial" w:hAnsi="Arial"/>
          <w:sz w:val="20"/>
          <w:szCs w:val="20"/>
          <w:b w:val="1"/>
          <w:bCs w:val="1"/>
          <w:color w:val="auto"/>
        </w:rPr>
        <w:t>Price</w:t>
      </w:r>
      <w:r>
        <w:rPr>
          <w:rFonts w:ascii="Arial" w:cs="Arial" w:eastAsia="Arial" w:hAnsi="Arial"/>
          <w:sz w:val="20"/>
          <w:szCs w:val="20"/>
          <w:color w:val="auto"/>
        </w:rPr>
        <w:t>” means, in respect of each Product, the price set out in Schedule 1 and Schedule 5.</w:t>
      </w:r>
    </w:p>
    <w:p>
      <w:pPr>
        <w:spacing w:after="0" w:line="24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Product License</w:t>
      </w:r>
      <w:r>
        <w:rPr>
          <w:rFonts w:ascii="Arial" w:cs="Arial" w:eastAsia="Arial" w:hAnsi="Arial"/>
          <w:sz w:val="18"/>
          <w:szCs w:val="18"/>
          <w:color w:val="auto"/>
        </w:rPr>
        <w:t>” means the product license or marketing authorization issued by a competent Regulatory Authority,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authorization(s) (as the case may be) required for the marketing, sale, distribution, importation, use, or clinical investigation of the Products by Client in the jurisdictions in which the foregoing activities take place, and any extension or renewal of any of the foregoing; provided that, for clarity, “Product License” shall not include any authorizations required for WuXi Biologics’ Manufacturing activities under this Agreement and Wuxi Biologics shall be solely responsible for acquiring and maintaining such licenses and authorizations.</w:t>
      </w:r>
    </w:p>
    <w:p>
      <w:pPr>
        <w:spacing w:after="0" w:line="157"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1.33 </w:t>
      </w:r>
      <w:r>
        <w:rPr>
          <w:rFonts w:ascii="Arial" w:cs="Arial" w:eastAsia="Arial" w:hAnsi="Arial"/>
          <w:sz w:val="20"/>
          <w:szCs w:val="20"/>
          <w:color w:val="auto"/>
        </w:rPr>
        <w:t>“</w:t>
      </w:r>
      <w:r>
        <w:rPr>
          <w:rFonts w:ascii="Arial" w:cs="Arial" w:eastAsia="Arial" w:hAnsi="Arial"/>
          <w:sz w:val="20"/>
          <w:szCs w:val="20"/>
          <w:b w:val="1"/>
          <w:bCs w:val="1"/>
          <w:color w:val="auto"/>
        </w:rPr>
        <w:t>Products</w:t>
      </w:r>
      <w:r>
        <w:rPr>
          <w:rFonts w:ascii="Arial" w:cs="Arial" w:eastAsia="Arial" w:hAnsi="Arial"/>
          <w:sz w:val="20"/>
          <w:szCs w:val="20"/>
          <w:color w:val="auto"/>
        </w:rPr>
        <w:t>” means each of the Products set out on Schedule 1 and Schedule 5, as amended from time to time,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Manufactured under this Agreement, including any applicable Product Schedule or Purchase Order.</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 xml:space="preserve">1.34 </w:t>
      </w:r>
      <w:r>
        <w:rPr>
          <w:rFonts w:ascii="Arial" w:cs="Arial" w:eastAsia="Arial" w:hAnsi="Arial"/>
          <w:sz w:val="20"/>
          <w:szCs w:val="20"/>
          <w:color w:val="auto"/>
        </w:rPr>
        <w:t>“</w:t>
      </w:r>
      <w:r>
        <w:rPr>
          <w:rFonts w:ascii="Arial" w:cs="Arial" w:eastAsia="Arial" w:hAnsi="Arial"/>
          <w:sz w:val="20"/>
          <w:szCs w:val="20"/>
          <w:b w:val="1"/>
          <w:bCs w:val="1"/>
          <w:color w:val="auto"/>
        </w:rPr>
        <w:t>Product Schedule</w:t>
      </w:r>
      <w:r>
        <w:rPr>
          <w:rFonts w:ascii="Arial" w:cs="Arial" w:eastAsia="Arial" w:hAnsi="Arial"/>
          <w:sz w:val="20"/>
          <w:szCs w:val="20"/>
          <w:color w:val="auto"/>
        </w:rPr>
        <w:t>” means a schedule completed and entered into between the Parties for the Manufacture and supply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and/or related services, pursuant to this Agreement.</w:t>
      </w:r>
    </w:p>
    <w:p>
      <w:pPr>
        <w:spacing w:after="0" w:line="16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 xml:space="preserve">1.35 </w:t>
      </w:r>
      <w:r>
        <w:rPr>
          <w:rFonts w:ascii="Arial" w:cs="Arial" w:eastAsia="Arial" w:hAnsi="Arial"/>
          <w:sz w:val="20"/>
          <w:szCs w:val="20"/>
          <w:color w:val="auto"/>
        </w:rPr>
        <w:t>“</w:t>
      </w:r>
      <w:r>
        <w:rPr>
          <w:rFonts w:ascii="Arial" w:cs="Arial" w:eastAsia="Arial" w:hAnsi="Arial"/>
          <w:sz w:val="20"/>
          <w:szCs w:val="20"/>
          <w:b w:val="1"/>
          <w:bCs w:val="1"/>
          <w:color w:val="auto"/>
        </w:rPr>
        <w:t>Qualified Person</w:t>
      </w:r>
      <w:r>
        <w:rPr>
          <w:rFonts w:ascii="Arial" w:cs="Arial" w:eastAsia="Arial" w:hAnsi="Arial"/>
          <w:sz w:val="20"/>
          <w:szCs w:val="20"/>
          <w:color w:val="auto"/>
        </w:rPr>
        <w:t>” means the person named in the Quality Agreement (or any replacement notified in writing by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from time to time), who is suitably qualified to enable WuXi Biologics to perform and discharge its quality management obligations as required by current Good Manufacturing Practice or other Applicable Laws (including, without limitation, Article 13.3 of Directive 2001/20/EC).</w:t>
      </w:r>
    </w:p>
    <w:p>
      <w:pPr>
        <w:spacing w:after="0" w:line="18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 xml:space="preserve">1.36 </w:t>
      </w:r>
      <w:r>
        <w:rPr>
          <w:rFonts w:ascii="Arial" w:cs="Arial" w:eastAsia="Arial" w:hAnsi="Arial"/>
          <w:sz w:val="20"/>
          <w:szCs w:val="20"/>
          <w:color w:val="auto"/>
        </w:rPr>
        <w:t>“</w:t>
      </w:r>
      <w:r>
        <w:rPr>
          <w:rFonts w:ascii="Arial" w:cs="Arial" w:eastAsia="Arial" w:hAnsi="Arial"/>
          <w:sz w:val="20"/>
          <w:szCs w:val="20"/>
          <w:b w:val="1"/>
          <w:bCs w:val="1"/>
          <w:color w:val="auto"/>
        </w:rPr>
        <w:t>Quality Agreement</w:t>
      </w:r>
      <w:r>
        <w:rPr>
          <w:rFonts w:ascii="Arial" w:cs="Arial" w:eastAsia="Arial" w:hAnsi="Arial"/>
          <w:sz w:val="20"/>
          <w:szCs w:val="20"/>
          <w:color w:val="auto"/>
        </w:rPr>
        <w:t>” means the quality agreement related to the commercial Manufacture of the Products to be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prior to the performance by WuXi Biologics of any cGMP activities and substantially in the form set out in Schedule 2 hereto, which outlines the Parties’ respective responsibilities on quality matters, as amended from time to time by written agreement between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multinational, federal, state, local, municipal or other Governmental Authority having</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over any aspect of the activities contemplated by this Agreement, including, but not limited to, the United States Food and Drug Administration (“</w:t>
      </w:r>
      <w:r>
        <w:rPr>
          <w:rFonts w:ascii="Arial" w:cs="Arial" w:eastAsia="Arial" w:hAnsi="Arial"/>
          <w:sz w:val="20"/>
          <w:szCs w:val="20"/>
          <w:b w:val="1"/>
          <w:bCs w:val="1"/>
          <w:color w:val="auto"/>
        </w:rPr>
        <w:t>FDA</w:t>
      </w:r>
      <w:r>
        <w:rPr>
          <w:rFonts w:ascii="Arial" w:cs="Arial" w:eastAsia="Arial" w:hAnsi="Arial"/>
          <w:sz w:val="20"/>
          <w:szCs w:val="20"/>
          <w:color w:val="auto"/>
        </w:rPr>
        <w:t>”) and the European Medicines Agency (“</w:t>
      </w:r>
      <w:r>
        <w:rPr>
          <w:rFonts w:ascii="Arial" w:cs="Arial" w:eastAsia="Arial" w:hAnsi="Arial"/>
          <w:sz w:val="20"/>
          <w:szCs w:val="20"/>
          <w:b w:val="1"/>
          <w:bCs w:val="1"/>
          <w:color w:val="auto"/>
        </w:rPr>
        <w:t>EMA</w:t>
      </w:r>
      <w:r>
        <w:rPr>
          <w:rFonts w:ascii="Arial" w:cs="Arial" w:eastAsia="Arial" w:hAnsi="Arial"/>
          <w:sz w:val="20"/>
          <w:szCs w:val="20"/>
          <w:color w:val="auto"/>
        </w:rPr>
        <w:t>”).</w:t>
      </w:r>
    </w:p>
    <w:p>
      <w:pPr>
        <w:spacing w:after="0" w:line="17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1.38 </w:t>
      </w:r>
      <w:r>
        <w:rPr>
          <w:rFonts w:ascii="Arial" w:cs="Arial" w:eastAsia="Arial" w:hAnsi="Arial"/>
          <w:sz w:val="20"/>
          <w:szCs w:val="20"/>
          <w:color w:val="auto"/>
        </w:rPr>
        <w:t>“</w:t>
      </w:r>
      <w:r>
        <w:rPr>
          <w:rFonts w:ascii="Arial" w:cs="Arial" w:eastAsia="Arial" w:hAnsi="Arial"/>
          <w:sz w:val="20"/>
          <w:szCs w:val="20"/>
          <w:b w:val="1"/>
          <w:bCs w:val="1"/>
          <w:color w:val="auto"/>
        </w:rPr>
        <w:t xml:space="preserve">Specifications” </w:t>
      </w:r>
      <w:r>
        <w:rPr>
          <w:rFonts w:ascii="Arial" w:cs="Arial" w:eastAsia="Arial" w:hAnsi="Arial"/>
          <w:sz w:val="20"/>
          <w:szCs w:val="20"/>
          <w:color w:val="auto"/>
        </w:rPr>
        <w:t>means with respect to each Product, the material, technical specifications which are defined by Client and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required quality and characteristics of the Product agreed between the Parties in writing in the Quality Agreement (as the same may be amended from time to time in accordance with this Agreement).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1.39 </w:t>
      </w:r>
      <w:r>
        <w:rPr>
          <w:rFonts w:ascii="Arial" w:cs="Arial" w:eastAsia="Arial" w:hAnsi="Arial"/>
          <w:sz w:val="20"/>
          <w:szCs w:val="20"/>
          <w:color w:val="auto"/>
        </w:rPr>
        <w:t>“</w:t>
      </w:r>
      <w:r>
        <w:rPr>
          <w:rFonts w:ascii="Arial" w:cs="Arial" w:eastAsia="Arial" w:hAnsi="Arial"/>
          <w:sz w:val="20"/>
          <w:szCs w:val="20"/>
          <w:b w:val="1"/>
          <w:bCs w:val="1"/>
          <w:color w:val="auto"/>
        </w:rPr>
        <w:t xml:space="preserve">Third Party” </w:t>
      </w:r>
      <w:r>
        <w:rPr>
          <w:rFonts w:ascii="Arial" w:cs="Arial" w:eastAsia="Arial" w:hAnsi="Arial"/>
          <w:sz w:val="20"/>
          <w:szCs w:val="20"/>
          <w:color w:val="auto"/>
        </w:rPr>
        <w:t>means any person or entity other than Client or WuXi Biologics, or either of their Affiliates.</w:t>
      </w:r>
    </w:p>
    <w:p>
      <w:pPr>
        <w:spacing w:after="0" w:line="243" w:lineRule="exact"/>
        <w:rPr>
          <w:sz w:val="20"/>
          <w:szCs w:val="20"/>
          <w:color w:val="auto"/>
        </w:rPr>
      </w:pPr>
    </w:p>
    <w:p>
      <w:pPr>
        <w:jc w:val="both"/>
        <w:ind w:right="20" w:firstLine="749"/>
        <w:spacing w:after="0" w:line="295" w:lineRule="auto"/>
        <w:rPr>
          <w:sz w:val="20"/>
          <w:szCs w:val="20"/>
          <w:color w:val="auto"/>
        </w:rPr>
      </w:pPr>
      <w:r>
        <w:rPr>
          <w:rFonts w:ascii="Arial" w:cs="Arial" w:eastAsia="Arial" w:hAnsi="Arial"/>
          <w:sz w:val="20"/>
          <w:szCs w:val="20"/>
          <w:b w:val="1"/>
          <w:bCs w:val="1"/>
          <w:color w:val="auto"/>
        </w:rPr>
        <w:t xml:space="preserve">1.40 </w:t>
      </w:r>
      <w:r>
        <w:rPr>
          <w:rFonts w:ascii="Arial" w:cs="Arial" w:eastAsia="Arial" w:hAnsi="Arial"/>
          <w:sz w:val="20"/>
          <w:szCs w:val="20"/>
          <w:color w:val="auto"/>
        </w:rPr>
        <w:t>“</w:t>
      </w:r>
      <w:r>
        <w:rPr>
          <w:rFonts w:ascii="Arial" w:cs="Arial" w:eastAsia="Arial" w:hAnsi="Arial"/>
          <w:sz w:val="20"/>
          <w:szCs w:val="20"/>
          <w:b w:val="1"/>
          <w:bCs w:val="1"/>
          <w:color w:val="auto"/>
        </w:rPr>
        <w:t>Working Day</w:t>
      </w:r>
      <w:r>
        <w:rPr>
          <w:rFonts w:ascii="Arial" w:cs="Arial" w:eastAsia="Arial" w:hAnsi="Arial"/>
          <w:sz w:val="20"/>
          <w:szCs w:val="20"/>
          <w:color w:val="auto"/>
        </w:rPr>
        <w:t>” means a day other than Saturday or Sunday or a day that is a public holiday in the jurisdiction in which Client</w:t>
      </w:r>
      <w:r>
        <w:rPr>
          <w:rFonts w:ascii="Arial" w:cs="Arial" w:eastAsia="Arial" w:hAnsi="Arial"/>
          <w:sz w:val="20"/>
          <w:szCs w:val="20"/>
          <w:b w:val="1"/>
          <w:bCs w:val="1"/>
          <w:color w:val="auto"/>
        </w:rPr>
        <w:t xml:space="preserve"> </w:t>
      </w:r>
      <w:r>
        <w:rPr>
          <w:rFonts w:ascii="Arial" w:cs="Arial" w:eastAsia="Arial" w:hAnsi="Arial"/>
          <w:sz w:val="20"/>
          <w:szCs w:val="20"/>
          <w:color w:val="auto"/>
        </w:rPr>
        <w:t>is located as indicated in the Preamble, and the jurisdiction in which the Manufacturing Site is located.</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1.41 Other Terms</w:t>
      </w:r>
      <w:r>
        <w:rPr>
          <w:rFonts w:ascii="Arial" w:cs="Arial" w:eastAsia="Arial" w:hAnsi="Arial"/>
          <w:sz w:val="20"/>
          <w:szCs w:val="20"/>
          <w:color w:val="auto"/>
        </w:rPr>
        <w:t>. The definition of other terms are set forth in the following sections of this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WUXI BIOLOGICS’ OBLIGATIONS</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b w:val="1"/>
          <w:bCs w:val="1"/>
          <w:color w:val="auto"/>
        </w:rPr>
        <w:t>2.1 Obligation to Supply</w:t>
      </w:r>
      <w:r>
        <w:rPr>
          <w:rFonts w:ascii="Arial" w:cs="Arial" w:eastAsia="Arial" w:hAnsi="Arial"/>
          <w:sz w:val="19"/>
          <w:szCs w:val="19"/>
          <w:color w:val="auto"/>
        </w:rPr>
        <w:t>. With effect from the Effective Date and subject to Client’s obligations in Article 4 and Client’s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in Article 7, WuXi Biologics agrees to Manufacture and sell to Client Products as ordered by Client in consideration of Client paying the Price for the Products and reserve capacity at WuXi Biologics’ Manufacturing Site necessary to enable WuXi Biologics to Manufacture and supply Product in accordance with a Product Schedule and any binding portion of a Forecast.</w:t>
      </w:r>
    </w:p>
    <w:p>
      <w:pPr>
        <w:spacing w:after="0" w:line="168"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8"/>
          <w:szCs w:val="18"/>
          <w:b w:val="1"/>
          <w:bCs w:val="1"/>
          <w:color w:val="auto"/>
        </w:rPr>
        <w:t>2.2 Standards Applicable to the Manufacture of the Product</w:t>
      </w:r>
      <w:r>
        <w:rPr>
          <w:rFonts w:ascii="Arial" w:cs="Arial" w:eastAsia="Arial" w:hAnsi="Arial"/>
          <w:sz w:val="18"/>
          <w:szCs w:val="18"/>
          <w:color w:val="auto"/>
        </w:rPr>
        <w:t>. WuXi Biologics shall Manufacture the Products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Site (a) in accordance with all material requirements of Current Good Manufacturing Practice, the Specifications, the Manufacturing License, the Quality Agreement, Client’s Labeling and all Applicable Laws relevant to the Manufacture of the Products and</w:t>
      </w:r>
    </w:p>
    <w:p>
      <w:pPr>
        <w:spacing w:after="0" w:line="2" w:lineRule="exact"/>
        <w:rPr>
          <w:sz w:val="20"/>
          <w:szCs w:val="20"/>
          <w:color w:val="auto"/>
        </w:rPr>
      </w:pPr>
    </w:p>
    <w:p>
      <w:pPr>
        <w:ind w:firstLine="8"/>
        <w:spacing w:after="0" w:line="288" w:lineRule="auto"/>
        <w:tabs>
          <w:tab w:leader="none" w:pos="284" w:val="left"/>
        </w:tabs>
        <w:numPr>
          <w:ilvl w:val="0"/>
          <w:numId w:val="54"/>
        </w:numPr>
        <w:rPr>
          <w:rFonts w:ascii="Arial" w:cs="Arial" w:eastAsia="Arial" w:hAnsi="Arial"/>
          <w:sz w:val="20"/>
          <w:szCs w:val="20"/>
          <w:color w:val="auto"/>
        </w:rPr>
      </w:pPr>
      <w:r>
        <w:rPr>
          <w:rFonts w:ascii="Arial" w:cs="Arial" w:eastAsia="Arial" w:hAnsi="Arial"/>
          <w:sz w:val="20"/>
          <w:szCs w:val="20"/>
          <w:color w:val="auto"/>
        </w:rPr>
        <w:t>with personnel that are knowledgeable, qualified and trained to perform the activities required to Manufacture the Products in accordance with the terms and conditions of this Agreement.</w:t>
      </w:r>
    </w:p>
    <w:p>
      <w:pPr>
        <w:spacing w:after="0" w:line="171"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8"/>
          <w:szCs w:val="18"/>
          <w:b w:val="1"/>
          <w:bCs w:val="1"/>
          <w:color w:val="auto"/>
        </w:rPr>
        <w:t>2.3 Use of Affiliates and Subcontractors</w:t>
      </w:r>
      <w:r>
        <w:rPr>
          <w:rFonts w:ascii="Arial" w:cs="Arial" w:eastAsia="Arial" w:hAnsi="Arial"/>
          <w:sz w:val="18"/>
          <w:szCs w:val="18"/>
          <w:color w:val="auto"/>
        </w:rPr>
        <w:t>. WuXi Biologics may not, without the prior written consent of Client, (which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withheld, delayed, or conditioned) use Third Party sub-contractors to conduct any elements of Manufacturing the Products except WuXi Biologics’ Affiliate sub-contractors as specified per Schedule 4. For any subcontract authorized by Client, WuXi Biologics shall ensure that the subcontractor complies with the obligations and restrictions applicable to WuXi Biologics under this Agreement and shall further ensure that its subcontractor protects Client’s interests in Confidential Information, Client Background IP and Client Arising IP. WuXi Biologics (a) shall manage the performance of the subcontractor at its sole cost and expense and (b) shall remain responsible to Client for all acts and omissions of any subcontractor and the performance of those subcontracted Manufacturing activities just as though WuXi Biologics had performed them itself and for purposes of this Agreement such acts or omissions and the performance of those subcontracted Manufacturing services shall be deemed to be WuXi Biologics’ acts or omissions. WuXi Biologics shall be Client’s sole point of contact regarding the Manufacturing services, including with respect to payment.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ind w:left="760"/>
        <w:spacing w:after="0"/>
        <w:rPr>
          <w:sz w:val="20"/>
          <w:szCs w:val="20"/>
          <w:color w:val="auto"/>
        </w:rPr>
      </w:pPr>
      <w:r>
        <w:rPr>
          <w:rFonts w:ascii="Arial" w:cs="Arial" w:eastAsia="Arial" w:hAnsi="Arial"/>
          <w:sz w:val="20"/>
          <w:szCs w:val="20"/>
          <w:b w:val="1"/>
          <w:bCs w:val="1"/>
          <w:color w:val="auto"/>
        </w:rPr>
        <w:t>2.4 Designated Vendors.</w:t>
      </w:r>
    </w:p>
    <w:p>
      <w:pPr>
        <w:spacing w:after="0" w:line="249" w:lineRule="exact"/>
        <w:rPr>
          <w:sz w:val="20"/>
          <w:szCs w:val="20"/>
          <w:color w:val="auto"/>
        </w:rPr>
      </w:pPr>
    </w:p>
    <w:p>
      <w:pPr>
        <w:jc w:val="both"/>
        <w:ind w:firstLine="1678"/>
        <w:spacing w:after="0" w:line="305" w:lineRule="auto"/>
        <w:tabs>
          <w:tab w:leader="none" w:pos="279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Approval of Designated Vendors</w:t>
      </w:r>
      <w:r>
        <w:rPr>
          <w:rFonts w:ascii="Arial" w:cs="Arial" w:eastAsia="Arial" w:hAnsi="Arial"/>
          <w:sz w:val="18"/>
          <w:szCs w:val="18"/>
          <w:color w:val="auto"/>
        </w:rPr>
        <w:t>. If Client elects, at its sole discretion, to require WuXi Biologics to procure Materials from Third Parties designated and approved by Client in writing (the “</w:t>
      </w:r>
      <w:r>
        <w:rPr>
          <w:rFonts w:ascii="Arial" w:cs="Arial" w:eastAsia="Arial" w:hAnsi="Arial"/>
          <w:sz w:val="18"/>
          <w:szCs w:val="18"/>
          <w:b w:val="1"/>
          <w:bCs w:val="1"/>
          <w:color w:val="auto"/>
        </w:rPr>
        <w:t>Designated Vendors</w:t>
      </w:r>
      <w:r>
        <w:rPr>
          <w:rFonts w:ascii="Arial" w:cs="Arial" w:eastAsia="Arial" w:hAnsi="Arial"/>
          <w:sz w:val="18"/>
          <w:szCs w:val="18"/>
          <w:color w:val="auto"/>
        </w:rPr>
        <w:t>”) which are not then under contract with WuXi Biologics, Client shall so advise WuXi Biologics in writing, and WuXi Biologics shall establish supply arrangements with such Designated Vendors (which supply arrangements shall comply with the terms of this Agreement, the Quality Agreement and any other related agreements) and the terms and conditions of such supply shall be subject to the approval of Client. WuXi Biologics shall use Commercially Reasonable Efforts to ensure that all contracts with Designated Vendors provide for indemnification of Client and WuXi Biologics by such Designated Vendors with respect to risks or liabilities created by such Designated Vendors.</w:t>
      </w:r>
    </w:p>
    <w:p>
      <w:pPr>
        <w:spacing w:after="0" w:line="170" w:lineRule="exact"/>
        <w:rPr>
          <w:rFonts w:ascii="Arial" w:cs="Arial" w:eastAsia="Arial" w:hAnsi="Arial"/>
          <w:sz w:val="18"/>
          <w:szCs w:val="18"/>
          <w:color w:val="auto"/>
        </w:rPr>
      </w:pPr>
    </w:p>
    <w:p>
      <w:pPr>
        <w:jc w:val="both"/>
        <w:ind w:firstLine="1678"/>
        <w:spacing w:after="0" w:line="288" w:lineRule="auto"/>
        <w:tabs>
          <w:tab w:leader="none" w:pos="2793"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Notification</w:t>
      </w:r>
      <w:r>
        <w:rPr>
          <w:rFonts w:ascii="Arial" w:cs="Arial" w:eastAsia="Arial" w:hAnsi="Arial"/>
          <w:sz w:val="19"/>
          <w:szCs w:val="19"/>
          <w:color w:val="auto"/>
        </w:rPr>
        <w:t>. WuXi Biologics shall promptly advise Client if it encounters or is advised of material supply problems by any of Client’s Designated Vendors, including written notice of material delays and/or delivery of non-conforming Materials; and WuXi Biologics shall use Commercially Reasonable Efforts for seeking to reduce and eliminate any supply problems from such Designated Vendors (and Client shall provide WuXi Biologics with reasonable assistance in connection therewith). For clarity, WuXi Biologics will not be responsible for Product delays caused by Client’s Designated Vendors, and may reasonably request that Client select a different Designated Vendor after repeated problems with any such Designated Vendor.</w:t>
      </w:r>
    </w:p>
    <w:p>
      <w:pPr>
        <w:spacing w:after="0" w:line="181" w:lineRule="exact"/>
        <w:rPr>
          <w:rFonts w:ascii="Arial" w:cs="Arial" w:eastAsia="Arial" w:hAnsi="Arial"/>
          <w:sz w:val="19"/>
          <w:szCs w:val="19"/>
          <w:color w:val="auto"/>
        </w:rPr>
      </w:pPr>
    </w:p>
    <w:p>
      <w:pPr>
        <w:jc w:val="both"/>
        <w:ind w:firstLine="1678"/>
        <w:spacing w:after="0" w:line="278" w:lineRule="auto"/>
        <w:tabs>
          <w:tab w:leader="none" w:pos="2793"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Certification and Assessment</w:t>
      </w:r>
      <w:r>
        <w:rPr>
          <w:rFonts w:ascii="Arial" w:cs="Arial" w:eastAsia="Arial" w:hAnsi="Arial"/>
          <w:sz w:val="20"/>
          <w:szCs w:val="20"/>
          <w:color w:val="auto"/>
        </w:rPr>
        <w:t>. WuXi Biologics may assess the Designated Vendors’ performance upon Client’s agreement [***] at Client’s cost, in accordance with the relevant standard operating procedures or as otherwise instructed by Client. Client may participate in any such assessment in its discretion.</w:t>
      </w:r>
    </w:p>
    <w:p>
      <w:pPr>
        <w:spacing w:after="0" w:line="180"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8"/>
          <w:szCs w:val="18"/>
          <w:b w:val="1"/>
          <w:bCs w:val="1"/>
          <w:color w:val="auto"/>
        </w:rPr>
        <w:t>2.5 Responsibility</w:t>
      </w:r>
      <w:r>
        <w:rPr>
          <w:rFonts w:ascii="Arial" w:cs="Arial" w:eastAsia="Arial" w:hAnsi="Arial"/>
          <w:sz w:val="18"/>
          <w:szCs w:val="18"/>
          <w:color w:val="auto"/>
        </w:rPr>
        <w:t>. Unless otherwise specified herein or expressly consented to in writing by Client, as between the Parties, WuXi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Biologics shall be solely responsible for performance of all activities necessary for Client to be supplied with Product as contemplated hereunder including the ordering and purchasing of all of the Materials to enable WuXi Biologics to meet its Manufacturing and delivery obligations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the Parties agree that Client will be responsible for supplying any Materials, shipment of any such Client-supplied Materials by Client or Client’s Designated Vendors will be DDP (Incoterms 2020) or such other terms as may be agreed in writing between the Parties. WuXi Biologics shall promptly inform Client of the estimated quantity and dollar value of resin received and, upon reasonable request not more than [***], shall provide documentary evidence of resin receipts. In addition, upon request by Client, [***], WuXi Biologics shall inform Client of [***] in the manufacturing of Products approximately [***] after completion of each batch, in order that Client may properly accrue for all associated expenses.</w:t>
      </w:r>
    </w:p>
    <w:p>
      <w:pPr>
        <w:spacing w:after="0" w:line="165"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b w:val="1"/>
          <w:bCs w:val="1"/>
          <w:color w:val="auto"/>
        </w:rPr>
        <w:t>2.6 Safety Stock</w:t>
      </w:r>
      <w:r>
        <w:rPr>
          <w:rFonts w:ascii="Arial" w:cs="Arial" w:eastAsia="Arial" w:hAnsi="Arial"/>
          <w:sz w:val="19"/>
          <w:szCs w:val="19"/>
          <w:color w:val="auto"/>
        </w:rPr>
        <w:t>. During the Term, upon payment from Client for the raw materials inventory, WuXi Biologics shall maintain at all</w:t>
      </w:r>
      <w:r>
        <w:rPr>
          <w:rFonts w:ascii="Arial" w:cs="Arial" w:eastAsia="Arial" w:hAnsi="Arial"/>
          <w:sz w:val="19"/>
          <w:szCs w:val="19"/>
          <w:b w:val="1"/>
          <w:bCs w:val="1"/>
          <w:color w:val="auto"/>
        </w:rPr>
        <w:t xml:space="preserve"> </w:t>
      </w:r>
      <w:r>
        <w:rPr>
          <w:rFonts w:ascii="Arial" w:cs="Arial" w:eastAsia="Arial" w:hAnsi="Arial"/>
          <w:sz w:val="19"/>
          <w:szCs w:val="19"/>
          <w:color w:val="auto"/>
        </w:rPr>
        <w:t>times a safety stock of Materials sufficient to meet the applicable Volume Requirements (as defined in Section 4.2), unless otherwise agreed to in writing by Client in its sole discretion. WuXi Biologics shall notify Client immediately whenever the inventories of Materials become insufficient to Manufacture enough Product to meet the applicable Volume Requirements.</w:t>
      </w:r>
    </w:p>
    <w:p>
      <w:pPr>
        <w:spacing w:after="0" w:line="168"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9"/>
          <w:szCs w:val="19"/>
          <w:b w:val="1"/>
          <w:bCs w:val="1"/>
          <w:color w:val="auto"/>
        </w:rPr>
        <w:t>2.7 Governance</w:t>
      </w:r>
      <w:r>
        <w:rPr>
          <w:rFonts w:ascii="Arial" w:cs="Arial" w:eastAsia="Arial" w:hAnsi="Arial"/>
          <w:sz w:val="19"/>
          <w:szCs w:val="19"/>
          <w:color w:val="auto"/>
        </w:rPr>
        <w:t>. The Parties shall establish a Joint Steering Committee (“</w:t>
      </w:r>
      <w:r>
        <w:rPr>
          <w:rFonts w:ascii="Arial" w:cs="Arial" w:eastAsia="Arial" w:hAnsi="Arial"/>
          <w:sz w:val="19"/>
          <w:szCs w:val="19"/>
          <w:b w:val="1"/>
          <w:bCs w:val="1"/>
          <w:color w:val="auto"/>
        </w:rPr>
        <w:t>JSC</w:t>
      </w:r>
      <w:r>
        <w:rPr>
          <w:rFonts w:ascii="Arial" w:cs="Arial" w:eastAsia="Arial" w:hAnsi="Arial"/>
          <w:sz w:val="19"/>
          <w:szCs w:val="19"/>
          <w:color w:val="auto"/>
        </w:rPr>
        <w:t>”) to oversee and coordinate the overall conduct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Manufacture of Product and monitor the status of each Purchase Order under this Agreement. Within [***] following the Effective Date, the Parties shall establish the JSC. The JSC shall be composed of two (2) representatives from each of Client and WuXi Biologics, each of which representatives shall be of the seniority and experience appropriate for service on the JSC. Each Party may replace any of its representatives on the JSC at any time with written notice to the other Party; </w:t>
      </w:r>
      <w:r>
        <w:rPr>
          <w:rFonts w:ascii="Arial" w:cs="Arial" w:eastAsia="Arial" w:hAnsi="Arial"/>
          <w:sz w:val="19"/>
          <w:szCs w:val="19"/>
          <w:i w:val="1"/>
          <w:iCs w:val="1"/>
          <w:color w:val="auto"/>
        </w:rPr>
        <w:t>provided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both"/>
        <w:spacing w:after="0" w:line="278" w:lineRule="auto"/>
        <w:rPr>
          <w:sz w:val="20"/>
          <w:szCs w:val="20"/>
          <w:color w:val="auto"/>
        </w:rPr>
      </w:pPr>
      <w:r>
        <w:rPr>
          <w:rFonts w:ascii="Arial" w:cs="Arial" w:eastAsia="Arial" w:hAnsi="Arial"/>
          <w:sz w:val="20"/>
          <w:szCs w:val="20"/>
          <w:color w:val="auto"/>
        </w:rPr>
        <w:t>that such replacement meets the standard described in the preceding sentence. The JSC shall meet by video or teleconference [***], unless the Parties otherwise agree. The JSC can meet to discuss and agree on the issues noted above in this Section, but the JSC cannot make decisions that conflict with the terms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INTELLECTUAL PROPERTY</w:t>
      </w:r>
    </w:p>
    <w:p>
      <w:pPr>
        <w:spacing w:after="0" w:line="2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b w:val="1"/>
          <w:bCs w:val="1"/>
          <w:color w:val="auto"/>
        </w:rPr>
        <w:t>3.1 Background IP</w:t>
      </w:r>
      <w:r>
        <w:rPr>
          <w:rFonts w:ascii="Arial" w:cs="Arial" w:eastAsia="Arial" w:hAnsi="Arial"/>
          <w:sz w:val="19"/>
          <w:szCs w:val="19"/>
          <w:color w:val="auto"/>
        </w:rPr>
        <w:t>. Each Party shall, at all times throughout and after the Term, remain the owner of any and all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that it owned (or was licensed to use) prior to the Effective Date and any and all Intellectual Property that it owns (or is licensed to use) after the Effective Date independent of this Agreement, and which Intellectual Property shall, for the purposes of this Agreement, be defined as “</w:t>
      </w:r>
      <w:r>
        <w:rPr>
          <w:rFonts w:ascii="Arial" w:cs="Arial" w:eastAsia="Arial" w:hAnsi="Arial"/>
          <w:sz w:val="19"/>
          <w:szCs w:val="19"/>
          <w:b w:val="1"/>
          <w:bCs w:val="1"/>
          <w:color w:val="auto"/>
        </w:rPr>
        <w:t>Background IP</w:t>
      </w:r>
      <w:r>
        <w:rPr>
          <w:rFonts w:ascii="Arial" w:cs="Arial" w:eastAsia="Arial" w:hAnsi="Arial"/>
          <w:sz w:val="19"/>
          <w:szCs w:val="19"/>
          <w:color w:val="auto"/>
        </w:rPr>
        <w:t>”. WuXi Biologics acknowledges that Intellectual Property relating to the Products shall remain vested solely and exclusively in Client or its relevant Affiliate. Client acknowledges that Intellectual Property relating to manufacturing processes, including testing and packaging, which are generally used at the Manufacturing Site and not specific to the Product (to the extent existing prior to the Effective Date, or developed independently of this Agreement at any time without the need to reference Client’s Confidential Information or Client Background IP), shall remain vested solely and exclusively in WuXi Biologics or its relevant Affiliate. For the purposes of this Agreement, Background IP vested in Client (or its Affiliates) shall be defined as “</w:t>
      </w:r>
      <w:r>
        <w:rPr>
          <w:rFonts w:ascii="Arial" w:cs="Arial" w:eastAsia="Arial" w:hAnsi="Arial"/>
          <w:sz w:val="19"/>
          <w:szCs w:val="19"/>
          <w:b w:val="1"/>
          <w:bCs w:val="1"/>
          <w:color w:val="auto"/>
        </w:rPr>
        <w:t>Client Background IP</w:t>
      </w:r>
      <w:r>
        <w:rPr>
          <w:rFonts w:ascii="Arial" w:cs="Arial" w:eastAsia="Arial" w:hAnsi="Arial"/>
          <w:sz w:val="19"/>
          <w:szCs w:val="19"/>
          <w:color w:val="auto"/>
        </w:rPr>
        <w:t>” and Background IP vested in WuXi Biologics (or its Affiliates) shall be defined as “</w:t>
      </w:r>
      <w:r>
        <w:rPr>
          <w:rFonts w:ascii="Arial" w:cs="Arial" w:eastAsia="Arial" w:hAnsi="Arial"/>
          <w:sz w:val="19"/>
          <w:szCs w:val="19"/>
          <w:b w:val="1"/>
          <w:bCs w:val="1"/>
          <w:color w:val="auto"/>
        </w:rPr>
        <w:t>WuXi Biologics Background IP</w:t>
      </w:r>
      <w:r>
        <w:rPr>
          <w:rFonts w:ascii="Arial" w:cs="Arial" w:eastAsia="Arial" w:hAnsi="Arial"/>
          <w:sz w:val="19"/>
          <w:szCs w:val="19"/>
          <w:color w:val="auto"/>
        </w:rPr>
        <w:t>”.</w:t>
      </w:r>
    </w:p>
    <w:p>
      <w:pPr>
        <w:spacing w:after="0" w:line="177"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b w:val="1"/>
          <w:bCs w:val="1"/>
          <w:color w:val="auto"/>
        </w:rPr>
        <w:t>3.2 Arising IP</w:t>
      </w:r>
      <w:r>
        <w:rPr>
          <w:rFonts w:ascii="Arial" w:cs="Arial" w:eastAsia="Arial" w:hAnsi="Arial"/>
          <w:sz w:val="19"/>
          <w:szCs w:val="19"/>
          <w:color w:val="auto"/>
        </w:rPr>
        <w:t>. Neither WuXi Biologics, its Affiliates, nor any of their respective subcontractors shall acquire any rights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kind whatsoever with respect to the Product by conducting Manufacturing activities hereunder. All rights to any Intellectual Property (whether or not patentable) created, developed, or conceived (whether or not reduced to practice) in the performance of work conducted under this Agreement by WuXi Biologics’ or its Affiliates’ employees, or independent contractors, either solely or jointly with employees, agents, consultants or other representatives of Client, including any development, improvement, modification, addition, adaptation, enhancement, derivative, variant or progeny to or of any Product, Client’s Confidential Information or Client Background IP will be owned (from the moment such Intellectual Property is created, developed or conceived) solely and exclusively by Client (“</w:t>
      </w:r>
      <w:r>
        <w:rPr>
          <w:rFonts w:ascii="Arial" w:cs="Arial" w:eastAsia="Arial" w:hAnsi="Arial"/>
          <w:sz w:val="19"/>
          <w:szCs w:val="19"/>
          <w:b w:val="1"/>
          <w:bCs w:val="1"/>
          <w:color w:val="auto"/>
        </w:rPr>
        <w:t>Client Arising IP</w:t>
      </w:r>
      <w:r>
        <w:rPr>
          <w:rFonts w:ascii="Arial" w:cs="Arial" w:eastAsia="Arial" w:hAnsi="Arial"/>
          <w:sz w:val="19"/>
          <w:szCs w:val="19"/>
          <w:color w:val="auto"/>
        </w:rPr>
        <w:t>”). WuXi Biologics hereby assigns all its right, title and interest in Client Arising IP to Client. Client agrees that Client Arising IP does not include any Intellectual Property (whether or not patentable) developed, conceived, or reduced to practice by WuXi Biologics, its Affiliates, or its subcontractors in the performance of this Agreement that (a) relates to experimental, testing, analytical, packaging methods, (b) relates to manufacturing processes developed at WuXi Biologics’ expense, or (c) constitutes developments, improvements, modifications, additions, adaptations, enhancements, derivatives, or variants to WuXi Biologics Background IP developed by WuXi Biologics through the performance of the Services, provided, that the foregoing (i) are made without the benefit of Client Background IP and/or Client’s Confidential Information, and (ii) could have been developed without performance of the Services (i.e., in the event that any unique aspects of the Services, Client’s Background IP and/or Client’s Confidential Information were not a “but for” cause of such derivative) (“</w:t>
      </w:r>
      <w:r>
        <w:rPr>
          <w:rFonts w:ascii="Arial" w:cs="Arial" w:eastAsia="Arial" w:hAnsi="Arial"/>
          <w:sz w:val="19"/>
          <w:szCs w:val="19"/>
          <w:b w:val="1"/>
          <w:bCs w:val="1"/>
          <w:color w:val="auto"/>
        </w:rPr>
        <w:t>WuXi</w:t>
      </w:r>
      <w:r>
        <w:rPr>
          <w:rFonts w:ascii="Arial" w:cs="Arial" w:eastAsia="Arial" w:hAnsi="Arial"/>
          <w:sz w:val="19"/>
          <w:szCs w:val="19"/>
          <w:color w:val="auto"/>
        </w:rPr>
        <w:t xml:space="preserve"> </w:t>
      </w:r>
      <w:r>
        <w:rPr>
          <w:rFonts w:ascii="Arial" w:cs="Arial" w:eastAsia="Arial" w:hAnsi="Arial"/>
          <w:sz w:val="19"/>
          <w:szCs w:val="19"/>
          <w:b w:val="1"/>
          <w:bCs w:val="1"/>
          <w:color w:val="auto"/>
        </w:rPr>
        <w:t>Biologics Arising IP</w:t>
      </w:r>
      <w:r>
        <w:rPr>
          <w:rFonts w:ascii="Arial" w:cs="Arial" w:eastAsia="Arial" w:hAnsi="Arial"/>
          <w:sz w:val="19"/>
          <w:szCs w:val="19"/>
          <w:color w:val="auto"/>
        </w:rPr>
        <w: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3.3 Use of Intellectual Property</w:t>
      </w:r>
      <w:r>
        <w:rPr>
          <w:rFonts w:ascii="Arial" w:cs="Arial" w:eastAsia="Arial" w:hAnsi="Arial"/>
          <w:sz w:val="20"/>
          <w:szCs w:val="20"/>
          <w:color w:val="auto"/>
        </w:rPr>
        <w:t>.</w:t>
      </w:r>
    </w:p>
    <w:p>
      <w:pPr>
        <w:spacing w:after="0" w:line="249" w:lineRule="exact"/>
        <w:rPr>
          <w:sz w:val="20"/>
          <w:szCs w:val="20"/>
          <w:color w:val="auto"/>
        </w:rPr>
      </w:pPr>
    </w:p>
    <w:p>
      <w:pPr>
        <w:jc w:val="both"/>
        <w:ind w:firstLine="1678"/>
        <w:spacing w:after="0" w:line="293" w:lineRule="auto"/>
        <w:tabs>
          <w:tab w:leader="none" w:pos="2793" w:val="left"/>
        </w:tabs>
        <w:numPr>
          <w:ilvl w:val="0"/>
          <w:numId w:val="56"/>
        </w:numPr>
        <w:rPr>
          <w:rFonts w:ascii="Arial" w:cs="Arial" w:eastAsia="Arial" w:hAnsi="Arial"/>
          <w:sz w:val="19"/>
          <w:szCs w:val="19"/>
          <w:color w:val="auto"/>
        </w:rPr>
      </w:pPr>
      <w:r>
        <w:rPr>
          <w:rFonts w:ascii="Arial" w:cs="Arial" w:eastAsia="Arial" w:hAnsi="Arial"/>
          <w:sz w:val="19"/>
          <w:szCs w:val="19"/>
          <w:color w:val="auto"/>
        </w:rPr>
        <w:t>WuXi Biologics will not use, or allow others to use, any Client Background IP or Client Arising IP for any purpose other than the Manufacture of the Products for Client under this Agreement. Client hereby grants WuXi Biologics and any Affiliates and subcontractors approved by Client a non-exclusive, fully paid-up, and royalty-free license for the Term to use the Client Background IP and Client Arising IP to the extent necessary to Manufacture the Products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0" w:name="page131"/>
    <w:bookmarkEnd w:id="130"/>
    <w:p>
      <w:pPr>
        <w:jc w:val="both"/>
        <w:ind w:firstLine="1678"/>
        <w:spacing w:after="0" w:line="297" w:lineRule="auto"/>
        <w:tabs>
          <w:tab w:leader="none" w:pos="2879" w:val="left"/>
        </w:tabs>
        <w:numPr>
          <w:ilvl w:val="1"/>
          <w:numId w:val="57"/>
        </w:numPr>
        <w:rPr>
          <w:rFonts w:ascii="Arial" w:cs="Arial" w:eastAsia="Arial" w:hAnsi="Arial"/>
          <w:sz w:val="18"/>
          <w:szCs w:val="18"/>
          <w:color w:val="auto"/>
        </w:rPr>
      </w:pPr>
      <w:r>
        <w:rPr>
          <w:rFonts w:ascii="Arial" w:cs="Arial" w:eastAsia="Arial" w:hAnsi="Arial"/>
          <w:sz w:val="18"/>
          <w:szCs w:val="18"/>
          <w:color w:val="auto"/>
        </w:rPr>
        <w:t>Client will not use, or allow others to use, any WuXi Biologics Background IP or WuXi Biologics Arising IP for any purpose other than as necessary for the commercialization, distribution, marketing, sale, import and export of the Products; provided that, except with respect to any WuXi Biologics Background IP or WuXi Biologics Arising IP, this permitted use of WuXi Biologics Background IP or WuXi Biologics Arising IP expressly excludes any products (including the Products) not manufactured under this Agreement. WuXi Biologics hereby grants to Client, Client’s Affiliates and Client’s subcontractors a world-wide, non-exclusive, fully paid-up royalty-free license under any WuXi Biologics Background IP and WuXi Biologics Arising IP (i) incorporated into the Products, or</w:t>
      </w:r>
    </w:p>
    <w:p>
      <w:pPr>
        <w:spacing w:after="0" w:line="2" w:lineRule="exact"/>
        <w:rPr>
          <w:rFonts w:ascii="Arial" w:cs="Arial" w:eastAsia="Arial" w:hAnsi="Arial"/>
          <w:sz w:val="18"/>
          <w:szCs w:val="18"/>
          <w:color w:val="auto"/>
        </w:rPr>
      </w:pPr>
    </w:p>
    <w:p>
      <w:pPr>
        <w:ind w:firstLine="8"/>
        <w:spacing w:after="0" w:line="288" w:lineRule="auto"/>
        <w:tabs>
          <w:tab w:leader="none" w:pos="29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to the extent necessary for commercializing, distributing, marketing, selling, importing and exporting the Products; in either case (i) or (ii) only with respect to Products manufactured under this Agreement.</w:t>
      </w:r>
    </w:p>
    <w:p>
      <w:pPr>
        <w:spacing w:after="0" w:line="177" w:lineRule="exact"/>
        <w:rPr>
          <w:rFonts w:ascii="Arial" w:cs="Arial" w:eastAsia="Arial" w:hAnsi="Arial"/>
          <w:sz w:val="20"/>
          <w:szCs w:val="20"/>
          <w:color w:val="auto"/>
        </w:rPr>
      </w:pPr>
    </w:p>
    <w:p>
      <w:pPr>
        <w:ind w:right="20" w:firstLine="1678"/>
        <w:spacing w:after="0" w:line="288" w:lineRule="auto"/>
        <w:tabs>
          <w:tab w:leader="none" w:pos="2793" w:val="left"/>
        </w:tabs>
        <w:numPr>
          <w:ilvl w:val="1"/>
          <w:numId w:val="58"/>
        </w:numPr>
        <w:rPr>
          <w:rFonts w:ascii="Arial" w:cs="Arial" w:eastAsia="Arial" w:hAnsi="Arial"/>
          <w:sz w:val="20"/>
          <w:szCs w:val="20"/>
          <w:color w:val="auto"/>
        </w:rPr>
      </w:pPr>
      <w:r>
        <w:rPr>
          <w:rFonts w:ascii="Arial" w:cs="Arial" w:eastAsia="Arial" w:hAnsi="Arial"/>
          <w:sz w:val="20"/>
          <w:szCs w:val="20"/>
          <w:color w:val="auto"/>
        </w:rPr>
        <w:t>For the purposes of clarity, nothing in Section 3.3(b) is intended to limit the rights of Client to fully enjoy the rights granted in, and the benefits of, the Cell Line License Agreement during the term of that agreement.</w:t>
      </w:r>
    </w:p>
    <w:p>
      <w:pPr>
        <w:spacing w:after="0" w:line="177" w:lineRule="exact"/>
        <w:rPr>
          <w:rFonts w:ascii="Arial" w:cs="Arial" w:eastAsia="Arial" w:hAnsi="Arial"/>
          <w:sz w:val="20"/>
          <w:szCs w:val="20"/>
          <w:color w:val="auto"/>
        </w:rPr>
      </w:pPr>
    </w:p>
    <w:p>
      <w:pPr>
        <w:jc w:val="both"/>
        <w:ind w:firstLine="1678"/>
        <w:spacing w:after="0" w:line="304" w:lineRule="auto"/>
        <w:tabs>
          <w:tab w:leader="none" w:pos="27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WuXi Biologics will notify Client of any WuXi Biologics Background IP or WuXi Biologics Arising IP prior to including the same in (i) any process related to the Products or (ii) any deliverables to be provided under the Services, in each case that falls outside the rights granted to Client under this Section 3.3, so that the Parties can discuss in good faith whether such WuXi Biologics Background IP or WuXi Biologics Arising IP should be included in such Products or deliverables. As of the date hereof, except for the Cell Line License Agreement, no WuXi Biologics Background IP or WuXi Biologics Arising IP has been incorporated into either of (i) or (ii) of this Section 3.3(d) In the event that WuXi Biologics does not notify Client in accordance with this Section 3.3(d), Client shall be granted a non-exclusive, fully paid-up, royalty-free license to any such WuXi Biologics Background IP or WuXi Biologics Arising IP to the extent necessary for commercializing, distributing, marketing, selling, importing, manufacturing, and exporting the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FORECASTS AND ORDERS</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4.1 Ordering for Calendar Years 2021 and 2022. </w:t>
      </w:r>
      <w:r>
        <w:rPr>
          <w:rFonts w:ascii="Arial" w:cs="Arial" w:eastAsia="Arial" w:hAnsi="Arial"/>
          <w:sz w:val="20"/>
          <w:szCs w:val="20"/>
          <w:color w:val="auto"/>
        </w:rPr>
        <w:t>For the Manufacture of Product to be initiated in calendar years 2021 and 2022,</w:t>
      </w:r>
      <w:r>
        <w:rPr>
          <w:rFonts w:ascii="Arial" w:cs="Arial" w:eastAsia="Arial" w:hAnsi="Arial"/>
          <w:sz w:val="20"/>
          <w:szCs w:val="20"/>
          <w:b w:val="1"/>
          <w:bCs w:val="1"/>
          <w:color w:val="auto"/>
        </w:rPr>
        <w:t xml:space="preserve"> </w:t>
      </w:r>
      <w:r>
        <w:rPr>
          <w:rFonts w:ascii="Arial" w:cs="Arial" w:eastAsia="Arial" w:hAnsi="Arial"/>
          <w:sz w:val="20"/>
          <w:szCs w:val="20"/>
          <w:color w:val="auto"/>
        </w:rPr>
        <w:t>all Batches are in a binding forecast (based on vial thaw dates in the case of drug substance) on the Effective Date of this Agreement and are governed by and agreed to in a Product Schedule.</w:t>
      </w:r>
    </w:p>
    <w:p>
      <w:pPr>
        <w:spacing w:after="0" w:line="178"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8"/>
          <w:szCs w:val="18"/>
          <w:b w:val="1"/>
          <w:bCs w:val="1"/>
          <w:color w:val="auto"/>
        </w:rPr>
        <w:t>4.2 Forecast for Calendar Year 2023 and Beyond</w:t>
      </w:r>
      <w:r>
        <w:rPr>
          <w:rFonts w:ascii="Arial" w:cs="Arial" w:eastAsia="Arial" w:hAnsi="Arial"/>
          <w:sz w:val="18"/>
          <w:szCs w:val="18"/>
          <w:color w:val="auto"/>
        </w:rPr>
        <w:t>. Client shall provide to WuXi Biologics, on the first Working Day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(or on such other date or at such frequency, as the Parties may agree), an [***] forecast (based on vial thaw dates in the case of drug substance) that includes both binding and non-binding components. Included within this forecast, the first [***] (or such shorter period as may then remain under the Term) will be a binding forecast giving details of volume requirements for the Products required to be manufactured (the “</w:t>
      </w:r>
      <w:r>
        <w:rPr>
          <w:rFonts w:ascii="Arial" w:cs="Arial" w:eastAsia="Arial" w:hAnsi="Arial"/>
          <w:sz w:val="18"/>
          <w:szCs w:val="18"/>
          <w:b w:val="1"/>
          <w:bCs w:val="1"/>
          <w:color w:val="auto"/>
        </w:rPr>
        <w:t>Forecast Schedule</w:t>
      </w:r>
      <w:r>
        <w:rPr>
          <w:rFonts w:ascii="Arial" w:cs="Arial" w:eastAsia="Arial" w:hAnsi="Arial"/>
          <w:sz w:val="18"/>
          <w:szCs w:val="18"/>
          <w:color w:val="auto"/>
        </w:rPr>
        <w:t>”) when the Product is only drug substance. The remaining [***] (or such shorter period as may then remain under the Term) shall be non-binding when the Product is only drug substance. For clarity, the Forecast Schedule shall show estimates of required Product volumes (“</w:t>
      </w:r>
      <w:r>
        <w:rPr>
          <w:rFonts w:ascii="Arial" w:cs="Arial" w:eastAsia="Arial" w:hAnsi="Arial"/>
          <w:sz w:val="18"/>
          <w:szCs w:val="18"/>
          <w:b w:val="1"/>
          <w:bCs w:val="1"/>
          <w:color w:val="auto"/>
        </w:rPr>
        <w:t>Volume Requirements</w:t>
      </w:r>
      <w:r>
        <w:rPr>
          <w:rFonts w:ascii="Arial" w:cs="Arial" w:eastAsia="Arial" w:hAnsi="Arial"/>
          <w:sz w:val="18"/>
          <w:szCs w:val="18"/>
          <w:color w:val="auto"/>
        </w:rPr>
        <w:t>”), with the first [***] binding and remaining [***] non-binding for Product that is drug substance. When the Product is drug product, the time periods above will be modified such that the first [***] (or such shorter period as may then remain under the Term) will be binding, and the remaining [***] (or such shorter period as may then remain under the Term) will be non-binding. The first such Forecast Schedule in all cases shall be provided to WuXi Biologics on the Effective Date.</w:t>
      </w:r>
    </w:p>
    <w:p>
      <w:pPr>
        <w:spacing w:after="0" w:line="16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4.3 Required Purchases</w:t>
      </w:r>
      <w:r>
        <w:rPr>
          <w:rFonts w:ascii="Arial" w:cs="Arial" w:eastAsia="Arial" w:hAnsi="Arial"/>
          <w:sz w:val="20"/>
          <w:szCs w:val="20"/>
          <w:color w:val="auto"/>
        </w:rPr>
        <w:t>. The Volume Requirements in any binding period will constitute binding commitments on Client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such specified volumes of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1" w:name="page132"/>
    <w:bookmarkEnd w:id="131"/>
    <w:p>
      <w:pPr>
        <w:jc w:val="both"/>
        <w:ind w:firstLine="749"/>
        <w:spacing w:after="0" w:line="292" w:lineRule="auto"/>
        <w:rPr>
          <w:sz w:val="20"/>
          <w:szCs w:val="20"/>
          <w:color w:val="auto"/>
        </w:rPr>
      </w:pPr>
      <w:r>
        <w:rPr>
          <w:rFonts w:ascii="Arial" w:cs="Arial" w:eastAsia="Arial" w:hAnsi="Arial"/>
          <w:sz w:val="19"/>
          <w:szCs w:val="19"/>
          <w:b w:val="1"/>
          <w:bCs w:val="1"/>
          <w:color w:val="auto"/>
        </w:rPr>
        <w:t>4.4 Forecast Variation</w:t>
      </w:r>
      <w:r>
        <w:rPr>
          <w:rFonts w:ascii="Arial" w:cs="Arial" w:eastAsia="Arial" w:hAnsi="Arial"/>
          <w:sz w:val="19"/>
          <w:szCs w:val="19"/>
          <w:color w:val="auto"/>
        </w:rPr>
        <w:t>. Unless otherwise agreed in writing between the Parties or under Section 4.7, if the Volume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in Client’s Purchase Orders are lower than the requirements set out in Section 4.3, [***], and Client and WuXi Biologics shall be deemed to agree to this change. If Client’s Purchase Orders are higher than the requirements set out in Section 4.3, WuXi Biologics shall use Commercially Reasonable Efforts to Manufacture Products to fill Client’s Purchase Orders above the Volume Requirements; provided that a failure to meet such overage shall not be considered a breach of this Agreement.</w:t>
      </w:r>
    </w:p>
    <w:p>
      <w:pPr>
        <w:spacing w:after="0" w:line="16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b w:val="1"/>
          <w:bCs w:val="1"/>
          <w:color w:val="auto"/>
        </w:rPr>
        <w:t>4.5 Purchase Orders</w:t>
      </w:r>
      <w:r>
        <w:rPr>
          <w:rFonts w:ascii="Arial" w:cs="Arial" w:eastAsia="Arial" w:hAnsi="Arial"/>
          <w:sz w:val="20"/>
          <w:szCs w:val="20"/>
          <w:color w:val="auto"/>
        </w:rPr>
        <w:t>. Client shall from time to time throughout the Term, issue purchase orders to WuXi Biologics, corresponding</w:t>
      </w:r>
      <w:r>
        <w:rPr>
          <w:rFonts w:ascii="Arial" w:cs="Arial" w:eastAsia="Arial" w:hAnsi="Arial"/>
          <w:sz w:val="20"/>
          <w:szCs w:val="20"/>
          <w:b w:val="1"/>
          <w:bCs w:val="1"/>
          <w:color w:val="auto"/>
        </w:rPr>
        <w:t xml:space="preserve"> </w:t>
      </w:r>
      <w:r>
        <w:rPr>
          <w:rFonts w:ascii="Arial" w:cs="Arial" w:eastAsia="Arial" w:hAnsi="Arial"/>
          <w:sz w:val="20"/>
          <w:szCs w:val="20"/>
          <w:color w:val="auto"/>
        </w:rPr>
        <w:t>to at least the Volume Requirements in the binding forecast (each such order being referred to, once accepted by WuXi Biologics in accordance with Section 4.6, as a “</w:t>
      </w:r>
      <w:r>
        <w:rPr>
          <w:rFonts w:ascii="Arial" w:cs="Arial" w:eastAsia="Arial" w:hAnsi="Arial"/>
          <w:sz w:val="20"/>
          <w:szCs w:val="20"/>
          <w:b w:val="1"/>
          <w:bCs w:val="1"/>
          <w:color w:val="auto"/>
        </w:rPr>
        <w:t>Purchase Order</w:t>
      </w:r>
      <w:r>
        <w:rPr>
          <w:rFonts w:ascii="Arial" w:cs="Arial" w:eastAsia="Arial" w:hAnsi="Arial"/>
          <w:sz w:val="20"/>
          <w:szCs w:val="20"/>
          <w:color w:val="auto"/>
        </w:rPr>
        <w:t>”). Each Purchase Order shall, unless otherwise agreed between the Parties, specify the volumes of Product ordered and required delivery or dispatch date which shall be at least [***] after the effective date of the Purchase Order (the “</w:t>
      </w:r>
      <w:r>
        <w:rPr>
          <w:rFonts w:ascii="Arial" w:cs="Arial" w:eastAsia="Arial" w:hAnsi="Arial"/>
          <w:sz w:val="20"/>
          <w:szCs w:val="20"/>
          <w:b w:val="1"/>
          <w:bCs w:val="1"/>
          <w:color w:val="auto"/>
        </w:rPr>
        <w:t>Delivery Date</w:t>
      </w:r>
      <w:r>
        <w:rPr>
          <w:rFonts w:ascii="Arial" w:cs="Arial" w:eastAsia="Arial" w:hAnsi="Arial"/>
          <w:sz w:val="20"/>
          <w:szCs w:val="20"/>
          <w:color w:val="auto"/>
        </w:rPr>
        <w:t>”). The standard terms and conditions which shall apply to each Purchase Order are set forth in this Agreement, which terms may be mutually agreed upon with respect to any Purchase Order or additional Product Schedule. In all cases, this Agreement shall supersede a conflict between this Agreement and a Purchase Order or its relevant terms and conditions unless the Parties mutually agree otherwise.</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4.6 WuXi Biologics’ Response to Purchase Orders</w:t>
      </w:r>
      <w:r>
        <w:rPr>
          <w:rFonts w:ascii="Arial" w:cs="Arial" w:eastAsia="Arial" w:hAnsi="Arial"/>
          <w:sz w:val="20"/>
          <w:szCs w:val="20"/>
          <w:color w:val="auto"/>
        </w:rPr>
        <w:t>. Purchase Orders shall be issued by Client under Section 4.5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Section 4.9. WuXi Biologics shall respond to each such Purchase Order received from Client within [***] of receipt. Provided that the Volume Requirements for any Purchase Order comply with the requirements set out in Section 4.3 above, WuXi Biologics shall accept the Purchase Order and its response shall include confirmation of the quantity of Product and the Delivery Date, and such shall be binding upon WuXi Biologics.</w:t>
      </w:r>
    </w:p>
    <w:p>
      <w:pPr>
        <w:spacing w:after="0" w:line="186"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8"/>
          <w:szCs w:val="18"/>
          <w:b w:val="1"/>
          <w:bCs w:val="1"/>
          <w:color w:val="auto"/>
        </w:rPr>
        <w:t>4.7 Changes to Confirmed Purchase Orders</w:t>
      </w:r>
      <w:r>
        <w:rPr>
          <w:rFonts w:ascii="Arial" w:cs="Arial" w:eastAsia="Arial" w:hAnsi="Arial"/>
          <w:sz w:val="18"/>
          <w:szCs w:val="18"/>
          <w:color w:val="auto"/>
        </w:rPr>
        <w:t>. WuXi Biologics shall use Commercially Reasonable Efforts to satisfy an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Product quantity, or changes to delivery phasing or dates, requested in writing by Client in respect of any accepted Purchase Order, provided that Client shall reimburse all reasonable additional pre-agreed costs actually incurred by WuXi Biologics in the event it is able to meet such change (provided that WuXi Biologics informs Client of such estimated costs in advance and that it provides Client with reasonable documentation of the actual incurrence of such costs within [***] of such estimate). Failure to meet any increase in quantity or delivery dates modified after a Purchase Order is accepted shall not be considered a material breach of this Agreement. In the event Client wishes to reduce the quantities of Product in any Purchase Order or cancel or defer a Purchase Order, Client shall notify WuXi Biologics thereof and WuXi Biologics will notify Client if WuXi Biologics can, using Commercially Reasonable Efforts, fill Client’s slot with a Third Party’s reasonable comparable production (including scale, process, duration) and/or return, re-sell or reallocate raw materials or work in progress, as applicable. Following such notification, Client will confirm whether or not to reduce the quantities of Product in such Purchase Order or cancel or defer such Purchase Order, as applicable, and only after such confirmation from Client will WuXi Biologics reduce the quantities of Product and Client be responsible to pay the Price for the number of Batches ordered less any amounts attributable to the refilling of the slot and/or the return, resale or reallocation of the raw materials and work in progress.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4.8 Deposit</w:t>
      </w:r>
      <w:r>
        <w:rPr>
          <w:rFonts w:ascii="Arial" w:cs="Arial" w:eastAsia="Arial" w:hAnsi="Arial"/>
          <w:sz w:val="19"/>
          <w:szCs w:val="19"/>
          <w:color w:val="auto"/>
        </w:rPr>
        <w:t>. Pursuant to Section 4.1, for all Batches in [***] for the Manufacturing of Product, Client shall pay WuXi Biologics</w:t>
      </w:r>
    </w:p>
    <w:p>
      <w:pPr>
        <w:spacing w:after="0" w:line="44" w:lineRule="exact"/>
        <w:rPr>
          <w:sz w:val="20"/>
          <w:szCs w:val="20"/>
          <w:color w:val="auto"/>
        </w:rPr>
      </w:pPr>
    </w:p>
    <w:p>
      <w:pPr>
        <w:jc w:val="both"/>
        <w:ind w:firstLine="8"/>
        <w:spacing w:after="0" w:line="274" w:lineRule="auto"/>
        <w:tabs>
          <w:tab w:leader="none" w:pos="492" w:val="left"/>
        </w:tabs>
        <w:numPr>
          <w:ilvl w:val="0"/>
          <w:numId w:val="59"/>
        </w:numPr>
        <w:rPr>
          <w:rFonts w:ascii="Arial" w:cs="Arial" w:eastAsia="Arial" w:hAnsi="Arial"/>
          <w:sz w:val="20"/>
          <w:szCs w:val="20"/>
          <w:color w:val="auto"/>
        </w:rPr>
      </w:pPr>
      <w:r>
        <w:rPr>
          <w:rFonts w:ascii="Arial" w:cs="Arial" w:eastAsia="Arial" w:hAnsi="Arial"/>
          <w:sz w:val="20"/>
          <w:szCs w:val="20"/>
          <w:color w:val="auto"/>
        </w:rPr>
        <w:t>of the Price [***] of the Effective Date and [***] of the Price [***] of the Effective Date based on the total number of Batches as a non-refundable deposit to secure capacity for such binding Batches in [***]. For Batches in 2023 and beyond, Client shall pay WuXi Biologics [***] of the Price for the total number of Batches for the [***] binding forecast for drug substance, or the [***] binding forecast for drug product, as a nonrefundable deposit to secure capacity for the binding forecast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2" w:name="page133"/>
    <w:bookmarkEnd w:id="132"/>
    <w:p>
      <w:pPr>
        <w:jc w:val="both"/>
        <w:spacing w:after="0" w:line="288" w:lineRule="auto"/>
        <w:rPr>
          <w:sz w:val="20"/>
          <w:szCs w:val="20"/>
          <w:color w:val="auto"/>
        </w:rPr>
      </w:pPr>
      <w:r>
        <w:rPr>
          <w:rFonts w:ascii="Arial" w:cs="Arial" w:eastAsia="Arial" w:hAnsi="Arial"/>
          <w:sz w:val="20"/>
          <w:szCs w:val="20"/>
          <w:color w:val="auto"/>
        </w:rPr>
        <w:t>period when that binding forecast is provided to WuXi Biologics. The deposit will be creditable to the final payment(s) for the related binding Batch(es).</w:t>
      </w:r>
    </w:p>
    <w:p>
      <w:pPr>
        <w:spacing w:after="0" w:line="171"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4.9 Addressees for Correspondence</w:t>
      </w:r>
      <w:r>
        <w:rPr>
          <w:rFonts w:ascii="Arial" w:cs="Arial" w:eastAsia="Arial" w:hAnsi="Arial"/>
          <w:sz w:val="20"/>
          <w:szCs w:val="20"/>
          <w:color w:val="auto"/>
        </w:rPr>
        <w:t>. All Forecast Schedules, Purchase Orders, written confirmation of Purchase Orders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notices contemplated under this Agreement shall be sent to the attention of such Party as set forth in Section 23.9, or such persons as each Party may identify to the other in writing from time-to-time.</w:t>
      </w:r>
    </w:p>
    <w:p>
      <w:pPr>
        <w:spacing w:after="0" w:line="17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4.10 Affiliates of Client</w:t>
      </w:r>
      <w:r>
        <w:rPr>
          <w:rFonts w:ascii="Arial" w:cs="Arial" w:eastAsia="Arial" w:hAnsi="Arial"/>
          <w:sz w:val="20"/>
          <w:szCs w:val="20"/>
          <w:color w:val="auto"/>
        </w:rPr>
        <w:t>. Affiliates of Client may order Products included within the Volume Requirements directly from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provided that Client shall be liable for the obligations of any of its Affiliates that order Products from WuXi Biologics under this Agreement. WuXi Biologics shall supply to such Affiliates the ordered Products in accordance with the terms and conditions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DELIVERY OF PRODUCT</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5.1 Delivery of Products</w:t>
      </w:r>
      <w:r>
        <w:rPr>
          <w:rFonts w:ascii="Arial" w:cs="Arial" w:eastAsia="Arial" w:hAnsi="Arial"/>
          <w:sz w:val="20"/>
          <w:szCs w:val="20"/>
          <w:color w:val="auto"/>
        </w:rPr>
        <w:t>.</w:t>
      </w:r>
    </w:p>
    <w:p>
      <w:pPr>
        <w:spacing w:after="0" w:line="249" w:lineRule="exact"/>
        <w:rPr>
          <w:sz w:val="20"/>
          <w:szCs w:val="20"/>
          <w:color w:val="auto"/>
        </w:rPr>
      </w:pPr>
    </w:p>
    <w:p>
      <w:pPr>
        <w:jc w:val="both"/>
        <w:ind w:firstLine="1678"/>
        <w:spacing w:after="0" w:line="272" w:lineRule="auto"/>
        <w:tabs>
          <w:tab w:leader="none" w:pos="2793"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materials to be provided by WuXi Biologics to Client will be delivered FCA (carrier named by Client) (Incoterms 2020), including Products and other deliverables produced under a Purchase Order, returned Client materials, returned records and returned Confidential Information. For the avoidance of doubt, FCA (carrier named by Client) means WuXi Biologics is responsible for handing over the materials, cleared for export, to a carrier named by Client. Client assumes all risk at such hand over and pays all further shipping costs.</w:t>
      </w:r>
    </w:p>
    <w:p>
      <w:pPr>
        <w:spacing w:after="0" w:line="195" w:lineRule="exact"/>
        <w:rPr>
          <w:rFonts w:ascii="Arial" w:cs="Arial" w:eastAsia="Arial" w:hAnsi="Arial"/>
          <w:sz w:val="20"/>
          <w:szCs w:val="20"/>
          <w:color w:val="auto"/>
        </w:rPr>
      </w:pPr>
    </w:p>
    <w:p>
      <w:pPr>
        <w:ind w:left="2800" w:hanging="1122"/>
        <w:spacing w:after="0"/>
        <w:tabs>
          <w:tab w:leader="none" w:pos="28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Products may be delivered by WuXi Biologics in an amount that is lower by up to [***] and up to</w:t>
      </w:r>
    </w:p>
    <w:p>
      <w:pPr>
        <w:spacing w:after="0" w:line="38" w:lineRule="exact"/>
        <w:rPr>
          <w:rFonts w:ascii="Arial" w:cs="Arial" w:eastAsia="Arial" w:hAnsi="Arial"/>
          <w:sz w:val="19"/>
          <w:szCs w:val="19"/>
          <w:color w:val="auto"/>
        </w:rPr>
      </w:pPr>
    </w:p>
    <w:p>
      <w:pPr>
        <w:jc w:val="both"/>
        <w:ind w:firstLine="8"/>
        <w:spacing w:after="0" w:line="377" w:lineRule="auto"/>
        <w:tabs>
          <w:tab w:leader="none" w:pos="485" w:val="left"/>
        </w:tabs>
        <w:numPr>
          <w:ilvl w:val="0"/>
          <w:numId w:val="60"/>
        </w:numPr>
        <w:rPr>
          <w:rFonts w:ascii="Arial" w:cs="Arial" w:eastAsia="Arial" w:hAnsi="Arial"/>
          <w:sz w:val="16"/>
          <w:szCs w:val="16"/>
          <w:color w:val="auto"/>
        </w:rPr>
      </w:pPr>
      <w:r>
        <w:rPr>
          <w:rFonts w:ascii="Arial" w:cs="Arial" w:eastAsia="Arial" w:hAnsi="Arial"/>
          <w:sz w:val="16"/>
          <w:szCs w:val="16"/>
          <w:color w:val="auto"/>
        </w:rPr>
        <w:t>before or after the time specified in the relevant Purchase Order and any such variance shall not constitute a breach of this Agreement by WuXi Biologics. WuXi Biologics shall arrange for the delivery of Product to Client’s (or its agent’s) designated facilities as stated on the Purchase Order and in a manner consistent with good commercial practices, and in accordance with any agreed-upon shipping specifications.</w:t>
      </w:r>
    </w:p>
    <w:p>
      <w:pPr>
        <w:spacing w:after="0" w:line="118" w:lineRule="exact"/>
        <w:rPr>
          <w:rFonts w:ascii="Arial" w:cs="Arial" w:eastAsia="Arial" w:hAnsi="Arial"/>
          <w:sz w:val="16"/>
          <w:szCs w:val="16"/>
          <w:color w:val="auto"/>
        </w:rPr>
      </w:pPr>
    </w:p>
    <w:p>
      <w:pPr>
        <w:jc w:val="both"/>
        <w:ind w:firstLine="1678"/>
        <w:spacing w:after="0" w:line="278" w:lineRule="auto"/>
        <w:tabs>
          <w:tab w:leader="none" w:pos="2793" w:val="left"/>
        </w:tabs>
        <w:numPr>
          <w:ilvl w:val="1"/>
          <w:numId w:val="61"/>
        </w:numPr>
        <w:rPr>
          <w:rFonts w:ascii="Arial" w:cs="Arial" w:eastAsia="Arial" w:hAnsi="Arial"/>
          <w:sz w:val="20"/>
          <w:szCs w:val="20"/>
          <w:color w:val="auto"/>
        </w:rPr>
      </w:pPr>
      <w:r>
        <w:rPr>
          <w:rFonts w:ascii="Arial" w:cs="Arial" w:eastAsia="Arial" w:hAnsi="Arial"/>
          <w:sz w:val="20"/>
          <w:szCs w:val="20"/>
          <w:color w:val="auto"/>
        </w:rPr>
        <w:t>WuXi Biologics will ensure full cGDP compliance, on temperature-controlled products. WuXi Biologics will ensure temperature monitoring for shipments to Client sites and shipment qualifications will be conducted in coordination with the Client, at Client’s expense, and otherwise as set forth in the Quality Agreement.</w:t>
      </w:r>
    </w:p>
    <w:p>
      <w:pPr>
        <w:spacing w:after="0" w:line="180"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5.2 Title; Risk of Loss</w:t>
      </w:r>
      <w:r>
        <w:rPr>
          <w:rFonts w:ascii="Arial" w:cs="Arial" w:eastAsia="Arial" w:hAnsi="Arial"/>
          <w:sz w:val="20"/>
          <w:szCs w:val="20"/>
          <w:color w:val="auto"/>
        </w:rPr>
        <w:t>. Risk and title in the Products shall be transferred to Client as soon as the Products are delivered to a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carrier in accordance with the Delivery Terms.</w:t>
      </w:r>
    </w:p>
    <w:p>
      <w:pPr>
        <w:spacing w:after="0" w:line="16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b w:val="1"/>
          <w:bCs w:val="1"/>
          <w:color w:val="auto"/>
        </w:rPr>
        <w:t>5.3 Accompanying Documentation</w:t>
      </w:r>
      <w:r>
        <w:rPr>
          <w:rFonts w:ascii="Arial" w:cs="Arial" w:eastAsia="Arial" w:hAnsi="Arial"/>
          <w:sz w:val="18"/>
          <w:szCs w:val="18"/>
          <w:color w:val="auto"/>
        </w:rPr>
        <w:t>. With each shipment of Product, WuXi Biologics shall provide Client with a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and with 1) a Certificate of Analysis (if lot release testing is performed by WuXi Biologics) or 2) a Certificate of Testing (if Client requests only selected lot release testing to be performed by WuXi Biologics), as applicable, duly signed or released by a Qualified Person in accordance with cGMP, that sets forth the analytical test results for each specified lot of Product delivered to Client hereunder and confirms that such Products have been manufactured in accordance with the Specifications unless otherwise requested by Client.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3" w:name="page134"/>
    <w:bookmarkEnd w:id="133"/>
    <w:p>
      <w:pPr>
        <w:jc w:val="both"/>
        <w:ind w:right="20" w:firstLine="749"/>
        <w:spacing w:after="0" w:line="354" w:lineRule="auto"/>
        <w:rPr>
          <w:sz w:val="20"/>
          <w:szCs w:val="20"/>
          <w:color w:val="auto"/>
        </w:rPr>
      </w:pPr>
      <w:r>
        <w:rPr>
          <w:rFonts w:ascii="Arial" w:cs="Arial" w:eastAsia="Arial" w:hAnsi="Arial"/>
          <w:sz w:val="18"/>
          <w:szCs w:val="18"/>
          <w:b w:val="1"/>
          <w:bCs w:val="1"/>
          <w:color w:val="auto"/>
        </w:rPr>
        <w:t>5.4 Retention of Samples</w:t>
      </w:r>
      <w:r>
        <w:rPr>
          <w:rFonts w:ascii="Arial" w:cs="Arial" w:eastAsia="Arial" w:hAnsi="Arial"/>
          <w:sz w:val="18"/>
          <w:szCs w:val="18"/>
          <w:color w:val="auto"/>
        </w:rPr>
        <w:t>. Provisions covering WuXi Biologics’ obligation to store and retain appropriate samples (identified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batch number) of Product that it supplies to Client, and access by Client to the same, will be set forth in the Quality Agreement.</w:t>
      </w:r>
    </w:p>
    <w:p>
      <w:pPr>
        <w:spacing w:after="0" w:line="11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b w:val="1"/>
          <w:bCs w:val="1"/>
          <w:color w:val="auto"/>
        </w:rPr>
        <w:t>5.5 Late Delivery</w:t>
      </w:r>
      <w:r>
        <w:rPr>
          <w:rFonts w:ascii="Arial" w:cs="Arial" w:eastAsia="Arial" w:hAnsi="Arial"/>
          <w:sz w:val="19"/>
          <w:szCs w:val="19"/>
          <w:color w:val="auto"/>
        </w:rPr>
        <w:t>. Without prejudice to the Client’s rights and WuXi Biologics’ obligations under this Agreement and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Laws, in the event that WuXi Biologics is unable to fulfill its supply obligations under this Agreement for a reason other than a Force Majeure Event, it shall notify Client as soon as possible and the Parties will work together to agree to a mutually acceptable resolution. If conforming Product is not received by Client within [***] of the Delivery Date, then Client shall have the right to claim payment from WuXi Biologics of a late performance penalty equal to [***] of the Price of such delayed Product(s). The foregoing amounts may be deducted by Client against any invoices delivered to Client. WuXi Biologics shall not be subject to a late performance penalty under this Section 5.5 if late delivery was the result of (A) a Force Majeure Event; (B) non-WuXi Biologics’ Materials shortage; or (C) a delay or defect in Materials provided by Client or a Client Designated Vendor, in each case where WuXi Biologics has (i) used Commercially Reasonable Efforts to mitigate such shortage and (ii) promptly notified Client.</w:t>
      </w:r>
    </w:p>
    <w:p>
      <w:pPr>
        <w:spacing w:after="0" w:line="18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b w:val="1"/>
          <w:bCs w:val="1"/>
          <w:color w:val="auto"/>
        </w:rPr>
        <w:t>5.6 Termination for Late Delivery</w:t>
      </w:r>
      <w:r>
        <w:rPr>
          <w:rFonts w:ascii="Arial" w:cs="Arial" w:eastAsia="Arial" w:hAnsi="Arial"/>
          <w:sz w:val="20"/>
          <w:szCs w:val="20"/>
          <w:color w:val="auto"/>
        </w:rPr>
        <w:t>. Subject to Section 23.4, if conforming Product is not received by Client within [***]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Date, then Client shall have the right to be fully reimbursed for the Price paid for the undelivered Products ordered under the applicable Purchase Order(s),less the cost of any non-cancellable raw materials ordered by WuXi Biologics for any such applicable Products to be reimbursed where such raw materials cannot be reasonably reallocated or re-used by WuXi Biologics. Without limiting the foregoing, if at least [***] of the quantity of Product in any calendar year is not received by Client within such calendar year, Client shall have the right to terminate this Agreement upon written notice to WuXi Biologics and such termination shall be considered a termination by Client pursuant to Section 19.2.</w:t>
      </w:r>
    </w:p>
    <w:p>
      <w:pPr>
        <w:spacing w:after="0" w:line="187"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8"/>
          <w:szCs w:val="18"/>
          <w:b w:val="1"/>
          <w:bCs w:val="1"/>
          <w:color w:val="auto"/>
        </w:rPr>
        <w:t>5.7 Manufacturing Problem</w:t>
      </w:r>
      <w:r>
        <w:rPr>
          <w:rFonts w:ascii="Arial" w:cs="Arial" w:eastAsia="Arial" w:hAnsi="Arial"/>
          <w:sz w:val="18"/>
          <w:szCs w:val="18"/>
          <w:color w:val="auto"/>
        </w:rPr>
        <w:t>. In the event that a Party becomes aware of any matter, circumstance or event (excluding any Force</w:t>
      </w:r>
      <w:r>
        <w:rPr>
          <w:rFonts w:ascii="Arial" w:cs="Arial" w:eastAsia="Arial" w:hAnsi="Arial"/>
          <w:sz w:val="18"/>
          <w:szCs w:val="18"/>
          <w:b w:val="1"/>
          <w:bCs w:val="1"/>
          <w:color w:val="auto"/>
        </w:rPr>
        <w:t xml:space="preserve"> </w:t>
      </w:r>
      <w:r>
        <w:rPr>
          <w:rFonts w:ascii="Arial" w:cs="Arial" w:eastAsia="Arial" w:hAnsi="Arial"/>
          <w:sz w:val="18"/>
          <w:szCs w:val="18"/>
          <w:color w:val="auto"/>
        </w:rPr>
        <w:t>Majeure Event) which (a) would reasonably be expected to give rise to a material delay in the shipment of Product; (b) reasonably indicate that the quality standards set forth herein and in the Quality Agreement have been materially compromised or (iii) may reasonably give rise to a material breach hereunder or the right of Client to terminate this Agreement under Article 19 (each a “</w:t>
      </w:r>
      <w:r>
        <w:rPr>
          <w:rFonts w:ascii="Arial" w:cs="Arial" w:eastAsia="Arial" w:hAnsi="Arial"/>
          <w:sz w:val="18"/>
          <w:szCs w:val="18"/>
          <w:b w:val="1"/>
          <w:bCs w:val="1"/>
          <w:color w:val="auto"/>
        </w:rPr>
        <w:t>Manufacturing Problem</w:t>
      </w:r>
      <w:r>
        <w:rPr>
          <w:rFonts w:ascii="Arial" w:cs="Arial" w:eastAsia="Arial" w:hAnsi="Arial"/>
          <w:sz w:val="18"/>
          <w:szCs w:val="18"/>
          <w:color w:val="auto"/>
        </w:rPr>
        <w:t>”), such Party shall promptly give written notice of the Manufacturing Problem to the other Party. In the event WuXi Biologics becomes aware of a Manufacturing Problem, WuXi Biologics shall as soon as reasonably possible give written notice to Client of such Manufacturing Problem, the cause thereof, the anticipated length of such Manufacturing Problem, and the action to be taken to reduce, minimize or remove the adverse effects of any such Manufacturing Problem. Within [***] of receipt of the notice given pursuant to this Section 5.7, Client and WuXi Biologics shall discuss or meet with a view to agreeing to any actions necessary to minimize the risk of an interruption to supply or shortfall in quantities of Product occurs. For purposes of clarity, a Manufacturing Problem which shall give rise to the remedies set forth in this Section 5.7 includes, but is not limited to, (i) receipt by WuXi Biologics of a warning letter from a Regulatory Authority affecting a Product, or (ii) delivery of [***] or more consecutive Batches of Product which do not meet quality standards (including relevant compliance standards) for the Product as set forth under this Agreement, the Quality Agreement, cGMPs, the Specifications or Applicable Laws.</w:t>
      </w:r>
    </w:p>
    <w:p>
      <w:pPr>
        <w:spacing w:after="0" w:line="165"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b w:val="1"/>
          <w:bCs w:val="1"/>
          <w:color w:val="auto"/>
        </w:rPr>
        <w:t xml:space="preserve">5.8 Key Performance Indicators. </w:t>
      </w:r>
      <w:r>
        <w:rPr>
          <w:rFonts w:ascii="Arial" w:cs="Arial" w:eastAsia="Arial" w:hAnsi="Arial"/>
          <w:sz w:val="19"/>
          <w:szCs w:val="19"/>
          <w:color w:val="auto"/>
        </w:rPr>
        <w:t>The Parties agree to measure WuXi Biologics’ performance through the establishment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Key Performance Indicators (“</w:t>
      </w:r>
      <w:r>
        <w:rPr>
          <w:rFonts w:ascii="Arial" w:cs="Arial" w:eastAsia="Arial" w:hAnsi="Arial"/>
          <w:sz w:val="19"/>
          <w:szCs w:val="19"/>
          <w:b w:val="1"/>
          <w:bCs w:val="1"/>
          <w:color w:val="auto"/>
        </w:rPr>
        <w:t>KPIs</w:t>
      </w:r>
      <w:r>
        <w:rPr>
          <w:rFonts w:ascii="Arial" w:cs="Arial" w:eastAsia="Arial" w:hAnsi="Arial"/>
          <w:sz w:val="19"/>
          <w:szCs w:val="19"/>
          <w:color w:val="auto"/>
        </w:rPr>
        <w:t>”) set forth in Schedule 3. Client may request the establishment of reasonable additional mutually agreed KPIs, which shall then be appended to Schedule 3. The Parties shall agree upon the relative importance of the KPIs by classifying each KPI with a designation of “minor”, “major” or “critical”. The Parties shall agree in good faith by January of each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jc w:val="both"/>
        <w:spacing w:after="0" w:line="286" w:lineRule="auto"/>
        <w:rPr>
          <w:sz w:val="20"/>
          <w:szCs w:val="20"/>
          <w:color w:val="auto"/>
        </w:rPr>
      </w:pPr>
      <w:r>
        <w:rPr>
          <w:rFonts w:ascii="Arial" w:cs="Arial" w:eastAsia="Arial" w:hAnsi="Arial"/>
          <w:sz w:val="19"/>
          <w:szCs w:val="19"/>
          <w:color w:val="auto"/>
        </w:rPr>
        <w:t>year, (beginning with the second calendar year of this Agreement), the performance level objectives of WuXi Biologics for the following year. The performance level objectives shall be established for individual KPIs and for overall performance and on the basis of actual, past performance, and shall be expressed in measurable values. In addition, minimum acceptance levels shall be agreed upon for all critical KPIs and for overall performance. WuXi Biologics shall use all Commercially Reasonable Efforts to ensure that its performance does not fall below these minimum acceptance levels. Notwithstanding WuXi Biologics’ use of all Commercially Reasonable Efforts, if at any time WuXi Biologics’ overall performance or performance for critical KPIs falls below the established minimum acceptance levels, WuXi Biologics shall promptly take corrective action using Commercially Reasonable Efforts to cure such under-performance. WuXi Biologics’ level of performance in relation to the KPIs shall be reported on a [***]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PRICE</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6.1 Supply Price</w:t>
      </w:r>
      <w:r>
        <w:rPr>
          <w:rFonts w:ascii="Arial" w:cs="Arial" w:eastAsia="Arial" w:hAnsi="Arial"/>
          <w:sz w:val="20"/>
          <w:szCs w:val="20"/>
          <w:color w:val="auto"/>
        </w:rPr>
        <w:t>. In consideration of the Manufacture of the Products, in accordance with Article 7, Client shall pay to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the Price for the Products supplied under this Agreement less any amounts previously paid by Client for Materials pursuant to Section 2.6 to the extent such Materials are used in such Products.</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6.2 Taxes</w:t>
      </w:r>
      <w:r>
        <w:rPr>
          <w:rFonts w:ascii="Arial" w:cs="Arial" w:eastAsia="Arial" w:hAnsi="Arial"/>
          <w:sz w:val="20"/>
          <w:szCs w:val="20"/>
          <w:color w:val="auto"/>
        </w:rPr>
        <w:t>. Client shall be responsible for all sales, use, value added, excise and similar taxes imposed by any government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agency with respect to Client’s purchase of any Product under this Agreement, except for any such taxes based upon the general business operations, capital, property, corporate franchise, existence, or income of WuXi Biologics and any taxes or amounts in lieu thereof paid or payable by WuXi Biologics. All payments under this Agreement are deemed exclusive of VAT or any other indirect taxes; WuXi Biologics shall, if required under Applicable Laws and regulations, add VAT or any other indirect taxes to the Price at the prevailing rate under Applicable Laws and regulations.</w:t>
      </w:r>
    </w:p>
    <w:p>
      <w:pPr>
        <w:spacing w:after="0" w:line="185"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8"/>
          <w:szCs w:val="18"/>
          <w:b w:val="1"/>
          <w:bCs w:val="1"/>
          <w:color w:val="auto"/>
        </w:rPr>
        <w:t>6.3 Tax Withholding</w:t>
      </w:r>
      <w:r>
        <w:rPr>
          <w:rFonts w:ascii="Arial" w:cs="Arial" w:eastAsia="Arial" w:hAnsi="Arial"/>
          <w:sz w:val="18"/>
          <w:szCs w:val="18"/>
          <w:color w:val="auto"/>
        </w:rPr>
        <w:t>. The amounts payable by one Party (the “</w:t>
      </w:r>
      <w:r>
        <w:rPr>
          <w:rFonts w:ascii="Arial" w:cs="Arial" w:eastAsia="Arial" w:hAnsi="Arial"/>
          <w:sz w:val="18"/>
          <w:szCs w:val="18"/>
          <w:b w:val="1"/>
          <w:bCs w:val="1"/>
          <w:color w:val="auto"/>
        </w:rPr>
        <w:t>Payer</w:t>
      </w:r>
      <w:r>
        <w:rPr>
          <w:rFonts w:ascii="Arial" w:cs="Arial" w:eastAsia="Arial" w:hAnsi="Arial"/>
          <w:sz w:val="18"/>
          <w:szCs w:val="18"/>
          <w:color w:val="auto"/>
        </w:rPr>
        <w:t>”) to another Party (the “</w:t>
      </w:r>
      <w:r>
        <w:rPr>
          <w:rFonts w:ascii="Arial" w:cs="Arial" w:eastAsia="Arial" w:hAnsi="Arial"/>
          <w:sz w:val="18"/>
          <w:szCs w:val="18"/>
          <w:b w:val="1"/>
          <w:bCs w:val="1"/>
          <w:color w:val="auto"/>
        </w:rPr>
        <w:t>Payee</w:t>
      </w:r>
      <w:r>
        <w:rPr>
          <w:rFonts w:ascii="Arial" w:cs="Arial" w:eastAsia="Arial" w:hAnsi="Arial"/>
          <w:sz w:val="18"/>
          <w:szCs w:val="18"/>
          <w:color w:val="auto"/>
        </w:rPr>
        <w:t>”)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Payments</w:t>
      </w:r>
      <w:r>
        <w:rPr>
          <w:rFonts w:ascii="Arial" w:cs="Arial" w:eastAsia="Arial" w:hAnsi="Arial"/>
          <w:sz w:val="18"/>
          <w:szCs w:val="18"/>
          <w:color w:val="auto"/>
        </w:rPr>
        <w:t>”) shall not be reduced on account of any taxes unless required by law. The Payee alone shall be responsible for paying any and all taxes (other than withholding taxes required to be paid by the Payer) levied on account of, or measured in whole or in part by reference to, any Payments it receives. The Payer shall deduct or withhold from the Payments any taxes that it is required by law to deduct or withhold. Notwithstanding the foregoing, if the Payee is entitled under any applicable tax treaty to a reduction of rate of, or the elimination of, or recovery of, applicable withholding tax, it shall promptly deliver to the Payer or the appropriate governmental body (with the assistance of the Payer to the extent that this is reasonably required and is expressly requested in writing) the prescribed forms necessary to reduce the applicable rate of withholding or to relieve the Payer of its obligation to withhold tax, and the Payer shall apply the reduced rate of withholding, or dispense with the withholding, as the case may be. If, in accordance with the foregoing, the Payer withholds any amount, it shall make timely payment to the proper taxing authority of the withheld amount, and send to the Payee reasonable proof of such payment within [***] following that payment. If taxes are paid to a tax authority, each Party will provide the other such assistance as is reasonably required to obtain a refund of taxes withheld, or obtain a credit with respect to taxes 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INVOICE AND PAYMENT</w:t>
      </w:r>
    </w:p>
    <w:p>
      <w:pPr>
        <w:spacing w:after="0" w:line="24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7.1 Invoices</w:t>
      </w:r>
      <w:r>
        <w:rPr>
          <w:rFonts w:ascii="Arial" w:cs="Arial" w:eastAsia="Arial" w:hAnsi="Arial"/>
          <w:sz w:val="20"/>
          <w:szCs w:val="20"/>
          <w:color w:val="auto"/>
        </w:rPr>
        <w:t>. WuXi Biologics shall invoice Client for [***] of the Price for Products ordered under a Purchase Order upon</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(based on vial thaw in the case of drug substance) of Manufacturing of Batches of such Products, and [***] of the Price for Products ordered under such Purchase Order upon WuXi Biologics’ issuance of a Certificate of Compliance with 1) a Certificate of Analysis (if lot release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5" w:name="page136"/>
    <w:bookmarkEnd w:id="135"/>
    <w:p>
      <w:pPr>
        <w:jc w:val="both"/>
        <w:spacing w:after="0" w:line="272" w:lineRule="auto"/>
        <w:rPr>
          <w:sz w:val="20"/>
          <w:szCs w:val="20"/>
          <w:color w:val="auto"/>
        </w:rPr>
      </w:pPr>
      <w:r>
        <w:rPr>
          <w:rFonts w:ascii="Arial" w:cs="Arial" w:eastAsia="Arial" w:hAnsi="Arial"/>
          <w:sz w:val="20"/>
          <w:szCs w:val="20"/>
          <w:color w:val="auto"/>
        </w:rPr>
        <w:t>testing is performed by WuXi Biologics) or 2) a Certificate of Testing (if Client requests only selected lot release testing to be performed by WuXi Biologics), as applicable, for each applicable Batch. Each invoice shall specify the Price in respect of the Product delivered, the quantity of the Product delivered and the amount of sales, use, value added, excise or equivalent indirect tax, if relevant under Applicable Laws due in respect of the Product delivered, and the Purchase Order reference number. WuXi Biologics’ invoices shall comply with all Applicable Laws.</w:t>
      </w:r>
    </w:p>
    <w:p>
      <w:pPr>
        <w:spacing w:after="0" w:line="18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7.2 Payment of Invoices</w:t>
      </w:r>
      <w:r>
        <w:rPr>
          <w:rFonts w:ascii="Arial" w:cs="Arial" w:eastAsia="Arial" w:hAnsi="Arial"/>
          <w:sz w:val="20"/>
          <w:szCs w:val="20"/>
          <w:color w:val="auto"/>
        </w:rPr>
        <w:t>. Client shall pay undisputed invoices (including any undisputed portion thereof) issued by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in United States Dollars (USD) within [***] from the receipt of any invoice under Section 7.1, by electronic transfer to the account nominated in writing by WuXi Biologics, except in case of any Defective Product rejected in accordance with Article 9 and then only as to the Price excluding any allegedly Defective Product. The term of payment starts once the delivery is accepted by Client or at the moment an Independent Expert finds any rejected Product not to be Defective, although payment will not be due for properly rejected Defective Product (including, for clarity, any Products with Latent Defects).</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9"/>
          <w:szCs w:val="19"/>
          <w:b w:val="1"/>
          <w:bCs w:val="1"/>
          <w:color w:val="auto"/>
        </w:rPr>
        <w:t>7.3 Late Payment</w:t>
      </w:r>
      <w:r>
        <w:rPr>
          <w:rFonts w:ascii="Arial" w:cs="Arial" w:eastAsia="Arial" w:hAnsi="Arial"/>
          <w:sz w:val="19"/>
          <w:szCs w:val="19"/>
          <w:color w:val="auto"/>
        </w:rPr>
        <w:t>. If Client is in Payment Default, WuXi Biologics may impose the Payment Default Rate against Client.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Payment Default, WuXi Biologics will provide notice of late payment to Client. If Client does not make payment of all undisputed amounts within [***] of such notice, WuXi Biologics will have the right to temporarily suspend all Services and manufacture of Products under the applicable Product Schedule until such payment is made. If the Payment Default is not rectified within [***] after the undisputed payment was due, then it will be deemed an incurable material breach of this Agreement and WuXi Biologics may terminate the applicable Product Schedule or this entire Agreement under Section 19.5.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QUALITY ASSURANCE</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8.1 Validation and Stability Studies</w:t>
      </w:r>
      <w:r>
        <w:rPr>
          <w:rFonts w:ascii="Arial" w:cs="Arial" w:eastAsia="Arial" w:hAnsi="Arial"/>
          <w:sz w:val="20"/>
          <w:szCs w:val="20"/>
          <w:color w:val="auto"/>
        </w:rPr>
        <w:t>. WuXi Biologics shall perform validation and stability studies as agreed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in writing, or otherwise to the extent required by the Specifications for the Product(s), cGMP or Applicable Laws to Manufacture the Products at the Manufacturing Site.</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8.2 Release Testing</w:t>
      </w:r>
      <w:r>
        <w:rPr>
          <w:rFonts w:ascii="Arial" w:cs="Arial" w:eastAsia="Arial" w:hAnsi="Arial"/>
          <w:sz w:val="20"/>
          <w:szCs w:val="20"/>
          <w:color w:val="auto"/>
        </w:rPr>
        <w:t>. Prior to release of the Products to finished goods inventory, WuXi Biologics shall test the Products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testing procedures described in the Specifications.</w:t>
      </w:r>
    </w:p>
    <w:p>
      <w:pPr>
        <w:spacing w:after="0" w:line="16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8.3 Analytical Reference Standards</w:t>
      </w:r>
      <w:r>
        <w:rPr>
          <w:rFonts w:ascii="Arial" w:cs="Arial" w:eastAsia="Arial" w:hAnsi="Arial"/>
          <w:sz w:val="20"/>
          <w:szCs w:val="20"/>
          <w:color w:val="auto"/>
        </w:rPr>
        <w:t>. Client shall provide, without charge to WuXi Biologics, analytical reference standards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Products. The reference standards shall be provided in quantities reasonably required for WuXi Biologics to perform its obligations relating to the Manufacture, stability testing or any other testing of the Products under this Agreement.</w:t>
      </w:r>
    </w:p>
    <w:p>
      <w:pPr>
        <w:spacing w:after="0" w:line="178"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8.4 Technical and Quality Matters</w:t>
      </w:r>
      <w:r>
        <w:rPr>
          <w:rFonts w:ascii="Arial" w:cs="Arial" w:eastAsia="Arial" w:hAnsi="Arial"/>
          <w:sz w:val="20"/>
          <w:szCs w:val="20"/>
          <w:color w:val="auto"/>
        </w:rPr>
        <w:t>. The respective responsibilities of each Party in relation to technical and quality matters are or</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further set out in the Quality Agreement.</w:t>
      </w:r>
    </w:p>
    <w:p>
      <w:pPr>
        <w:spacing w:after="0" w:line="16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b w:val="1"/>
          <w:bCs w:val="1"/>
          <w:color w:val="auto"/>
        </w:rPr>
        <w:t>8.5 Man-in-Plant</w:t>
      </w:r>
      <w:r>
        <w:rPr>
          <w:rFonts w:ascii="Arial" w:cs="Arial" w:eastAsia="Arial" w:hAnsi="Arial"/>
          <w:sz w:val="20"/>
          <w:szCs w:val="20"/>
          <w:color w:val="auto"/>
        </w:rPr>
        <w:t>. WuXi Biologics agrees that, at Client’s option and sole expense, Client representatives may be present at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Site (including adequate temporary desk space and other reasonable resources available to these representatives at WuXi Biologics’ expense during the periods they are at the Manufacturing Site) during the Manufacturing of the Products for the purposes of inspecting, sampling, check weighing, and documenting Manufacturing of the Products and all associated records in connection therewith. Client representatives shall have reasonable access to (i) those portions of the Manufacturing Site where Product is Manufactured, subject to WuXi Biologics’ then-current SOPs; and (ii) full visibility and transparency to the activities being undertaken with respect to the Manufacture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6" w:name="page137"/>
    <w:bookmarkEnd w:id="136"/>
    <w:p>
      <w:pPr>
        <w:jc w:val="both"/>
        <w:spacing w:after="0" w:line="305" w:lineRule="auto"/>
        <w:rPr>
          <w:sz w:val="20"/>
          <w:szCs w:val="20"/>
          <w:color w:val="auto"/>
        </w:rPr>
      </w:pPr>
      <w:r>
        <w:rPr>
          <w:rFonts w:ascii="Arial" w:cs="Arial" w:eastAsia="Arial" w:hAnsi="Arial"/>
          <w:sz w:val="18"/>
          <w:szCs w:val="18"/>
          <w:color w:val="auto"/>
        </w:rPr>
        <w:t>Product. Any Client employees who are present at the Manufacturing Site shall comply with WuXi Biologics’ site regulations and rules. The Client representative, if present, does not have responsibility for the supervision of WuXi Biologics’ personnel or the Manufacturing of the Products. However, if at any time the Client representative objectively and reasonably determines that WuXi Biologics is operating in a manner not compliant with the terms of this Agreement or Applicable Laws or cGMP, he/she may recommend that WuXi Biologics cease operations until such condition is remedied or otherwise recommend a modification to such operations to overcome such concern; provided that, in the event that WuXi Biologics does not follow and adhere to such recommendation, then WuXi Biologics shall indemnify the Client pursuant to Section 18.1 from any Third Party Claims occurring or resulting from such failure to follow and adhere to such recommendation.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DEFECTIVE PRODUCTS</w:t>
      </w:r>
    </w:p>
    <w:p>
      <w:pPr>
        <w:spacing w:after="0" w:line="2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9.1 Acceptance, Rejection of Product</w:t>
      </w:r>
      <w:r>
        <w:rPr>
          <w:rFonts w:ascii="Arial" w:cs="Arial" w:eastAsia="Arial" w:hAnsi="Arial"/>
          <w:sz w:val="20"/>
          <w:szCs w:val="20"/>
          <w:color w:val="auto"/>
        </w:rPr>
        <w:t>. For a period of [***] after the delivery of Products (or, in the case of Latent Defects, a</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 after discovery of the Latent Defects discovered up to [***] after delivery of such Products), Client shall have the right to reject any allegedly Defective Products upon written notice to WuXi Biologics, such notice to include the reason(s) for the rejection and to be accompanied with any supporting documentation or other evidence. After the applicable time period set forth in this Section 9.1, all Product(s) will be deemed accepted by Client and materially compliant with all required Specifications, the Quality Agreement, cGMP, and Applicable Laws.</w:t>
      </w:r>
    </w:p>
    <w:p>
      <w:pPr>
        <w:spacing w:after="0" w:line="185"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b w:val="1"/>
          <w:bCs w:val="1"/>
          <w:color w:val="auto"/>
        </w:rPr>
        <w:t>9.2 Defective Product</w:t>
      </w:r>
      <w:r>
        <w:rPr>
          <w:rFonts w:ascii="Arial" w:cs="Arial" w:eastAsia="Arial" w:hAnsi="Arial"/>
          <w:sz w:val="19"/>
          <w:szCs w:val="19"/>
          <w:color w:val="auto"/>
        </w:rPr>
        <w:t>. If Products are rejected in accordance with Section 9.1, WuXi Biologics shall be offered a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(a) to offer proof or evidence as to why such Product should not be rejected, and (b) to inspect and/or test such Product. The Parties shall use Commercially Reasonable Efforts to agree whether or not the rejected Products are Defective.</w:t>
      </w:r>
    </w:p>
    <w:p>
      <w:pPr>
        <w:spacing w:after="0" w:line="16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9.3 Resolution of Dispute as to Whether a Product is Defective</w:t>
      </w:r>
      <w:r>
        <w:rPr>
          <w:rFonts w:ascii="Arial" w:cs="Arial" w:eastAsia="Arial" w:hAnsi="Arial"/>
          <w:sz w:val="20"/>
          <w:szCs w:val="20"/>
          <w:color w:val="auto"/>
        </w:rPr>
        <w:t>. If, within [***] of WuXi Biologics being notified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9.1, the Parties fail to agree whether or not the rejected Products are Defective, the dispute shall be referred to and determined by an Independent Expert whose decision shall be final and binding on the Parties. The Independent Expert shall act as an expert and not as an arbitrator, and his or her fees shall be paid by the Party against whom the Independent Expert’s decision is made. If any rejected Products are found by the Independent Expert not to be Defective, Client shall pay for such Products in accordance with the payment provisions set out in this Agreement.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9.4 Remedies</w:t>
      </w:r>
      <w:r>
        <w:rPr>
          <w:rFonts w:ascii="Arial" w:cs="Arial" w:eastAsia="Arial" w:hAnsi="Arial"/>
          <w:sz w:val="18"/>
          <w:szCs w:val="18"/>
          <w:color w:val="auto"/>
        </w:rPr>
        <w:t>.  After joint investigation, if the Parties agree, or if the Independent Expert finds, that the rejected Products are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Defective:</w:t>
      </w:r>
    </w:p>
    <w:p>
      <w:pPr>
        <w:spacing w:after="0" w:line="243" w:lineRule="exact"/>
        <w:rPr>
          <w:sz w:val="20"/>
          <w:szCs w:val="20"/>
          <w:color w:val="auto"/>
        </w:rPr>
      </w:pPr>
    </w:p>
    <w:p>
      <w:pPr>
        <w:ind w:firstLine="1678"/>
        <w:spacing w:after="0" w:line="288" w:lineRule="auto"/>
        <w:tabs>
          <w:tab w:leader="none" w:pos="2793"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the root cause of the Defective Products is undetermined, both Parties will negotiate in good faith the cost and timing of the replacement Batch(es).</w:t>
      </w:r>
    </w:p>
    <w:p>
      <w:pPr>
        <w:spacing w:after="0" w:line="177" w:lineRule="exact"/>
        <w:rPr>
          <w:rFonts w:ascii="Arial" w:cs="Arial" w:eastAsia="Arial" w:hAnsi="Arial"/>
          <w:sz w:val="20"/>
          <w:szCs w:val="20"/>
          <w:color w:val="auto"/>
        </w:rPr>
      </w:pPr>
    </w:p>
    <w:p>
      <w:pPr>
        <w:jc w:val="both"/>
        <w:ind w:firstLine="1678"/>
        <w:spacing w:after="0" w:line="271" w:lineRule="auto"/>
        <w:tabs>
          <w:tab w:leader="none" w:pos="2793"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the root cause of the Defective Products is not due to (A) Materials or drug substance (if the Defective Product is drug product) provided by Client or its Designated Vendors; or (B) use of Client’s manufacturing cell line and/or process provided or required by Client and not developed by WuXi Biologics, or a combination of the foregoing, Client may elect (x) for WuXi Biologics to replace such Defective Products with an equal quantity of Product that is not Defective, or (y) to receive a refund of the Price for such Defective Products less Materials and pass-through costs (and drug substance costs, if the Defective Products are drug products) within [***] from the agreement of the Parties or the decision of the Independent Expert regarding the root cause of the Defective Products or otherwise if any such Price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was not paid during the dispute then WuXi Biologics will rescind any invoice previously issued for that Defective Product.</w:t>
      </w:r>
    </w:p>
    <w:p>
      <w:pPr>
        <w:spacing w:after="0" w:line="243" w:lineRule="exact"/>
        <w:rPr>
          <w:sz w:val="20"/>
          <w:szCs w:val="20"/>
          <w:color w:val="auto"/>
        </w:rPr>
      </w:pPr>
    </w:p>
    <w:p>
      <w:pPr>
        <w:jc w:val="both"/>
        <w:ind w:firstLine="2097"/>
        <w:spacing w:after="0" w:line="278" w:lineRule="auto"/>
        <w:rPr>
          <w:sz w:val="20"/>
          <w:szCs w:val="20"/>
          <w:color w:val="auto"/>
        </w:rPr>
      </w:pPr>
      <w:r>
        <w:rPr>
          <w:rFonts w:ascii="Arial" w:cs="Arial" w:eastAsia="Arial" w:hAnsi="Arial"/>
          <w:sz w:val="20"/>
          <w:szCs w:val="20"/>
          <w:color w:val="auto"/>
        </w:rPr>
        <w:t>(i) If Client elects to have WuXi Biologics replace the Defective Product and the Defective Product is drug substance, Client shall be responsible for [***] to WuXi Biologics, and WuXi Biologics shall replace such Defective Products as soon as reasonably possible at no additional cost to Client.</w:t>
      </w:r>
    </w:p>
    <w:p>
      <w:pPr>
        <w:spacing w:after="0" w:line="186" w:lineRule="exact"/>
        <w:rPr>
          <w:sz w:val="20"/>
          <w:szCs w:val="20"/>
          <w:color w:val="auto"/>
        </w:rPr>
      </w:pPr>
    </w:p>
    <w:p>
      <w:pPr>
        <w:jc w:val="both"/>
        <w:ind w:firstLine="2053"/>
        <w:spacing w:after="0" w:line="285" w:lineRule="auto"/>
        <w:rPr>
          <w:sz w:val="20"/>
          <w:szCs w:val="20"/>
          <w:color w:val="auto"/>
        </w:rPr>
      </w:pPr>
      <w:r>
        <w:rPr>
          <w:rFonts w:ascii="Arial" w:cs="Arial" w:eastAsia="Arial" w:hAnsi="Arial"/>
          <w:sz w:val="19"/>
          <w:szCs w:val="19"/>
          <w:color w:val="auto"/>
        </w:rPr>
        <w:t>(ii) If Client elects to have WuXi Biologics replace the Defective Product and the Defective Product is drug product, then Client shall provide Materials and sufficient drug substance at its own cost for the manufacturing of drug product replacement Batch(es). Notwithstanding the foregoing, if WuXi Biologics is the manufacturer of the drug substance used in the Defective drug product, and if Client requests WuXi Biologics to manufacture such drug substance for the drug product replacement Batch(es), then (x) if the Defect is not caused solely by the gross negligence or willful misconduct of WuXi Biologics, Client shall pay Batch service fee to manufacture the drug substance and the cost for all Materials and pass-through costs associated with the manufacturing of such drug substance, and (y) if the Defect is caused solely by the gross negligence or willful misconduct of WuXi Biologics, WuXi Biologics will use commercially reasonable efforts to prioritize reprocessing/running additional drug substance lot(s) needed to make replacement drug product, and Client shall pay WuXi Biologics [***] of Batch service fee to manufacture the drug substance and [***] of the cost for all Materials and pass-through costs associated with the manufacturing of such drug substance.</w:t>
      </w:r>
    </w:p>
    <w:p>
      <w:pPr>
        <w:spacing w:after="0" w:line="186" w:lineRule="exact"/>
        <w:rPr>
          <w:sz w:val="20"/>
          <w:szCs w:val="20"/>
          <w:color w:val="auto"/>
        </w:rPr>
      </w:pPr>
    </w:p>
    <w:p>
      <w:pPr>
        <w:jc w:val="both"/>
        <w:ind w:firstLine="1678"/>
        <w:spacing w:after="0" w:line="274" w:lineRule="auto"/>
        <w:tabs>
          <w:tab w:leader="none" w:pos="2793"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the root cause of the Defective Products is due to (i) Materials or drug substance (if the Defective Product is drug product) provided by or on behalf of Client or its Designated Vendors, or (ii) use of Client’s manufacturing cell line and/or process provided or required by Client and not developed by WuXi Biologics), or a combination of the foregoing, then Client will be liable for paying for such Defective Products and replacement Batch(es).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PRODUCT LICENSES</w:t>
      </w:r>
    </w:p>
    <w:p>
      <w:pPr>
        <w:spacing w:after="0" w:line="2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b w:val="1"/>
          <w:bCs w:val="1"/>
          <w:color w:val="auto"/>
        </w:rPr>
        <w:t>10.1 Product Licenses</w:t>
      </w:r>
      <w:r>
        <w:rPr>
          <w:rFonts w:ascii="Arial" w:cs="Arial" w:eastAsia="Arial" w:hAnsi="Arial"/>
          <w:sz w:val="19"/>
          <w:szCs w:val="19"/>
          <w:color w:val="auto"/>
        </w:rPr>
        <w:t>. Client shall, at its expense, obtain and maintain all necessary Product Licenses, and, subject to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10.2, hereby grants to WuXi Biologics under such Product Licenses any and all rights and permissions necessary to conduct the Services agreed-upon in connection with this Agreement. Client shall be responsible for responding to all requests for information related to such Product Licenses made by, and for making all legally required filings relating to such Product Licenses with, any Regulatory Authority having jurisdiction to make such requests or require such filings. If any Product License held by Client relating directly to the Products is hereafter suspended or revoked, Client shall promptly notify WuXi Biologics of the event and shall promptly inform WuXi Biologics of the impact on Client’s purchases of the affected Product and Client’s general intentions with respect to the affected Product. WuXi Biologics shall provide all documents reasonably requested by Client for obtaining and maintaining Product Licenses, as well as responding to any suspension or revocation thereof. WuXi Biologics, at Client’s cost, shall provide ongoing support reasonably requested by Client with respect to obtaining and maintaining Product Licenses.</w:t>
      </w:r>
    </w:p>
    <w:p>
      <w:pPr>
        <w:spacing w:after="0" w:line="177"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10.2 WuXi Biologics Responsibility</w:t>
      </w:r>
      <w:r>
        <w:rPr>
          <w:rFonts w:ascii="Arial" w:cs="Arial" w:eastAsia="Arial" w:hAnsi="Arial"/>
          <w:sz w:val="20"/>
          <w:szCs w:val="20"/>
          <w:color w:val="auto"/>
        </w:rPr>
        <w:t>. WuXi Biologics shall, at its expense, obtain and maintain all necessary licenses and permits</w:t>
      </w:r>
      <w:r>
        <w:rPr>
          <w:rFonts w:ascii="Arial" w:cs="Arial" w:eastAsia="Arial" w:hAnsi="Arial"/>
          <w:sz w:val="20"/>
          <w:szCs w:val="20"/>
          <w:b w:val="1"/>
          <w:bCs w:val="1"/>
          <w:color w:val="auto"/>
        </w:rPr>
        <w:t xml:space="preserve"> </w:t>
      </w:r>
      <w:r>
        <w:rPr>
          <w:rFonts w:ascii="Arial" w:cs="Arial" w:eastAsia="Arial" w:hAnsi="Arial"/>
          <w:sz w:val="20"/>
          <w:szCs w:val="20"/>
          <w:color w:val="auto"/>
        </w:rPr>
        <w:t>needed to perform its Manufacturing activities under this Agreement, including compliance with cGDP.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CHANGES TO PRODUCT SPECIFICATIONS</w:t>
      </w:r>
    </w:p>
    <w:p>
      <w:pPr>
        <w:spacing w:after="0" w:line="2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11.1 Changes by WuXi Biologics</w:t>
      </w:r>
      <w:r>
        <w:rPr>
          <w:rFonts w:ascii="Arial" w:cs="Arial" w:eastAsia="Arial" w:hAnsi="Arial"/>
          <w:sz w:val="20"/>
          <w:szCs w:val="20"/>
          <w:color w:val="auto"/>
        </w:rPr>
        <w:t>. Notwithstanding anything herein to the contrary, WuXi Biologics shall not amend, change or</w:t>
      </w:r>
      <w:r>
        <w:rPr>
          <w:rFonts w:ascii="Arial" w:cs="Arial" w:eastAsia="Arial" w:hAnsi="Arial"/>
          <w:sz w:val="20"/>
          <w:szCs w:val="20"/>
          <w:b w:val="1"/>
          <w:bCs w:val="1"/>
          <w:color w:val="auto"/>
        </w:rPr>
        <w:t xml:space="preserve"> </w:t>
      </w:r>
      <w:r>
        <w:rPr>
          <w:rFonts w:ascii="Arial" w:cs="Arial" w:eastAsia="Arial" w:hAnsi="Arial"/>
          <w:sz w:val="20"/>
          <w:szCs w:val="20"/>
          <w:color w:val="auto"/>
        </w:rPr>
        <w:t>supplement any of the following without the prior written consent of Client (which will not be unreasonably withheld, delayed, or conditions), except in accordance with the change control provisions set forth in the Quality Agreement: (a) the Specifications, (b) the Materials, (c) the source of Materials, (d) the specifications for Materials, (e) the Manufacturing Site or the equipment used in Manufacturing the Product, (f) the test methods used to test the Product or Materials, or (g) the process for Manufacturing the Products (each of the foregoing a “</w:t>
      </w:r>
      <w:r>
        <w:rPr>
          <w:rFonts w:ascii="Arial" w:cs="Arial" w:eastAsia="Arial" w:hAnsi="Arial"/>
          <w:sz w:val="20"/>
          <w:szCs w:val="20"/>
          <w:b w:val="1"/>
          <w:bCs w:val="1"/>
          <w:color w:val="auto"/>
        </w:rPr>
        <w:t>Technical Change</w:t>
      </w:r>
      <w:r>
        <w:rPr>
          <w:rFonts w:ascii="Arial" w:cs="Arial" w:eastAsia="Arial" w:hAnsi="Arial"/>
          <w:sz w:val="20"/>
          <w:szCs w:val="20"/>
          <w:color w:val="auto"/>
        </w:rPr>
        <w:t>”).</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11.2 Required Manufacturing Changes</w:t>
      </w:r>
      <w:r>
        <w:rPr>
          <w:rFonts w:ascii="Arial" w:cs="Arial" w:eastAsia="Arial" w:hAnsi="Arial"/>
          <w:sz w:val="20"/>
          <w:szCs w:val="20"/>
          <w:color w:val="auto"/>
        </w:rPr>
        <w:t>. Each Party shall notify the other Party of any Technical Change which is required by</w:t>
      </w:r>
      <w:r>
        <w:rPr>
          <w:rFonts w:ascii="Arial" w:cs="Arial" w:eastAsia="Arial" w:hAnsi="Arial"/>
          <w:sz w:val="20"/>
          <w:szCs w:val="20"/>
          <w:b w:val="1"/>
          <w:bCs w:val="1"/>
          <w:color w:val="auto"/>
        </w:rPr>
        <w:t xml:space="preserve"> </w:t>
      </w:r>
      <w:r>
        <w:rPr>
          <w:rFonts w:ascii="Arial" w:cs="Arial" w:eastAsia="Arial" w:hAnsi="Arial"/>
          <w:sz w:val="20"/>
          <w:szCs w:val="20"/>
          <w:color w:val="auto"/>
        </w:rPr>
        <w:t>cGMPs or Applicable Laws (a “</w:t>
      </w:r>
      <w:r>
        <w:rPr>
          <w:rFonts w:ascii="Arial" w:cs="Arial" w:eastAsia="Arial" w:hAnsi="Arial"/>
          <w:sz w:val="20"/>
          <w:szCs w:val="20"/>
          <w:b w:val="1"/>
          <w:bCs w:val="1"/>
          <w:color w:val="auto"/>
        </w:rPr>
        <w:t>Required Manufacturing Change</w:t>
      </w:r>
      <w:r>
        <w:rPr>
          <w:rFonts w:ascii="Arial" w:cs="Arial" w:eastAsia="Arial" w:hAnsi="Arial"/>
          <w:sz w:val="20"/>
          <w:szCs w:val="20"/>
          <w:color w:val="auto"/>
        </w:rPr>
        <w:t>”). Upon approval by Client, WuXi Biologics shall use Commercially Reasonable Efforts to promptly implement Required Manufacturing Changes in accordance with the change control provisions set forth in the Quality Agreement.</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b w:val="1"/>
          <w:bCs w:val="1"/>
          <w:color w:val="auto"/>
        </w:rPr>
        <w:t>11.3 Discretionary Changes</w:t>
      </w:r>
      <w:r>
        <w:rPr>
          <w:rFonts w:ascii="Arial" w:cs="Arial" w:eastAsia="Arial" w:hAnsi="Arial"/>
          <w:sz w:val="20"/>
          <w:szCs w:val="20"/>
          <w:color w:val="auto"/>
        </w:rPr>
        <w:t>. In the event that either Party desires to propose any Technical Change not required by cGMPs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Applicable Laws during the Term (a “</w:t>
      </w:r>
      <w:r>
        <w:rPr>
          <w:rFonts w:ascii="Arial" w:cs="Arial" w:eastAsia="Arial" w:hAnsi="Arial"/>
          <w:sz w:val="20"/>
          <w:szCs w:val="20"/>
          <w:b w:val="1"/>
          <w:bCs w:val="1"/>
          <w:color w:val="auto"/>
        </w:rPr>
        <w:t>Discretionary Manufacturing Change</w:t>
      </w:r>
      <w:r>
        <w:rPr>
          <w:rFonts w:ascii="Arial" w:cs="Arial" w:eastAsia="Arial" w:hAnsi="Arial"/>
          <w:sz w:val="20"/>
          <w:szCs w:val="20"/>
          <w:color w:val="auto"/>
        </w:rPr>
        <w:t>”), the Parties shall discuss such Discretionary Manufacturing Change and any Manufacturing issues identified by either Party in connection with implementing such change. In all cases, such Discretionary Manufacturing Change shall be made in accordance with the change control provisions set forth in the Quality Agreement. Notwithstanding the foregoing, in all cases, the Specifications may be amended or supplemented from time to time by Client, at Client’s cost, upon written notice to WuXi Biologics in accordance with any change control procedures in the Quality Agreement and at Client’s costs.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11.4 Cost of Technical Changes</w:t>
      </w:r>
      <w:r>
        <w:rPr>
          <w:rFonts w:ascii="Arial" w:cs="Arial" w:eastAsia="Arial" w:hAnsi="Arial"/>
          <w:sz w:val="20"/>
          <w:szCs w:val="20"/>
          <w:color w:val="auto"/>
        </w:rPr>
        <w:t>.</w:t>
      </w:r>
    </w:p>
    <w:p>
      <w:pPr>
        <w:spacing w:after="0" w:line="249" w:lineRule="exact"/>
        <w:rPr>
          <w:sz w:val="20"/>
          <w:szCs w:val="20"/>
          <w:color w:val="auto"/>
        </w:rPr>
      </w:pPr>
    </w:p>
    <w:p>
      <w:pPr>
        <w:ind w:firstLine="1678"/>
        <w:spacing w:after="0" w:line="288" w:lineRule="auto"/>
        <w:tabs>
          <w:tab w:leader="none" w:pos="2793" w:val="left"/>
        </w:tabs>
        <w:numPr>
          <w:ilvl w:val="0"/>
          <w:numId w:val="64"/>
        </w:numPr>
        <w:rPr>
          <w:rFonts w:ascii="Arial" w:cs="Arial" w:eastAsia="Arial" w:hAnsi="Arial"/>
          <w:sz w:val="20"/>
          <w:szCs w:val="20"/>
          <w:color w:val="auto"/>
        </w:rPr>
      </w:pPr>
      <w:r>
        <w:rPr>
          <w:rFonts w:ascii="Arial" w:cs="Arial" w:eastAsia="Arial" w:hAnsi="Arial"/>
          <w:sz w:val="20"/>
          <w:szCs w:val="20"/>
          <w:color w:val="auto"/>
        </w:rPr>
        <w:t>WuXi Biologics shall bear the costs of implementing Discretionary Manufacturing Changes proposed by WuXi Biologics that do not benefit Client;</w:t>
      </w:r>
    </w:p>
    <w:p>
      <w:pPr>
        <w:spacing w:after="0" w:line="177" w:lineRule="exact"/>
        <w:rPr>
          <w:rFonts w:ascii="Arial" w:cs="Arial" w:eastAsia="Arial" w:hAnsi="Arial"/>
          <w:sz w:val="20"/>
          <w:szCs w:val="20"/>
          <w:color w:val="auto"/>
        </w:rPr>
      </w:pPr>
    </w:p>
    <w:p>
      <w:pPr>
        <w:jc w:val="both"/>
        <w:ind w:firstLine="1678"/>
        <w:spacing w:after="0" w:line="274" w:lineRule="auto"/>
        <w:tabs>
          <w:tab w:leader="none" w:pos="2793" w:val="left"/>
        </w:tabs>
        <w:numPr>
          <w:ilvl w:val="0"/>
          <w:numId w:val="64"/>
        </w:numPr>
        <w:rPr>
          <w:rFonts w:ascii="Arial" w:cs="Arial" w:eastAsia="Arial" w:hAnsi="Arial"/>
          <w:sz w:val="20"/>
          <w:szCs w:val="20"/>
          <w:color w:val="auto"/>
        </w:rPr>
      </w:pPr>
      <w:r>
        <w:rPr>
          <w:rFonts w:ascii="Arial" w:cs="Arial" w:eastAsia="Arial" w:hAnsi="Arial"/>
          <w:sz w:val="20"/>
          <w:szCs w:val="20"/>
          <w:color w:val="auto"/>
        </w:rPr>
        <w:t>Client shall reimburse WuXi Biologics for its reasonable costs of implementing Discretionary Manufacturing Changes (i) proposed by Client; and (ii) proposed by WuXi Biologics that benefit Client, once Client approves thereof; and in connection therewith, the Parties shall discuss in good faith and agree to the amount of such costs prior to the commencement of such activities; or</w:t>
      </w:r>
    </w:p>
    <w:p>
      <w:pPr>
        <w:spacing w:after="0" w:line="191" w:lineRule="exact"/>
        <w:rPr>
          <w:rFonts w:ascii="Arial" w:cs="Arial" w:eastAsia="Arial" w:hAnsi="Arial"/>
          <w:sz w:val="20"/>
          <w:szCs w:val="20"/>
          <w:color w:val="auto"/>
        </w:rPr>
      </w:pPr>
    </w:p>
    <w:p>
      <w:pPr>
        <w:jc w:val="both"/>
        <w:ind w:firstLine="1678"/>
        <w:spacing w:after="0" w:line="304" w:lineRule="auto"/>
        <w:tabs>
          <w:tab w:leader="none" w:pos="27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Client shall be responsible for reimbursing WuXi Biologics for a proportionate share of the reasonable costs based on the relative benefits of any Required Manufacturing Change with respect to the Product hereunder as compared to the benefits of such change to other products manufactured at the Manufacturing Site (taking into account the remaining duration of the Term), and in the event that the Parties disagree as to such proportionate share, the matter shall be resolved in accordance with Article 22; provided that the Parties shall discuss in good faith and agree to the amount of such costs to be reimbursed prior to the commencement of such activities. Without limiting the foregoing, if the Required Manufacturing Change relates to the general operations, procedures, and equipment not dedicated to Client’s Product(s) at the Manufacturing Site, WuXi Biologics will bear the cost. If the Required Manufacturing Change relates solely to the Product, Product Specifications, or the process of Manufacturing such Product, Client will bear the cost.</w:t>
      </w:r>
    </w:p>
    <w:p>
      <w:pPr>
        <w:spacing w:after="0" w:line="16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11.5 Technical Change Implementation</w:t>
      </w:r>
      <w:r>
        <w:rPr>
          <w:rFonts w:ascii="Arial" w:cs="Arial" w:eastAsia="Arial" w:hAnsi="Arial"/>
          <w:sz w:val="20"/>
          <w:szCs w:val="20"/>
          <w:color w:val="auto"/>
        </w:rPr>
        <w:t>. All Technical Changes (including Required Manufacturing Changes and Discretionary</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Changes) shall be implemented in accordance with Applicable Laws, cGMP and the Quality Agreement. Prior to implementation of any Technical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9" w:name="page140"/>
    <w:bookmarkEnd w:id="139"/>
    <w:p>
      <w:pPr>
        <w:jc w:val="both"/>
        <w:spacing w:after="0" w:line="274" w:lineRule="auto"/>
        <w:rPr>
          <w:sz w:val="20"/>
          <w:szCs w:val="20"/>
          <w:color w:val="auto"/>
        </w:rPr>
      </w:pPr>
      <w:r>
        <w:rPr>
          <w:rFonts w:ascii="Arial" w:cs="Arial" w:eastAsia="Arial" w:hAnsi="Arial"/>
          <w:sz w:val="20"/>
          <w:szCs w:val="20"/>
          <w:color w:val="auto"/>
        </w:rPr>
        <w:t>Change, the Parties shall ensure that any implications on the quality of the Products has been considered and recorded, and the change is approved by the relevant Regulatory Authorities. WuXi Biologics shall provide Client with technical assistance, including through the provision of supporting documentation in order to permit Client to amend and file any relevant document required to be filed with a Regulatory Authority.</w:t>
      </w:r>
    </w:p>
    <w:p>
      <w:pPr>
        <w:spacing w:after="0" w:line="18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12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b w:val="1"/>
          <w:bCs w:val="1"/>
          <w:u w:val="single" w:color="auto"/>
          <w:color w:val="auto"/>
        </w:rPr>
        <w:t>LABELING</w:t>
      </w:r>
    </w:p>
    <w:p>
      <w:pPr>
        <w:spacing w:after="0" w:line="24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12.1 Labeling</w:t>
      </w:r>
      <w:r>
        <w:rPr>
          <w:rFonts w:ascii="Arial" w:cs="Arial" w:eastAsia="Arial" w:hAnsi="Arial"/>
          <w:sz w:val="20"/>
          <w:szCs w:val="20"/>
          <w:color w:val="auto"/>
        </w:rPr>
        <w:t>. Client shall provide WuXi Biologics with any labeling which Client requires to be included on the packaging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Products (the “</w:t>
      </w:r>
      <w:r>
        <w:rPr>
          <w:rFonts w:ascii="Arial" w:cs="Arial" w:eastAsia="Arial" w:hAnsi="Arial"/>
          <w:sz w:val="20"/>
          <w:szCs w:val="20"/>
          <w:b w:val="1"/>
          <w:bCs w:val="1"/>
          <w:color w:val="auto"/>
        </w:rPr>
        <w:t>Client’s Labeling</w:t>
      </w:r>
      <w:r>
        <w:rPr>
          <w:rFonts w:ascii="Arial" w:cs="Arial" w:eastAsia="Arial" w:hAnsi="Arial"/>
          <w:sz w:val="20"/>
          <w:szCs w:val="20"/>
          <w:color w:val="auto"/>
        </w:rPr>
        <w:t>”). All Client’s Labeling shall be timely provided by Client to WuXi Biologics, in WuXi Biologics’ reasonable discretion unless otherwise specified in a Purchase Order, and in a form appropriate for Manufacture of the Products in accordance with cGMP, the Specifications and Applicable Laws.</w:t>
      </w:r>
    </w:p>
    <w:p>
      <w:pPr>
        <w:spacing w:after="0" w:line="18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8"/>
          <w:szCs w:val="18"/>
          <w:b w:val="1"/>
          <w:bCs w:val="1"/>
          <w:color w:val="auto"/>
        </w:rPr>
        <w:t>12.2 Responsibility for and Changes to Labeling</w:t>
      </w:r>
      <w:r>
        <w:rPr>
          <w:rFonts w:ascii="Arial" w:cs="Arial" w:eastAsia="Arial" w:hAnsi="Arial"/>
          <w:sz w:val="18"/>
          <w:szCs w:val="18"/>
          <w:color w:val="auto"/>
        </w:rPr>
        <w:t>. Client shall be responsible for the design of Client’s Labeling and for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labeling is accurate and complies with all Applicable Laws. In the event that Client requests a change to Client’s Labeling for any Product the Parties will mutually agree on the timing for the introduction of any such change. Client shall be responsible for obtaining approval from applicable Regulatory Authorities for any such change and shall bear all reasonable costs arising therefrom, including in respect of any write-off of Materials and work in progress; provided that the Parties shall use Commercially Reasonable Efforts to limit such costs. For clarity, this Section 12.2 shall be subject to provisions in the Quality Agreement covering the subject matter herein.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REGULATORY COMPLIANCE</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13.1 Maintenance of Permits</w:t>
      </w:r>
      <w:r>
        <w:rPr>
          <w:rFonts w:ascii="Arial" w:cs="Arial" w:eastAsia="Arial" w:hAnsi="Arial"/>
          <w:sz w:val="20"/>
          <w:szCs w:val="20"/>
          <w:color w:val="auto"/>
        </w:rPr>
        <w:t>. WuXi Biologics shall maintain all Manufacturing Licenses and other regulatory and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permits, licenses and approvals that may be necessary to Manufacture and supply Products.</w:t>
      </w:r>
    </w:p>
    <w:p>
      <w:pPr>
        <w:spacing w:after="0" w:line="16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13.2 Notification of Adverse Manufacturing Activities</w:t>
      </w:r>
      <w:r>
        <w:rPr>
          <w:rFonts w:ascii="Arial" w:cs="Arial" w:eastAsia="Arial" w:hAnsi="Arial"/>
          <w:sz w:val="20"/>
          <w:szCs w:val="20"/>
          <w:color w:val="auto"/>
        </w:rPr>
        <w:t>. WuXi Biologics shall advise (as soon as reasonably practical after</w:t>
      </w:r>
      <w:r>
        <w:rPr>
          <w:rFonts w:ascii="Arial" w:cs="Arial" w:eastAsia="Arial" w:hAnsi="Arial"/>
          <w:sz w:val="20"/>
          <w:szCs w:val="20"/>
          <w:b w:val="1"/>
          <w:bCs w:val="1"/>
          <w:color w:val="auto"/>
        </w:rPr>
        <w:t xml:space="preserve"> </w:t>
      </w:r>
      <w:r>
        <w:rPr>
          <w:rFonts w:ascii="Arial" w:cs="Arial" w:eastAsia="Arial" w:hAnsi="Arial"/>
          <w:sz w:val="20"/>
          <w:szCs w:val="20"/>
          <w:color w:val="auto"/>
        </w:rPr>
        <w:t>becoming aware of such information) Client of any information arising out of its Manufacturing activities that has adverse regulatory compliance and/or reporting consequences concerning the Products. The Parties shall meet as soon as reasonably possible after such notification in order to resolve such adverse regulatory compliance and/or reporting consequences.</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b w:val="1"/>
          <w:bCs w:val="1"/>
          <w:color w:val="auto"/>
        </w:rPr>
        <w:t>13.3 Activities at the Manufacturing Site and Machinery Used to Manufacture Products</w:t>
      </w:r>
      <w:r>
        <w:rPr>
          <w:rFonts w:ascii="Arial" w:cs="Arial" w:eastAsia="Arial" w:hAnsi="Arial"/>
          <w:sz w:val="20"/>
          <w:szCs w:val="20"/>
          <w:color w:val="auto"/>
        </w:rPr>
        <w:t>. WuXi Biologics shall not carry out</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activities at the Manufacturing Site that may prejudice the quality, safety or efficacy of the Products. WuXi Biologics agrees to disclose to Client as soon as reasonably practical after becoming aware of such information (and not less than [***] after identification), subject to WuXi Biologics’ confidentiality obligations to its other customers, the nature of any relevant products manufactured or packaged by WuXi Biologics for itself or Third Parties which use the same machinery as that used by WuXi Biologics for the Manufacture of the Products under this Agreement in order that WuXi Biologics and Client may identify any potential effects on quality, safety or efficacy of the Products which may result.</w:t>
      </w:r>
    </w:p>
    <w:p>
      <w:pPr>
        <w:spacing w:after="0" w:line="187" w:lineRule="exact"/>
        <w:rPr>
          <w:sz w:val="20"/>
          <w:szCs w:val="20"/>
          <w:color w:val="auto"/>
        </w:rPr>
      </w:pPr>
    </w:p>
    <w:p>
      <w:pPr>
        <w:jc w:val="both"/>
        <w:ind w:firstLine="749"/>
        <w:spacing w:after="0" w:line="326" w:lineRule="auto"/>
        <w:rPr>
          <w:sz w:val="20"/>
          <w:szCs w:val="20"/>
          <w:color w:val="auto"/>
        </w:rPr>
      </w:pPr>
      <w:r>
        <w:rPr>
          <w:rFonts w:ascii="Arial" w:cs="Arial" w:eastAsia="Arial" w:hAnsi="Arial"/>
          <w:sz w:val="18"/>
          <w:szCs w:val="18"/>
          <w:b w:val="1"/>
          <w:bCs w:val="1"/>
          <w:color w:val="auto"/>
        </w:rPr>
        <w:t>13.4 Storage and Warehousing</w:t>
      </w:r>
      <w:r>
        <w:rPr>
          <w:rFonts w:ascii="Arial" w:cs="Arial" w:eastAsia="Arial" w:hAnsi="Arial"/>
          <w:sz w:val="18"/>
          <w:szCs w:val="18"/>
          <w:color w:val="auto"/>
        </w:rPr>
        <w:t>. WuXi Biologics shall at all times store and warehouse all Materials and Products in premises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secure, clean, compliant with the Specifications, Manufacturing Licenses and the Quality Agreement and such Materials and Products shall be physically separated from all other materials and products in WuXi Biologics’ possession. WuXi Biologics shall operate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0" w:name="page141"/>
    <w:bookmarkEnd w:id="140"/>
    <w:p>
      <w:pPr>
        <w:spacing w:after="0" w:line="288" w:lineRule="auto"/>
        <w:rPr>
          <w:sz w:val="20"/>
          <w:szCs w:val="20"/>
          <w:color w:val="auto"/>
        </w:rPr>
      </w:pPr>
      <w:r>
        <w:rPr>
          <w:rFonts w:ascii="Arial" w:cs="Arial" w:eastAsia="Arial" w:hAnsi="Arial"/>
          <w:sz w:val="20"/>
          <w:szCs w:val="20"/>
          <w:color w:val="auto"/>
        </w:rPr>
        <w:t>warehousing system which identifies all Materials and Products according to type and status if appropriate. WuXi Biologics shall comply with any requirements of Client relating to the security of controlled drug substances.</w:t>
      </w:r>
    </w:p>
    <w:p>
      <w:pPr>
        <w:spacing w:after="0" w:line="177" w:lineRule="exact"/>
        <w:rPr>
          <w:sz w:val="20"/>
          <w:szCs w:val="20"/>
          <w:color w:val="auto"/>
        </w:rPr>
      </w:pPr>
    </w:p>
    <w:p>
      <w:pPr>
        <w:jc w:val="both"/>
        <w:ind w:firstLine="1678"/>
        <w:spacing w:after="0" w:line="284" w:lineRule="auto"/>
        <w:tabs>
          <w:tab w:leader="none" w:pos="2793" w:val="left"/>
        </w:tabs>
        <w:numPr>
          <w:ilvl w:val="0"/>
          <w:numId w:val="65"/>
        </w:numPr>
        <w:rPr>
          <w:rFonts w:ascii="Arial" w:cs="Arial" w:eastAsia="Arial" w:hAnsi="Arial"/>
          <w:sz w:val="19"/>
          <w:szCs w:val="19"/>
          <w:color w:val="auto"/>
        </w:rPr>
      </w:pPr>
      <w:r>
        <w:rPr>
          <w:rFonts w:ascii="Arial" w:cs="Arial" w:eastAsia="Arial" w:hAnsi="Arial"/>
          <w:sz w:val="19"/>
          <w:szCs w:val="19"/>
          <w:color w:val="auto"/>
        </w:rPr>
        <w:t>Client shall arrange for shipment and a carrier named by Client shall take delivery of such Products from WuXi Biologics’ storage site at Client’s own expense within [***] after the release of the Products at no charge for storage costs at the storage site. Client shall be charged a monthly storage fee if the carrier does not take delivery within the [***], and Client is responsible for purchasing insurance for the stored Products and Products transferred to the carrier. WuXi Biologics shall be responsible for the safe storage and handling of the Product until delivery to Client in accordance with the Delivery Terms. Client agrees that the commercial value and/or cost of replacement or remanufacture of any Products provided to WuXi Biologics for storage is a matter that, as between Client and WuXi Biologics, is within the sole and exclusive knowledge of Client. Client agrees that it is responsible to insure such items against damage or loss and shall purchase appropriate insurance to cover its Products stored in WuXi Biologics’ facilities. Client further agrees and acknowledges that under no circumstances shall WuXi Biologics be liable for loss or damage to any such items, in an amount that exceeds the aggregate fees paid to WuXi Biologics for storage services of such items. Transportation of Product by WuXi Biologics on behalf of Client shall be made at the sole risk and expense of Client, notwithstanding the use of any INCOTERMS delivery term on any waybill or other documentation relating to the transportation. WuXi Biologics shall not be liable for the actions or omission of any delivery services or carriers or freight forwarders.</w:t>
      </w:r>
    </w:p>
    <w:p>
      <w:pPr>
        <w:spacing w:after="0" w:line="189" w:lineRule="exact"/>
        <w:rPr>
          <w:rFonts w:ascii="Arial" w:cs="Arial" w:eastAsia="Arial" w:hAnsi="Arial"/>
          <w:sz w:val="19"/>
          <w:szCs w:val="19"/>
          <w:color w:val="auto"/>
        </w:rPr>
      </w:pPr>
    </w:p>
    <w:p>
      <w:pPr>
        <w:jc w:val="both"/>
        <w:ind w:firstLine="1678"/>
        <w:spacing w:after="0" w:line="307" w:lineRule="auto"/>
        <w:tabs>
          <w:tab w:leader="none" w:pos="27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Client shall have the right to purchase Materials (including but not limited to stoppers and vials) in excess of WuXi Biologics’ needs for Manufacturing the Products subject to a Purchase Order and have WuXi Biologics store such excessive Materials to a reasonable extent during the Manufacture of Products under this Agreement and the related Product Schedule(s) or Purchase Order(s) (as mutually agreed by the Parties) at WuXi Biologics’ storage site in the same way and extent as Materials needed for Manufacturing the Products subject to a Purchase Order. The title to and risk of loss of such excessive Materials shall remain with Client and Client shall have the rights, at its sole costs and expenses, to remove such excessive Materials from WuXi Biologics’ storage site.</w:t>
      </w:r>
    </w:p>
    <w:p>
      <w:pPr>
        <w:spacing w:after="0" w:line="160"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9"/>
          <w:szCs w:val="19"/>
          <w:b w:val="1"/>
          <w:bCs w:val="1"/>
          <w:color w:val="auto"/>
        </w:rPr>
        <w:t>13.5 Requests from and Inspections by Regulatory Authorities</w:t>
      </w:r>
      <w:r>
        <w:rPr>
          <w:rFonts w:ascii="Arial" w:cs="Arial" w:eastAsia="Arial" w:hAnsi="Arial"/>
          <w:sz w:val="19"/>
          <w:szCs w:val="19"/>
          <w:color w:val="auto"/>
        </w:rPr>
        <w:t>. Provisions covering correspondence, interaction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information to Regulatory Authorities, including inspections, are or will be set forth in the Quality Agreement.</w:t>
      </w:r>
    </w:p>
    <w:p>
      <w:pPr>
        <w:spacing w:after="0" w:line="141"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 xml:space="preserve">13.6 Debarment and Exclusion. </w:t>
      </w:r>
      <w:r>
        <w:rPr>
          <w:rFonts w:ascii="Arial" w:cs="Arial" w:eastAsia="Arial" w:hAnsi="Arial"/>
          <w:sz w:val="20"/>
          <w:szCs w:val="20"/>
          <w:color w:val="auto"/>
        </w:rPr>
        <w:t>Each Party represents and warrants that neither it, its subcontractors (including approved</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nor any individual, corporation, partnership or association engaged in connection with activities under this Agreement, has ever been, is currently, nor during the Term hereunder, shall become:</w:t>
      </w:r>
    </w:p>
    <w:p>
      <w:pPr>
        <w:spacing w:after="0" w:line="184" w:lineRule="exact"/>
        <w:rPr>
          <w:sz w:val="20"/>
          <w:szCs w:val="20"/>
          <w:color w:val="auto"/>
        </w:rPr>
      </w:pPr>
    </w:p>
    <w:p>
      <w:pPr>
        <w:jc w:val="both"/>
        <w:ind w:firstLine="1678"/>
        <w:spacing w:after="0" w:line="297" w:lineRule="auto"/>
        <w:tabs>
          <w:tab w:leader="none" w:pos="279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disqualified or debarred by the FDA or other competent authorities for any purpose pursuant to Applicable Laws (including but not limited to United States law, including but not limited to the statutory debarment provisions at 21 U.S.C.</w:t>
      </w:r>
    </w:p>
    <w:p>
      <w:pPr>
        <w:ind w:left="160" w:hanging="152"/>
        <w:spacing w:after="0"/>
        <w:tabs>
          <w:tab w:leader="none" w:pos="1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335a(a) or (b));</w:t>
      </w:r>
    </w:p>
    <w:p>
      <w:pPr>
        <w:spacing w:after="0" w:line="242" w:lineRule="exact"/>
        <w:rPr>
          <w:rFonts w:ascii="Arial" w:cs="Arial" w:eastAsia="Arial" w:hAnsi="Arial"/>
          <w:sz w:val="20"/>
          <w:szCs w:val="20"/>
          <w:color w:val="auto"/>
        </w:rPr>
      </w:pPr>
    </w:p>
    <w:p>
      <w:pPr>
        <w:ind w:firstLine="1678"/>
        <w:spacing w:after="0" w:line="288" w:lineRule="auto"/>
        <w:tabs>
          <w:tab w:leader="none" w:pos="2793" w:val="left"/>
        </w:tabs>
        <w:numPr>
          <w:ilvl w:val="1"/>
          <w:numId w:val="67"/>
        </w:numPr>
        <w:rPr>
          <w:rFonts w:ascii="Arial" w:cs="Arial" w:eastAsia="Arial" w:hAnsi="Arial"/>
          <w:sz w:val="20"/>
          <w:szCs w:val="20"/>
          <w:color w:val="auto"/>
        </w:rPr>
      </w:pPr>
      <w:r>
        <w:rPr>
          <w:rFonts w:ascii="Arial" w:cs="Arial" w:eastAsia="Arial" w:hAnsi="Arial"/>
          <w:sz w:val="20"/>
          <w:szCs w:val="20"/>
          <w:color w:val="auto"/>
        </w:rPr>
        <w:t>charged or convicted for conduct relating to the development or approval of, or otherwise relating to the regulation of, any drug product under any Applicable Laws; or</w:t>
      </w:r>
    </w:p>
    <w:p>
      <w:pPr>
        <w:spacing w:after="0" w:line="177" w:lineRule="exact"/>
        <w:rPr>
          <w:rFonts w:ascii="Arial" w:cs="Arial" w:eastAsia="Arial" w:hAnsi="Arial"/>
          <w:sz w:val="20"/>
          <w:szCs w:val="20"/>
          <w:color w:val="auto"/>
        </w:rPr>
      </w:pPr>
    </w:p>
    <w:p>
      <w:pPr>
        <w:jc w:val="both"/>
        <w:ind w:firstLine="1678"/>
        <w:spacing w:after="0" w:line="278" w:lineRule="auto"/>
        <w:tabs>
          <w:tab w:leader="none" w:pos="2793" w:val="left"/>
        </w:tabs>
        <w:numPr>
          <w:ilvl w:val="1"/>
          <w:numId w:val="67"/>
        </w:numPr>
        <w:rPr>
          <w:rFonts w:ascii="Arial" w:cs="Arial" w:eastAsia="Arial" w:hAnsi="Arial"/>
          <w:sz w:val="20"/>
          <w:szCs w:val="20"/>
          <w:color w:val="auto"/>
        </w:rPr>
      </w:pPr>
      <w:r>
        <w:rPr>
          <w:rFonts w:ascii="Arial" w:cs="Arial" w:eastAsia="Arial" w:hAnsi="Arial"/>
          <w:sz w:val="20"/>
          <w:szCs w:val="20"/>
          <w:color w:val="auto"/>
        </w:rPr>
        <w:t>excluded or threatened with exclusion under state or federal laws, including under 42 U.S.C. § 1320a-7 or relevant regulations in 42 C.F.R. Part 1001, or assessed or threatened with assessment of civil money penalties pursuant to 42 U.S.C. Part 1003.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1" w:name="page142"/>
    <w:bookmarkEnd w:id="141"/>
    <w:p>
      <w:pPr>
        <w:jc w:val="both"/>
        <w:spacing w:after="0" w:line="301" w:lineRule="auto"/>
        <w:rPr>
          <w:sz w:val="20"/>
          <w:szCs w:val="20"/>
          <w:color w:val="auto"/>
        </w:rPr>
      </w:pPr>
      <w:r>
        <w:rPr>
          <w:rFonts w:ascii="Arial" w:cs="Arial" w:eastAsia="Arial" w:hAnsi="Arial"/>
          <w:sz w:val="18"/>
          <w:szCs w:val="18"/>
          <w:color w:val="auto"/>
        </w:rPr>
        <w:t>Each Party agrees to notify the other Party immediately, in the event that such Party or any of its officers, directors, employees, agents, or parties under contract to perform and work under this Agreement (i) becomes debarred, excluded or convicted, or (ii) receives notice of action with respect to its debarment, exclusion or conviction during the Term. Each Party hereby certifies that it has not utilized, and shall not utilize, in any capacity the services of any individual, corporation, partnership or association in the development of the Product or performance of activities related to this Agreement that has been (A) debarred, or to its knowledge has received notice of action with respect to debarment, under the Generic Drug Enforcement Act of 1992, 21 United States Code §335a(a) and (b), as amended or any foreign equivalent thereof, (B) excluded pursuant to 42 U.S.C. § 1320a-7 or relevant regulations in 42 C.F.R. Part 1001 or to its knowledge has received notice of exclusion or any foreign equivalent thereof or (C) otherwise convicted pursuant to (ii) above, or to its knowledge has received notice of conviction or any foreign equivalent thereof. In the event that either Party receives any notice of actions set forth in this Section 13.6 (with regard to the Party only, but not including an individual employee, officer, director, agent or subcontractor thereof), without limiting any other rights or remedies of the other Party, the other Party shall have the right to terminate this Agreement immediately pursuant to the provisions of this Agreement. Any termination by a Party pursuant to this Section 13.6 shall be deemed to be a termination by that Party for material breach of this Agreement by the other Party pursuant to Section 19.2.</w:t>
      </w:r>
    </w:p>
    <w:p>
      <w:pPr>
        <w:spacing w:after="0" w:line="170"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b w:val="1"/>
          <w:bCs w:val="1"/>
          <w:color w:val="auto"/>
        </w:rPr>
        <w:t>13.7 Handling of Materials; Wastes</w:t>
      </w:r>
      <w:r>
        <w:rPr>
          <w:rFonts w:ascii="Arial" w:cs="Arial" w:eastAsia="Arial" w:hAnsi="Arial"/>
          <w:sz w:val="18"/>
          <w:szCs w:val="18"/>
          <w:color w:val="auto"/>
        </w:rPr>
        <w:t>. WuXi Biologics shall inform its employees, contractors and other personnel of any known</w:t>
      </w:r>
      <w:r>
        <w:rPr>
          <w:rFonts w:ascii="Arial" w:cs="Arial" w:eastAsia="Arial" w:hAnsi="Arial"/>
          <w:sz w:val="18"/>
          <w:szCs w:val="18"/>
          <w:b w:val="1"/>
          <w:bCs w:val="1"/>
          <w:color w:val="auto"/>
        </w:rPr>
        <w:t xml:space="preserve"> </w:t>
      </w:r>
      <w:r>
        <w:rPr>
          <w:rFonts w:ascii="Arial" w:cs="Arial" w:eastAsia="Arial" w:hAnsi="Arial"/>
          <w:sz w:val="18"/>
          <w:szCs w:val="18"/>
          <w:color w:val="auto"/>
        </w:rPr>
        <w:t>or reasonably ascertainable chemical hazards associated with the Products or any wastes (including, Hazardous Materials) generated through performance of the Manufacturing of the Products, and to provide such persons with reasonable training in the proper methods of handling and disposing of such items. In addition, WuXi Biologics shall handle, accumulate, label, package, ship and dispose of all wastes (including, Hazardous Materials) generated through performance of the Manufacturing of the Products in accordance with all Applicable Laws.</w:t>
      </w:r>
    </w:p>
    <w:p>
      <w:pPr>
        <w:spacing w:after="0" w:line="15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13.8 Documentation for Regulatory Authority Requirements</w:t>
      </w:r>
      <w:r>
        <w:rPr>
          <w:rFonts w:ascii="Arial" w:cs="Arial" w:eastAsia="Arial" w:hAnsi="Arial"/>
          <w:sz w:val="20"/>
          <w:szCs w:val="20"/>
          <w:color w:val="auto"/>
        </w:rPr>
        <w:t>. WuXi Biologics shall maintain in accordance with and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period specified in the Quality Agreement (unless cGMP or Applicable Laws require a longer period), complete and accurate records relating to the Manufacture of the Products as it may be required to hold under such Applicable Laws. WuXi Biologics shall provide Client with such documentation promptly upon Client’s request.</w:t>
      </w:r>
    </w:p>
    <w:p>
      <w:pPr>
        <w:spacing w:after="0" w:line="18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13.9 Assistance with Regulatory Filing</w:t>
      </w:r>
      <w:r>
        <w:rPr>
          <w:rFonts w:ascii="Arial" w:cs="Arial" w:eastAsia="Arial" w:hAnsi="Arial"/>
          <w:sz w:val="20"/>
          <w:szCs w:val="20"/>
          <w:color w:val="auto"/>
        </w:rPr>
        <w:t>. WuXi Biologics shall prepare and provide to Client, at agreed upon cost to Client, a</w:t>
      </w:r>
      <w:r>
        <w:rPr>
          <w:rFonts w:ascii="Arial" w:cs="Arial" w:eastAsia="Arial" w:hAnsi="Arial"/>
          <w:sz w:val="20"/>
          <w:szCs w:val="20"/>
          <w:b w:val="1"/>
          <w:bCs w:val="1"/>
          <w:color w:val="auto"/>
        </w:rPr>
        <w:t xml:space="preserve"> </w:t>
      </w:r>
      <w:r>
        <w:rPr>
          <w:rFonts w:ascii="Arial" w:cs="Arial" w:eastAsia="Arial" w:hAnsi="Arial"/>
          <w:sz w:val="20"/>
          <w:szCs w:val="20"/>
          <w:color w:val="auto"/>
        </w:rPr>
        <w:t>report in English describing the Manufacturing processes for the Products (including, without limitation, any changes to the analytical methods) for Client’s use in updating the CMC section of the applicable IND and/or NDA/BLA.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PRODUCT COMPLAINTS AND ADVERSE EVENTS</w:t>
      </w:r>
    </w:p>
    <w:p>
      <w:pPr>
        <w:spacing w:after="0" w:line="24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14.1 Product Complaints, Adverse Events and Product Events</w:t>
      </w:r>
      <w:r>
        <w:rPr>
          <w:rFonts w:ascii="Arial" w:cs="Arial" w:eastAsia="Arial" w:hAnsi="Arial"/>
          <w:sz w:val="20"/>
          <w:szCs w:val="20"/>
          <w:color w:val="auto"/>
        </w:rPr>
        <w:t>. Provisions covering complaints or Adverse Events are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Quality Agreement. Provisions covering voluntary and involuntary recalls, product withdrawals, field corrections, field alerts, or other related actions (“</w:t>
      </w:r>
      <w:r>
        <w:rPr>
          <w:rFonts w:ascii="Arial" w:cs="Arial" w:eastAsia="Arial" w:hAnsi="Arial"/>
          <w:sz w:val="20"/>
          <w:szCs w:val="20"/>
          <w:b w:val="1"/>
          <w:bCs w:val="1"/>
          <w:color w:val="auto"/>
        </w:rPr>
        <w:t>Product Event</w:t>
      </w:r>
      <w:r>
        <w:rPr>
          <w:rFonts w:ascii="Arial" w:cs="Arial" w:eastAsia="Arial" w:hAnsi="Arial"/>
          <w:sz w:val="20"/>
          <w:szCs w:val="20"/>
          <w:color w:val="auto"/>
        </w:rPr>
        <w:t>”) of the Product are set forth in the Quality Agreement.</w:t>
      </w:r>
    </w:p>
    <w:p>
      <w:pPr>
        <w:spacing w:after="0" w:line="178"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9"/>
          <w:szCs w:val="19"/>
          <w:b w:val="1"/>
          <w:bCs w:val="1"/>
          <w:color w:val="auto"/>
        </w:rPr>
        <w:t>14.2 Expenses Resulting from a Product Event</w:t>
      </w:r>
      <w:r>
        <w:rPr>
          <w:rFonts w:ascii="Arial" w:cs="Arial" w:eastAsia="Arial" w:hAnsi="Arial"/>
          <w:sz w:val="19"/>
          <w:szCs w:val="19"/>
          <w:color w:val="auto"/>
        </w:rPr>
        <w:t>. In the event that a Regulatory Authority requires, or Client decides to, initiate a</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Event with respect to a Product manufactured by WuXi Biologics under this Agreement, Client shall promptly notify WuXi Biologics. WuXi Biologics shall use Commercially Reasonable Efforts at Client’s expense to fully cooperate with Client in implementing the foregoing as Client or the Regulatory Authority may require. Notwithstanding the foregoing, to the extent a Product Event is primarily caused by, or otherwise arises primarily from, a Defect, WuXi Biologics shall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2" w:name="page143"/>
    <w:bookmarkEnd w:id="142"/>
    <w:p>
      <w:pPr>
        <w:jc w:val="both"/>
        <w:ind w:right="20"/>
        <w:spacing w:after="0" w:line="288" w:lineRule="auto"/>
        <w:rPr>
          <w:sz w:val="20"/>
          <w:szCs w:val="20"/>
          <w:color w:val="auto"/>
        </w:rPr>
      </w:pPr>
      <w:r>
        <w:rPr>
          <w:rFonts w:ascii="Arial" w:cs="Arial" w:eastAsia="Arial" w:hAnsi="Arial"/>
          <w:sz w:val="20"/>
          <w:szCs w:val="20"/>
          <w:color w:val="auto"/>
        </w:rPr>
        <w:t>be responsible for all costs and expenses arising from such Product Event. The Client agrees that it is otherwise responsible for all costs and expenses arising from such Product Event.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CONFIDENTIALITY AND DATA PROTECTION</w:t>
      </w:r>
    </w:p>
    <w:p>
      <w:pPr>
        <w:spacing w:after="0" w:line="2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15.1 Non-Use, Non-Disclosure</w:t>
      </w:r>
      <w:r>
        <w:rPr>
          <w:rFonts w:ascii="Arial" w:cs="Arial" w:eastAsia="Arial" w:hAnsi="Arial"/>
          <w:sz w:val="20"/>
          <w:szCs w:val="20"/>
          <w:color w:val="auto"/>
        </w:rPr>
        <w:t>. WuXi Biologics shall use the Confidential Information of Client only for the purpose of</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the Products hereunder. WuXi Biologics shall not, at any time (whether during this Agreement or after its termination) (a) use the Confidential Information of Client for WuXi Biologics’ own or any Third Party’s benefit or purposes, or (b), except as otherwise provided for herein, disclose, publish or make available all or any portion of the Confidential Information of Client to any Third Party, in each case of (a) and (b) without the prior written consent of Client. Client Background IP and Client Arising IP shall be considered the Confidential Information of Client.</w:t>
      </w:r>
    </w:p>
    <w:p>
      <w:pPr>
        <w:spacing w:after="0" w:line="185"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9"/>
          <w:szCs w:val="19"/>
          <w:b w:val="1"/>
          <w:bCs w:val="1"/>
          <w:color w:val="auto"/>
        </w:rPr>
        <w:t>15.2 Standard of Care</w:t>
      </w:r>
      <w:r>
        <w:rPr>
          <w:rFonts w:ascii="Arial" w:cs="Arial" w:eastAsia="Arial" w:hAnsi="Arial"/>
          <w:sz w:val="19"/>
          <w:szCs w:val="19"/>
          <w:color w:val="auto"/>
        </w:rPr>
        <w:t>. Manufacturing performed under this Agreement shall take place in a secure area, and access to such area</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obtained by key or keycard and access shall be limited on a need-to-access basis. In addition and without limiting the foregoing, WuXi Biologics shall maintain security practices (which include appropriate administrative, physical and technical safeguards, including underlying operating system and network security controls) designed to meet or exceed generally accepted industry practice (meaning those reasonably expected of a diligent provider providing services similar to WuXi Biologics when in possession of highly sensitive information belonging to its clients) and are designed to ensure the security, confidentiality and integrity of Confidential Information of Client). Such security practices shall include: (a) the security systems, computers and technologies, including firewalls and encryption, including the use of encryption and other secure technologies in connection with any and all Confidential Information of Client collected, stored and/or transmitted by WuXi Biologics, (b) physical security procedures, including regular monitoring of all secure areas, (c) all places where Confidential Information of Client is stored shall have restricted keycard, or restricted lock access, (d) restriction of use and copying of Confidential Information of Client on a “need-to-know” basis (i.e., solely for the purposes of the Services or performing WuXi Biologics’ obligations under this Agreement) will be in effect and permitted only at authorized locations, (e) the transport and storage of Confidential Information of Client are conducted in a secure manner, (f) industry accepted password procedures, (g) regular and random monitoring of WuXi Biologics personnel providing services in connection with this Agreement, and (h) strict control of the access to Confidential Information of Client. WuXi Biologics at all times shall be aware of the location and the number of all copies of Confidential Information of Client under its Control.</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b w:val="1"/>
          <w:bCs w:val="1"/>
          <w:color w:val="auto"/>
        </w:rPr>
        <w:t>15.3 Required Disclosures</w:t>
      </w:r>
      <w:r>
        <w:rPr>
          <w:rFonts w:ascii="Arial" w:cs="Arial" w:eastAsia="Arial" w:hAnsi="Arial"/>
          <w:sz w:val="20"/>
          <w:szCs w:val="20"/>
          <w:color w:val="auto"/>
        </w:rPr>
        <w:t>. The obligations of confidentiality, non-disclosure and non-use hereunder shall continue until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Confidential Information falls within the exceptions provided for in Section 15.4 hereof. Notwithstanding the foregoing, each Party shall be entitled to disclose the Confidential Information solely to the extent required by Applicable Law or order of a competent Governmental Authority on the condition that such Party provides the other Party with written notice that the other Party’s Confidential Information is required to be disclosed sufficiently in advance of the disclosure so as to provide the other Party with reasonable opportunity to seek to prevent the disclosure of, to limit the scope of disclosure of, or to obtain a protective order for, the Confidential Information potentially required to be disclosed; and provided further that each Party makes any such required disclosures in consultation with the other Party.</w:t>
      </w:r>
    </w:p>
    <w:p>
      <w:pPr>
        <w:spacing w:after="0" w:line="191"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b w:val="1"/>
          <w:bCs w:val="1"/>
          <w:color w:val="auto"/>
        </w:rPr>
        <w:t>15.4 Exclusions to Confidentiality</w:t>
      </w:r>
      <w:r>
        <w:rPr>
          <w:rFonts w:ascii="Arial" w:cs="Arial" w:eastAsia="Arial" w:hAnsi="Arial"/>
          <w:sz w:val="19"/>
          <w:szCs w:val="19"/>
          <w:color w:val="auto"/>
        </w:rPr>
        <w:t>. Information will not fall within the definition of Confidential Information and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and neither Party shall have any obligation hereunder with respect to any such information that (a) is, at the time of disclosure or becomes after disclosure, general or public knowledge through no breach of this Agreement by the receiving Party; (b) was, at the time of disclosure by the disclosing Party, already known by the receiving Party, as established by written record; (c) 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3" w:name="page144"/>
    <w:bookmarkEnd w:id="143"/>
    <w:p>
      <w:pPr>
        <w:jc w:val="both"/>
        <w:spacing w:after="0" w:line="278" w:lineRule="auto"/>
        <w:rPr>
          <w:sz w:val="20"/>
          <w:szCs w:val="20"/>
          <w:color w:val="auto"/>
        </w:rPr>
      </w:pPr>
      <w:r>
        <w:rPr>
          <w:rFonts w:ascii="Arial" w:cs="Arial" w:eastAsia="Arial" w:hAnsi="Arial"/>
          <w:sz w:val="20"/>
          <w:szCs w:val="20"/>
          <w:color w:val="auto"/>
        </w:rPr>
        <w:t>received by the receiving Party from a Third Party having the right to disclose same and who is not bound by a confidentiality agreement in favor of the disclosing Party; or (d) was developed by or on behalf of the receiving Party independent of and without reference to the disclosing Party’s Confidential Information, as established by written record.</w:t>
      </w:r>
    </w:p>
    <w:p>
      <w:pPr>
        <w:spacing w:after="0" w:line="180"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b w:val="1"/>
          <w:bCs w:val="1"/>
          <w:color w:val="auto"/>
        </w:rPr>
        <w:t>15.5 Notification</w:t>
      </w:r>
      <w:r>
        <w:rPr>
          <w:rFonts w:ascii="Arial" w:cs="Arial" w:eastAsia="Arial" w:hAnsi="Arial"/>
          <w:sz w:val="19"/>
          <w:szCs w:val="19"/>
          <w:color w:val="auto"/>
        </w:rPr>
        <w:t>. In the event a Party becomes aware or has knowledge of any unauthorized use or disclosure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of the other Party, such Party shall promptly notify the other Party of such unauthorized use or disclosure and, thereafter, shall take all reasonable steps to assist the other Party in attempting to regain control of such Confidential Information if possible, and to minimize any potential or actual damages or losses resulting from such unauthorized use or disclosure.</w:t>
      </w:r>
    </w:p>
    <w:p>
      <w:pPr>
        <w:spacing w:after="0" w:line="168"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8"/>
          <w:szCs w:val="18"/>
          <w:b w:val="1"/>
          <w:bCs w:val="1"/>
          <w:color w:val="auto"/>
        </w:rPr>
        <w:t>15.6 Return</w:t>
      </w:r>
      <w:r>
        <w:rPr>
          <w:rFonts w:ascii="Arial" w:cs="Arial" w:eastAsia="Arial" w:hAnsi="Arial"/>
          <w:sz w:val="18"/>
          <w:szCs w:val="18"/>
          <w:color w:val="auto"/>
        </w:rPr>
        <w:t>. Upon receipt of a written request from either Party, or upon expiration or termination of this Agreement,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promptly return to the other Party all Confidential Information, including all reproductions and copies thereof together with all internal material and documents generated by the receiving Party containing Confidential Information, and all references thereto, of the other Party who disclosed it, and each Party shall delete all such Confidential Information and references thereto stored electronically (provided that neither Party shall be required to delete Confidential Information and references contained in any routine system back-ups, nor to delete any Confidential Information for the duration required for a Party to complete its obligations under Article 20). Notwithstanding the above, each Party may retain a single copy of any Confidential Information of the other Party as is reasonably necessary for regulatory or insurance purposes, subject to each Party’s obligations of confidentiality under this Agreement.</w:t>
      </w:r>
    </w:p>
    <w:p>
      <w:pPr>
        <w:spacing w:after="0" w:line="16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8"/>
          <w:szCs w:val="18"/>
          <w:b w:val="1"/>
          <w:bCs w:val="1"/>
          <w:color w:val="auto"/>
        </w:rPr>
        <w:t>15.7 WuXi Biologics Confidential Information</w:t>
      </w:r>
      <w:r>
        <w:rPr>
          <w:rFonts w:ascii="Arial" w:cs="Arial" w:eastAsia="Arial" w:hAnsi="Arial"/>
          <w:sz w:val="18"/>
          <w:szCs w:val="18"/>
          <w:color w:val="auto"/>
        </w:rPr>
        <w:t>. Client acknowledges it may receive Confidential Information from WuXi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Biologics. Client shall not use, and shall treat, such Confidential Information of WuXi Biologics in the same confidential manner as WuXi Biologics is obliged to treat Confidential Information of Client, </w:t>
      </w:r>
      <w:r>
        <w:rPr>
          <w:rFonts w:ascii="Arial" w:cs="Arial" w:eastAsia="Arial" w:hAnsi="Arial"/>
          <w:sz w:val="18"/>
          <w:szCs w:val="18"/>
          <w:i w:val="1"/>
          <w:iCs w:val="1"/>
          <w:color w:val="auto"/>
        </w:rPr>
        <w:t>mutatis mutandis</w:t>
      </w:r>
      <w:r>
        <w:rPr>
          <w:rFonts w:ascii="Arial" w:cs="Arial" w:eastAsia="Arial" w:hAnsi="Arial"/>
          <w:sz w:val="18"/>
          <w:szCs w:val="18"/>
          <w:color w:val="auto"/>
        </w:rPr>
        <w:t>, provided that (a) in lieu of Section 15.2, Client shall be obligated to use reasonable care not less than the care used to protect its own Confidential Information and (b) with respect to Section 15.3, Client may additionally disclose Confidential Information of WuXi Biologics as is required by Regulatory Authorities, or as is necessary to be included in regulatory filings or Product Licenses as required by a Regulatory Authority (</w:t>
      </w:r>
      <w:r>
        <w:rPr>
          <w:rFonts w:ascii="Arial" w:cs="Arial" w:eastAsia="Arial" w:hAnsi="Arial"/>
          <w:sz w:val="18"/>
          <w:szCs w:val="18"/>
          <w:i w:val="1"/>
          <w:iCs w:val="1"/>
          <w:color w:val="auto"/>
        </w:rPr>
        <w:t>e.g.</w:t>
      </w:r>
      <w:r>
        <w:rPr>
          <w:rFonts w:ascii="Arial" w:cs="Arial" w:eastAsia="Arial" w:hAnsi="Arial"/>
          <w:sz w:val="18"/>
          <w:szCs w:val="18"/>
          <w:color w:val="auto"/>
        </w:rPr>
        <w:t>, Drug Master Files).</w:t>
      </w:r>
    </w:p>
    <w:p>
      <w:pPr>
        <w:spacing w:after="0" w:line="161"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15.8 Public Announcements</w:t>
      </w:r>
      <w:r>
        <w:rPr>
          <w:rFonts w:ascii="Arial" w:cs="Arial" w:eastAsia="Arial" w:hAnsi="Arial"/>
          <w:sz w:val="20"/>
          <w:szCs w:val="20"/>
          <w:color w:val="auto"/>
        </w:rPr>
        <w:t>. Neither Party shall make any press or other public announcement concerning any aspect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unless the text of such announcement is first approved in writing by the Parties, unless otherwise required by Applicable Law to make such public announcement.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AUDIT AND INSPECTION RIGHTS</w:t>
      </w:r>
    </w:p>
    <w:p>
      <w:pPr>
        <w:spacing w:after="0" w:line="24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16.1 Regulatory Inspections</w:t>
      </w:r>
      <w:r>
        <w:rPr>
          <w:rFonts w:ascii="Arial" w:cs="Arial" w:eastAsia="Arial" w:hAnsi="Arial"/>
          <w:sz w:val="20"/>
          <w:szCs w:val="20"/>
          <w:color w:val="auto"/>
        </w:rPr>
        <w:t>. WuXi Biologics will permit audit and/or inspections by Regulatory Authorities of any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country related to the Manufacturing of the applicable Product, and will permit Client or its agents to be present and participate in any visit or inspection by any Regulatory Authority of the Manufacturing Site (to the extent it relates in any way to any Product) or the Manufacturing process. Each Party agrees to provide the other Party as much advance notice as possible if notified in advance of any such visit or inspection. Each Party will provide the other Party with a copy of any report or other written communication received from such Regulatory Authority in connection with such visit or inspection, and any written communication received from any Regulatory Authority relating to any Product, the Manufacturing Site (if it relates to or affects the development and/or Manufacture of Product) or the Manufacturing process, within [***] after receipt, and will consult with, and require approval from, the other Party before responding to each such communication. Each Party will provide the other Party with a copy of its final responses within [***] after submission. For avoidance of doubt, Client will pay WuXi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Biologics a reasonable [***] fee to cover the cost of regulatory inspection or audits exceeding [***] audit per year from Client.</w:t>
      </w:r>
    </w:p>
    <w:p>
      <w:pPr>
        <w:spacing w:after="0" w:line="237" w:lineRule="exact"/>
        <w:rPr>
          <w:sz w:val="20"/>
          <w:szCs w:val="20"/>
          <w:color w:val="auto"/>
        </w:rPr>
      </w:pPr>
    </w:p>
    <w:p>
      <w:pPr>
        <w:ind w:firstLine="749"/>
        <w:spacing w:after="0" w:line="295" w:lineRule="auto"/>
        <w:rPr>
          <w:sz w:val="20"/>
          <w:szCs w:val="20"/>
          <w:color w:val="auto"/>
        </w:rPr>
      </w:pPr>
      <w:r>
        <w:rPr>
          <w:rFonts w:ascii="Arial" w:cs="Arial" w:eastAsia="Arial" w:hAnsi="Arial"/>
          <w:sz w:val="20"/>
          <w:szCs w:val="20"/>
          <w:b w:val="1"/>
          <w:bCs w:val="1"/>
          <w:color w:val="auto"/>
        </w:rPr>
        <w:t>16.2 Additional Provisions</w:t>
      </w:r>
      <w:r>
        <w:rPr>
          <w:rFonts w:ascii="Arial" w:cs="Arial" w:eastAsia="Arial" w:hAnsi="Arial"/>
          <w:sz w:val="20"/>
          <w:szCs w:val="20"/>
          <w:color w:val="auto"/>
        </w:rPr>
        <w:t>. Additional provisions covering inspections and audits of WuXi Biologics, including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Manufacturing Site, whether by Client or a Regulatory Authority, are or will be set forth in the Quality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WARRANTIES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17.1 Mutual Representations and Warranties</w:t>
      </w:r>
      <w:r>
        <w:rPr>
          <w:rFonts w:ascii="Arial" w:cs="Arial" w:eastAsia="Arial" w:hAnsi="Arial"/>
          <w:sz w:val="19"/>
          <w:szCs w:val="19"/>
          <w:color w:val="auto"/>
        </w:rPr>
        <w:t>. Client and WuXi Biologics each represent and warrant to the other that:</w:t>
      </w:r>
    </w:p>
    <w:p>
      <w:pPr>
        <w:spacing w:after="0" w:line="254" w:lineRule="exact"/>
        <w:rPr>
          <w:sz w:val="20"/>
          <w:szCs w:val="20"/>
          <w:color w:val="auto"/>
        </w:rPr>
      </w:pPr>
    </w:p>
    <w:p>
      <w:pPr>
        <w:ind w:firstLine="1678"/>
        <w:spacing w:after="0" w:line="295" w:lineRule="auto"/>
        <w:tabs>
          <w:tab w:leader="none" w:pos="2793"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Organization and Authority</w:t>
      </w:r>
      <w:r>
        <w:rPr>
          <w:rFonts w:ascii="Arial" w:cs="Arial" w:eastAsia="Arial" w:hAnsi="Arial"/>
          <w:sz w:val="20"/>
          <w:szCs w:val="20"/>
          <w:color w:val="auto"/>
        </w:rPr>
        <w:t>. It has full corporate right, power and authority to enter into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to perform its respective obligations under this Agreement;</w:t>
      </w:r>
    </w:p>
    <w:p>
      <w:pPr>
        <w:spacing w:after="0" w:line="163" w:lineRule="exact"/>
        <w:rPr>
          <w:rFonts w:ascii="Arial" w:cs="Arial" w:eastAsia="Arial" w:hAnsi="Arial"/>
          <w:sz w:val="20"/>
          <w:szCs w:val="20"/>
          <w:color w:val="auto"/>
        </w:rPr>
      </w:pPr>
    </w:p>
    <w:p>
      <w:pPr>
        <w:jc w:val="both"/>
        <w:ind w:firstLine="1678"/>
        <w:spacing w:after="0" w:line="276" w:lineRule="auto"/>
        <w:tabs>
          <w:tab w:leader="none" w:pos="2793"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No Conflicts or Violations</w:t>
      </w:r>
      <w:r>
        <w:rPr>
          <w:rFonts w:ascii="Arial" w:cs="Arial" w:eastAsia="Arial" w:hAnsi="Arial"/>
          <w:sz w:val="20"/>
          <w:szCs w:val="20"/>
          <w:color w:val="auto"/>
        </w:rPr>
        <w:t>. The execution and delivery of this Agreement and the performance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hereunder (i) do not conflict with or violate any requirement of Applicable Laws existing as of the Effective Date and applicable to it and (ii) do not conflict with, violate, breach or constitute a default under, and are not prohibited or materially restricted by, any contractual obligations existing as of the Effective Date; and</w:t>
      </w:r>
    </w:p>
    <w:p>
      <w:pPr>
        <w:spacing w:after="0" w:line="184" w:lineRule="exact"/>
        <w:rPr>
          <w:rFonts w:ascii="Arial" w:cs="Arial" w:eastAsia="Arial" w:hAnsi="Arial"/>
          <w:sz w:val="20"/>
          <w:szCs w:val="20"/>
          <w:color w:val="auto"/>
        </w:rPr>
      </w:pPr>
    </w:p>
    <w:p>
      <w:pPr>
        <w:jc w:val="both"/>
        <w:ind w:firstLine="1678"/>
        <w:spacing w:after="0" w:line="276" w:lineRule="auto"/>
        <w:tabs>
          <w:tab w:leader="none" w:pos="2793"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Valid Execution</w:t>
      </w:r>
      <w:r>
        <w:rPr>
          <w:rFonts w:ascii="Arial" w:cs="Arial" w:eastAsia="Arial" w:hAnsi="Arial"/>
          <w:sz w:val="20"/>
          <w:szCs w:val="20"/>
          <w:color w:val="auto"/>
        </w:rPr>
        <w:t>. It is duly authorized, by all requisite corporate action, to execute and deliver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execution, delivery and performance of this Agreement does not require any shareholder action or approval or the approval or consent of any Third Party, and the person executing this Agreement on behalf of it is duly authorized to do so by all requisite corporate action.</w:t>
      </w:r>
    </w:p>
    <w:p>
      <w:pPr>
        <w:spacing w:after="0" w:line="184" w:lineRule="exact"/>
        <w:rPr>
          <w:sz w:val="20"/>
          <w:szCs w:val="20"/>
          <w:color w:val="auto"/>
        </w:rPr>
      </w:pPr>
    </w:p>
    <w:p>
      <w:pPr>
        <w:ind w:firstLine="749"/>
        <w:spacing w:after="0" w:line="295" w:lineRule="auto"/>
        <w:rPr>
          <w:sz w:val="20"/>
          <w:szCs w:val="20"/>
          <w:color w:val="auto"/>
        </w:rPr>
      </w:pPr>
      <w:r>
        <w:rPr>
          <w:rFonts w:ascii="Arial" w:cs="Arial" w:eastAsia="Arial" w:hAnsi="Arial"/>
          <w:sz w:val="20"/>
          <w:szCs w:val="20"/>
          <w:b w:val="1"/>
          <w:bCs w:val="1"/>
          <w:color w:val="auto"/>
        </w:rPr>
        <w:t>17.2 WuXi Biologics Representations, Warranties and Covenants for the Product</w:t>
      </w:r>
      <w:r>
        <w:rPr>
          <w:rFonts w:ascii="Arial" w:cs="Arial" w:eastAsia="Arial" w:hAnsi="Arial"/>
          <w:sz w:val="20"/>
          <w:szCs w:val="20"/>
          <w:color w:val="auto"/>
        </w:rPr>
        <w:t>. WuXi Biologics represents, warrants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to Client that:</w:t>
      </w:r>
    </w:p>
    <w:p>
      <w:pPr>
        <w:spacing w:after="0" w:line="164" w:lineRule="exact"/>
        <w:rPr>
          <w:sz w:val="20"/>
          <w:szCs w:val="20"/>
          <w:color w:val="auto"/>
        </w:rPr>
      </w:pPr>
    </w:p>
    <w:p>
      <w:pPr>
        <w:jc w:val="both"/>
        <w:ind w:firstLine="1678"/>
        <w:spacing w:after="0" w:line="281" w:lineRule="auto"/>
        <w:tabs>
          <w:tab w:leader="none" w:pos="279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Conformance with Specifications</w:t>
      </w:r>
      <w:r>
        <w:rPr>
          <w:rFonts w:ascii="Arial" w:cs="Arial" w:eastAsia="Arial" w:hAnsi="Arial"/>
          <w:sz w:val="20"/>
          <w:szCs w:val="20"/>
          <w:color w:val="auto"/>
        </w:rPr>
        <w:t>. Except with respect to occurrences that affect or alter the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after it has been delivered in accordance with the Delivery Terms, the Product supplied under this Agreement shall conform to the Specifications;</w:t>
      </w:r>
    </w:p>
    <w:p>
      <w:pPr>
        <w:spacing w:after="0" w:line="177" w:lineRule="exact"/>
        <w:rPr>
          <w:rFonts w:ascii="Arial" w:cs="Arial" w:eastAsia="Arial" w:hAnsi="Arial"/>
          <w:sz w:val="20"/>
          <w:szCs w:val="20"/>
          <w:color w:val="auto"/>
        </w:rPr>
      </w:pPr>
    </w:p>
    <w:p>
      <w:pPr>
        <w:jc w:val="both"/>
        <w:ind w:firstLine="1678"/>
        <w:spacing w:after="0" w:line="276" w:lineRule="auto"/>
        <w:tabs>
          <w:tab w:leader="none" w:pos="279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Conformance with Labeling Instructions and Free from Defects</w:t>
      </w:r>
      <w:r>
        <w:rPr>
          <w:rFonts w:ascii="Arial" w:cs="Arial" w:eastAsia="Arial" w:hAnsi="Arial"/>
          <w:sz w:val="20"/>
          <w:szCs w:val="20"/>
          <w:color w:val="auto"/>
        </w:rPr>
        <w:t>. All Product shall be Manufactured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Client’s Labeling, shall be free from material defects in the Materials and workmanship of the Product and shall not be adulterated or misbranded within the meaning of the Federal Food, Drug, and Cosmetic Act (the “</w:t>
      </w:r>
      <w:r>
        <w:rPr>
          <w:rFonts w:ascii="Arial" w:cs="Arial" w:eastAsia="Arial" w:hAnsi="Arial"/>
          <w:sz w:val="20"/>
          <w:szCs w:val="20"/>
          <w:b w:val="1"/>
          <w:bCs w:val="1"/>
          <w:color w:val="auto"/>
        </w:rPr>
        <w:t>Act</w:t>
      </w:r>
      <w:r>
        <w:rPr>
          <w:rFonts w:ascii="Arial" w:cs="Arial" w:eastAsia="Arial" w:hAnsi="Arial"/>
          <w:sz w:val="20"/>
          <w:szCs w:val="20"/>
          <w:color w:val="auto"/>
        </w:rPr>
        <w:t>”) or any equivalent law in another jurisdiction;</w:t>
      </w:r>
    </w:p>
    <w:p>
      <w:pPr>
        <w:spacing w:after="0" w:line="184" w:lineRule="exact"/>
        <w:rPr>
          <w:rFonts w:ascii="Arial" w:cs="Arial" w:eastAsia="Arial" w:hAnsi="Arial"/>
          <w:sz w:val="20"/>
          <w:szCs w:val="20"/>
          <w:color w:val="auto"/>
        </w:rPr>
      </w:pPr>
    </w:p>
    <w:p>
      <w:pPr>
        <w:ind w:firstLine="1678"/>
        <w:spacing w:after="0" w:line="295" w:lineRule="auto"/>
        <w:tabs>
          <w:tab w:leader="none" w:pos="279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Manufacture of the Product</w:t>
      </w:r>
      <w:r>
        <w:rPr>
          <w:rFonts w:ascii="Arial" w:cs="Arial" w:eastAsia="Arial" w:hAnsi="Arial"/>
          <w:sz w:val="20"/>
          <w:szCs w:val="20"/>
          <w:color w:val="auto"/>
        </w:rPr>
        <w:t>. The Product shall be Manufactured in accordance with cGMP,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License, Applicable Laws and the Quality Agreement;</w:t>
      </w:r>
    </w:p>
    <w:p>
      <w:pPr>
        <w:spacing w:after="0" w:line="163" w:lineRule="exact"/>
        <w:rPr>
          <w:rFonts w:ascii="Arial" w:cs="Arial" w:eastAsia="Arial" w:hAnsi="Arial"/>
          <w:sz w:val="20"/>
          <w:szCs w:val="20"/>
          <w:color w:val="auto"/>
        </w:rPr>
      </w:pPr>
    </w:p>
    <w:p>
      <w:pPr>
        <w:ind w:firstLine="1678"/>
        <w:spacing w:after="0" w:line="295" w:lineRule="auto"/>
        <w:tabs>
          <w:tab w:leader="none" w:pos="279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Shelf-Life</w:t>
      </w:r>
      <w:r>
        <w:rPr>
          <w:rFonts w:ascii="Arial" w:cs="Arial" w:eastAsia="Arial" w:hAnsi="Arial"/>
          <w:sz w:val="20"/>
          <w:szCs w:val="20"/>
          <w:color w:val="auto"/>
        </w:rPr>
        <w:t>. All Product shipped shall have a shelf-life at the date of release of the Products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Site under Section 13.4 of at least the minimum shelf life to be agreed in writing between the Parties;</w:t>
      </w:r>
    </w:p>
    <w:p>
      <w:pPr>
        <w:spacing w:after="0" w:line="163" w:lineRule="exact"/>
        <w:rPr>
          <w:rFonts w:ascii="Arial" w:cs="Arial" w:eastAsia="Arial" w:hAnsi="Arial"/>
          <w:sz w:val="20"/>
          <w:szCs w:val="20"/>
          <w:color w:val="auto"/>
        </w:rPr>
      </w:pPr>
    </w:p>
    <w:p>
      <w:pPr>
        <w:ind w:firstLine="1678"/>
        <w:spacing w:after="0" w:line="295" w:lineRule="auto"/>
        <w:tabs>
          <w:tab w:leader="none" w:pos="279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Provision of Information</w:t>
      </w:r>
      <w:r>
        <w:rPr>
          <w:rFonts w:ascii="Arial" w:cs="Arial" w:eastAsia="Arial" w:hAnsi="Arial"/>
          <w:sz w:val="20"/>
          <w:szCs w:val="20"/>
          <w:color w:val="auto"/>
        </w:rPr>
        <w:t>. It has provided and shall provide to Client all pertinent information in its</w:t>
      </w:r>
      <w:r>
        <w:rPr>
          <w:rFonts w:ascii="Arial" w:cs="Arial" w:eastAsia="Arial" w:hAnsi="Arial"/>
          <w:sz w:val="20"/>
          <w:szCs w:val="20"/>
          <w:b w:val="1"/>
          <w:bCs w:val="1"/>
          <w:color w:val="auto"/>
        </w:rPr>
        <w:t xml:space="preserve"> </w:t>
      </w:r>
      <w:r>
        <w:rPr>
          <w:rFonts w:ascii="Arial" w:cs="Arial" w:eastAsia="Arial" w:hAnsi="Arial"/>
          <w:sz w:val="20"/>
          <w:szCs w:val="20"/>
          <w:color w:val="auto"/>
        </w:rPr>
        <w:t>possession relative to physical, environmental and human health hazards involving the Product;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5" w:name="page146"/>
    <w:bookmarkEnd w:id="145"/>
    <w:p>
      <w:pPr>
        <w:ind w:firstLine="1678"/>
        <w:spacing w:after="0" w:line="295" w:lineRule="auto"/>
        <w:tabs>
          <w:tab w:leader="none" w:pos="2793"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Good Title, No Encumbrances</w:t>
      </w:r>
      <w:r>
        <w:rPr>
          <w:rFonts w:ascii="Arial" w:cs="Arial" w:eastAsia="Arial" w:hAnsi="Arial"/>
          <w:sz w:val="20"/>
          <w:szCs w:val="20"/>
          <w:color w:val="auto"/>
        </w:rPr>
        <w:t>. It will convey good title to the Product supplied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free from any lawful security, interest, lien or encumbrances;</w:t>
      </w:r>
    </w:p>
    <w:p>
      <w:pPr>
        <w:spacing w:after="0" w:line="163" w:lineRule="exact"/>
        <w:rPr>
          <w:rFonts w:ascii="Arial" w:cs="Arial" w:eastAsia="Arial" w:hAnsi="Arial"/>
          <w:sz w:val="20"/>
          <w:szCs w:val="20"/>
          <w:color w:val="auto"/>
        </w:rPr>
      </w:pPr>
    </w:p>
    <w:p>
      <w:pPr>
        <w:jc w:val="both"/>
        <w:ind w:firstLine="1678"/>
        <w:spacing w:after="0" w:line="274" w:lineRule="auto"/>
        <w:tabs>
          <w:tab w:leader="none" w:pos="2793"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Right to WuXi Biologics Background IP</w:t>
      </w:r>
      <w:r>
        <w:rPr>
          <w:rFonts w:ascii="Arial" w:cs="Arial" w:eastAsia="Arial" w:hAnsi="Arial"/>
          <w:sz w:val="20"/>
          <w:szCs w:val="20"/>
          <w:color w:val="auto"/>
        </w:rPr>
        <w:t>. It has the title and/or right to any and all WuXi Biologics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Background IP used to Manufacture the Product in accordance with this Agreement; and the Manufacture of the Product by WuXi Biologics or its Affiliates as of the Effective Date does not infringe the Intellectual Property or any other rights of any Third Party,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any infringement is not due in any way to Materials provided by Client or its Designated Vendors, or any manufacturing process specified by Client;</w:t>
      </w:r>
    </w:p>
    <w:p>
      <w:pPr>
        <w:spacing w:after="0" w:line="185" w:lineRule="exact"/>
        <w:rPr>
          <w:rFonts w:ascii="Arial" w:cs="Arial" w:eastAsia="Arial" w:hAnsi="Arial"/>
          <w:sz w:val="20"/>
          <w:szCs w:val="20"/>
          <w:color w:val="auto"/>
        </w:rPr>
      </w:pPr>
    </w:p>
    <w:p>
      <w:pPr>
        <w:jc w:val="both"/>
        <w:ind w:firstLine="1678"/>
        <w:spacing w:after="0" w:line="273" w:lineRule="auto"/>
        <w:tabs>
          <w:tab w:leader="none" w:pos="2793"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Bribery</w:t>
      </w:r>
      <w:r>
        <w:rPr>
          <w:rFonts w:ascii="Arial" w:cs="Arial" w:eastAsia="Arial" w:hAnsi="Arial"/>
          <w:sz w:val="20"/>
          <w:szCs w:val="20"/>
          <w:color w:val="auto"/>
        </w:rPr>
        <w:t>. It will neither offer to give nor give money or gifts to Client employees or members of their</w:t>
      </w:r>
      <w:r>
        <w:rPr>
          <w:rFonts w:ascii="Arial" w:cs="Arial" w:eastAsia="Arial" w:hAnsi="Arial"/>
          <w:sz w:val="20"/>
          <w:szCs w:val="20"/>
          <w:b w:val="1"/>
          <w:bCs w:val="1"/>
          <w:color w:val="auto"/>
        </w:rPr>
        <w:t xml:space="preserve"> </w:t>
      </w:r>
      <w:r>
        <w:rPr>
          <w:rFonts w:ascii="Arial" w:cs="Arial" w:eastAsia="Arial" w:hAnsi="Arial"/>
          <w:sz w:val="20"/>
          <w:szCs w:val="20"/>
          <w:color w:val="auto"/>
        </w:rPr>
        <w:t>families in exchange for business from Client. In addition, it will not take or permit any action, including paying or transferring anything of value, directly or indirectly, to any official or other person to influence any decision to obtain or retain business or gain an advantage in the conduct of business, or to induce such official or other person to perform a function in violation of any Applicable Laws, that will either constitute a violation under, or cause Client to be in violation of, the provisions of the Foreign Corrupt Practices Act or applicable local bribery and corruption Applicable Laws.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17.3 Client Representations, Warranties, and Covenants</w:t>
      </w:r>
      <w:r>
        <w:rPr>
          <w:rFonts w:ascii="Arial" w:cs="Arial" w:eastAsia="Arial" w:hAnsi="Arial"/>
          <w:sz w:val="18"/>
          <w:szCs w:val="18"/>
          <w:color w:val="auto"/>
        </w:rPr>
        <w:t>. Client represents, warrants, and covenants to WuXi Biologics that:</w:t>
      </w:r>
    </w:p>
    <w:p>
      <w:pPr>
        <w:spacing w:after="0" w:line="266" w:lineRule="exact"/>
        <w:rPr>
          <w:sz w:val="20"/>
          <w:szCs w:val="20"/>
          <w:color w:val="auto"/>
        </w:rPr>
      </w:pPr>
    </w:p>
    <w:p>
      <w:pPr>
        <w:ind w:left="2800" w:hanging="1122"/>
        <w:spacing w:after="0"/>
        <w:tabs>
          <w:tab w:leader="none" w:pos="2800"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Product Licenses</w:t>
      </w:r>
      <w:r>
        <w:rPr>
          <w:rFonts w:ascii="Arial" w:cs="Arial" w:eastAsia="Arial" w:hAnsi="Arial"/>
          <w:sz w:val="20"/>
          <w:szCs w:val="20"/>
          <w:color w:val="auto"/>
        </w:rPr>
        <w:t>. It holds all necessary Product Licenses with respect to the Products.</w:t>
      </w:r>
    </w:p>
    <w:p>
      <w:pPr>
        <w:spacing w:after="0" w:line="242" w:lineRule="exact"/>
        <w:rPr>
          <w:rFonts w:ascii="Arial" w:cs="Arial" w:eastAsia="Arial" w:hAnsi="Arial"/>
          <w:sz w:val="20"/>
          <w:szCs w:val="20"/>
          <w:color w:val="auto"/>
        </w:rPr>
      </w:pPr>
    </w:p>
    <w:p>
      <w:pPr>
        <w:jc w:val="both"/>
        <w:ind w:firstLine="1678"/>
        <w:spacing w:after="0" w:line="292" w:lineRule="auto"/>
        <w:tabs>
          <w:tab w:leader="none" w:pos="2793"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Right to Client Background IP</w:t>
      </w:r>
      <w:r>
        <w:rPr>
          <w:rFonts w:ascii="Arial" w:cs="Arial" w:eastAsia="Arial" w:hAnsi="Arial"/>
          <w:sz w:val="19"/>
          <w:szCs w:val="19"/>
          <w:color w:val="auto"/>
        </w:rPr>
        <w:t>. It has the title and/or right to any and all Client Background IP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to WuXi Biologics in accordance with this Agreement for the Manufacture of the Products, and further has the title and/or right to grant WuXi Biologics the right to use such Intellectual Property in accordance with the terms of this Agreement. The use by WuXi Biologics or its Affiliates of Client Background IP in strict accordance with this Agreement (including all Specifications and Materials provided by or on behalf of Client) will not infringe the Intellectual Property or any other rights of any Third Party.</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18</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INDEMNITY</w:t>
      </w:r>
    </w:p>
    <w:p>
      <w:pPr>
        <w:spacing w:after="0" w:line="243"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9"/>
          <w:szCs w:val="19"/>
          <w:b w:val="1"/>
          <w:bCs w:val="1"/>
          <w:color w:val="auto"/>
        </w:rPr>
        <w:t>18.1 Indemnification by WuXi Biologics</w:t>
      </w:r>
      <w:r>
        <w:rPr>
          <w:rFonts w:ascii="Arial" w:cs="Arial" w:eastAsia="Arial" w:hAnsi="Arial"/>
          <w:sz w:val="19"/>
          <w:szCs w:val="19"/>
          <w:color w:val="auto"/>
        </w:rPr>
        <w:t>. WuXi Biologics shall protect, defend, indemnify and hold harmless Client,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and their directors, officers, shareholders, employees and agents, and their respective successors and permitted assigns, from any and all Losses from any Third Party claims, proceedings, actions or causes of actions (“</w:t>
      </w:r>
      <w:r>
        <w:rPr>
          <w:rFonts w:ascii="Arial" w:cs="Arial" w:eastAsia="Arial" w:hAnsi="Arial"/>
          <w:sz w:val="19"/>
          <w:szCs w:val="19"/>
          <w:b w:val="1"/>
          <w:bCs w:val="1"/>
          <w:color w:val="auto"/>
        </w:rPr>
        <w:t>Third Party Claims</w:t>
      </w:r>
      <w:r>
        <w:rPr>
          <w:rFonts w:ascii="Arial" w:cs="Arial" w:eastAsia="Arial" w:hAnsi="Arial"/>
          <w:sz w:val="19"/>
          <w:szCs w:val="19"/>
          <w:color w:val="auto"/>
        </w:rPr>
        <w:t>”) which directly or indirectly arise out of or relate to (a) the failure of Product to meet the warranties set forth in Section 17.2, (b) any other breach by WuXi Biologics of any of its representations, warranties, covenants, agreements or obligations under this Agreement, or (c) the gross negligence or willful misconduct of WuXi Biologics (or its Affiliates or contractors) in the performance of its obligations hereunder; in each case except to the extent such Losses result from the matters contemplated in Section 18.2(b) or (c) below.</w:t>
      </w:r>
    </w:p>
    <w:p>
      <w:pPr>
        <w:spacing w:after="0" w:line="176"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9"/>
          <w:szCs w:val="19"/>
          <w:b w:val="1"/>
          <w:bCs w:val="1"/>
          <w:color w:val="auto"/>
        </w:rPr>
        <w:t>18.2 Indemnification by Client</w:t>
      </w:r>
      <w:r>
        <w:rPr>
          <w:rFonts w:ascii="Arial" w:cs="Arial" w:eastAsia="Arial" w:hAnsi="Arial"/>
          <w:sz w:val="19"/>
          <w:szCs w:val="19"/>
          <w:color w:val="auto"/>
        </w:rPr>
        <w:t>. Client shall protect, defend, indemnify and hold harmless WuXi Biologics, its Affiliates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their directors, officers, shareholders, employees and agents, and their respective successors and permitted assigns, from any and all Losses from any Third Party Claims which directly or indirectly arise out of or relate to (a) death, injury, or other product liability arising from or related to Products manufactured according to the Specifications, Quality Agreement and cGMP, (b) a breach by Client of any of its representations, warranties, covenants, agreements or obligations under this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6" w:name="page147"/>
    <w:bookmarkEnd w:id="146"/>
    <w:p>
      <w:pPr>
        <w:jc w:val="both"/>
        <w:spacing w:after="0" w:line="278" w:lineRule="auto"/>
        <w:rPr>
          <w:sz w:val="20"/>
          <w:szCs w:val="20"/>
          <w:color w:val="auto"/>
        </w:rPr>
      </w:pPr>
      <w:r>
        <w:rPr>
          <w:rFonts w:ascii="Arial" w:cs="Arial" w:eastAsia="Arial" w:hAnsi="Arial"/>
          <w:sz w:val="20"/>
          <w:szCs w:val="20"/>
          <w:color w:val="auto"/>
        </w:rPr>
        <w:t>Agreement, or (c) the gross negligence or willful misconduct of Client (or its Affiliates) in the performance of its obligations hereunder or otherwise in commercializing the Products, in each case, except to the extent such Losses result from matters contemplated in Section 18.1 above.</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0"/>
          <w:szCs w:val="20"/>
          <w:b w:val="1"/>
          <w:bCs w:val="1"/>
          <w:color w:val="auto"/>
        </w:rPr>
        <w:t>18.3 No Consequential Damages</w:t>
      </w:r>
      <w:r>
        <w:rPr>
          <w:rFonts w:ascii="Arial" w:cs="Arial" w:eastAsia="Arial" w:hAnsi="Arial"/>
          <w:sz w:val="20"/>
          <w:szCs w:val="20"/>
          <w:color w:val="auto"/>
        </w:rPr>
        <w:t>. EXCEPT WITH RESPECT TO EACH PARTY’S INDEMNIFICATION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18.1 AND SECTION 18.2, AS APPLICABLE, IN NO EVENT SHALL EITHER PARTY OR ANY OF ITS AFFILIATES BE LIABLE TO THE OTHER PARTY OR ANY OF ITS AFFILIATES FOR SPECIAL, INDIRECT, INCIDENTAL, CONSEQUENTIAL OR PUNITIVE DAMAGES, IN EACH CASE WHETHER OR NOT FORESEEN,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APPLICABLE LAW, INCLUDING EQUITABLE REMEDIES, FOR ANY BREACH OF ITS CONFIDENTIALITY AND NON-USE OBLIGATIONS UNDER ARTICLE 15.</w:t>
      </w:r>
    </w:p>
    <w:p>
      <w:pPr>
        <w:spacing w:after="0" w:line="18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9"/>
          <w:szCs w:val="19"/>
          <w:b w:val="1"/>
          <w:bCs w:val="1"/>
          <w:color w:val="auto"/>
        </w:rPr>
        <w:t>18.4 Notification of Claims; Conditions to Indemnification Obligations</w:t>
      </w:r>
      <w:r>
        <w:rPr>
          <w:rFonts w:ascii="Arial" w:cs="Arial" w:eastAsia="Arial" w:hAnsi="Arial"/>
          <w:sz w:val="19"/>
          <w:szCs w:val="19"/>
          <w:color w:val="auto"/>
        </w:rPr>
        <w:t>. As a condition to a Party’s right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indemnification under this Article 18,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(which consent will not be unreasonably withheld, delayed, or conditioned) of the indemnified Party. Each Party shall reasonably cooperate with the other Party and its counsel in the course of the defense of any such suit, claim or demand, such cooperation to include without limitation using Commercially Reasonable Efforts to provide or make available documents, information and witnesses. The indemnifying Party shall have no liability under this Article 18 with respect to claims or suits settled or compromised without its prior written consent.</w:t>
      </w:r>
    </w:p>
    <w:p>
      <w:pPr>
        <w:spacing w:after="0" w:line="18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18"/>
          <w:szCs w:val="18"/>
          <w:b w:val="1"/>
          <w:bCs w:val="1"/>
          <w:color w:val="auto"/>
        </w:rPr>
        <w:t>18.5 Limitation of Liability</w:t>
      </w:r>
      <w:r>
        <w:rPr>
          <w:rFonts w:ascii="Arial" w:cs="Arial" w:eastAsia="Arial" w:hAnsi="Arial"/>
          <w:sz w:val="18"/>
          <w:szCs w:val="18"/>
          <w:color w:val="auto"/>
        </w:rPr>
        <w:t>. Except with respect to: (a) a Party’s indemnification obligation regarding Third Party Claims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18.1 or 18.2 (as applicable), (b) any breach by either Party of its confidentiality and non-use obligations under Article 15, (c) any cases involving personal injury, death, willful misconduct or gross negligence, (d) undisputed invoices under Article 7, or (e) WuXi Biologics’ payment obligations to Client under Section 5.6 and Section 9.4 (as and when applicable) pursuant to WuXi Biologics’ Manufacturing and supply obligations under Section 2.1, in no event shall either Party’s liability under this Agreement exceed the lesser of:</w:t>
      </w:r>
    </w:p>
    <w:p>
      <w:pPr>
        <w:spacing w:after="0" w:line="3" w:lineRule="exact"/>
        <w:rPr>
          <w:sz w:val="20"/>
          <w:szCs w:val="20"/>
          <w:color w:val="auto"/>
        </w:rPr>
      </w:pPr>
    </w:p>
    <w:p>
      <w:pPr>
        <w:ind w:firstLine="8"/>
        <w:spacing w:after="0" w:line="288" w:lineRule="auto"/>
        <w:tabs>
          <w:tab w:leader="none" w:pos="268" w:val="left"/>
        </w:tabs>
        <w:numPr>
          <w:ilvl w:val="0"/>
          <w:numId w:val="72"/>
        </w:numPr>
        <w:rPr>
          <w:rFonts w:ascii="Arial" w:cs="Arial" w:eastAsia="Arial" w:hAnsi="Arial"/>
          <w:sz w:val="20"/>
          <w:szCs w:val="20"/>
          <w:color w:val="auto"/>
        </w:rPr>
      </w:pPr>
      <w:r>
        <w:rPr>
          <w:rFonts w:ascii="Arial" w:cs="Arial" w:eastAsia="Arial" w:hAnsi="Arial"/>
          <w:sz w:val="20"/>
          <w:szCs w:val="20"/>
          <w:color w:val="auto"/>
        </w:rPr>
        <w:t>[***] of all amounts paid or payable to WuXi Biologics for the Services or Products under the applicable Product Schedule of this Agreement in the [***] preceding the event or omission giving rise to such claim; or (ii) [***].</w:t>
      </w:r>
    </w:p>
    <w:p>
      <w:pPr>
        <w:spacing w:after="0" w:line="17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9"/>
          <w:szCs w:val="19"/>
          <w:b w:val="1"/>
          <w:bCs w:val="1"/>
          <w:color w:val="auto"/>
        </w:rPr>
        <w:t>18.6 Insurance</w:t>
      </w:r>
      <w:r>
        <w:rPr>
          <w:rFonts w:ascii="Arial" w:cs="Arial" w:eastAsia="Arial" w:hAnsi="Arial"/>
          <w:sz w:val="19"/>
          <w:szCs w:val="19"/>
          <w:color w:val="auto"/>
        </w:rPr>
        <w:t>. During the Term and for a tail duration after the Term, each Party shall obtain and maintain, at its sole cost and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 insurance (including any self-insured arrangements) in types and amounts that are reasonable and customary in the pharmaceutical and biotechnology industry for companies engaged in comparable activities in the jurisdiction where such activities are being performed. Without prejudice to the foregoing, each Party shall maintain a minimum product liability insurance coverage of [***].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Article 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ARTICLE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 AND TERMINATION</w:t>
      </w:r>
    </w:p>
    <w:p>
      <w:pPr>
        <w:spacing w:after="0" w:line="24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b w:val="1"/>
          <w:bCs w:val="1"/>
          <w:color w:val="auto"/>
        </w:rPr>
        <w:t>19.1 Term</w:t>
      </w:r>
      <w:r>
        <w:rPr>
          <w:rFonts w:ascii="Arial" w:cs="Arial" w:eastAsia="Arial" w:hAnsi="Arial"/>
          <w:sz w:val="18"/>
          <w:szCs w:val="18"/>
          <w:color w:val="auto"/>
        </w:rPr>
        <w:t>. This Agreement shall enter into effect on the date after both Parties sign this Agreement and will be valid for an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 (the “</w:t>
      </w:r>
      <w:r>
        <w:rPr>
          <w:rFonts w:ascii="Arial" w:cs="Arial" w:eastAsia="Arial" w:hAnsi="Arial"/>
          <w:sz w:val="18"/>
          <w:szCs w:val="18"/>
          <w:b w:val="1"/>
          <w:bCs w:val="1"/>
          <w:color w:val="auto"/>
        </w:rPr>
        <w:t>Initial Term</w:t>
      </w:r>
      <w:r>
        <w:rPr>
          <w:rFonts w:ascii="Arial" w:cs="Arial" w:eastAsia="Arial" w:hAnsi="Arial"/>
          <w:sz w:val="18"/>
          <w:szCs w:val="18"/>
          <w:color w:val="auto"/>
        </w:rPr>
        <w:t>”), and thereafter shall automatically renew for further successive periods of [***] each (the “</w:t>
      </w:r>
      <w:r>
        <w:rPr>
          <w:rFonts w:ascii="Arial" w:cs="Arial" w:eastAsia="Arial" w:hAnsi="Arial"/>
          <w:sz w:val="18"/>
          <w:szCs w:val="18"/>
          <w:b w:val="1"/>
          <w:bCs w:val="1"/>
          <w:color w:val="auto"/>
        </w:rPr>
        <w:t>Renewal</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 unless terminated earlier as provided for elsewhere in this Agreement. If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wish to renew this Agreement, notice must be provided [***] before the Initial Term or a Renewal Term expire (unless otherwise mutually agreed) to account for the binding forecasts provided under this Agreement and to provide for an orderly wind-down.</w:t>
      </w:r>
    </w:p>
    <w:p>
      <w:pPr>
        <w:spacing w:after="0" w:line="157" w:lineRule="exact"/>
        <w:rPr>
          <w:sz w:val="20"/>
          <w:szCs w:val="20"/>
          <w:color w:val="auto"/>
        </w:rPr>
      </w:pPr>
    </w:p>
    <w:p>
      <w:pPr>
        <w:jc w:val="both"/>
        <w:ind w:firstLine="749"/>
        <w:spacing w:after="0" w:line="326" w:lineRule="auto"/>
        <w:rPr>
          <w:sz w:val="20"/>
          <w:szCs w:val="20"/>
          <w:color w:val="auto"/>
        </w:rPr>
      </w:pPr>
      <w:r>
        <w:rPr>
          <w:rFonts w:ascii="Arial" w:cs="Arial" w:eastAsia="Arial" w:hAnsi="Arial"/>
          <w:sz w:val="18"/>
          <w:szCs w:val="18"/>
          <w:b w:val="1"/>
          <w:bCs w:val="1"/>
          <w:color w:val="auto"/>
        </w:rPr>
        <w:t>19.2 Termination for Breach</w:t>
      </w:r>
      <w:r>
        <w:rPr>
          <w:rFonts w:ascii="Arial" w:cs="Arial" w:eastAsia="Arial" w:hAnsi="Arial"/>
          <w:sz w:val="18"/>
          <w:szCs w:val="18"/>
          <w:color w:val="auto"/>
        </w:rPr>
        <w:t>. If either Party to this Agreement shall have breached or defaulted in the performance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obligations (other than the payment of money) and does not remedy the material breach within [***] of notice from the other Party to do so (if capable of remedy) the non-breaching Party may terminate this Agreement immediately by written notice to the Party in breach.</w:t>
      </w:r>
    </w:p>
    <w:p>
      <w:pPr>
        <w:spacing w:after="0" w:line="142"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6"/>
          <w:szCs w:val="16"/>
          <w:b w:val="1"/>
          <w:bCs w:val="1"/>
          <w:color w:val="auto"/>
        </w:rPr>
        <w:t>19.3 Termination for Force Majeure Event</w:t>
      </w:r>
      <w:r>
        <w:rPr>
          <w:rFonts w:ascii="Arial" w:cs="Arial" w:eastAsia="Arial" w:hAnsi="Arial"/>
          <w:sz w:val="16"/>
          <w:szCs w:val="16"/>
          <w:color w:val="auto"/>
        </w:rPr>
        <w:t>. Notwithstanding anything to the contrary contained in this Agreement, in the event a</w:t>
      </w:r>
      <w:r>
        <w:rPr>
          <w:rFonts w:ascii="Arial" w:cs="Arial" w:eastAsia="Arial" w:hAnsi="Arial"/>
          <w:sz w:val="16"/>
          <w:szCs w:val="16"/>
          <w:b w:val="1"/>
          <w:bCs w:val="1"/>
          <w:color w:val="auto"/>
        </w:rPr>
        <w:t xml:space="preserve"> </w:t>
      </w:r>
      <w:r>
        <w:rPr>
          <w:rFonts w:ascii="Arial" w:cs="Arial" w:eastAsia="Arial" w:hAnsi="Arial"/>
          <w:sz w:val="16"/>
          <w:szCs w:val="16"/>
          <w:color w:val="auto"/>
        </w:rPr>
        <w:t>Force Majeure Event shall have occurred and be continuing for [***], the Party not suffering such Force Majeure Event shall be entitled to terminate a Product Schedule or this entire Agreement effective immediately upon written notice to the Party suffering such Force Majeure Event related to the applicable Product Schedule or the entire Agreement. The Parties will discuss in good faith at such time if any reimbursements, credits to other ongoing Product Schedules, or other reimbursements or payments should be made by or between each Party.</w:t>
      </w:r>
    </w:p>
    <w:p>
      <w:pPr>
        <w:spacing w:after="0" w:line="126"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b w:val="1"/>
          <w:bCs w:val="1"/>
          <w:color w:val="auto"/>
        </w:rPr>
        <w:t>19.4 Termination for Reasons of Insolvency or Termination of Business Activities</w:t>
      </w:r>
      <w:r>
        <w:rPr>
          <w:rFonts w:ascii="Arial" w:cs="Arial" w:eastAsia="Arial" w:hAnsi="Arial"/>
          <w:sz w:val="18"/>
          <w:szCs w:val="18"/>
          <w:color w:val="auto"/>
        </w:rPr>
        <w:t>. Either Party shall be entitled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if the other Party becomes insolvent or is the subject of a petition in bankruptcy whether voluntary or involuntary or of any other proceeding under bankruptcy, insolvency or similar laws, makes an assignment for the benefit of creditors, is named in such a petition, or its property is subject to a suit for the appointment of a receiver, or is dissolved or liquidated. Such termination right may be exercised without the need for advance written notice, which will be provided no later than [***] following such termination.</w:t>
      </w:r>
    </w:p>
    <w:p>
      <w:pPr>
        <w:spacing w:after="0" w:line="15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b w:val="1"/>
          <w:bCs w:val="1"/>
          <w:color w:val="auto"/>
        </w:rPr>
        <w:t>19.5 Termination for Payment Default by a Party</w:t>
      </w:r>
      <w:r>
        <w:rPr>
          <w:rFonts w:ascii="Arial" w:cs="Arial" w:eastAsia="Arial" w:hAnsi="Arial"/>
          <w:sz w:val="18"/>
          <w:szCs w:val="18"/>
          <w:color w:val="auto"/>
        </w:rPr>
        <w:t>. If any undisputed payment under this Agreement including Article 7 is</w:t>
      </w:r>
      <w:r>
        <w:rPr>
          <w:rFonts w:ascii="Arial" w:cs="Arial" w:eastAsia="Arial" w:hAnsi="Arial"/>
          <w:sz w:val="18"/>
          <w:szCs w:val="18"/>
          <w:b w:val="1"/>
          <w:bCs w:val="1"/>
          <w:color w:val="auto"/>
        </w:rPr>
        <w:t xml:space="preserve"> </w:t>
      </w:r>
      <w:r>
        <w:rPr>
          <w:rFonts w:ascii="Arial" w:cs="Arial" w:eastAsia="Arial" w:hAnsi="Arial"/>
          <w:sz w:val="18"/>
          <w:szCs w:val="18"/>
          <w:color w:val="auto"/>
        </w:rPr>
        <w:t>overdue, then the non-paying Party owing such payment is in default, which default shall be deemed a material breach under this Agreement, and the other Party will have the right to immediately terminate by written notice to the non-paying Party the applicable Product Schedule or the entire Agreement if the non-paying Party has not remedied the material breach within [***] of notice from the other Party.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EFFECTS OF TERMINATION</w:t>
      </w:r>
    </w:p>
    <w:p>
      <w:pPr>
        <w:spacing w:after="0" w:line="243"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9"/>
          <w:szCs w:val="19"/>
          <w:b w:val="1"/>
          <w:bCs w:val="1"/>
          <w:color w:val="auto"/>
        </w:rPr>
        <w:t>20.1 Termination Due to WuXi Biologics Breach or Insolvency</w:t>
      </w:r>
      <w:r>
        <w:rPr>
          <w:rFonts w:ascii="Arial" w:cs="Arial" w:eastAsia="Arial" w:hAnsi="Arial"/>
          <w:sz w:val="19"/>
          <w:szCs w:val="19"/>
          <w:color w:val="auto"/>
        </w:rPr>
        <w:t>. Upon termination of this Agreement by Client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19.2 or Section 19.4, Client shall, by written notice to WuXi Biologics: (a) request WuXi Biologics to execute outstanding Purchase Orders, and provided that the Products delivered to Client comply with the terms of this Agreement, Client shall pay WuXi Biologics in accordance with the terms of this Agreement, or (b) cancel outstanding Purchase Orders without any liability to Client. WuXi Biologics shall promptly provide Client or any Third Parties designated by Client with all Materials paid for by Client, and, if it can be achieved in compliance with cGMP and all Applicable Laws, any work in progress paid for by Client.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8" w:name="page149"/>
    <w:bookmarkEnd w:id="148"/>
    <w:p>
      <w:pPr>
        <w:jc w:val="both"/>
        <w:ind w:firstLine="749"/>
        <w:spacing w:after="0" w:line="308" w:lineRule="auto"/>
        <w:rPr>
          <w:sz w:val="20"/>
          <w:szCs w:val="20"/>
          <w:color w:val="auto"/>
        </w:rPr>
      </w:pPr>
      <w:r>
        <w:rPr>
          <w:rFonts w:ascii="Arial" w:cs="Arial" w:eastAsia="Arial" w:hAnsi="Arial"/>
          <w:sz w:val="18"/>
          <w:szCs w:val="18"/>
          <w:b w:val="1"/>
          <w:bCs w:val="1"/>
          <w:color w:val="auto"/>
        </w:rPr>
        <w:t>20.2 Ongoing Supply Obligations</w:t>
      </w:r>
      <w:r>
        <w:rPr>
          <w:rFonts w:ascii="Arial" w:cs="Arial" w:eastAsia="Arial" w:hAnsi="Arial"/>
          <w:sz w:val="18"/>
          <w:szCs w:val="18"/>
          <w:color w:val="auto"/>
        </w:rPr>
        <w:t>. In the event of expiration or termination of this Agreement pursuant to Article 19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if this Agreement is terminated by WuXi Biologics pursuant to Section 19.2 or Section 19.4, WuXi Biologics shall continue to supply Client with the Products subject to an accepted Purchase Order after the expiration date or termination date of this Agreement, if Client has not identified and fully registered with the competent Regulatory Authorities a new supplier of the Products. Such obligation of WuXi Biologics shall continue until the earlier of (a) successful completion of the technical transfer pursuant to Section 20.5, and (b) notification by Client to WuXi Biologics that it has identified and duly registered with the competent Regulatory Authorities a new supplier of the Products.</w:t>
      </w:r>
    </w:p>
    <w:p>
      <w:pPr>
        <w:spacing w:after="0" w:line="16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0"/>
          <w:szCs w:val="20"/>
          <w:b w:val="1"/>
          <w:bCs w:val="1"/>
          <w:color w:val="auto"/>
        </w:rPr>
        <w:t>20.3 Accrued Rights and Surviving Obligations</w:t>
      </w:r>
      <w:r>
        <w:rPr>
          <w:rFonts w:ascii="Arial" w:cs="Arial" w:eastAsia="Arial" w:hAnsi="Arial"/>
          <w:sz w:val="20"/>
          <w:szCs w:val="20"/>
          <w:color w:val="auto"/>
        </w:rPr>
        <w:t>. Termination or expiration of this Agreement for any reason shall be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prejudice to any rights that shall have accrued to the benefit of any Party prior to such termination or expiration. Such termination or expiration shall not relieve any Party from obligations which are expressly or by implication intended to survive termination or expiration of this Agreement and shall not affect or prejudice any provision of this Agreement which is expressly or by implication provided to come into effect on, or continue in effect after, such termination or expiration. For the avoidance of doubt, the following Sections and Articles shall survive any termination or expiration of this Agreement: 1 (to the extent needed for interpretation of other surviving provisions), 3, 6.2, 6.3, 9, 13.8, 14, 15, 16, 17, 18, 20, 22, and 23.</w:t>
      </w:r>
    </w:p>
    <w:p>
      <w:pPr>
        <w:spacing w:after="0" w:line="18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20.4 Regulatory Assistance</w:t>
      </w:r>
      <w:r>
        <w:rPr>
          <w:rFonts w:ascii="Arial" w:cs="Arial" w:eastAsia="Arial" w:hAnsi="Arial"/>
          <w:sz w:val="20"/>
          <w:szCs w:val="20"/>
          <w:color w:val="auto"/>
        </w:rPr>
        <w:t>. Except in the event that WuXi Biologics terminates this Agreement under Section 19.2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for Breach) or 19.4 (Termination for Reasons of Insolvency or Termination of Business Activities), after expiration or termination of this Agreement, WuXi Biologics agrees to provide Client with reasonable support in relation to any investigation required by any Regulatory Authority with respect to Manufacture of the Products carried out at the Manufacturing Site during the Term, provided that Client shall reimburse WuXi Biologics for its reasonable costs in providing such assistance.</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0"/>
          <w:szCs w:val="20"/>
          <w:b w:val="1"/>
          <w:bCs w:val="1"/>
          <w:color w:val="auto"/>
        </w:rPr>
        <w:t>20.5 Technical Transfer Assistance</w:t>
      </w:r>
      <w:r>
        <w:rPr>
          <w:rFonts w:ascii="Arial" w:cs="Arial" w:eastAsia="Arial" w:hAnsi="Arial"/>
          <w:sz w:val="20"/>
          <w:szCs w:val="20"/>
          <w:color w:val="auto"/>
        </w:rPr>
        <w:t>. During the Term of this Agreement and for a period of [***] following expiration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Agreement upon termination by Client under Section 19.2 or Section 19.4, WuXi Biologics will provide, upon the request of Client, its full support and cooperation in transferring the then-current Manufacturing process to an alternative site, designated by Client. WuXi Biologics shall be entitled to charge Client for its reasonable personnel and out-of-pocket costs in supporting the technical transfer of the Products, at its then-current charge-out rates for similar activities based on a written and accepted quotation. Additionally, in connection with the technical transfer assistance provided pursuant to this Section 20.5, WuXi Biologics shall, upon receiving corresponding payment and licenses, grant to Client and its Affiliates and designees a perpetual, fully-paid, non-exclusive license under any WuXi Biologics Background IP and WuXi Biologics Arising IP which is reasonably necessary for the Manufacture of each Product. WuXi Biologics’ obligations to support a technical transfer shall continue until such time as Client, or its designee, successfully Manufactures [***] of each Product.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DISASTER RECOVERY AND BUSINESS CONTINUITY</w:t>
      </w:r>
    </w:p>
    <w:p>
      <w:pPr>
        <w:spacing w:after="0" w:line="243"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8"/>
          <w:szCs w:val="18"/>
          <w:b w:val="1"/>
          <w:bCs w:val="1"/>
          <w:color w:val="auto"/>
        </w:rPr>
        <w:t xml:space="preserve">21.1 Disaster Recovery and Business Continuity. </w:t>
      </w:r>
      <w:r>
        <w:rPr>
          <w:rFonts w:ascii="Arial" w:cs="Arial" w:eastAsia="Arial" w:hAnsi="Arial"/>
          <w:sz w:val="18"/>
          <w:szCs w:val="18"/>
          <w:color w:val="auto"/>
        </w:rPr>
        <w:t>WuXi Biologics shall provide Client with a true, correct and complete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WuXi Biologics’ Business Continuity Plan, at the date to be agreed in good faith between the Parties (the “</w:t>
      </w:r>
      <w:r>
        <w:rPr>
          <w:rFonts w:ascii="Arial" w:cs="Arial" w:eastAsia="Arial" w:hAnsi="Arial"/>
          <w:sz w:val="18"/>
          <w:szCs w:val="18"/>
          <w:b w:val="1"/>
          <w:bCs w:val="1"/>
          <w:color w:val="auto"/>
        </w:rPr>
        <w:t>BCP</w:t>
      </w:r>
      <w:r>
        <w:rPr>
          <w:rFonts w:ascii="Arial" w:cs="Arial" w:eastAsia="Arial" w:hAnsi="Arial"/>
          <w:sz w:val="18"/>
          <w:szCs w:val="18"/>
          <w:color w:val="auto"/>
        </w:rPr>
        <w:t>”). The BCP shall be in full force and effect on the date agreed in good faith between the Parties, and shall provide for, among other things, the high level design and processes for disaster recovery and business continuity for WuXi Biologics. The BCP shall be revised and updated by WuXi Biologics from time to time, but in no event less than every [***], and WuXi Biologics shall submit such revised and updated BCP to Client for review and written approval. The Parties shall meet periodically during business hours when reasonably requested by Client, but no more often than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jc w:val="both"/>
        <w:spacing w:after="0" w:line="278" w:lineRule="auto"/>
        <w:rPr>
          <w:sz w:val="20"/>
          <w:szCs w:val="20"/>
          <w:color w:val="auto"/>
        </w:rPr>
      </w:pPr>
      <w:r>
        <w:rPr>
          <w:rFonts w:ascii="Arial" w:cs="Arial" w:eastAsia="Arial" w:hAnsi="Arial"/>
          <w:sz w:val="20"/>
          <w:szCs w:val="20"/>
          <w:color w:val="auto"/>
        </w:rPr>
        <w:t>quarterly, to discuss and analyze the status of the BCP. WuXi Biologics shall provide a written report to Client for such discussions and analysis which shall analyze the potential effectiveness of the applicable BCP, propose necessary changes, suggest improvements, and provide an updated risk assessment for the activities to which the BCP relates.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DISPUTE RESOLUTION</w:t>
      </w:r>
    </w:p>
    <w:p>
      <w:pPr>
        <w:spacing w:after="0" w:line="24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b w:val="1"/>
          <w:bCs w:val="1"/>
          <w:color w:val="auto"/>
        </w:rPr>
        <w:t>22.1 Disputes</w:t>
      </w:r>
      <w:r>
        <w:rPr>
          <w:rFonts w:ascii="Arial" w:cs="Arial" w:eastAsia="Arial" w:hAnsi="Arial"/>
          <w:sz w:val="19"/>
          <w:szCs w:val="19"/>
          <w:color w:val="auto"/>
        </w:rPr>
        <w:t>. The Parties recognize that disputes as to certain matters may from time to time arise which relate to either Party’s</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and/or obligations hereunder. It is the objective of the Parties to establish under this Article 22 procedures to facilitate the resolution of disputes arising under this Agreement (other than any disputes relating to matters which under this Agreement Client has sole decision-making authority and/or discretion regarding (each, a “</w:t>
      </w:r>
      <w:r>
        <w:rPr>
          <w:rFonts w:ascii="Arial" w:cs="Arial" w:eastAsia="Arial" w:hAnsi="Arial"/>
          <w:sz w:val="19"/>
          <w:szCs w:val="19"/>
          <w:b w:val="1"/>
          <w:bCs w:val="1"/>
          <w:color w:val="auto"/>
        </w:rPr>
        <w:t>Non-Escalable Dispute</w:t>
      </w:r>
      <w:r>
        <w:rPr>
          <w:rFonts w:ascii="Arial" w:cs="Arial" w:eastAsia="Arial" w:hAnsi="Arial"/>
          <w:sz w:val="19"/>
          <w:szCs w:val="19"/>
          <w:color w:val="auto"/>
        </w:rPr>
        <w:t>”), in which case, such matter shall be determined by Client and shall not be part of the dispute resolution procedure set forth in this Article 22 in an expedient manner by mutual cooperation and without resort to litigation. In the event that the Parties are unable to resolve such dispute through diligent review and deliberation within [***] from the day that one Party had designated the issue as a dispute in written notice to the other Party, then either Party shall have the right to escalate such matter to the Executive Officers as set forth in Section 22.2.</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b w:val="1"/>
          <w:bCs w:val="1"/>
          <w:color w:val="auto"/>
        </w:rPr>
        <w:t>22.2 Escalation to Executive Officers</w:t>
      </w:r>
      <w:r>
        <w:rPr>
          <w:rFonts w:ascii="Arial" w:cs="Arial" w:eastAsia="Arial" w:hAnsi="Arial"/>
          <w:sz w:val="20"/>
          <w:szCs w:val="20"/>
          <w:color w:val="auto"/>
        </w:rPr>
        <w:t>. Either Party may, by written notice to the other Party, request that a dispute (other than a</w:t>
      </w:r>
      <w:r>
        <w:rPr>
          <w:rFonts w:ascii="Arial" w:cs="Arial" w:eastAsia="Arial" w:hAnsi="Arial"/>
          <w:sz w:val="20"/>
          <w:szCs w:val="20"/>
          <w:b w:val="1"/>
          <w:bCs w:val="1"/>
          <w:color w:val="auto"/>
        </w:rPr>
        <w:t xml:space="preserve"> </w:t>
      </w:r>
      <w:r>
        <w:rPr>
          <w:rFonts w:ascii="Arial" w:cs="Arial" w:eastAsia="Arial" w:hAnsi="Arial"/>
          <w:sz w:val="20"/>
          <w:szCs w:val="20"/>
          <w:color w:val="auto"/>
        </w:rPr>
        <w:t>Non-Escalable Dispute) that remains unresolved for a period of [***] as set forth in Section 22.1 arising between the Parties in connection with this Agreement be resolved by the Executive Officers, within [***] after referral of such dispute to them. If the Executive Officers cannot resolve such dispute within [***] after referral of such dispute to them, then, at any time after such [***] period, either Party may proceed to enforce any and all of its rights with respect to such dispute in accordance with the governing law and jurisdiction set out in Section 23.8.</w:t>
      </w:r>
    </w:p>
    <w:p>
      <w:pPr>
        <w:spacing w:after="0" w:line="18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22.3 Injunctive Relief</w:t>
      </w:r>
      <w:r>
        <w:rPr>
          <w:rFonts w:ascii="Arial" w:cs="Arial" w:eastAsia="Arial" w:hAnsi="Arial"/>
          <w:sz w:val="20"/>
          <w:szCs w:val="20"/>
          <w:color w:val="auto"/>
        </w:rPr>
        <w:t>. No provision herein shall be construed as precluding a Party from bringing an action for injunctive relief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equitable relief prior to the initiation or completion of the procedures set out in Section 22.1 and Section 22.2 above regarding the obligations as to Confidential Information under Article 15.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 PROVISIONS</w:t>
      </w:r>
    </w:p>
    <w:p>
      <w:pPr>
        <w:spacing w:after="0" w:line="24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23.1 Relationship of the Parties</w:t>
      </w:r>
      <w:r>
        <w:rPr>
          <w:rFonts w:ascii="Arial" w:cs="Arial" w:eastAsia="Arial" w:hAnsi="Arial"/>
          <w:sz w:val="20"/>
          <w:szCs w:val="20"/>
          <w:color w:val="auto"/>
        </w:rPr>
        <w:t>. Nothing in this Agreement is intended or shall be deemed, for financial, tax, legal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to constitute a partnership, agency, joint venture or employer-employee relationship between the Parties.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23.2 Assignmen</w:t>
      </w:r>
      <w:r>
        <w:rPr>
          <w:rFonts w:ascii="Arial" w:cs="Arial" w:eastAsia="Arial" w:hAnsi="Arial"/>
          <w:sz w:val="20"/>
          <w:szCs w:val="20"/>
          <w:color w:val="auto"/>
        </w:rPr>
        <w:t>t.</w:t>
      </w:r>
    </w:p>
    <w:p>
      <w:pPr>
        <w:spacing w:after="0" w:line="243" w:lineRule="exact"/>
        <w:rPr>
          <w:sz w:val="20"/>
          <w:szCs w:val="20"/>
          <w:color w:val="auto"/>
        </w:rPr>
      </w:pPr>
    </w:p>
    <w:p>
      <w:pPr>
        <w:jc w:val="both"/>
        <w:ind w:firstLine="800"/>
        <w:spacing w:after="0" w:line="295" w:lineRule="auto"/>
        <w:tabs>
          <w:tab w:leader="none" w:pos="1397"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Assignment by WuXi Biologics</w:t>
      </w:r>
      <w:r>
        <w:rPr>
          <w:rFonts w:ascii="Arial" w:cs="Arial" w:eastAsia="Arial" w:hAnsi="Arial"/>
          <w:sz w:val="19"/>
          <w:szCs w:val="19"/>
          <w:color w:val="auto"/>
        </w:rPr>
        <w:t>. Except as expressly provided herein, neither this Agreement nor any interest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assignable, nor any other obligation delegable, by WuXi Biologics without the prior written consent of Client (not to be unreasonably withheld or delayed), except to one of WuXi Biologics’ wholly-owned Affiliates, or upon the sale or other transfer to a Third Party of all or substantially all of WuXi Biologics’ assets related to the Services to be provided under this Agreement.</w:t>
      </w:r>
    </w:p>
    <w:p>
      <w:pPr>
        <w:spacing w:after="0" w:line="167" w:lineRule="exact"/>
        <w:rPr>
          <w:rFonts w:ascii="Arial" w:cs="Arial" w:eastAsia="Arial" w:hAnsi="Arial"/>
          <w:sz w:val="19"/>
          <w:szCs w:val="19"/>
          <w:color w:val="auto"/>
        </w:rPr>
      </w:pPr>
    </w:p>
    <w:p>
      <w:pPr>
        <w:ind w:right="20" w:firstLine="1678"/>
        <w:spacing w:after="0" w:line="354" w:lineRule="auto"/>
        <w:tabs>
          <w:tab w:leader="none" w:pos="2793"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Assignment by Client</w:t>
      </w:r>
      <w:r>
        <w:rPr>
          <w:rFonts w:ascii="Arial" w:cs="Arial" w:eastAsia="Arial" w:hAnsi="Arial"/>
          <w:sz w:val="18"/>
          <w:szCs w:val="18"/>
          <w:color w:val="auto"/>
        </w:rPr>
        <w:t>. Client may assign this Agreement, in whole or in part, to any Affiliate or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without the consent of WuXi Biologics. Client shall give written notice to WuXi Biologics promptly following any such assignment.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0" w:name="page151"/>
    <w:bookmarkEnd w:id="150"/>
    <w:p>
      <w:pPr>
        <w:jc w:val="both"/>
        <w:ind w:firstLine="1678"/>
        <w:spacing w:after="0" w:line="326" w:lineRule="auto"/>
        <w:tabs>
          <w:tab w:leader="none" w:pos="279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Continuing Obligations</w:t>
      </w:r>
      <w:r>
        <w:rPr>
          <w:rFonts w:ascii="Arial" w:cs="Arial" w:eastAsia="Arial" w:hAnsi="Arial"/>
          <w:sz w:val="18"/>
          <w:szCs w:val="18"/>
          <w:color w:val="auto"/>
        </w:rPr>
        <w:t>. No assignment under this Section 23.2 shall relieve the assigning Party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responsibilities or obligations hereunder and, as a condition of such assignment, the assignee shall agree in writing to be bound by all obligations of the assigning Party hereunder. This Agreement shall be binding upon the successors and permitted assigns of the Parties.</w:t>
      </w:r>
    </w:p>
    <w:p>
      <w:pPr>
        <w:spacing w:after="0" w:line="142" w:lineRule="exact"/>
        <w:rPr>
          <w:rFonts w:ascii="Arial" w:cs="Arial" w:eastAsia="Arial" w:hAnsi="Arial"/>
          <w:sz w:val="18"/>
          <w:szCs w:val="18"/>
          <w:color w:val="auto"/>
        </w:rPr>
      </w:pPr>
    </w:p>
    <w:p>
      <w:pPr>
        <w:ind w:left="2800" w:hanging="1122"/>
        <w:spacing w:after="0"/>
        <w:tabs>
          <w:tab w:leader="none" w:pos="2800"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Void Assignments</w:t>
      </w:r>
      <w:r>
        <w:rPr>
          <w:rFonts w:ascii="Arial" w:cs="Arial" w:eastAsia="Arial" w:hAnsi="Arial"/>
          <w:sz w:val="20"/>
          <w:szCs w:val="20"/>
          <w:color w:val="auto"/>
        </w:rPr>
        <w:t>. Any assignment not in accordance with this Section 23.2 shall be void.</w:t>
      </w:r>
    </w:p>
    <w:p>
      <w:pPr>
        <w:spacing w:after="0" w:line="24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23.3 Performance and Exercise by Affiliates</w:t>
      </w:r>
      <w:r>
        <w:rPr>
          <w:rFonts w:ascii="Arial" w:cs="Arial" w:eastAsia="Arial" w:hAnsi="Arial"/>
          <w:sz w:val="20"/>
          <w:szCs w:val="20"/>
          <w:color w:val="auto"/>
        </w:rPr>
        <w:t>. Client shall have the right to have any of its obligations hereunder performed, or its</w:t>
      </w:r>
      <w:r>
        <w:rPr>
          <w:rFonts w:ascii="Arial" w:cs="Arial" w:eastAsia="Arial" w:hAnsi="Arial"/>
          <w:sz w:val="20"/>
          <w:szCs w:val="20"/>
          <w:b w:val="1"/>
          <w:bCs w:val="1"/>
          <w:color w:val="auto"/>
        </w:rPr>
        <w:t xml:space="preserve"> </w:t>
      </w:r>
      <w:r>
        <w:rPr>
          <w:rFonts w:ascii="Arial" w:cs="Arial" w:eastAsia="Arial" w:hAnsi="Arial"/>
          <w:sz w:val="20"/>
          <w:szCs w:val="20"/>
          <w:color w:val="auto"/>
        </w:rPr>
        <w:t>rights hereunder exercised, by, any of its Affiliates and the performance of such obligations by any such Affiliate(s) shall be deemed to be performance by Client; provided, however, that Client shall be responsible for ensuring the performance of its obligations under this Agreement and that any failure of any Affiliate performing obligations of Client hereunder shall be deemed to be a failure by Client to perform such obligations.</w:t>
      </w:r>
    </w:p>
    <w:p>
      <w:pPr>
        <w:spacing w:after="0" w:line="186"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8"/>
          <w:szCs w:val="18"/>
          <w:b w:val="1"/>
          <w:bCs w:val="1"/>
          <w:color w:val="auto"/>
        </w:rPr>
        <w:t>23.4 Occurrence of Force Majeure Event</w:t>
      </w:r>
      <w:r>
        <w:rPr>
          <w:rFonts w:ascii="Arial" w:cs="Arial" w:eastAsia="Arial" w:hAnsi="Arial"/>
          <w:sz w:val="18"/>
          <w:szCs w:val="18"/>
          <w:color w:val="auto"/>
        </w:rPr>
        <w:t>. If any Force Majeure Event occurs in relation to either Party which affects or may</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performance of any of its material obligations (other than the payment of money) under this Agreement, it shall use all Commercially Reasonable Efforts to mitigate the effects of such delay or prevention upon the performance of its obligations under this Agreement, promptly notify the other Party as to the nature and extent of such Force Majeure Event, and resume performance of its obligations as soon as reasonably possible after the removal of the cause of the delay or prevention. Neither Party shall be deemed to be in breach of this Agreement, or shall be otherwise liable to the other Party, by reason only of any delay in performance, or the non-performance of any of its obligations hereunder, to the extent that the delay or non-performance is due to any Force Majeure Event of which it has duly notified the other Party, and the time for performance of that obligation shall be extended accordingly. Without limiting Client’s right to terminate this Agreement pursuant to Section 19.3, if the performance by either Party of any of its obligations under this Agreement is prevented or delayed by a Force Majeure Event for a continuous period in excess of [***], the Parties shall enter into bona fide discussions with a view to alleviating its effects, or to agreeing upon such alternative arrangements as may be fair and reasonable in the circumstances.</w:t>
      </w:r>
    </w:p>
    <w:p>
      <w:pPr>
        <w:spacing w:after="0" w:line="16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23.5 No Trademark Rights</w:t>
      </w:r>
      <w:r>
        <w:rPr>
          <w:rFonts w:ascii="Arial" w:cs="Arial" w:eastAsia="Arial" w:hAnsi="Arial"/>
          <w:sz w:val="20"/>
          <w:szCs w:val="20"/>
          <w:color w:val="auto"/>
        </w:rPr>
        <w:t>. No right, express or implied, is granted by this Agreement to a Party to use in any manner the name</w:t>
      </w:r>
      <w:r>
        <w:rPr>
          <w:rFonts w:ascii="Arial" w:cs="Arial" w:eastAsia="Arial" w:hAnsi="Arial"/>
          <w:sz w:val="20"/>
          <w:szCs w:val="20"/>
          <w:b w:val="1"/>
          <w:bCs w:val="1"/>
          <w:color w:val="auto"/>
        </w:rPr>
        <w:t xml:space="preserve"> </w:t>
      </w:r>
      <w:r>
        <w:rPr>
          <w:rFonts w:ascii="Arial" w:cs="Arial" w:eastAsia="Arial" w:hAnsi="Arial"/>
          <w:sz w:val="20"/>
          <w:szCs w:val="20"/>
          <w:color w:val="auto"/>
        </w:rPr>
        <w:t>or any other trade name or trademark of the other Party in connection with the performance of this Agreement or otherwise, unless otherwise expressly provided in writing between the Parties.</w:t>
      </w:r>
    </w:p>
    <w:p>
      <w:pPr>
        <w:spacing w:after="0" w:line="17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23.6 Entire Agreement of the Parties; Amendments</w:t>
      </w:r>
      <w:r>
        <w:rPr>
          <w:rFonts w:ascii="Arial" w:cs="Arial" w:eastAsia="Arial" w:hAnsi="Arial"/>
          <w:sz w:val="20"/>
          <w:szCs w:val="20"/>
          <w:color w:val="auto"/>
        </w:rPr>
        <w:t>. This Agreement and the Schedules hereto constitute and contain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86"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20"/>
          <w:szCs w:val="20"/>
          <w:b w:val="1"/>
          <w:bCs w:val="1"/>
          <w:color w:val="auto"/>
        </w:rPr>
        <w:t>23.7 Captions</w:t>
      </w:r>
      <w:r>
        <w:rPr>
          <w:rFonts w:ascii="Arial" w:cs="Arial" w:eastAsia="Arial" w:hAnsi="Arial"/>
          <w:sz w:val="20"/>
          <w:szCs w:val="20"/>
          <w:color w:val="auto"/>
        </w:rPr>
        <w:t>. The captions to this Agreement are for convenience only, and are to be of no force or effect in construing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interpreting any of the provisions of this Agreement.</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9"/>
          <w:szCs w:val="19"/>
          <w:b w:val="1"/>
          <w:bCs w:val="1"/>
          <w:color w:val="auto"/>
        </w:rPr>
        <w:t>23.8 Governing Law and Jurisdiction</w:t>
      </w:r>
      <w:r>
        <w:rPr>
          <w:rFonts w:ascii="Arial" w:cs="Arial" w:eastAsia="Arial" w:hAnsi="Arial"/>
          <w:sz w:val="19"/>
          <w:szCs w:val="19"/>
          <w:color w:val="auto"/>
        </w:rPr>
        <w:t>. This Agreement shall be governed by and interpreted in accordance with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New York, USA, without giving effect to principles of conflict of laws, govern all matters relating to this Agreement and the enforcement and interpretation thereof. The United Nations Convention on Contracts for the International Sale of Goods will not apply to this Agreement. This provision shall operate without prejudice to either Party’s ability to seek injunctive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1" w:name="page152"/>
    <w:bookmarkEnd w:id="151"/>
    <w:p>
      <w:pPr>
        <w:jc w:val="both"/>
        <w:spacing w:after="0" w:line="302" w:lineRule="auto"/>
        <w:rPr>
          <w:sz w:val="20"/>
          <w:szCs w:val="20"/>
          <w:color w:val="auto"/>
        </w:rPr>
      </w:pPr>
      <w:r>
        <w:rPr>
          <w:rFonts w:ascii="Arial" w:cs="Arial" w:eastAsia="Arial" w:hAnsi="Arial"/>
          <w:sz w:val="18"/>
          <w:szCs w:val="18"/>
          <w:color w:val="auto"/>
        </w:rPr>
        <w:t>other interlocutory relief in any United States court accepting jurisdiction in order to protect and enforce its Intellectual Property rights. Subject to the prior requirements of Article 22, the Parties agree to resolve all their disputes arising out of or in connection with this Agreement by arbitration administered in accordance with the procedural rules of the International Court of Arbitration of the International Chamber of Commerce (the “</w:t>
      </w:r>
      <w:r>
        <w:rPr>
          <w:rFonts w:ascii="Arial" w:cs="Arial" w:eastAsia="Arial" w:hAnsi="Arial"/>
          <w:sz w:val="18"/>
          <w:szCs w:val="18"/>
          <w:u w:val="single" w:color="auto"/>
          <w:color w:val="auto"/>
        </w:rPr>
        <w:t>ICC</w:t>
      </w:r>
      <w:r>
        <w:rPr>
          <w:rFonts w:ascii="Arial" w:cs="Arial" w:eastAsia="Arial" w:hAnsi="Arial"/>
          <w:sz w:val="18"/>
          <w:szCs w:val="18"/>
          <w:color w:val="auto"/>
        </w:rPr>
        <w:t>”) in effect at the time of submission. The arbitration will be governed by the laws of the State of New York, USA. The place of arbitration will be New York. The official language of the arbitration will be English. The tribunal will consist of one arbitrator having at least ten years of experience in manufacturing in the biopharmaceutical industry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including all Purchase Orders then in effect.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6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 xml:space="preserve">23.9 Notice. </w:t>
      </w:r>
      <w:r>
        <w:rPr>
          <w:rFonts w:ascii="Arial" w:cs="Arial" w:eastAsia="Arial" w:hAnsi="Arial"/>
          <w:sz w:val="20"/>
          <w:szCs w:val="20"/>
          <w:color w:val="auto"/>
        </w:rPr>
        <w:t>Any notice to be given by either Party under or in connection with this Agreement to the other Party must be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in English and shall be: (a) delivered by hand or by courier; (b) sent by pre-paid recorded (</w:t>
      </w:r>
      <w:r>
        <w:rPr>
          <w:rFonts w:ascii="Arial" w:cs="Arial" w:eastAsia="Arial" w:hAnsi="Arial"/>
          <w:sz w:val="20"/>
          <w:szCs w:val="20"/>
          <w:i w:val="1"/>
          <w:iCs w:val="1"/>
          <w:color w:val="auto"/>
        </w:rPr>
        <w:t>i.e.</w:t>
      </w:r>
      <w:r>
        <w:rPr>
          <w:rFonts w:ascii="Arial" w:cs="Arial" w:eastAsia="Arial" w:hAnsi="Arial"/>
          <w:sz w:val="20"/>
          <w:szCs w:val="20"/>
          <w:color w:val="auto"/>
        </w:rPr>
        <w:t xml:space="preserve"> signed for) post or airmail or express overnight courier; or (c) sent by fax, to the addresses set out below (or such other address or number as may be notified to the other Party from time to time):</w:t>
      </w:r>
    </w:p>
    <w:p>
      <w:pPr>
        <w:spacing w:after="0" w:line="190"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WuXi Biologics: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p>
    <w:p>
      <w:pPr>
        <w:spacing w:after="0" w:line="283"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Client:</w:t>
      </w:r>
    </w:p>
    <w:p>
      <w:pPr>
        <w:spacing w:after="0" w:line="283"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Unless there is evidence that it was received earlier, notices sent in accordance with this Section 23.9 are to be deemed to have been received: if delivered by hand or by courier, when left at the address referred to above; if sent by post to an address within the country of postage, [***] after posting it; if sent by airmail or overnight express courier to an address outside the country of postage, [***] after posting it; or if sent by fax, when transmitted, provided that if deemed receipt occurs before 9am on a Working Day the notice shall be deemed to have been received at 9am on that day, and if deemed receipt occurs after 5pm on a Working Day, or on a day which is not a Working Day, the notice shall be deemed to have been received at 9am on the next Working Day.</w:t>
      </w:r>
    </w:p>
    <w:p>
      <w:pPr>
        <w:spacing w:after="0" w:line="17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b w:val="1"/>
          <w:bCs w:val="1"/>
          <w:color w:val="auto"/>
        </w:rPr>
        <w:t>23.10 Waiver</w:t>
      </w:r>
      <w:r>
        <w:rPr>
          <w:rFonts w:ascii="Arial" w:cs="Arial" w:eastAsia="Arial" w:hAnsi="Arial"/>
          <w:sz w:val="20"/>
          <w:szCs w:val="20"/>
          <w:color w:val="auto"/>
        </w:rPr>
        <w:t>. A waiver by either Party of any of the terms and conditions of this Agreement in any instance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8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0"/>
          <w:szCs w:val="20"/>
          <w:b w:val="1"/>
          <w:bCs w:val="1"/>
          <w:color w:val="auto"/>
        </w:rPr>
        <w:t>23.11 Severability</w:t>
      </w:r>
      <w:r>
        <w:rPr>
          <w:rFonts w:ascii="Arial" w:cs="Arial" w:eastAsia="Arial" w:hAnsi="Arial"/>
          <w:sz w:val="20"/>
          <w:szCs w:val="20"/>
          <w:color w:val="auto"/>
        </w:rPr>
        <w:t>. When possible, each provision of this Agreement will be interpreted in such manner as to be effective and valid</w:t>
      </w:r>
      <w:r>
        <w:rPr>
          <w:rFonts w:ascii="Arial" w:cs="Arial" w:eastAsia="Arial" w:hAnsi="Arial"/>
          <w:sz w:val="20"/>
          <w:szCs w:val="20"/>
          <w:b w:val="1"/>
          <w:bCs w:val="1"/>
          <w:color w:val="auto"/>
        </w:rPr>
        <w:t xml:space="preserve"> </w:t>
      </w:r>
      <w:r>
        <w:rPr>
          <w:rFonts w:ascii="Arial" w:cs="Arial" w:eastAsia="Arial" w:hAnsi="Arial"/>
          <w:sz w:val="20"/>
          <w:szCs w:val="20"/>
          <w:color w:val="auto"/>
        </w:rPr>
        <w:t>under Applicable Law, but if any provision of this Agreement is held to be prohibited by or invalid under Applicable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2" w:name="page153"/>
    <w:bookmarkEnd w:id="152"/>
    <w:p>
      <w:pPr>
        <w:jc w:val="both"/>
        <w:ind w:firstLine="749"/>
        <w:spacing w:after="0" w:line="281" w:lineRule="auto"/>
        <w:rPr>
          <w:sz w:val="20"/>
          <w:szCs w:val="20"/>
          <w:color w:val="auto"/>
        </w:rPr>
      </w:pPr>
      <w:r>
        <w:rPr>
          <w:rFonts w:ascii="Arial" w:cs="Arial" w:eastAsia="Arial" w:hAnsi="Arial"/>
          <w:sz w:val="20"/>
          <w:szCs w:val="20"/>
          <w:b w:val="1"/>
          <w:bCs w:val="1"/>
          <w:color w:val="auto"/>
        </w:rPr>
        <w:t>23.12 No Implied License</w:t>
      </w:r>
      <w:r>
        <w:rPr>
          <w:rFonts w:ascii="Arial" w:cs="Arial" w:eastAsia="Arial" w:hAnsi="Arial"/>
          <w:sz w:val="20"/>
          <w:szCs w:val="20"/>
          <w:color w:val="auto"/>
        </w:rPr>
        <w:t>. Except as set forth in Section 3.3 no right or license is granted to WuXi Biologics or Client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by implication, estoppel, or otherwise to any know-how, patent or other Intellectual Property right owned or controlled by Client or its Affiliates, or by WuXi Biologics or its Affiliates, respectively.</w:t>
      </w:r>
    </w:p>
    <w:p>
      <w:pPr>
        <w:spacing w:after="0" w:line="178"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8"/>
          <w:szCs w:val="18"/>
          <w:b w:val="1"/>
          <w:bCs w:val="1"/>
          <w:color w:val="auto"/>
        </w:rPr>
        <w:t>23.13 Interpretation; Independent Counsel</w:t>
      </w:r>
      <w:r>
        <w:rPr>
          <w:rFonts w:ascii="Arial" w:cs="Arial" w:eastAsia="Arial" w:hAnsi="Arial"/>
          <w:sz w:val="18"/>
          <w:szCs w:val="18"/>
          <w:color w:val="auto"/>
        </w:rPr>
        <w:t>. The words “include,” “includes” and “including” shall be deemed to be followed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phrase “without limitation.” All references herein to Articles, Sections, and Schedules shall be deemed references to Articles and Sections of, and Schedules to, this Agreement unless the context shall otherwise require. Unless the context otherwise requires, countries shall include territories. Each Party has had the opportunity to consult independent counsel, and as such, this Agreement will not be construed to have been drafted by one Party or the other but will be construed as having been jointly drafted when interpreting its provisions.</w:t>
      </w:r>
    </w:p>
    <w:p>
      <w:pPr>
        <w:spacing w:after="0" w:line="157"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0"/>
          <w:szCs w:val="20"/>
          <w:b w:val="1"/>
          <w:bCs w:val="1"/>
          <w:color w:val="auto"/>
        </w:rPr>
        <w:t>23.14 Counterparts</w:t>
      </w:r>
      <w:r>
        <w:rPr>
          <w:rFonts w:ascii="Arial" w:cs="Arial" w:eastAsia="Arial" w:hAnsi="Arial"/>
          <w:sz w:val="20"/>
          <w:szCs w:val="20"/>
          <w:color w:val="auto"/>
        </w:rPr>
        <w:t>. This Agreement may be executed in counterparts, each of which will be deemed an original, and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will be deemed to be one and the same instrument. A facsimile or a portable document format (PDF) copy of this Agreement, including the signature pages, will be deemed an original.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ind w:firstLine="749"/>
        <w:spacing w:after="0" w:line="288" w:lineRule="auto"/>
        <w:rPr>
          <w:sz w:val="20"/>
          <w:szCs w:val="20"/>
          <w:color w:val="auto"/>
        </w:rPr>
      </w:pPr>
      <w:r>
        <w:rPr>
          <w:rFonts w:ascii="Arial" w:cs="Arial" w:eastAsia="Arial" w:hAnsi="Arial"/>
          <w:sz w:val="20"/>
          <w:szCs w:val="20"/>
          <w:color w:val="auto"/>
        </w:rPr>
        <w:t>IN WITNESS WHEREOF, the Parties have caused this Agreement to be executed, by duly authorized representatives, as of the Effective Date.</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4520" w:type="dxa"/>
            <w:vAlign w:val="bottom"/>
          </w:tcPr>
          <w:p>
            <w:pPr>
              <w:spacing w:after="0"/>
              <w:rPr>
                <w:sz w:val="20"/>
                <w:szCs w:val="20"/>
                <w:color w:val="auto"/>
              </w:rPr>
            </w:pPr>
            <w:r>
              <w:rPr>
                <w:rFonts w:ascii="Arial" w:cs="Arial" w:eastAsia="Arial" w:hAnsi="Arial"/>
                <w:sz w:val="22"/>
                <w:szCs w:val="22"/>
                <w:color w:val="auto"/>
              </w:rPr>
              <w:t>Adagio Therapeutics, Inc.</w:t>
            </w:r>
          </w:p>
        </w:tc>
        <w:tc>
          <w:tcPr>
            <w:tcW w:w="4500" w:type="dxa"/>
            <w:vAlign w:val="bottom"/>
          </w:tcPr>
          <w:p>
            <w:pPr>
              <w:ind w:left="1100"/>
              <w:spacing w:after="0"/>
              <w:rPr>
                <w:sz w:val="20"/>
                <w:szCs w:val="20"/>
                <w:color w:val="auto"/>
              </w:rPr>
            </w:pPr>
            <w:r>
              <w:rPr>
                <w:rFonts w:ascii="Arial" w:cs="Arial" w:eastAsia="Arial" w:hAnsi="Arial"/>
                <w:sz w:val="20"/>
                <w:szCs w:val="20"/>
                <w:color w:val="auto"/>
              </w:rPr>
              <w:t>WuXi Biologics (Hong Kong) Limited</w:t>
            </w:r>
          </w:p>
        </w:tc>
      </w:tr>
      <w:tr>
        <w:trPr>
          <w:trHeight w:val="561"/>
        </w:trPr>
        <w:tc>
          <w:tcPr>
            <w:tcW w:w="4520" w:type="dxa"/>
            <w:vAlign w:val="bottom"/>
          </w:tcPr>
          <w:p>
            <w:pPr>
              <w:spacing w:after="0"/>
              <w:rPr>
                <w:sz w:val="20"/>
                <w:szCs w:val="20"/>
                <w:color w:val="auto"/>
              </w:rPr>
            </w:pPr>
            <w:r>
              <w:rPr>
                <w:rFonts w:ascii="Arial" w:cs="Arial" w:eastAsia="Arial" w:hAnsi="Arial"/>
                <w:sz w:val="20"/>
                <w:szCs w:val="20"/>
                <w:color w:val="auto"/>
              </w:rPr>
              <w:t>By: _______________________________</w:t>
            </w:r>
          </w:p>
        </w:tc>
        <w:tc>
          <w:tcPr>
            <w:tcW w:w="4500" w:type="dxa"/>
            <w:vAlign w:val="bottom"/>
          </w:tcPr>
          <w:p>
            <w:pPr>
              <w:ind w:left="1100"/>
              <w:spacing w:after="0"/>
              <w:rPr>
                <w:sz w:val="20"/>
                <w:szCs w:val="20"/>
                <w:color w:val="auto"/>
              </w:rPr>
            </w:pPr>
            <w:r>
              <w:rPr>
                <w:rFonts w:ascii="Arial" w:cs="Arial" w:eastAsia="Arial" w:hAnsi="Arial"/>
                <w:sz w:val="20"/>
                <w:szCs w:val="20"/>
                <w:color w:val="auto"/>
                <w:w w:val="89"/>
              </w:rPr>
              <w:t>By: _______________________________</w:t>
            </w:r>
          </w:p>
        </w:tc>
      </w:tr>
      <w:tr>
        <w:trPr>
          <w:trHeight w:val="303"/>
        </w:trPr>
        <w:tc>
          <w:tcPr>
            <w:tcW w:w="4520" w:type="dxa"/>
            <w:vAlign w:val="bottom"/>
          </w:tcPr>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w:t>
            </w:r>
          </w:p>
        </w:tc>
        <w:tc>
          <w:tcPr>
            <w:tcW w:w="4500" w:type="dxa"/>
            <w:vAlign w:val="bottom"/>
          </w:tcPr>
          <w:p>
            <w:pPr>
              <w:ind w:left="11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w:t>
            </w:r>
          </w:p>
        </w:tc>
      </w:tr>
      <w:tr>
        <w:trPr>
          <w:trHeight w:val="297"/>
        </w:trPr>
        <w:tc>
          <w:tcPr>
            <w:tcW w:w="4520" w:type="dxa"/>
            <w:vAlign w:val="bottom"/>
          </w:tcPr>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w:t>
            </w:r>
          </w:p>
        </w:tc>
        <w:tc>
          <w:tcPr>
            <w:tcW w:w="4500" w:type="dxa"/>
            <w:vAlign w:val="bottom"/>
          </w:tcPr>
          <w:p>
            <w:pPr>
              <w:ind w:left="11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4" w:name="page155"/>
    <w:bookmarkEnd w:id="154"/>
    <w:p>
      <w:pPr>
        <w:jc w:val="right"/>
        <w:ind w:right="2739"/>
        <w:spacing w:after="0"/>
        <w:rPr>
          <w:sz w:val="20"/>
          <w:szCs w:val="20"/>
          <w:color w:val="auto"/>
        </w:rPr>
      </w:pPr>
      <w:r>
        <w:rPr>
          <w:rFonts w:ascii="Arial" w:cs="Arial" w:eastAsia="Arial" w:hAnsi="Arial"/>
          <w:sz w:val="20"/>
          <w:szCs w:val="20"/>
          <w:b w:val="1"/>
          <w:bCs w:val="1"/>
          <w:color w:val="auto"/>
        </w:rPr>
        <w:t>SCHEDULE 1 – PRODUCT AND PRICE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5" w:name="page156"/>
    <w:bookmarkEnd w:id="155"/>
    <w:p>
      <w:pPr>
        <w:jc w:val="right"/>
        <w:ind w:right="2659"/>
        <w:spacing w:after="0"/>
        <w:rPr>
          <w:sz w:val="20"/>
          <w:szCs w:val="20"/>
          <w:color w:val="auto"/>
        </w:rPr>
      </w:pPr>
      <w:r>
        <w:rPr>
          <w:rFonts w:ascii="Arial" w:cs="Arial" w:eastAsia="Arial" w:hAnsi="Arial"/>
          <w:sz w:val="20"/>
          <w:szCs w:val="20"/>
          <w:b w:val="1"/>
          <w:bCs w:val="1"/>
          <w:color w:val="auto"/>
        </w:rPr>
        <w:t>SCHEDULE 2 – QUALITY AGREEMENT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6" w:name="page157"/>
    <w:bookmarkEnd w:id="156"/>
    <w:p>
      <w:pPr>
        <w:jc w:val="right"/>
        <w:ind w:right="3559"/>
        <w:spacing w:after="0"/>
        <w:rPr>
          <w:sz w:val="20"/>
          <w:szCs w:val="20"/>
          <w:color w:val="auto"/>
        </w:rPr>
      </w:pPr>
      <w:r>
        <w:rPr>
          <w:rFonts w:ascii="Arial" w:cs="Arial" w:eastAsia="Arial" w:hAnsi="Arial"/>
          <w:sz w:val="20"/>
          <w:szCs w:val="20"/>
          <w:b w:val="1"/>
          <w:bCs w:val="1"/>
          <w:color w:val="auto"/>
        </w:rPr>
        <w:t>SCHEDULE 3 – KPIs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7" w:name="page158"/>
    <w:bookmarkEnd w:id="157"/>
    <w:p>
      <w:pPr>
        <w:jc w:val="right"/>
        <w:ind w:right="1259"/>
        <w:spacing w:after="0"/>
        <w:rPr>
          <w:sz w:val="20"/>
          <w:szCs w:val="20"/>
          <w:color w:val="auto"/>
        </w:rPr>
      </w:pPr>
      <w:r>
        <w:rPr>
          <w:rFonts w:ascii="Arial" w:cs="Arial" w:eastAsia="Arial" w:hAnsi="Arial"/>
          <w:sz w:val="20"/>
          <w:szCs w:val="20"/>
          <w:b w:val="1"/>
          <w:bCs w:val="1"/>
          <w:color w:val="auto"/>
        </w:rPr>
        <w:t>SCHEDULE 4 –WuXi Biologics’ Affiliate Subcontractors and Scope of Work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8" w:name="page159"/>
    <w:bookmarkEnd w:id="158"/>
    <w:p>
      <w:pPr>
        <w:jc w:val="right"/>
        <w:ind w:right="2739"/>
        <w:spacing w:after="0"/>
        <w:rPr>
          <w:sz w:val="20"/>
          <w:szCs w:val="20"/>
          <w:color w:val="auto"/>
        </w:rPr>
      </w:pPr>
      <w:r>
        <w:rPr>
          <w:rFonts w:ascii="Arial" w:cs="Arial" w:eastAsia="Arial" w:hAnsi="Arial"/>
          <w:sz w:val="20"/>
          <w:szCs w:val="20"/>
          <w:b w:val="1"/>
          <w:bCs w:val="1"/>
          <w:color w:val="auto"/>
        </w:rPr>
        <w:t>SCHEDULE 5 – PRODUCT AND PRICE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3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Tillman U. Gerngross, certify that:</w:t>
      </w:r>
    </w:p>
    <w:p>
      <w:pPr>
        <w:spacing w:after="0" w:line="239"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Adagio Therapeutics,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93"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4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Tillman U. Gerngross, Ph.D.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Jane Pritchett Henderson</w:t>
      </w:r>
      <w:r>
        <w:rPr>
          <w:rFonts w:ascii="Arial" w:cs="Arial" w:eastAsia="Arial" w:hAnsi="Arial"/>
          <w:sz w:val="18"/>
          <w:szCs w:val="18"/>
          <w:color w:val="0000FF"/>
        </w:rPr>
        <w:t>,</w:t>
      </w:r>
      <w:r>
        <w:rPr>
          <w:rFonts w:ascii="Arial" w:cs="Arial" w:eastAsia="Arial" w:hAnsi="Arial"/>
          <w:sz w:val="18"/>
          <w:szCs w:val="18"/>
          <w:color w:val="auto"/>
        </w:rPr>
        <w:t xml:space="preserve"> certify that:</w:t>
      </w:r>
    </w:p>
    <w:p>
      <w:pPr>
        <w:spacing w:after="0" w:line="239" w:lineRule="exact"/>
        <w:rPr>
          <w:sz w:val="20"/>
          <w:szCs w:val="20"/>
          <w:color w:val="auto"/>
        </w:rPr>
      </w:pPr>
    </w:p>
    <w:p>
      <w:pPr>
        <w:ind w:left="440" w:hanging="432"/>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Adagio Therapeutics,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93"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6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Jane Pritchett Henderson</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of Adagio Therapeutics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4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Tillman U. Gerngross, Ph.D.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of Adagio Therapeutics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6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Jane Pritchett Henderson</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3" w:name="page164"/>
    <w:bookmarkEnd w:id="1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606"/>
    </w:lvl>
  </w:abstractNum>
  <w:abstractNum w:abstractNumId="4">
    <w:nsid w:val="3855585C"/>
    <w:multiLevelType w:val="hybridMultilevel"/>
    <w:lvl w:ilvl="0">
      <w:lvlJc w:val="left"/>
      <w:lvlText w:val="%1."/>
      <w:numFmt w:val="decimal"/>
      <w:start w:val="4"/>
    </w:lvl>
  </w:abstractNum>
  <w:abstractNum w:abstractNumId="5">
    <w:nsid w:val="70A64E2A"/>
    <w:multiLevelType w:val="hybridMultilevel"/>
    <w:lvl w:ilvl="0">
      <w:lvlJc w:val="left"/>
      <w:lvlText w:val="•"/>
      <w:numFmt w:val="bullet"/>
      <w:start w:val="1"/>
    </w:lvl>
    <w:lvl w:ilvl="1">
      <w:lvlJc w:val="left"/>
      <w:lvlText w:val="•"/>
      <w:numFmt w:val="bullet"/>
      <w:start w:val="1"/>
    </w:lvl>
  </w:abstractNum>
  <w:abstractNum w:abstractNumId="6">
    <w:nsid w:val="6A2342EC"/>
    <w:multiLevelType w:val="hybridMultilevel"/>
    <w:lvl w:ilvl="0">
      <w:lvlJc w:val="left"/>
      <w:lvlText w:val="%1."/>
      <w:numFmt w:val="decimal"/>
      <w:start w:val="7"/>
    </w:lvl>
  </w:abstractNum>
  <w:abstractNum w:abstractNumId="7">
    <w:nsid w:val="2A487CB0"/>
    <w:multiLevelType w:val="hybridMultilevel"/>
    <w:lvl w:ilvl="0">
      <w:lvlJc w:val="left"/>
      <w:lvlText w:val="%1."/>
      <w:numFmt w:val="decimal"/>
      <w:start w:val="8"/>
    </w:lvl>
  </w:abstractNum>
  <w:abstractNum w:abstractNumId="8">
    <w:nsid w:val="1D4ED43B"/>
    <w:multiLevelType w:val="hybridMultilevel"/>
    <w:lvl w:ilvl="0">
      <w:lvlJc w:val="left"/>
      <w:lvlText w:val="%1."/>
      <w:numFmt w:val="decimal"/>
      <w:start w:val="11"/>
    </w:lvl>
  </w:abstractNum>
  <w:abstractNum w:abstractNumId="9">
    <w:nsid w:val="725A06FB"/>
    <w:multiLevelType w:val="hybridMultilevel"/>
    <w:lvl w:ilvl="0">
      <w:lvlJc w:val="left"/>
      <w:lvlText w:val="%1."/>
      <w:numFmt w:val="decimal"/>
      <w:start w:val="19"/>
    </w:lvl>
  </w:abstractNum>
  <w:abstractNum w:abstractNumId="10">
    <w:nsid w:val="2CD89A32"/>
    <w:multiLevelType w:val="hybridMultilevel"/>
    <w:lvl w:ilvl="0">
      <w:lvlJc w:val="left"/>
      <w:lvlText w:val="%1."/>
      <w:numFmt w:val="decimal"/>
      <w:start w:val="382"/>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decimal"/>
      <w:start w:val="1"/>
    </w:lvl>
    <w:lvl w:ilvl="1">
      <w:lvlJc w:val="left"/>
      <w:lvlText w:val="(%2)"/>
      <w:numFmt w:val="lowerLetter"/>
      <w:start w:val="1"/>
    </w:lvl>
  </w:abstractNum>
  <w:abstractNum w:abstractNumId="16">
    <w:nsid w:val="38437FDB"/>
    <w:multiLevelType w:val="hybridMultilevel"/>
    <w:lvl w:ilvl="0">
      <w:lvlJc w:val="left"/>
      <w:lvlText w:val="(%1)"/>
      <w:numFmt w:val="lowerLetter"/>
      <w:start w:val="3"/>
    </w:lvl>
  </w:abstractNum>
  <w:abstractNum w:abstractNumId="17">
    <w:nsid w:val="7644A45C"/>
    <w:multiLevelType w:val="hybridMultilevel"/>
    <w:lvl w:ilvl="0">
      <w:lvlJc w:val="left"/>
      <w:lvlText w:val="%1."/>
      <w:numFmt w:val="decimal"/>
      <w:start w:val="2"/>
    </w:lvl>
    <w:lvl w:ilvl="1">
      <w:lvlJc w:val="left"/>
      <w:lvlText w:val="(%2)"/>
      <w:numFmt w:val="lowerLetter"/>
      <w:start w:val="1"/>
    </w:lvl>
  </w:abstractNum>
  <w:abstractNum w:abstractNumId="18">
    <w:nsid w:val="32FFF902"/>
    <w:multiLevelType w:val="hybridMultilevel"/>
    <w:lvl w:ilvl="0">
      <w:lvlJc w:val="left"/>
      <w:lvlText w:val="(%1)"/>
      <w:numFmt w:val="lowerLetter"/>
      <w:start w:val="4"/>
    </w:lvl>
  </w:abstractNum>
  <w:abstractNum w:abstractNumId="19">
    <w:nsid w:val="684A481A"/>
    <w:multiLevelType w:val="hybridMultilevel"/>
    <w:lvl w:ilvl="0">
      <w:lvlJc w:val="left"/>
      <w:lvlText w:val="(%1)"/>
      <w:numFmt w:val="lowerRoman"/>
      <w:start w:val="1"/>
    </w:lvl>
  </w:abstractNum>
  <w:abstractNum w:abstractNumId="20">
    <w:nsid w:val="579478FE"/>
    <w:multiLevelType w:val="hybridMultilevel"/>
    <w:lvl w:ilvl="0">
      <w:lvlJc w:val="left"/>
      <w:lvlText w:val="%1."/>
      <w:numFmt w:val="decimal"/>
      <w:start w:val="3"/>
    </w:lvl>
    <w:lvl w:ilvl="1">
      <w:lvlJc w:val="left"/>
      <w:lvlText w:val="(%2)"/>
      <w:numFmt w:val="lowerLetter"/>
      <w:start w:val="1"/>
    </w:lvl>
  </w:abstractNum>
  <w:abstractNum w:abstractNumId="21">
    <w:nsid w:val="749ABB43"/>
    <w:multiLevelType w:val="hybridMultilevel"/>
    <w:lvl w:ilvl="0">
      <w:lvlJc w:val="left"/>
      <w:lvlText w:val="(%1)"/>
      <w:numFmt w:val="lowerLetter"/>
      <w:start w:val="3"/>
    </w:lvl>
    <w:lvl w:ilvl="1">
      <w:lvlJc w:val="left"/>
      <w:lvlText w:val="(%2)"/>
      <w:numFmt w:val="lowerRoman"/>
      <w:start w:val="1"/>
    </w:lvl>
  </w:abstractNum>
  <w:abstractNum w:abstractNumId="22">
    <w:nsid w:val="3DC240FB"/>
    <w:multiLevelType w:val="hybridMultilevel"/>
    <w:lvl w:ilvl="0">
      <w:lvlJc w:val="left"/>
      <w:lvlText w:val="(%1)"/>
      <w:numFmt w:val="lowerRoman"/>
      <w:start w:val="6"/>
    </w:lvl>
  </w:abstractNum>
  <w:abstractNum w:abstractNumId="23">
    <w:nsid w:val="1BA026FA"/>
    <w:multiLevelType w:val="hybridMultilevel"/>
    <w:lvl w:ilvl="0">
      <w:lvlJc w:val="left"/>
      <w:lvlText w:val="(%1)"/>
      <w:numFmt w:val="lowerLetter"/>
      <w:start w:val="4"/>
    </w:lvl>
    <w:lvl w:ilvl="1">
      <w:lvlJc w:val="left"/>
      <w:lvlText w:val="(%2)"/>
      <w:numFmt w:val="lowerRoman"/>
      <w:start w:val="1"/>
    </w:lvl>
  </w:abstractNum>
  <w:abstractNum w:abstractNumId="24">
    <w:nsid w:val="79A1DEAA"/>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25">
    <w:nsid w:val="75C6C33A"/>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6">
    <w:nsid w:val="12E685FB"/>
    <w:multiLevelType w:val="hybridMultilevel"/>
    <w:lvl w:ilvl="0">
      <w:lvlJc w:val="left"/>
      <w:lvlText w:val="%1."/>
      <w:numFmt w:val="decimal"/>
      <w:start w:val="4"/>
    </w:lvl>
    <w:lvl w:ilvl="1">
      <w:lvlJc w:val="left"/>
      <w:lvlText w:val="(%2)"/>
      <w:numFmt w:val="lowerLetter"/>
      <w:start w:val="1"/>
    </w:lvl>
  </w:abstractNum>
  <w:abstractNum w:abstractNumId="27">
    <w:nsid w:val="70C6A529"/>
    <w:multiLevelType w:val="hybridMultilevel"/>
    <w:lvl w:ilvl="0">
      <w:lvlJc w:val="left"/>
      <w:lvlText w:val="%1"/>
      <w:numFmt w:val="decimal"/>
      <w:start w:val="1"/>
    </w:lvl>
    <w:lvl w:ilvl="1">
      <w:lvlJc w:val="left"/>
      <w:lvlText w:val="(%2)"/>
      <w:numFmt w:val="lowerLetter"/>
      <w:start w:val="3"/>
    </w:lvl>
  </w:abstractNum>
  <w:abstractNum w:abstractNumId="28">
    <w:nsid w:val="520EEDD1"/>
    <w:multiLevelType w:val="hybridMultilevel"/>
    <w:lvl w:ilvl="0">
      <w:lvlJc w:val="left"/>
      <w:lvlText w:val="%1."/>
      <w:numFmt w:val="decimal"/>
      <w:start w:val="5"/>
    </w:lvl>
    <w:lvl w:ilvl="1">
      <w:lvlJc w:val="left"/>
      <w:lvlText w:val="(%2)"/>
      <w:numFmt w:val="lowerLetter"/>
      <w:start w:val="1"/>
    </w:lvl>
  </w:abstractNum>
  <w:abstractNum w:abstractNumId="29">
    <w:nsid w:val="374A3FE6"/>
    <w:multiLevelType w:val="hybridMultilevel"/>
    <w:lvl w:ilvl="0">
      <w:lvlJc w:val="left"/>
      <w:lvlText w:val="(%1)"/>
      <w:numFmt w:val="lowerLetter"/>
      <w:start w:val="2"/>
    </w:lvl>
  </w:abstractNum>
  <w:abstractNum w:abstractNumId="30">
    <w:nsid w:val="4F4EF005"/>
    <w:multiLevelType w:val="hybridMultilevel"/>
    <w:lvl w:ilvl="0">
      <w:lvlJc w:val="left"/>
      <w:lvlText w:val="%1"/>
      <w:numFmt w:val="lowerLetter"/>
      <w:start w:val="1"/>
    </w:lvl>
    <w:lvl w:ilvl="1">
      <w:lvlJc w:val="left"/>
      <w:lvlText w:val="%2."/>
      <w:numFmt w:val="decimal"/>
      <w:start w:val="6"/>
    </w:lvl>
  </w:abstractNum>
  <w:abstractNum w:abstractNumId="31">
    <w:nsid w:val="23F9C13C"/>
    <w:multiLevelType w:val="hybridMultilevel"/>
    <w:lvl w:ilvl="0">
      <w:lvlJc w:val="left"/>
      <w:lvlText w:val="(%1)"/>
      <w:numFmt w:val="lowerLetter"/>
      <w:start w:val="2"/>
    </w:lvl>
    <w:lvl w:ilvl="1">
      <w:lvlJc w:val="left"/>
      <w:lvlText w:val="%2"/>
      <w:numFmt w:val="decimal"/>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decimal"/>
      <w:start w:val="1"/>
    </w:lvl>
    <w:lvl w:ilvl="1">
      <w:lvlJc w:val="left"/>
      <w:lvlText w:val="(%2)"/>
      <w:numFmt w:val="lowerLetter"/>
      <w:start w:val="3"/>
    </w:lvl>
  </w:abstractNum>
  <w:abstractNum w:abstractNumId="34">
    <w:nsid w:val="39386575"/>
    <w:multiLevelType w:val="hybridMultilevel"/>
    <w:lvl w:ilvl="0">
      <w:lvlJc w:val="left"/>
      <w:lvlText w:val="%1."/>
      <w:numFmt w:val="decimal"/>
      <w:start w:val="7"/>
    </w:lvl>
    <w:lvl w:ilvl="1">
      <w:lvlJc w:val="left"/>
      <w:lvlText w:val="(%2)"/>
      <w:numFmt w:val="lowerLetter"/>
      <w:start w:val="1"/>
    </w:lvl>
  </w:abstractNum>
  <w:abstractNum w:abstractNumId="35">
    <w:nsid w:val="1CF10FD8"/>
    <w:multiLevelType w:val="hybridMultilevel"/>
    <w:lvl w:ilvl="0">
      <w:lvlJc w:val="left"/>
      <w:lvlText w:val="%1"/>
      <w:numFmt w:val="decimal"/>
      <w:start w:val="1"/>
    </w:lvl>
    <w:lvl w:ilvl="1">
      <w:lvlJc w:val="left"/>
      <w:lvlText w:val="(%2)"/>
      <w:numFmt w:val="lowerLetter"/>
      <w:start w:val="2"/>
    </w:lvl>
  </w:abstractNum>
  <w:abstractNum w:abstractNumId="36">
    <w:nsid w:val="180115BE"/>
    <w:multiLevelType w:val="hybridMultilevel"/>
    <w:lvl w:ilvl="0">
      <w:lvlJc w:val="left"/>
      <w:lvlText w:val="%1."/>
      <w:numFmt w:val="decimal"/>
      <w:start w:val="8"/>
    </w:lvl>
    <w:lvl w:ilvl="1">
      <w:lvlJc w:val="left"/>
      <w:lvlText w:val="(%2)"/>
      <w:numFmt w:val="lowerLetter"/>
      <w:start w:val="1"/>
    </w:lvl>
  </w:abstractNum>
  <w:abstractNum w:abstractNumId="37">
    <w:nsid w:val="235BA861"/>
    <w:multiLevelType w:val="hybridMultilevel"/>
    <w:lvl w:ilvl="0">
      <w:lvlJc w:val="left"/>
      <w:lvlText w:val="(%1)"/>
      <w:numFmt w:val="lowerLetter"/>
      <w:start w:val="2"/>
    </w:lvl>
  </w:abstractNum>
  <w:abstractNum w:abstractNumId="38">
    <w:nsid w:val="47398C89"/>
    <w:multiLevelType w:val="hybridMultilevel"/>
    <w:lvl w:ilvl="0">
      <w:lvlJc w:val="left"/>
      <w:lvlText w:val="%1."/>
      <w:numFmt w:val="decimal"/>
      <w:start w:val="9"/>
    </w:lvl>
    <w:lvl w:ilvl="1">
      <w:lvlJc w:val="left"/>
      <w:lvlText w:val="(%2)"/>
      <w:numFmt w:val="lowerLetter"/>
      <w:start w:val="1"/>
    </w:lvl>
  </w:abstractNum>
  <w:abstractNum w:abstractNumId="39">
    <w:nsid w:val="354FE9F9"/>
    <w:multiLevelType w:val="hybridMultilevel"/>
    <w:lvl w:ilvl="0">
      <w:lvlJc w:val="left"/>
      <w:lvlText w:val="%1"/>
      <w:numFmt w:val="lowerLetter"/>
      <w:start w:val="1"/>
    </w:lvl>
    <w:lvl w:ilvl="1">
      <w:lvlJc w:val="left"/>
      <w:lvlText w:val="%2."/>
      <w:numFmt w:val="decimal"/>
      <w:start w:val="10"/>
    </w:lvl>
  </w:abstractNum>
  <w:abstractNum w:abstractNumId="40">
    <w:nsid w:val="15B5AF5C"/>
    <w:multiLevelType w:val="hybridMultilevel"/>
    <w:lvl w:ilvl="0">
      <w:lvlJc w:val="left"/>
      <w:lvlText w:val="(%1)"/>
      <w:numFmt w:val="lowerLetter"/>
      <w:start w:val="2"/>
    </w:lvl>
    <w:lvl w:ilvl="1">
      <w:lvlJc w:val="left"/>
      <w:lvlText w:val="%2."/>
      <w:numFmt w:val="decimal"/>
      <w:start w:val="11"/>
    </w:lvl>
  </w:abstractNum>
  <w:abstractNum w:abstractNumId="41">
    <w:nsid w:val="741226BB"/>
    <w:multiLevelType w:val="hybridMultilevel"/>
    <w:lvl w:ilvl="0">
      <w:lvlJc w:val="left"/>
      <w:lvlText w:val="%1."/>
      <w:numFmt w:val="decimal"/>
      <w:start w:val="14"/>
    </w:lvl>
  </w:abstractNum>
  <w:abstractNum w:abstractNumId="42">
    <w:nsid w:val="D34B6A8"/>
    <w:multiLevelType w:val="hybridMultilevel"/>
    <w:lvl w:ilvl="0">
      <w:lvlJc w:val="left"/>
      <w:lvlText w:val="%1."/>
      <w:numFmt w:val="decimal"/>
      <w:start w:val="20"/>
    </w:lvl>
    <w:lvl w:ilvl="1">
      <w:lvlJc w:val="left"/>
      <w:lvlText w:val="(%2)"/>
      <w:numFmt w:val="lowerLetter"/>
      <w:start w:val="1"/>
    </w:lvl>
  </w:abstractNum>
  <w:abstractNum w:abstractNumId="43">
    <w:nsid w:val="10233C99"/>
    <w:multiLevelType w:val="hybridMultilevel"/>
    <w:lvl w:ilvl="0">
      <w:lvlJc w:val="left"/>
      <w:lvlText w:val="%1"/>
      <w:numFmt w:val="decimal"/>
      <w:start w:val="1"/>
    </w:lvl>
    <w:lvl w:ilvl="1">
      <w:lvlJc w:val="left"/>
      <w:lvlText w:val="(%2)"/>
      <w:numFmt w:val="lowerLetter"/>
      <w:start w:val="3"/>
    </w:lvl>
  </w:abstractNum>
  <w:abstractNum w:abstractNumId="44">
    <w:nsid w:val="3F6AB60F"/>
    <w:multiLevelType w:val="hybridMultilevel"/>
    <w:lvl w:ilvl="0">
      <w:lvlJc w:val="left"/>
      <w:lvlText w:val="%1."/>
      <w:numFmt w:val="decimal"/>
      <w:start w:val="23"/>
    </w:lvl>
    <w:lvl w:ilvl="1">
      <w:lvlJc w:val="left"/>
      <w:lvlText w:val="%2"/>
      <w:numFmt w:val="lowerLetter"/>
      <w:start w:val="1"/>
    </w:lvl>
  </w:abstractNum>
  <w:abstractNum w:abstractNumId="45">
    <w:nsid w:val="61574095"/>
    <w:multiLevelType w:val="hybridMultilevel"/>
    <w:lvl w:ilvl="0">
      <w:lvlJc w:val="left"/>
      <w:lvlText w:val="%1."/>
      <w:numFmt w:val="decimal"/>
      <w:start w:val="24"/>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2"/>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lowerLetter"/>
      <w:start w:val="2"/>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2"/>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1"/>
    </w:lvl>
    <w:lvl w:ilvl="1">
      <w:lvlJc w:val="left"/>
      <w:lvlText w:val="(%2)"/>
      <w:numFmt w:val="lowerLetter"/>
      <w:start w:val="2"/>
    </w:lvl>
  </w:abstractNum>
  <w:abstractNum w:abstractNumId="57">
    <w:nsid w:val="5DB70AE5"/>
    <w:multiLevelType w:val="hybridMultilevel"/>
    <w:lvl w:ilvl="0">
      <w:lvlJc w:val="left"/>
      <w:lvlText w:val="(%1)"/>
      <w:numFmt w:val="lowerLetter"/>
      <w:start w:val="35"/>
    </w:lvl>
    <w:lvl w:ilvl="1">
      <w:lvlJc w:val="left"/>
      <w:lvlText w:val="(%2)"/>
      <w:numFmt w:val="lowerLetter"/>
      <w:start w:val="3"/>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lvl w:ilvl="1">
      <w:lvlJc w:val="left"/>
      <w:lvlText w:val="(%2)"/>
      <w:numFmt w:val="lowerLetter"/>
      <w:start w:val="1"/>
    </w:lvl>
  </w:abstractNum>
  <w:abstractNum w:abstractNumId="60">
    <w:nsid w:val="15014ACB"/>
    <w:multiLevelType w:val="hybridMultilevel"/>
    <w:lvl w:ilvl="0">
      <w:lvlJc w:val="left"/>
      <w:lvlText w:val="[***]"/>
      <w:numFmt w:val="bullet"/>
      <w:start w:val="1"/>
    </w:lvl>
    <w:lvl w:ilvl="1">
      <w:lvlJc w:val="left"/>
      <w:lvlText w:val="(%2)"/>
      <w:numFmt w:val="lowerLetter"/>
      <w:start w:val="3"/>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3"/>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
      <w:numFmt w:val="bullet"/>
      <w:start w:val="1"/>
    </w:lvl>
    <w:lvl w:ilvl="1">
      <w:lvlJc w:val="left"/>
      <w:lvlText w:val="(%2)"/>
      <w:numFmt w:val="lowerLetter"/>
      <w:start w:val="1"/>
    </w:lvl>
  </w:abstractNum>
  <w:abstractNum w:abstractNumId="66">
    <w:nsid w:val="168E121F"/>
    <w:multiLevelType w:val="hybridMultilevel"/>
    <w:lvl w:ilvl="0">
      <w:lvlJc w:val="left"/>
      <w:lvlText w:val="§"/>
      <w:numFmt w:val="bullet"/>
      <w:start w:val="1"/>
    </w:lvl>
    <w:lvl w:ilvl="1">
      <w:lvlJc w:val="left"/>
      <w:lvlText w:val="(%2)"/>
      <w:numFmt w:val="lowerLetter"/>
      <w:start w:val="2"/>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6"/>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Roman"/>
      <w:start w:val="1"/>
    </w:lvl>
  </w:abstractNum>
  <w:abstractNum w:abstractNumId="72">
    <w:nsid w:val="51D9C564"/>
    <w:multiLevelType w:val="hybridMultilevel"/>
    <w:lvl w:ilvl="0">
      <w:lvlJc w:val="left"/>
      <w:lvlText w:val="(%1)"/>
      <w:numFmt w:val="lowerLetter"/>
      <w:start w:val="1"/>
    </w:lvl>
    <w:lvl w:ilvl="1">
      <w:lvlJc w:val="left"/>
      <w:lvlText w:val="(%2)"/>
      <w:numFmt w:val="lowerLetter"/>
      <w:start w:val="2"/>
    </w:lvl>
  </w:abstractNum>
  <w:abstractNum w:abstractNumId="73">
    <w:nsid w:val="613EFDC5"/>
    <w:multiLevelType w:val="hybridMultilevel"/>
    <w:lvl w:ilvl="0">
      <w:lvlJc w:val="left"/>
      <w:lvlText w:val="(%1)"/>
      <w:numFmt w:val="lowerLetter"/>
      <w:start w:val="3"/>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287" Type="http://schemas.openxmlformats.org/officeDocument/2006/relationships/hyperlink" Target="https://www.sec.gov/Archives/edgar/data/1832038/000119312521242044/d211424dex31.htm" TargetMode="External"/><Relationship Id="rId288" Type="http://schemas.openxmlformats.org/officeDocument/2006/relationships/hyperlink" Target="https://www.sec.gov/Archives/edgar/data/1832038/000119312521242044/d2114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2021-11-15T15:32:31Z</dcterms:created>
  <dcterms:modified xsi:type="dcterms:W3CDTF">2021-11-15T15:32:31Z</dcterms:modified>
</cp:coreProperties>
</file>