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21,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Invivyd,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9" w:lineRule="exact"/>
        <w:rPr>
          <w:sz w:val="24"/>
          <w:szCs w:val="24"/>
          <w:color w:val="auto"/>
        </w:rPr>
      </w:pPr>
    </w:p>
    <w:tbl>
      <w:tblPr>
        <w:tblLayout w:type="fixed"/>
        <w:tblInd w:w="1100" w:type="dxa"/>
        <w:tblCellMar>
          <w:top w:w="0" w:type="dxa"/>
          <w:left w:w="0" w:type="dxa"/>
          <w:bottom w:w="0" w:type="dxa"/>
          <w:right w:w="0" w:type="dxa"/>
        </w:tblCellMar>
      </w:tblPr>
      <w:tr>
        <w:trPr>
          <w:trHeight w:val="214"/>
        </w:trPr>
        <w:tc>
          <w:tcPr>
            <w:tcW w:w="3560" w:type="dxa"/>
            <w:vAlign w:val="bottom"/>
          </w:tcPr>
          <w:p>
            <w:pPr>
              <w:jc w:val="center"/>
              <w:ind w:right="177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72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001-40703</w:t>
            </w:r>
          </w:p>
        </w:tc>
        <w:tc>
          <w:tcPr>
            <w:tcW w:w="2740" w:type="dxa"/>
            <w:vAlign w:val="bottom"/>
          </w:tcPr>
          <w:p>
            <w:pPr>
              <w:jc w:val="center"/>
              <w:ind w:left="1561"/>
              <w:spacing w:after="0"/>
              <w:rPr>
                <w:sz w:val="20"/>
                <w:szCs w:val="20"/>
                <w:color w:val="auto"/>
              </w:rPr>
            </w:pPr>
            <w:r>
              <w:rPr>
                <w:rFonts w:ascii="Times New Roman" w:cs="Times New Roman" w:eastAsia="Times New Roman" w:hAnsi="Times New Roman"/>
                <w:sz w:val="18"/>
                <w:szCs w:val="18"/>
                <w:b w:val="1"/>
                <w:bCs w:val="1"/>
                <w:color w:val="auto"/>
                <w:w w:val="98"/>
              </w:rPr>
              <w:t>85-1403134</w:t>
            </w:r>
          </w:p>
        </w:tc>
      </w:tr>
      <w:tr>
        <w:trPr>
          <w:trHeight w:val="148"/>
        </w:trPr>
        <w:tc>
          <w:tcPr>
            <w:tcW w:w="3560" w:type="dxa"/>
            <w:vAlign w:val="bottom"/>
          </w:tcPr>
          <w:p>
            <w:pPr>
              <w:jc w:val="center"/>
              <w:ind w:right="17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72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740" w:type="dxa"/>
            <w:vAlign w:val="bottom"/>
          </w:tcPr>
          <w:p>
            <w:pPr>
              <w:jc w:val="center"/>
              <w:ind w:left="15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60" w:type="dxa"/>
            <w:vAlign w:val="bottom"/>
          </w:tcPr>
          <w:p>
            <w:pPr>
              <w:jc w:val="center"/>
              <w:ind w:right="177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72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740" w:type="dxa"/>
            <w:vAlign w:val="bottom"/>
          </w:tcPr>
          <w:p>
            <w:pPr>
              <w:jc w:val="center"/>
              <w:ind w:left="15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12"/>
        </w:trPr>
        <w:tc>
          <w:tcPr>
            <w:tcW w:w="3560" w:type="dxa"/>
            <w:vAlign w:val="bottom"/>
          </w:tcPr>
          <w:p>
            <w:pPr>
              <w:jc w:val="center"/>
              <w:ind w:right="139"/>
              <w:spacing w:after="0"/>
              <w:rPr>
                <w:sz w:val="20"/>
                <w:szCs w:val="20"/>
                <w:color w:val="auto"/>
              </w:rPr>
            </w:pPr>
            <w:r>
              <w:rPr>
                <w:rFonts w:ascii="Times New Roman" w:cs="Times New Roman" w:eastAsia="Times New Roman" w:hAnsi="Times New Roman"/>
                <w:sz w:val="18"/>
                <w:szCs w:val="18"/>
                <w:b w:val="1"/>
                <w:bCs w:val="1"/>
                <w:color w:val="auto"/>
                <w:w w:val="99"/>
              </w:rPr>
              <w:t>1601 Trapelo Road, Suite 178</w:t>
            </w:r>
          </w:p>
        </w:tc>
        <w:tc>
          <w:tcPr>
            <w:tcW w:w="272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227"/>
        </w:trPr>
        <w:tc>
          <w:tcPr>
            <w:tcW w:w="3560" w:type="dxa"/>
            <w:vAlign w:val="bottom"/>
          </w:tcPr>
          <w:p>
            <w:pPr>
              <w:jc w:val="center"/>
              <w:ind w:right="139"/>
              <w:spacing w:after="0"/>
              <w:rPr>
                <w:sz w:val="20"/>
                <w:szCs w:val="20"/>
                <w:color w:val="auto"/>
              </w:rPr>
            </w:pPr>
            <w:r>
              <w:rPr>
                <w:rFonts w:ascii="Times New Roman" w:cs="Times New Roman" w:eastAsia="Times New Roman" w:hAnsi="Times New Roman"/>
                <w:sz w:val="18"/>
                <w:szCs w:val="18"/>
                <w:b w:val="1"/>
                <w:bCs w:val="1"/>
                <w:color w:val="auto"/>
                <w:w w:val="99"/>
              </w:rPr>
              <w:t>Waltham, MA</w:t>
            </w:r>
          </w:p>
        </w:tc>
        <w:tc>
          <w:tcPr>
            <w:tcW w:w="2720" w:type="dxa"/>
            <w:vAlign w:val="bottom"/>
          </w:tcPr>
          <w:p>
            <w:pPr>
              <w:spacing w:after="0"/>
              <w:rPr>
                <w:sz w:val="19"/>
                <w:szCs w:val="19"/>
                <w:color w:val="auto"/>
              </w:rPr>
            </w:pPr>
          </w:p>
        </w:tc>
        <w:tc>
          <w:tcPr>
            <w:tcW w:w="2740" w:type="dxa"/>
            <w:vAlign w:val="bottom"/>
          </w:tcPr>
          <w:p>
            <w:pPr>
              <w:jc w:val="right"/>
              <w:ind w:right="901"/>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190"/>
        </w:trPr>
        <w:tc>
          <w:tcPr>
            <w:tcW w:w="356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720" w:type="dxa"/>
            <w:vAlign w:val="bottom"/>
          </w:tcPr>
          <w:p>
            <w:pPr>
              <w:spacing w:after="0"/>
              <w:rPr>
                <w:sz w:val="16"/>
                <w:szCs w:val="16"/>
                <w:color w:val="auto"/>
              </w:rPr>
            </w:pPr>
          </w:p>
        </w:tc>
        <w:tc>
          <w:tcPr>
            <w:tcW w:w="2740" w:type="dxa"/>
            <w:vAlign w:val="bottom"/>
          </w:tcPr>
          <w:p>
            <w:pPr>
              <w:jc w:val="center"/>
              <w:ind w:left="2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819-0080</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300" w:hanging="279"/>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300" w:hanging="279"/>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280" w:hanging="259"/>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280" w:hanging="259"/>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bl>
      <w:tblPr>
        <w:tblLayout w:type="fixed"/>
        <w:tblInd w:w="0" w:type="dxa"/>
        <w:tblCellMar>
          <w:top w:w="0" w:type="dxa"/>
          <w:left w:w="0" w:type="dxa"/>
          <w:bottom w:w="0" w:type="dxa"/>
          <w:right w:w="0" w:type="dxa"/>
        </w:tblCellMar>
      </w:tblPr>
      <w:tr>
        <w:trPr>
          <w:trHeight w:val="151"/>
        </w:trPr>
        <w:tc>
          <w:tcPr>
            <w:tcW w:w="5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Trading</w:t>
            </w:r>
          </w:p>
        </w:tc>
        <w:tc>
          <w:tcPr>
            <w:tcW w:w="100" w:type="dxa"/>
            <w:vAlign w:val="bottom"/>
          </w:tcPr>
          <w:p>
            <w:pPr>
              <w:spacing w:after="0"/>
              <w:rPr>
                <w:sz w:val="13"/>
                <w:szCs w:val="13"/>
                <w:color w:val="auto"/>
              </w:rPr>
            </w:pPr>
          </w:p>
        </w:tc>
        <w:tc>
          <w:tcPr>
            <w:tcW w:w="422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94"/>
        </w:trPr>
        <w:tc>
          <w:tcPr>
            <w:tcW w:w="57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6"/>
                <w:szCs w:val="16"/>
                <w:color w:val="auto"/>
              </w:rPr>
            </w:pPr>
          </w:p>
        </w:tc>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8"/>
        </w:trPr>
        <w:tc>
          <w:tcPr>
            <w:tcW w:w="5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IVVD</w:t>
            </w:r>
          </w:p>
        </w:tc>
        <w:tc>
          <w:tcPr>
            <w:tcW w:w="100" w:type="dxa"/>
            <w:vAlign w:val="bottom"/>
          </w:tcPr>
          <w:p>
            <w:pPr>
              <w:spacing w:after="0"/>
              <w:rPr>
                <w:sz w:val="20"/>
                <w:szCs w:val="20"/>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81"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6"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83"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Nasdaq Minimum Bid Price Requirement Compliance</w:t>
      </w:r>
    </w:p>
    <w:p>
      <w:pPr>
        <w:spacing w:after="0" w:line="2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February 21, 2025, Invivyd, Inc. (the “Company”) received a letter from the Nasdaq Listing Qualifications Department of the Nasdaq Stock Market LLC (“Nasdaq”) notifying the Company that it has regained compliance with the minimum bid price requirement set forth in Nasdaq Listing Rule 5450(a)</w:t>
      </w:r>
    </w:p>
    <w:p>
      <w:pPr>
        <w:spacing w:after="0"/>
        <w:rPr>
          <w:sz w:val="20"/>
          <w:szCs w:val="20"/>
          <w:color w:val="auto"/>
        </w:rPr>
      </w:pPr>
      <w:r>
        <w:rPr>
          <w:rFonts w:ascii="Times New Roman" w:cs="Times New Roman" w:eastAsia="Times New Roman" w:hAnsi="Times New Roman"/>
          <w:sz w:val="18"/>
          <w:szCs w:val="18"/>
          <w:color w:val="auto"/>
        </w:rPr>
        <w:t>(1) (the “Minimum Bid Price Requirement”) for continued listing on The Nasdaq Global Market.</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previously disclosed, on December 27, 2024, the Company received a letter from Nasdaq, notifying the Company that it was not in compliance with the Minimum Bid Price Requirement because the Company’s common stock, $0.0001 par value per share (the “Common Stock”), had closed below the $1.00 per share minimum for 30 consecutive business days. To regain compliance with the Minimum Bid Price Requirement, the Common Stock was required to maintain a closing bid price of at least $1.00 per share for a minimum of ten consecutive business days.</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its letter dated February 21, 2025, Nasdaq indicated the Company has regained compliance with the Minimum Bid Price Requirement, and the matter is now closed.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Press Release</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February 24, 2025, the Company issued a press release entitled “FDA Declined Invivyd’s Request to Expand Existing Emergency Use Authorization of PEMGARDA™ (pemivibart) to Include Treatment of Mild-to-Moderate COVID-19 For Immunocompromised Persons Who Have No Alternative Therapeutic Options; No Change to the Existing PEMGARDA EUA for Pre-Exposure Prophylaxis of COVID-19 in Certain Immunocompromised Patients.” A copy of the press release is filed herewith as Exhibit 99.1 and is incorporated by reference in this Item 8.01.</w:t>
      </w:r>
    </w:p>
    <w:p>
      <w:pPr>
        <w:spacing w:after="0" w:line="176"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000" w:type="dxa"/>
            <w:vAlign w:val="bottom"/>
          </w:tcPr>
          <w:p>
            <w:pPr>
              <w:jc w:val="center"/>
              <w:ind w:right="246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260" w:type="dxa"/>
            <w:vAlign w:val="bottom"/>
            <w:vMerge w:val="restart"/>
          </w:tcPr>
          <w:p>
            <w:pPr>
              <w:ind w:left="25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8"/>
        </w:trPr>
        <w:tc>
          <w:tcPr>
            <w:tcW w:w="3000" w:type="dxa"/>
            <w:vAlign w:val="bottom"/>
          </w:tcPr>
          <w:p>
            <w:pPr>
              <w:jc w:val="center"/>
              <w:ind w:right="2468"/>
              <w:spacing w:after="0"/>
              <w:rPr>
                <w:sz w:val="20"/>
                <w:szCs w:val="20"/>
                <w:color w:val="auto"/>
              </w:rPr>
            </w:pPr>
            <w:r>
              <w:rPr>
                <w:rFonts w:ascii="Times New Roman" w:cs="Times New Roman" w:eastAsia="Times New Roman" w:hAnsi="Times New Roman"/>
                <w:sz w:val="14"/>
                <w:szCs w:val="14"/>
                <w:b w:val="1"/>
                <w:bCs w:val="1"/>
                <w:color w:val="auto"/>
              </w:rPr>
              <w:t>No.</w:t>
            </w:r>
          </w:p>
        </w:tc>
        <w:tc>
          <w:tcPr>
            <w:tcW w:w="3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-8890</wp:posOffset>
            </wp:positionV>
            <wp:extent cx="71151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ind w:left="20"/>
        <w:spacing w:after="0"/>
        <w:tabs>
          <w:tab w:leader="none" w:pos="7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dated February 24,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-20320</wp:posOffset>
            </wp:positionV>
            <wp:extent cx="17989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98955" cy="8255"/>
                    </a:xfrm>
                    <a:prstGeom prst="rect">
                      <a:avLst/>
                    </a:prstGeom>
                    <a:noFill/>
                  </pic:spPr>
                </pic:pic>
              </a:graphicData>
            </a:graphic>
          </wp:anchor>
        </w:drawing>
      </w:r>
    </w:p>
    <w:p>
      <w:pPr>
        <w:spacing w:after="0" w:line="10" w:lineRule="exact"/>
        <w:rPr>
          <w:sz w:val="20"/>
          <w:szCs w:val="20"/>
          <w:color w:val="auto"/>
        </w:rPr>
      </w:pPr>
    </w:p>
    <w:p>
      <w:pPr>
        <w:ind w:left="20"/>
        <w:spacing w:after="0"/>
        <w:tabs>
          <w:tab w:leader="none" w:pos="7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1607820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40" w:firstLine="37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p>
        </w:tc>
        <w:tc>
          <w:tcPr>
            <w:tcW w:w="7560" w:type="dxa"/>
            <w:vAlign w:val="bottom"/>
            <w:gridSpan w:val="2"/>
          </w:tcPr>
          <w:p>
            <w:pPr>
              <w:ind w:left="1900"/>
              <w:spacing w:after="0"/>
              <w:rPr>
                <w:sz w:val="20"/>
                <w:szCs w:val="20"/>
                <w:color w:val="auto"/>
              </w:rPr>
            </w:pPr>
            <w:r>
              <w:rPr>
                <w:rFonts w:ascii="Times New Roman" w:cs="Times New Roman" w:eastAsia="Times New Roman" w:hAnsi="Times New Roman"/>
                <w:sz w:val="18"/>
                <w:szCs w:val="18"/>
                <w:b w:val="1"/>
                <w:bCs w:val="1"/>
                <w:color w:val="auto"/>
              </w:rPr>
              <w:t>INVIVYD, INC.</w:t>
            </w:r>
          </w:p>
        </w:tc>
      </w:tr>
      <w:tr>
        <w:trPr>
          <w:trHeight w:val="432"/>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February 24, 2025</w:t>
            </w:r>
          </w:p>
        </w:tc>
        <w:tc>
          <w:tcPr>
            <w:tcW w:w="756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By:  /s/ Jill Andersen</w:t>
            </w:r>
          </w:p>
        </w:tc>
      </w:tr>
      <w:tr>
        <w:trPr>
          <w:trHeight w:val="191"/>
        </w:trPr>
        <w:tc>
          <w:tcPr>
            <w:tcW w:w="36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24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Jill Andersen</w:t>
            </w:r>
          </w:p>
        </w:tc>
      </w:tr>
      <w:tr>
        <w:trPr>
          <w:trHeight w:val="234"/>
        </w:trPr>
        <w:tc>
          <w:tcPr>
            <w:tcW w:w="36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Legal Officer and Corporate Secretary</w:t>
            </w:r>
          </w:p>
        </w:tc>
      </w:tr>
      <w:tr>
        <w:trPr>
          <w:trHeight w:val="1627"/>
        </w:trPr>
        <w:tc>
          <w:tcPr>
            <w:tcW w:w="368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jc w:val="right"/>
        <w:spacing w:after="0"/>
        <w:rPr>
          <w:sz w:val="20"/>
          <w:szCs w:val="20"/>
          <w:color w:val="auto"/>
        </w:rPr>
      </w:pPr>
      <w:r>
        <w:rPr>
          <w:rFonts w:ascii="Calibri" w:cs="Calibri" w:eastAsia="Calibri" w:hAnsi="Calibri"/>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2057400" cy="308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5740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180"/>
        <w:spacing w:after="0" w:line="243" w:lineRule="auto"/>
        <w:rPr>
          <w:sz w:val="20"/>
          <w:szCs w:val="20"/>
          <w:color w:val="auto"/>
        </w:rPr>
      </w:pPr>
      <w:r>
        <w:rPr>
          <w:rFonts w:ascii="Calibri" w:cs="Calibri" w:eastAsia="Calibri" w:hAnsi="Calibri"/>
          <w:sz w:val="25"/>
          <w:szCs w:val="25"/>
          <w:color w:val="auto"/>
        </w:rPr>
        <w:t>FDA Declined Invivyd’s Request to Expand Existng Emergency Use Authorizaton of PEMGARDA™ (pemivibart) to Include Treatment of Mild-to-Moderate COVID-19 For Immunocompromised Persons Who Have No Alternatve Therapeutc Optons; No Change to the Existng PEMGARDA EUA for Pre-Exposure Prophylaxis of COVID-19 in Certain Immunocompromised Patents</w:t>
      </w:r>
    </w:p>
    <w:p>
      <w:pPr>
        <w:spacing w:after="0" w:line="167" w:lineRule="exact"/>
        <w:rPr>
          <w:sz w:val="20"/>
          <w:szCs w:val="20"/>
          <w:color w:val="auto"/>
        </w:rPr>
      </w:pPr>
    </w:p>
    <w:p>
      <w:pPr>
        <w:ind w:left="760" w:right="80" w:hanging="378"/>
        <w:spacing w:after="0" w:line="226" w:lineRule="auto"/>
        <w:tabs>
          <w:tab w:leader="none" w:pos="760" w:val="left"/>
        </w:tabs>
        <w:numPr>
          <w:ilvl w:val="0"/>
          <w:numId w:val="2"/>
        </w:numPr>
        <w:rPr>
          <w:rFonts w:ascii="Times New Roman" w:cs="Times New Roman" w:eastAsia="Times New Roman" w:hAnsi="Times New Roman"/>
          <w:sz w:val="20"/>
          <w:szCs w:val="20"/>
          <w:color w:val="auto"/>
        </w:rPr>
      </w:pPr>
      <w:r>
        <w:rPr>
          <w:rFonts w:ascii="Calibri" w:cs="Calibri" w:eastAsia="Calibri" w:hAnsi="Calibri"/>
          <w:sz w:val="20"/>
          <w:szCs w:val="20"/>
          <w:color w:val="auto"/>
        </w:rPr>
        <w:t>FDA’s reasoning appears to center on a belief that COVID-19 treatment immunobridging analyses for a monoclonal antbody (mAb) must meet a standard of superior antviral actvity rather than equivalent antviral actvity to past, highly efectve, previously authorized and now inactve COVID-19 mAbs in a bridging analysis of sVNA</w:t>
      </w:r>
      <w:r>
        <w:rPr>
          <w:rFonts w:ascii="Calibri" w:cs="Calibri" w:eastAsia="Calibri" w:hAnsi="Calibri"/>
          <w:sz w:val="26"/>
          <w:szCs w:val="26"/>
          <w:color w:val="auto"/>
          <w:vertAlign w:val="superscript"/>
        </w:rPr>
        <w:t>1</w:t>
      </w:r>
      <w:r>
        <w:rPr>
          <w:rFonts w:ascii="Calibri" w:cs="Calibri" w:eastAsia="Calibri" w:hAnsi="Calibri"/>
          <w:sz w:val="20"/>
          <w:szCs w:val="20"/>
          <w:color w:val="auto"/>
        </w:rPr>
        <w:t xml:space="preserve"> tter levels, otherwise the Agency is “unable to reasonably conclude that the known and potental benefts of pemivibart…outweigh the known and potental risks”</w:t>
      </w:r>
    </w:p>
    <w:p>
      <w:pPr>
        <w:spacing w:after="0" w:line="158" w:lineRule="exact"/>
        <w:rPr>
          <w:rFonts w:ascii="Times New Roman" w:cs="Times New Roman" w:eastAsia="Times New Roman" w:hAnsi="Times New Roman"/>
          <w:sz w:val="20"/>
          <w:szCs w:val="20"/>
          <w:color w:val="auto"/>
        </w:rPr>
      </w:pPr>
    </w:p>
    <w:p>
      <w:pPr>
        <w:ind w:left="760" w:right="280" w:hanging="378"/>
        <w:spacing w:after="0" w:line="237" w:lineRule="auto"/>
        <w:tabs>
          <w:tab w:leader="none" w:pos="760" w:val="left"/>
        </w:tabs>
        <w:numPr>
          <w:ilvl w:val="0"/>
          <w:numId w:val="2"/>
        </w:numPr>
        <w:rPr>
          <w:rFonts w:ascii="Times New Roman" w:cs="Times New Roman" w:eastAsia="Times New Roman" w:hAnsi="Times New Roman"/>
          <w:sz w:val="20"/>
          <w:szCs w:val="20"/>
          <w:color w:val="auto"/>
        </w:rPr>
      </w:pPr>
      <w:r>
        <w:rPr>
          <w:rFonts w:ascii="Calibri" w:cs="Calibri" w:eastAsia="Calibri" w:hAnsi="Calibri"/>
          <w:sz w:val="20"/>
          <w:szCs w:val="20"/>
          <w:color w:val="auto"/>
        </w:rPr>
        <w:t>Invivyd’s submission to expand the PEMGARDA™ EUA to include COVID-19 treatment for certain immunocompromised patents who have no other therapeutc optons provided the FDA with analyses demonstratng comparable antviral actvity between pemivibart and adintrevimab, the key antbody of interest for immunobridging, as well as analyses demonstratng predicted pemivibart clinical efcacy in-line with prior authorized mAb therapeutcs, and well above currently authorized convalescent plasma</w:t>
      </w:r>
    </w:p>
    <w:p>
      <w:pPr>
        <w:spacing w:after="0" w:line="171" w:lineRule="exact"/>
        <w:rPr>
          <w:rFonts w:ascii="Times New Roman" w:cs="Times New Roman" w:eastAsia="Times New Roman" w:hAnsi="Times New Roman"/>
          <w:sz w:val="20"/>
          <w:szCs w:val="20"/>
          <w:color w:val="auto"/>
        </w:rPr>
      </w:pPr>
    </w:p>
    <w:p>
      <w:pPr>
        <w:ind w:left="760" w:right="180" w:hanging="378"/>
        <w:spacing w:after="0" w:line="236" w:lineRule="auto"/>
        <w:tabs>
          <w:tab w:leader="none" w:pos="760" w:val="left"/>
        </w:tabs>
        <w:numPr>
          <w:ilvl w:val="0"/>
          <w:numId w:val="2"/>
        </w:numPr>
        <w:rPr>
          <w:rFonts w:ascii="Times New Roman" w:cs="Times New Roman" w:eastAsia="Times New Roman" w:hAnsi="Times New Roman"/>
          <w:sz w:val="20"/>
          <w:szCs w:val="20"/>
          <w:color w:val="auto"/>
        </w:rPr>
      </w:pPr>
      <w:r>
        <w:rPr>
          <w:rFonts w:ascii="Calibri" w:cs="Calibri" w:eastAsia="Calibri" w:hAnsi="Calibri"/>
          <w:sz w:val="20"/>
          <w:szCs w:val="20"/>
          <w:color w:val="auto"/>
        </w:rPr>
        <w:t>In parallel with contnuing eforts with the FDA to advance PEMGARDA as a COVID-19 treatment for certain immunocompromised patents, Invivyd plans to rapidly advance VYD2311 in collaboraton with FDA given the ongoing and unacceptable burden of COVID-19 in America, including high rates of death, hospitalizaton, and Long COVID, refectve of the short and modest disease protecton from the current standard of care for vulnerable patent populatons</w:t>
      </w:r>
    </w:p>
    <w:p>
      <w:pPr>
        <w:spacing w:after="0" w:line="164"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2"/>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The COVID-19 treatment opportunity for pemivibart was not contemplated in existng fnancial guidance</w:t>
      </w:r>
    </w:p>
    <w:p>
      <w:pPr>
        <w:spacing w:after="0" w:line="144" w:lineRule="exact"/>
        <w:rPr>
          <w:sz w:val="20"/>
          <w:szCs w:val="20"/>
          <w:color w:val="auto"/>
        </w:rPr>
      </w:pPr>
    </w:p>
    <w:p>
      <w:pPr>
        <w:ind w:right="80"/>
        <w:spacing w:after="0" w:line="237" w:lineRule="auto"/>
        <w:rPr>
          <w:sz w:val="20"/>
          <w:szCs w:val="20"/>
          <w:color w:val="auto"/>
        </w:rPr>
      </w:pPr>
      <w:r>
        <w:rPr>
          <w:rFonts w:ascii="Calibri" w:cs="Calibri" w:eastAsia="Calibri" w:hAnsi="Calibri"/>
          <w:sz w:val="20"/>
          <w:szCs w:val="20"/>
          <w:color w:val="auto"/>
        </w:rPr>
        <w:t>WALTHAM, Mass., February 24, 2025 (GLOBE NEWSWIRE) -- Invivyd, Inc. (Nasdaq: IVVD) today announced that Invivyd’s request to expand the existng emergency use authorizaton (EUA) for pre-exposure prophylaxis of COVID-19 EUA for PEMGARDA™ (pemivibart) to provide a treatment opton for mild-to-moderate COVID-19 in adults and adolescents who have moderate-to-severe immune compromise due to certain medical conditons such as cancer and organ transplant, and for whom alternatve COVID-19 treatment optons are not accessible or clinically appropriate, was declined by the U.S. Food and Drug Administraton (FDA). Existng PEMGARDA™ (pemivibart) EUA for pre-exposure prophylaxis of COVID-19 in certain immunocompromised patents remains in efect.</w:t>
      </w:r>
    </w:p>
    <w:p>
      <w:pPr>
        <w:spacing w:after="0" w:line="120" w:lineRule="exact"/>
        <w:rPr>
          <w:sz w:val="20"/>
          <w:szCs w:val="20"/>
          <w:color w:val="auto"/>
        </w:rPr>
      </w:pPr>
    </w:p>
    <w:p>
      <w:pPr>
        <w:ind w:right="120"/>
        <w:spacing w:after="0" w:line="236" w:lineRule="auto"/>
        <w:rPr>
          <w:sz w:val="20"/>
          <w:szCs w:val="20"/>
          <w:color w:val="auto"/>
        </w:rPr>
      </w:pPr>
      <w:r>
        <w:rPr>
          <w:rFonts w:ascii="Calibri" w:cs="Calibri" w:eastAsia="Calibri" w:hAnsi="Calibri"/>
          <w:sz w:val="20"/>
          <w:szCs w:val="20"/>
          <w:color w:val="auto"/>
        </w:rPr>
        <w:t>“This is a sad day for patents in need. Immunocompromised people who cannot access standard of care are once again lef with no opton for COVID-19 treatment. Pemivibart, in contrast to all other COVID-19 antbodies ever made, is actve and in clinical use today in the U.S. as authorized. Pemivibart is safe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wp:posOffset>
            </wp:positionV>
            <wp:extent cx="1688465" cy="50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237" w:lineRule="exact"/>
        <w:rPr>
          <w:sz w:val="20"/>
          <w:szCs w:val="20"/>
          <w:color w:val="auto"/>
        </w:rPr>
      </w:pPr>
    </w:p>
    <w:p>
      <w:pPr>
        <w:ind w:left="100" w:hanging="92"/>
        <w:spacing w:after="0"/>
        <w:tabs>
          <w:tab w:leader="none" w:pos="100" w:val="left"/>
        </w:tabs>
        <w:numPr>
          <w:ilvl w:val="0"/>
          <w:numId w:val="3"/>
        </w:numPr>
        <w:rPr>
          <w:rFonts w:ascii="Calibri" w:cs="Calibri" w:eastAsia="Calibri" w:hAnsi="Calibri"/>
          <w:sz w:val="24"/>
          <w:szCs w:val="24"/>
          <w:color w:val="auto"/>
          <w:vertAlign w:val="superscript"/>
        </w:rPr>
      </w:pPr>
      <w:r>
        <w:rPr>
          <w:rFonts w:ascii="Calibri" w:cs="Calibri" w:eastAsia="Calibri" w:hAnsi="Calibri"/>
          <w:sz w:val="18"/>
          <w:szCs w:val="18"/>
          <w:color w:val="auto"/>
        </w:rPr>
        <w:t>sVNA stands for serum virus neutralizing antbody tters, the industry standard measurement of antbody antviral actvity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893445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4" w:name="page5"/>
    <w:bookmarkEnd w:id="4"/>
    <w:p>
      <w:pPr>
        <w:ind w:right="260"/>
        <w:spacing w:after="0" w:line="236" w:lineRule="auto"/>
        <w:rPr>
          <w:sz w:val="20"/>
          <w:szCs w:val="20"/>
          <w:color w:val="auto"/>
        </w:rPr>
      </w:pPr>
      <w:r>
        <w:rPr>
          <w:rFonts w:ascii="Calibri" w:cs="Calibri" w:eastAsia="Calibri" w:hAnsi="Calibri"/>
          <w:sz w:val="20"/>
          <w:szCs w:val="20"/>
          <w:color w:val="auto"/>
        </w:rPr>
        <w:t>enough for certain immunocompromised patents who are not currently sick with COVID-19, but it is now being withheld from those same immunocompromised patents fghtng actve COVID-19 infecton purportedly because its measured antviral actvity is in-line with, but does not clearly exceed, the actvity of its key comparator antbody adintrevimab, as well as other comparatve mAbs,” commented Mark Wingertzahn, Invivyd’s Senior Vice President of Clinical Development.</w:t>
      </w:r>
    </w:p>
    <w:p>
      <w:pPr>
        <w:spacing w:after="0" w:line="160" w:lineRule="exact"/>
        <w:rPr>
          <w:sz w:val="20"/>
          <w:szCs w:val="20"/>
          <w:color w:val="auto"/>
        </w:rPr>
      </w:pPr>
    </w:p>
    <w:p>
      <w:pPr>
        <w:spacing w:after="0" w:line="237" w:lineRule="auto"/>
        <w:rPr>
          <w:sz w:val="20"/>
          <w:szCs w:val="20"/>
          <w:color w:val="auto"/>
        </w:rPr>
      </w:pPr>
      <w:r>
        <w:rPr>
          <w:rFonts w:ascii="Calibri" w:cs="Calibri" w:eastAsia="Calibri" w:hAnsi="Calibri"/>
          <w:sz w:val="20"/>
          <w:szCs w:val="20"/>
          <w:color w:val="auto"/>
        </w:rPr>
        <w:t>“It is disappointng that healthcare providers are unable to add the power of a mAb therapy for treatment of COVID-19 to our current therapeutc optons. Current treatments such as PAXLOVID® may be contraindicated, clinically inappropriate, or not accessible for patents, especially among the immunocompromised who are most vulnerable and ofen have complex cases and medicaton regimens. We need tools like PEMGARDA™ immediately to lessen the ongoing, unacceptable burden of COVID-19 death and hospitalizaton,” commented Dr. Alfred H. Kim, MD, PhD, Associate Professor of Medicine, Associate Professor of Pathology and Immunology, Washington University School of Medicine.</w:t>
      </w:r>
    </w:p>
    <w:p>
      <w:pPr>
        <w:spacing w:after="0" w:line="255" w:lineRule="exact"/>
        <w:rPr>
          <w:sz w:val="20"/>
          <w:szCs w:val="20"/>
          <w:color w:val="auto"/>
        </w:rPr>
      </w:pPr>
    </w:p>
    <w:p>
      <w:pPr>
        <w:ind w:right="240"/>
        <w:spacing w:after="0" w:line="236" w:lineRule="auto"/>
        <w:rPr>
          <w:sz w:val="20"/>
          <w:szCs w:val="20"/>
          <w:color w:val="auto"/>
        </w:rPr>
      </w:pPr>
      <w:r>
        <w:rPr>
          <w:rFonts w:ascii="Calibri" w:cs="Calibri" w:eastAsia="Calibri" w:hAnsi="Calibri"/>
          <w:sz w:val="20"/>
          <w:szCs w:val="20"/>
          <w:color w:val="auto"/>
        </w:rPr>
        <w:t>Invivyd plans in the near term to share detailed data and regulatory correspondence regarding pemivibart, VYD2311 and immunobridging of COVID-19 antbodies, so Americans can beter appreciate the historic and recent governmental handling of these assets in contrast to COVID-19 vaccines and small molecule treatment.</w:t>
      </w:r>
    </w:p>
    <w:p>
      <w:pPr>
        <w:spacing w:after="0" w:line="13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About PEMGARDA</w:t>
      </w:r>
    </w:p>
    <w:p>
      <w:pPr>
        <w:spacing w:after="0" w:line="117" w:lineRule="exact"/>
        <w:rPr>
          <w:sz w:val="20"/>
          <w:szCs w:val="20"/>
          <w:color w:val="auto"/>
        </w:rPr>
      </w:pPr>
    </w:p>
    <w:p>
      <w:pPr>
        <w:ind w:right="40"/>
        <w:spacing w:after="0" w:line="237" w:lineRule="auto"/>
        <w:rPr>
          <w:sz w:val="20"/>
          <w:szCs w:val="20"/>
          <w:color w:val="auto"/>
        </w:rPr>
      </w:pPr>
      <w:r>
        <w:rPr>
          <w:rFonts w:ascii="Calibri" w:cs="Calibri" w:eastAsia="Calibri" w:hAnsi="Calibri"/>
          <w:sz w:val="20"/>
          <w:szCs w:val="20"/>
          <w:color w:val="auto"/>
        </w:rPr>
        <w:t>PEMGARDA™ (pemivibart) is a half-life extended investgatonal monoclonal antbody (mAb). PEMGARDA was engineered from adintrevimab, Invivyd's investgatonal mAb that has a robust safety data package and provided evidence of clinical efcacy in global Phase 2/3 clinical trials for the preventon and treatment of COVID-19. PEMGARDA has demonstrated in vitro neutralizing actvity against major SARS-CoV-2 variants, including JN.1, KP.3.1.1 and XEC. PEMGARDA targets the SARS-CoV-2 spike protein receptor binding domain (RBD), thereby inhibitng virus atachment to the human ACE2 receptor on host cells.</w:t>
      </w:r>
    </w:p>
    <w:p>
      <w:pPr>
        <w:spacing w:after="0" w:line="118" w:lineRule="exact"/>
        <w:rPr>
          <w:sz w:val="20"/>
          <w:szCs w:val="20"/>
          <w:color w:val="auto"/>
        </w:rPr>
      </w:pPr>
    </w:p>
    <w:p>
      <w:pPr>
        <w:ind w:right="20"/>
        <w:spacing w:after="0" w:line="237" w:lineRule="auto"/>
        <w:rPr>
          <w:sz w:val="20"/>
          <w:szCs w:val="20"/>
          <w:color w:val="auto"/>
        </w:rPr>
      </w:pPr>
      <w:r>
        <w:rPr>
          <w:rFonts w:ascii="Calibri" w:cs="Calibri" w:eastAsia="Calibri" w:hAnsi="Calibri"/>
          <w:sz w:val="20"/>
          <w:szCs w:val="20"/>
          <w:color w:val="auto"/>
        </w:rPr>
        <w:t>PEMGARDA (pemivibart) injecton (4500 mg), for intravenous use is an investgatonal mAb that has not been approved, but has been authorized for emergency use by the U.S. FDA under an EUA for the pre-exposure prophylaxis (preventon) of COVID-19 in adults and adolescents (12 years of age and older weighing at least 40 kg) who have moderate-to-severe immune compromise due to certain medical conditons or receipt of certain immunosuppressive medicatons or treatments and are unlikely to mount an adequate immune response to COVID-19 vaccinaton. Recipients should not be currently infected with or have had a known recent exposure to an individual infected with SARS-CoV-2.</w:t>
      </w:r>
    </w:p>
    <w:p>
      <w:pPr>
        <w:spacing w:after="0" w:line="120" w:lineRule="exact"/>
        <w:rPr>
          <w:sz w:val="20"/>
          <w:szCs w:val="20"/>
          <w:color w:val="auto"/>
        </w:rPr>
      </w:pPr>
    </w:p>
    <w:p>
      <w:pPr>
        <w:ind w:right="20"/>
        <w:spacing w:after="0" w:line="237" w:lineRule="auto"/>
        <w:rPr>
          <w:sz w:val="20"/>
          <w:szCs w:val="20"/>
          <w:color w:val="auto"/>
        </w:rPr>
      </w:pPr>
      <w:r>
        <w:rPr>
          <w:rFonts w:ascii="Calibri" w:cs="Calibri" w:eastAsia="Calibri" w:hAnsi="Calibri"/>
          <w:sz w:val="20"/>
          <w:szCs w:val="20"/>
          <w:color w:val="auto"/>
        </w:rPr>
        <w:t>PEMGARDA is not authorized for use for treatment of COVID-19 post-exposure prophylaxis of COVID-19. Pre-exposure prophylaxis with PEMGARDA is not a substtute for vaccinaton in individuals for whom COVID-19 vaccinaton is recommended. Individuals for whom COVID-19 vaccinaton is recommended, including individuals with moderate-to-severe immune compromise who may derive beneft from COVID-19 vaccinatons, should receive COVID-19 vaccinaton. In individuals who have recently received a COVID-19 vaccine, PEMGARDA should be administered at least 2 weeks afer vaccinaton.</w:t>
      </w:r>
    </w:p>
    <w:p>
      <w:pPr>
        <w:spacing w:after="0" w:line="118" w:lineRule="exact"/>
        <w:rPr>
          <w:sz w:val="20"/>
          <w:szCs w:val="20"/>
          <w:color w:val="auto"/>
        </w:rPr>
      </w:pPr>
    </w:p>
    <w:p>
      <w:pPr>
        <w:ind w:right="80"/>
        <w:spacing w:after="0" w:line="236" w:lineRule="auto"/>
        <w:rPr>
          <w:sz w:val="20"/>
          <w:szCs w:val="20"/>
          <w:color w:val="auto"/>
        </w:rPr>
      </w:pPr>
      <w:r>
        <w:rPr>
          <w:rFonts w:ascii="Calibri" w:cs="Calibri" w:eastAsia="Calibri" w:hAnsi="Calibri"/>
          <w:sz w:val="20"/>
          <w:szCs w:val="20"/>
          <w:color w:val="auto"/>
        </w:rPr>
        <w:t>Anaphylaxis has been observed with PEMGARDA and the PEMGARDA Fact Sheet for Healthcare Providers includes a boxed warning for anaphylaxis. The most common adverse events (all grades, incidence ≥2%) observed in partcipants who have moderate-to-severe immune compromise treated with PEMGARDA included systemic and local infusion-related or hypersensitvity reactons, upper respiratory tract infecton, viral infecton, infuenza-like illness, fatgue, headache, and nausea.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970280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1" w:right="419" w:bottom="1440" w:gutter="0" w:footer="0" w:header="0"/>
        </w:sectPr>
      </w:pPr>
    </w:p>
    <w:bookmarkStart w:id="5" w:name="page6"/>
    <w:bookmarkEnd w:id="5"/>
    <w:p>
      <w:pPr>
        <w:ind w:right="860"/>
        <w:spacing w:after="0" w:line="234" w:lineRule="auto"/>
        <w:rPr>
          <w:sz w:val="20"/>
          <w:szCs w:val="20"/>
          <w:color w:val="auto"/>
        </w:rPr>
      </w:pPr>
      <w:r>
        <w:rPr>
          <w:rFonts w:ascii="Calibri" w:cs="Calibri" w:eastAsia="Calibri" w:hAnsi="Calibri"/>
          <w:sz w:val="20"/>
          <w:szCs w:val="20"/>
          <w:color w:val="auto"/>
        </w:rPr>
        <w:t>additonal informaton, please see the PEMGARDA full product Fact Sheet for Healthcare Providers, including important safety informaton and boxed warning.</w:t>
      </w:r>
    </w:p>
    <w:p>
      <w:pPr>
        <w:spacing w:after="0" w:line="118" w:lineRule="exact"/>
        <w:rPr>
          <w:sz w:val="20"/>
          <w:szCs w:val="20"/>
          <w:color w:val="auto"/>
        </w:rPr>
      </w:pPr>
    </w:p>
    <w:p>
      <w:pPr>
        <w:ind w:right="20"/>
        <w:spacing w:after="0" w:line="237" w:lineRule="auto"/>
        <w:rPr>
          <w:sz w:val="20"/>
          <w:szCs w:val="20"/>
          <w:color w:val="auto"/>
        </w:rPr>
      </w:pPr>
      <w:r>
        <w:rPr>
          <w:rFonts w:ascii="Calibri" w:cs="Calibri" w:eastAsia="Calibri" w:hAnsi="Calibri"/>
          <w:sz w:val="20"/>
          <w:szCs w:val="20"/>
          <w:color w:val="auto"/>
        </w:rPr>
        <w:t>To support the EUA for PEMGARDA, an immunobridging approach was used to determine if PEMGARDA may be efectve for pre-exposure prophylaxis of COVID-19. Immunobridging is based on the serum virus neutralizing tter-efcacy relatonships identfed with other neutralizing human mAbs against SARS-CoV-2. This includes adintrevimab, the parent mAb of pemivibart, and other mAbs that were previously authorized for EUA. There are limitatons of the data supportng the benefts of PEMGARDA. Evidence of clinical efcacy for other neutralizing human mAbs against SARS-CoV-2 was based on diferent populatons and SARS-CoV-2 variants that are no longer circulatng. Further, the variability associated with cell-based EC50 value determinatons, along with limitatons related to pharmacokinetc data and efcacy estmates for the mAbs in prior clinical trials, impact the ability to precisely estmate protectve tter ranges. Additonally, certain SARS-CoV-2 viral variants may emerge that have substantally reduced susceptbility to PEMGARDA, and PEMGARDA may not be efectve at preventng COVID-19 caused by these SARS-CoV-2 viral variants.</w:t>
      </w:r>
    </w:p>
    <w:p>
      <w:pPr>
        <w:spacing w:after="0" w:line="125" w:lineRule="exact"/>
        <w:rPr>
          <w:sz w:val="20"/>
          <w:szCs w:val="20"/>
          <w:color w:val="auto"/>
        </w:rPr>
      </w:pPr>
    </w:p>
    <w:p>
      <w:pPr>
        <w:ind w:right="40"/>
        <w:spacing w:after="0"/>
        <w:rPr>
          <w:sz w:val="20"/>
          <w:szCs w:val="20"/>
          <w:color w:val="auto"/>
        </w:rPr>
      </w:pPr>
      <w:r>
        <w:rPr>
          <w:rFonts w:ascii="Calibri" w:cs="Calibri" w:eastAsia="Calibri" w:hAnsi="Calibri"/>
          <w:sz w:val="20"/>
          <w:szCs w:val="20"/>
          <w:color w:val="auto"/>
        </w:rPr>
        <w:t>The emergency use of PEMGARDA is only authorized for the duraton of the declaraton that circumstances exist justfying the authorizaton of the emergency use of drugs and biological products during the COVID-19 pandemic under Secton 564(b)(1) of the Federal Food, Drug, and Cosmetc Act, 21 U.S.C. § 360bbb-3(b)(1), unless the declaraton is terminated or authorizaton revoked sooner. PEMGARDA is authorized for use only when the combined natonal frequency of variants with substantally reduced susceptbility to PEMGARDA is less than or equal to 90%, based on available informaton including variant susceptbility to PEMGARDA and natonal variant frequencies.</w:t>
      </w:r>
    </w:p>
    <w:p>
      <w:pPr>
        <w:spacing w:after="0" w:line="33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About VYD2311</w:t>
      </w:r>
    </w:p>
    <w:p>
      <w:pPr>
        <w:spacing w:after="0" w:line="117" w:lineRule="exact"/>
        <w:rPr>
          <w:sz w:val="20"/>
          <w:szCs w:val="20"/>
          <w:color w:val="auto"/>
        </w:rPr>
      </w:pPr>
    </w:p>
    <w:p>
      <w:pPr>
        <w:ind w:right="40"/>
        <w:spacing w:after="0" w:line="236" w:lineRule="auto"/>
        <w:rPr>
          <w:sz w:val="20"/>
          <w:szCs w:val="20"/>
          <w:color w:val="auto"/>
        </w:rPr>
      </w:pPr>
      <w:r>
        <w:rPr>
          <w:rFonts w:ascii="Calibri" w:cs="Calibri" w:eastAsia="Calibri" w:hAnsi="Calibri"/>
          <w:sz w:val="20"/>
          <w:szCs w:val="20"/>
          <w:color w:val="auto"/>
        </w:rPr>
        <w:t>VYD2311 is a novel monoclonal antbody (mAb) candidate being developed for COVID-19 to contnue to address the urgent need for new prophylactc and therapeutc optons. The pharmacokinetc profle and antviral potency of VYD2311 may ofer the ability to deliver clinically meaningful tter levels through more patent-friendly means such as an intramuscular route of administraton.</w:t>
      </w:r>
    </w:p>
    <w:p>
      <w:pPr>
        <w:spacing w:after="0" w:line="117" w:lineRule="exact"/>
        <w:rPr>
          <w:sz w:val="20"/>
          <w:szCs w:val="20"/>
          <w:color w:val="auto"/>
        </w:rPr>
      </w:pPr>
    </w:p>
    <w:p>
      <w:pPr>
        <w:spacing w:after="0" w:line="237" w:lineRule="auto"/>
        <w:rPr>
          <w:sz w:val="20"/>
          <w:szCs w:val="20"/>
          <w:color w:val="auto"/>
        </w:rPr>
      </w:pPr>
      <w:r>
        <w:rPr>
          <w:rFonts w:ascii="Calibri" w:cs="Calibri" w:eastAsia="Calibri" w:hAnsi="Calibri"/>
          <w:sz w:val="20"/>
          <w:szCs w:val="20"/>
          <w:color w:val="auto"/>
        </w:rPr>
        <w:t>VYD2311 was engineered using Invivyd's proprietary integrated technology platorm and is the product of serial molecular evoluton designed to generate an antbody optmized for neutralizing contemporary virus lineages. VYD2311 leverages the same antbody backbone as pemivibart, Invivyd's investgatonal mAb granted emergency use authorizaton in the U.S. for the pre-exposure prophylaxis (PrEP) of symptomatc COVID-19 in certain immunocompromised patents, and adintrevimab, Invivyd's investgatonal mAb that has a robust safety data package and demonstrated clinically meaningful results in global Phase 2/3 clinical trials for the preventon and treatment of COVID-19.</w:t>
      </w:r>
    </w:p>
    <w:p>
      <w:pPr>
        <w:spacing w:after="0" w:line="11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About Invivyd</w:t>
      </w:r>
    </w:p>
    <w:p>
      <w:pPr>
        <w:spacing w:after="0" w:line="117" w:lineRule="exact"/>
        <w:rPr>
          <w:sz w:val="20"/>
          <w:szCs w:val="20"/>
          <w:color w:val="auto"/>
        </w:rPr>
      </w:pPr>
    </w:p>
    <w:p>
      <w:pPr>
        <w:ind w:right="20"/>
        <w:spacing w:after="0" w:line="236" w:lineRule="auto"/>
        <w:rPr>
          <w:sz w:val="20"/>
          <w:szCs w:val="20"/>
          <w:color w:val="auto"/>
        </w:rPr>
      </w:pPr>
      <w:r>
        <w:rPr>
          <w:rFonts w:ascii="Calibri" w:cs="Calibri" w:eastAsia="Calibri" w:hAnsi="Calibri"/>
          <w:sz w:val="20"/>
          <w:szCs w:val="20"/>
          <w:color w:val="auto"/>
        </w:rPr>
        <w:t>Invivyd, Inc. (Nasdaq: IVVD) is a biopharmaceutcal company devoted to delivering protecton from serious viral infectous diseases, beginning with SARS-CoV-2. Invivyd deploys a proprietary integrated technology platorm unique in the industry designed to assess, monitor, develop, and adapt to create best in class antbodies. In March 2024, Invivyd received emergency use authorizaton (EUA) from the U.S. FDA for a monoclonal antbody (mAb) in its pipeline of innovatve antbody candidates. Visit htps://invivyd.com/ to learn more.</w:t>
      </w:r>
    </w:p>
    <w:p>
      <w:pPr>
        <w:spacing w:after="0" w:line="110" w:lineRule="exact"/>
        <w:rPr>
          <w:sz w:val="20"/>
          <w:szCs w:val="20"/>
          <w:color w:val="auto"/>
        </w:rPr>
      </w:pPr>
    </w:p>
    <w:p>
      <w:pPr>
        <w:spacing w:after="0"/>
        <w:rPr>
          <w:sz w:val="20"/>
          <w:szCs w:val="20"/>
          <w:color w:val="auto"/>
        </w:rPr>
      </w:pPr>
      <w:r>
        <w:rPr>
          <w:rFonts w:ascii="Calibri" w:cs="Calibri" w:eastAsia="Calibri" w:hAnsi="Calibri"/>
          <w:sz w:val="20"/>
          <w:szCs w:val="20"/>
          <w:color w:val="auto"/>
        </w:rPr>
        <w:t>Trademarks are the property of their respectve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1" w:right="359" w:bottom="1440" w:gutter="0" w:footer="0" w:header="0"/>
        </w:sectPr>
      </w:pPr>
    </w:p>
    <w:bookmarkStart w:id="6" w:name="page7"/>
    <w:bookmarkEnd w:id="6"/>
    <w:p>
      <w:pPr>
        <w:spacing w:after="0"/>
        <w:rPr>
          <w:sz w:val="20"/>
          <w:szCs w:val="20"/>
          <w:color w:val="auto"/>
        </w:rPr>
      </w:pPr>
      <w:r>
        <w:rPr>
          <w:rFonts w:ascii="Calibri" w:cs="Calibri" w:eastAsia="Calibri" w:hAnsi="Calibri"/>
          <w:sz w:val="20"/>
          <w:szCs w:val="20"/>
          <w:b w:val="1"/>
          <w:bCs w:val="1"/>
          <w:color w:val="auto"/>
        </w:rPr>
        <w:t>Cautonary Note Regarding Forward-Looking Statements</w:t>
      </w:r>
    </w:p>
    <w:p>
      <w:pPr>
        <w:spacing w:after="0" w:line="117" w:lineRule="exact"/>
        <w:rPr>
          <w:sz w:val="20"/>
          <w:szCs w:val="20"/>
          <w:color w:val="auto"/>
        </w:rPr>
      </w:pPr>
    </w:p>
    <w:p>
      <w:pPr>
        <w:spacing w:after="0" w:line="238" w:lineRule="auto"/>
        <w:rPr>
          <w:sz w:val="20"/>
          <w:szCs w:val="20"/>
          <w:color w:val="auto"/>
        </w:rPr>
      </w:pPr>
      <w:r>
        <w:rPr>
          <w:rFonts w:ascii="Calibri" w:cs="Calibri" w:eastAsia="Calibri" w:hAnsi="Calibri"/>
          <w:sz w:val="20"/>
          <w:szCs w:val="20"/>
          <w:color w:val="auto"/>
        </w:rPr>
        <w:t>This press release contains forward-looking statements within the meaning of the Private Securites Litgaton Reform Act of 1995. Words such as “antcipates,” “believes,” “could,” “expects,” “estmates,” “intends,” “potental,” “projects,” and “future” or similar expressions (as well as other words or expressions referencing future events, conditons or circumstances) are intended to identfy forward-looking statements. Forward-looking statements include statements concerning, among other things, the company’s eforts with the FDA to advance PEMGARDA as a COVID-19 treatment for certain immunocompromised patents and plans to rapidly advance VYD2311 in collaboraton with the FDA; expectatons regarding the COVID-19 landscape and beliefs regarding limitatons of current therapies for COVID-19; the potental of PEMGARDA™ to lessen the burden of COVID-19 death and hospitalizaton; the company’s plans to share detailed data and regulatory correspondence regarding pemivibart, VYD2311 and immunobridging of COVID-19 antbodies; the company’s ongoing research and development actvites, as well as future potental research and development eforts; the potental of PEMGARDA as a mAb for PrEP of COVID-19 in certain adults and adolescents who have moderate-to-severe immune compromise; the potental of VYD2311 as a novel mAb candidate and the potental of VYD2311 to deliver clinically meaningful tter levels through more patent-friendly means; the company’s devoton to delivering protecton from serious viral infectous diseases, beginning with SARS-CoV-2; and other statements that are not historical fact. The company may not actually achieve the plans, intentons or expectatons disclosed in the company’s forward-looking statements and you should not place undue reliance on the company’s forward-looking statements. These forward-looking statements involve risks and uncertaintes that could cause the company’s actual results to difer materially from the results described in or implied by the forward-looking statements, including, without limitaton: the outcome of the company’s eforts with the FDA to advance PEMGARDA as a COVID-19 treatment for certain immunocompromised patents and VYD2311 in collaboraton with the FDA; how long the EUA granted by the FDA for PEMGARDA for PrEP will remain in efect and whether the EUA is revised or revoked by the FDA; uncertaintes related to the regulatory authorizaton or approval process, and available development and regulatory pathways for authorizaton or approval of the company’s product candidates; the ability to maintain a contnued acceptable safety, tolerability and efcacy profle of any product candidate following regulatory authorizaton or approval; changes in the regulatory environment; the tming, progress and results of the company’s discovery, preclinical and clinical development actvites; the risk that results of nonclinical studies or clinical trials may not be predictve of future results, and interim data are subject to further analysis; unexpected safety or efcacy data observed during preclinical studies or clinical trials; the predictability of clinical success of the company’s product candidates based on neutralizing actvity in nonclinical studies; potental variability in neutralizing actvity of product candidates tested in diferent assays, such as pseudovirus assays and authentc assays; the company’s reliance on third partes with respect to virus assay creaton and product candidate testng and with respect to its clinical trials; variability of results in models and methods used to predict actvity against SARS-CoV-2 variants; whether the epitope that pemivibart and VYD2311 targets remains structurally intact; whether the company’s product candidates are able to demonstrate and sustain neutralizing actvity against major SARS-CoV-2 variants, partcularly in the face of viral evoluton; the company’s ability to maintain and expand sales, marketng and distributon capabilites to successfully commercialize PEMGARDA; changes in expected or existng competton; the company’s ability to contnue as a going concern; and whether the company has adequate funding to meet future operatng expenses and capital expenditure requirements. Other factors that may cause the company’s actual results to difer materially from those expressed or implied in the forward-looking statements in this press release are described under the heading “Risk Factors” in the company’s Annual Report on Form 10-K for the year ended December 31, 2023 and the company’s Quarterly Report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982980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1" w:right="339" w:bottom="1440" w:gutter="0" w:footer="0" w:header="0"/>
        </w:sectPr>
      </w:pPr>
    </w:p>
    <w:bookmarkStart w:id="7" w:name="page8"/>
    <w:bookmarkEnd w:id="7"/>
    <w:p>
      <w:pPr>
        <w:spacing w:after="0" w:line="236" w:lineRule="auto"/>
        <w:rPr>
          <w:sz w:val="20"/>
          <w:szCs w:val="20"/>
          <w:color w:val="auto"/>
        </w:rPr>
      </w:pPr>
      <w:r>
        <w:rPr>
          <w:rFonts w:ascii="Calibri" w:cs="Calibri" w:eastAsia="Calibri" w:hAnsi="Calibri"/>
          <w:sz w:val="20"/>
          <w:szCs w:val="20"/>
          <w:color w:val="auto"/>
        </w:rPr>
        <w:t>Form 10-Q for the quarter ended September 30, 2024, each fled with the Securites and Exchange Commission (SEC), and in the company’s other flings with the SEC, and in its future reports to be fled with the SEC and available at www.sec.gov. Forward-looking statements contained in this press release are made as of this date, and Invivyd undertakes no duty to update such informaton whether as a result of new informaton, future events or otherwise, except as required under applicable law.</w:t>
      </w:r>
    </w:p>
    <w:p>
      <w:pPr>
        <w:spacing w:after="0" w:line="110" w:lineRule="exact"/>
        <w:rPr>
          <w:sz w:val="20"/>
          <w:szCs w:val="20"/>
          <w:color w:val="auto"/>
        </w:rPr>
      </w:pPr>
    </w:p>
    <w:p>
      <w:pPr>
        <w:spacing w:after="0"/>
        <w:rPr>
          <w:sz w:val="20"/>
          <w:szCs w:val="20"/>
          <w:color w:val="auto"/>
        </w:rPr>
      </w:pPr>
      <w:r>
        <w:rPr>
          <w:rFonts w:ascii="Calibri" w:cs="Calibri" w:eastAsia="Calibri" w:hAnsi="Calibri"/>
          <w:sz w:val="20"/>
          <w:szCs w:val="20"/>
          <w:color w:val="auto"/>
        </w:rPr>
        <w:t>This press release contains hyperlinks to informaton that is not deemed to be incorporated by reference in this press release.</w:t>
      </w:r>
    </w:p>
    <w:p>
      <w:pPr>
        <w:spacing w:after="0" w:line="10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Contacts:</w:t>
      </w:r>
    </w:p>
    <w:p>
      <w:pPr>
        <w:spacing w:after="0" w:line="107" w:lineRule="exact"/>
        <w:rPr>
          <w:sz w:val="20"/>
          <w:szCs w:val="20"/>
          <w:color w:val="auto"/>
        </w:rPr>
      </w:pPr>
    </w:p>
    <w:p>
      <w:pPr>
        <w:spacing w:after="0"/>
        <w:rPr>
          <w:sz w:val="20"/>
          <w:szCs w:val="20"/>
          <w:color w:val="auto"/>
        </w:rPr>
      </w:pPr>
      <w:r>
        <w:rPr>
          <w:rFonts w:ascii="Calibri" w:cs="Calibri" w:eastAsia="Calibri" w:hAnsi="Calibri"/>
          <w:sz w:val="20"/>
          <w:szCs w:val="20"/>
          <w:color w:val="auto"/>
        </w:rPr>
        <w:t>Media Relatons</w:t>
      </w:r>
    </w:p>
    <w:p>
      <w:pPr>
        <w:spacing w:after="0" w:line="9" w:lineRule="exact"/>
        <w:rPr>
          <w:sz w:val="20"/>
          <w:szCs w:val="20"/>
          <w:color w:val="auto"/>
        </w:rPr>
      </w:pPr>
    </w:p>
    <w:p>
      <w:pPr>
        <w:ind w:right="9540" w:firstLine="8"/>
        <w:spacing w:after="0" w:line="234" w:lineRule="auto"/>
        <w:tabs>
          <w:tab w:leader="none" w:pos="476" w:val="left"/>
        </w:tabs>
        <w:numPr>
          <w:ilvl w:val="0"/>
          <w:numId w:val="4"/>
        </w:numPr>
        <w:rPr>
          <w:rFonts w:ascii="Calibri" w:cs="Calibri" w:eastAsia="Calibri" w:hAnsi="Calibri"/>
          <w:sz w:val="20"/>
          <w:szCs w:val="20"/>
          <w:color w:val="auto"/>
        </w:rPr>
      </w:pPr>
      <w:r>
        <w:rPr>
          <w:rFonts w:ascii="Calibri" w:cs="Calibri" w:eastAsia="Calibri" w:hAnsi="Calibri"/>
          <w:sz w:val="20"/>
          <w:szCs w:val="20"/>
          <w:color w:val="auto"/>
        </w:rPr>
        <w:t>208-1747 media@invivyd.com</w:t>
      </w:r>
    </w:p>
    <w:p>
      <w:pPr>
        <w:spacing w:after="0" w:line="243" w:lineRule="exact"/>
        <w:rPr>
          <w:sz w:val="20"/>
          <w:szCs w:val="20"/>
          <w:color w:val="auto"/>
        </w:rPr>
      </w:pPr>
    </w:p>
    <w:p>
      <w:pPr>
        <w:spacing w:after="0"/>
        <w:rPr>
          <w:sz w:val="20"/>
          <w:szCs w:val="20"/>
          <w:color w:val="auto"/>
        </w:rPr>
      </w:pPr>
      <w:r>
        <w:rPr>
          <w:rFonts w:ascii="Calibri" w:cs="Calibri" w:eastAsia="Calibri" w:hAnsi="Calibri"/>
          <w:sz w:val="20"/>
          <w:szCs w:val="20"/>
          <w:color w:val="auto"/>
        </w:rPr>
        <w:t>Investor Relatons</w:t>
      </w:r>
    </w:p>
    <w:p>
      <w:pPr>
        <w:spacing w:after="0" w:line="9" w:lineRule="exact"/>
        <w:rPr>
          <w:sz w:val="20"/>
          <w:szCs w:val="20"/>
          <w:color w:val="auto"/>
        </w:rPr>
      </w:pPr>
    </w:p>
    <w:p>
      <w:pPr>
        <w:ind w:right="9300" w:firstLine="8"/>
        <w:spacing w:after="0" w:line="234" w:lineRule="auto"/>
        <w:tabs>
          <w:tab w:leader="none" w:pos="476" w:val="left"/>
        </w:tabs>
        <w:numPr>
          <w:ilvl w:val="0"/>
          <w:numId w:val="5"/>
        </w:numPr>
        <w:rPr>
          <w:rFonts w:ascii="Calibri" w:cs="Calibri" w:eastAsia="Calibri" w:hAnsi="Calibri"/>
          <w:sz w:val="20"/>
          <w:szCs w:val="20"/>
          <w:color w:val="auto"/>
        </w:rPr>
      </w:pPr>
      <w:r>
        <w:rPr>
          <w:rFonts w:ascii="Calibri" w:cs="Calibri" w:eastAsia="Calibri" w:hAnsi="Calibri"/>
          <w:sz w:val="20"/>
          <w:szCs w:val="20"/>
          <w:color w:val="auto"/>
        </w:rPr>
        <w:t>208-1747 investors@invivyd.com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1440815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1" w:right="35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bullet"/>
      <w:start w:val="1"/>
    </w:lvl>
  </w:abstractNum>
  <w:abstractNum w:abstractNumId="3">
    <w:nsid w:val="238E1F29"/>
    <w:multiLevelType w:val="hybridMultilevel"/>
    <w:lvl w:ilvl="0">
      <w:lvlJc w:val="left"/>
      <w:lvlText w:val="(%1)"/>
      <w:numFmt w:val="decimal"/>
      <w:start w:val="781"/>
    </w:lvl>
  </w:abstractNum>
  <w:abstractNum w:abstractNumId="4">
    <w:nsid w:val="46E87CCD"/>
    <w:multiLevelType w:val="hybridMultilevel"/>
    <w:lvl w:ilvl="0">
      <w:lvlJc w:val="left"/>
      <w:lvlText w:val="(%1)"/>
      <w:numFmt w:val="decimal"/>
      <w:start w:val="78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2025-02-24T06:18:08Z</dcterms:created>
  <dcterms:modified xsi:type="dcterms:W3CDTF">2025-02-24T06:18:08Z</dcterms:modified>
</cp:coreProperties>
</file>