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24"/>
        <w:spacing w:after="0"/>
        <w:rPr>
          <w:sz w:val="20"/>
          <w:szCs w:val="20"/>
          <w:color w:val="auto"/>
        </w:rPr>
      </w:pPr>
      <w:r>
        <w:rPr>
          <w:rFonts w:ascii="Arial" w:cs="Arial" w:eastAsia="Arial" w:hAnsi="Arial"/>
          <w:sz w:val="22"/>
          <w:szCs w:val="22"/>
          <w:b w:val="1"/>
          <w:bCs w:val="1"/>
          <w:color w:val="auto"/>
        </w:rPr>
        <w:t>Date of Report (Date of earliest event reported):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303 Wyman Street, Suite 300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(603) 252-2274</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5.03 Amendments to Articles of Incorporation or Bylaws.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10, 2021, Adagio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filed an Amended and Restated Certificate of Incorporation, or the Restated Certificate, with the Secretary of State of the State of Delaware in connection with the closing of the Company’s initial public offering of its common stock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The Company’s board of directors and stockholders previously approved the Restated Certificate to be effective upon the closing of the IPO. The Restated Certificate is attached hereto as Exhibit 3.1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Bylaws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as of August 10, 2021, the Company adopted Amended and Restated Bylaws, or the Restated Bylaws, in connection with the closing of the IPO. The Company’s board of directors and stockholders previously approved the Restated Bylaws to be effective upon the closing of the IPO. The Restated Bylaws are attached hereto as Exhibit 3.2 and are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the description of the Restated Certificate and the Restated Bylaws in the section titled “Description of Capital Stock” in the final prospectus the Company filed with the U.S. Securities and Exchange Commission on August 6, 2021 pursuant to Rule 424(b) under the Securities Act of 1933, as amended, relating to the Registration Statement on Form S-1, as amended (File No. 333-257975).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420" w:type="dxa"/>
            <w:vAlign w:val="bottom"/>
          </w:tcPr>
          <w:p>
            <w:pPr>
              <w:ind w:left="100"/>
              <w:spacing w:after="0"/>
              <w:rPr>
                <w:sz w:val="20"/>
                <w:szCs w:val="20"/>
                <w:color w:val="auto"/>
              </w:rPr>
            </w:pPr>
            <w:r>
              <w:rPr>
                <w:rFonts w:ascii="Arial" w:cs="Arial" w:eastAsia="Arial" w:hAnsi="Arial"/>
                <w:sz w:val="14"/>
                <w:szCs w:val="14"/>
                <w:color w:val="auto"/>
              </w:rPr>
              <w:t>No.</w:t>
            </w:r>
          </w:p>
        </w:tc>
        <w:tc>
          <w:tcPr>
            <w:tcW w:w="540" w:type="dxa"/>
            <w:vAlign w:val="bottom"/>
          </w:tcPr>
          <w:p>
            <w:pPr>
              <w:spacing w:after="0"/>
              <w:rPr>
                <w:sz w:val="14"/>
                <w:szCs w:val="14"/>
                <w:color w:val="auto"/>
              </w:rPr>
            </w:pPr>
          </w:p>
        </w:tc>
        <w:tc>
          <w:tcPr>
            <w:tcW w:w="498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49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Amended and Restated Certificate of Incorporation of the Registrant.</w:t>
              </w:r>
            </w:hyperlink>
          </w:p>
        </w:tc>
      </w:tr>
      <w:tr>
        <w:trPr>
          <w:trHeight w:val="304"/>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3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Amended and Restated Bylaws of the Registrant.</w:t>
              </w:r>
            </w:hyperlink>
          </w:p>
        </w:tc>
        <w:tc>
          <w:tcPr>
            <w:tcW w:w="1440" w:type="dxa"/>
            <w:vAlign w:val="bottom"/>
          </w:tcPr>
          <w:p>
            <w:pPr>
              <w:spacing w:after="0"/>
              <w:rPr>
                <w:sz w:val="24"/>
                <w:szCs w:val="24"/>
                <w:color w:val="auto"/>
              </w:rPr>
            </w:pPr>
          </w:p>
        </w:tc>
      </w:tr>
    </w:tbl>
    <w:p>
      <w:pPr>
        <w:sectPr>
          <w:pgSz w:w="11900" w:h="16838" w:orient="portrait"/>
          <w:cols w:equalWidth="0" w:num="1">
            <w:col w:w="10900"/>
          </w:cols>
          <w:pgMar w:left="440" w:top="270"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August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Jane Pritchett Henderson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Adagio Therapeutics, Inc., a corporation organized and existing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as follows:</w:t>
      </w:r>
    </w:p>
    <w:p>
      <w:pPr>
        <w:spacing w:after="0" w:line="58"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F</w:t>
      </w:r>
      <w:r>
        <w:rPr>
          <w:rFonts w:ascii="Arial" w:cs="Arial" w:eastAsia="Arial" w:hAnsi="Arial"/>
          <w:sz w:val="13"/>
          <w:szCs w:val="13"/>
          <w:b w:val="1"/>
          <w:bCs w:val="1"/>
          <w:color w:val="auto"/>
        </w:rPr>
        <w:t>IRST</w:t>
      </w:r>
      <w:r>
        <w:rPr>
          <w:rFonts w:ascii="Arial" w:cs="Arial" w:eastAsia="Arial" w:hAnsi="Arial"/>
          <w:sz w:val="17"/>
          <w:szCs w:val="17"/>
          <w:color w:val="auto"/>
        </w:rPr>
        <w:t>: That the name of this corporation is Adagio Therapeutics, Inc. The original Certificate of Incorporation of the Company was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Secretary of State on June 3, 2020. An Amended and Restated Certificate of Incorporation was filed on July 9, 2020, an Amended and Restated Certificate of Incorporation was filed on October 30, 2020, an Amended and Restated Certificate of Incorporation was filed on April 15, 2021, and a Certificate of Amendment to the Amended and Restated Certificate of Incorporation was filed on July 30, 2021.</w:t>
      </w:r>
    </w:p>
    <w:p>
      <w:pPr>
        <w:spacing w:after="0" w:line="165"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ECOND</w:t>
      </w:r>
      <w:r>
        <w:rPr>
          <w:rFonts w:ascii="Arial" w:cs="Arial" w:eastAsia="Arial" w:hAnsi="Arial"/>
          <w:sz w:val="16"/>
          <w:szCs w:val="16"/>
          <w:color w:val="auto"/>
        </w:rPr>
        <w:t>: That the Board of Directors of the Company, acting in accordance with the provisions of Sections 141 and 242 of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duly adopted resolutions proposing to amend and restate the Certificate of Incorporation of the Company, declaring said amendment and restatement to be advisable and in the best interests of the Company and its stockholders, and authorizing the appropriate officers of the Company to solicit the consent of the stockholders therefore, and this Amended and Restated Certificate of Incorporation was approved by the holders of the requisite number of shares of stock of the Company in accordance with Section 228 of the DGCL.</w:t>
      </w:r>
    </w:p>
    <w:p>
      <w:pPr>
        <w:spacing w:after="0" w:line="154"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w:t>
      </w:r>
      <w:r>
        <w:rPr>
          <w:rFonts w:ascii="Arial" w:cs="Arial" w:eastAsia="Arial" w:hAnsi="Arial"/>
          <w:sz w:val="18"/>
          <w:szCs w:val="18"/>
          <w:color w:val="auto"/>
        </w:rPr>
        <w:t>: That this Amended and Restated Certificate of Incorporation has been duly adopted and approved by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in accordance with Sections 242 and 245 of the DGCL.</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OURTH</w:t>
      </w:r>
      <w:r>
        <w:rPr>
          <w:rFonts w:ascii="Arial" w:cs="Arial" w:eastAsia="Arial" w:hAnsi="Arial"/>
          <w:sz w:val="18"/>
          <w:szCs w:val="18"/>
          <w:color w:val="auto"/>
        </w:rPr>
        <w:t>: That this Amended and Restated Certificate of Incorporation so adopted reads in full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 in its entirety.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21"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Adagio Therapeutics, Inc. has caused this Amended and Restated Certificate of Incorporation to be signed by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on this 10th day of August 2021.</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address of the registered office of the Company in the State of Delaware is 3500 S. Dupont Hwy, in the city of Dover, county of Kent, Delaware 19901. The name of its registered agent at such address is Incorporating Services, Ltd.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purpose of the Company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right="140" w:firstLine="440"/>
        <w:spacing w:after="0" w:line="303"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Company is authorized to issue two classes of stock to be designated, respectively, “Common Stock” and “Preferred Stock.”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all classes of capital stock which the Company shall have authority to issue is one billion (1,000,000,000) shares shall be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each share having a par value of one-ten thousandth of one cent ($0.0001), and ten million (10,000,000) shares shall be Preferred Stock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each share having a par value of one-ten thousandth of one cent ($0.0001).</w:t>
      </w:r>
    </w:p>
    <w:p>
      <w:pPr>
        <w:spacing w:after="0" w:line="151"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The Preferred Stock may be issued from time to time in one or more series.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authorized to provide for the issue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as may be permitted by the DGCL.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The number of authorized shares of Preferred Stock may be increased or decreased (but not below the number of shares thereof then outstanding) by the affirmative vote of the holders of a majority of the voting power of the stock of the Company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ectPr>
          <w:pgSz w:w="11900" w:h="16838" w:orient="portrait"/>
          <w:cols w:equalWidth="0" w:num="1">
            <w:col w:w="11020"/>
          </w:cols>
          <w:pgMar w:left="440" w:top="270" w:right="439" w:bottom="1440" w:gutter="0" w:footer="0" w:header="0"/>
        </w:sectPr>
      </w:pPr>
    </w:p>
    <w:bookmarkStart w:id="5" w:name="page6"/>
    <w:bookmarkEnd w:id="5"/>
    <w:p>
      <w:pPr>
        <w:ind w:right="12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6"/>
          <w:szCs w:val="16"/>
          <w:color w:val="auto"/>
        </w:rPr>
        <w:t>Each outstanding share of Common Stock shall entitle the holder thereof to one vote on each matter properly submitted to the stockholders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for their vote;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M</w:t>
      </w:r>
      <w:r>
        <w:rPr>
          <w:rFonts w:ascii="Arial" w:cs="Arial" w:eastAsia="Arial" w:hAnsi="Arial"/>
          <w:sz w:val="13"/>
          <w:szCs w:val="13"/>
          <w:b w:val="1"/>
          <w:bCs w:val="1"/>
          <w:color w:val="auto"/>
        </w:rPr>
        <w:t>ANAGEMENT</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7"/>
          <w:szCs w:val="17"/>
          <w:b w:val="1"/>
          <w:bCs w:val="1"/>
          <w:color w:val="auto"/>
        </w:rPr>
        <w:t xml:space="preserve"> B</w:t>
      </w:r>
      <w:r>
        <w:rPr>
          <w:rFonts w:ascii="Arial" w:cs="Arial" w:eastAsia="Arial" w:hAnsi="Arial"/>
          <w:sz w:val="13"/>
          <w:szCs w:val="13"/>
          <w:b w:val="1"/>
          <w:bCs w:val="1"/>
          <w:color w:val="auto"/>
        </w:rPr>
        <w:t>USINESS</w:t>
      </w:r>
      <w:r>
        <w:rPr>
          <w:rFonts w:ascii="Arial" w:cs="Arial" w:eastAsia="Arial" w:hAnsi="Arial"/>
          <w:sz w:val="17"/>
          <w:szCs w:val="17"/>
          <w:color w:val="auto"/>
        </w:rPr>
        <w:t>. The management of the business and the conduct of the affairs of the Company shall be vested in its Board.</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82" w:lineRule="auto"/>
        <w:tabs>
          <w:tab w:leader="none" w:pos="117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Number</w:t>
      </w:r>
      <w:r>
        <w:rPr>
          <w:rFonts w:ascii="Arial" w:cs="Arial" w:eastAsia="Arial" w:hAnsi="Arial"/>
          <w:sz w:val="18"/>
          <w:szCs w:val="18"/>
          <w:color w:val="auto"/>
        </w:rPr>
        <w:t>. The number of directors that shall constitute the Board shall be fixed exclusively by resolutions adopted by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number of directors constituting the Board.</w:t>
      </w:r>
    </w:p>
    <w:p>
      <w:pPr>
        <w:spacing w:after="0" w:line="161" w:lineRule="exact"/>
        <w:rPr>
          <w:rFonts w:ascii="Arial" w:cs="Arial" w:eastAsia="Arial" w:hAnsi="Arial"/>
          <w:sz w:val="18"/>
          <w:szCs w:val="18"/>
          <w:b w:val="1"/>
          <w:bCs w:val="1"/>
          <w:color w:val="auto"/>
        </w:rPr>
      </w:pPr>
    </w:p>
    <w:p>
      <w:pPr>
        <w:ind w:firstLine="987"/>
        <w:spacing w:after="0" w:line="287" w:lineRule="auto"/>
        <w:tabs>
          <w:tab w:leader="none" w:pos="1171"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Subject to the rights of the holders of any series of Preferred Stock to elect additional directors under specified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closing of the initial public offering pursuant to an effective registration statement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covering the offer and sale of securities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sectPr>
          <w:pgSz w:w="11900" w:h="16838" w:orient="portrait"/>
          <w:cols w:equalWidth="0" w:num="1">
            <w:col w:w="11000"/>
          </w:cols>
          <w:pgMar w:left="440" w:top="270" w:right="459" w:bottom="1440" w:gutter="0" w:footer="0" w:header="0"/>
        </w:sectPr>
      </w:pPr>
    </w:p>
    <w:bookmarkStart w:id="6" w:name="page7"/>
    <w:bookmarkEnd w:id="6"/>
    <w:p>
      <w:pPr>
        <w:ind w:left="724" w:hanging="173"/>
        <w:spacing w:after="0"/>
        <w:tabs>
          <w:tab w:leader="none" w:pos="724"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436" w:right="340" w:firstLine="1428"/>
        <w:spacing w:after="0" w:line="277" w:lineRule="auto"/>
        <w:tabs>
          <w:tab w:leader="none" w:pos="1175"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Subject to the rights of any series of Preferred Stock to elect additional directors under specified circumstances, following the closing of the Initial Public Offering, neither the Board nor any individual director may be removed without cause.</w:t>
      </w:r>
    </w:p>
    <w:p>
      <w:pPr>
        <w:spacing w:after="0" w:line="170" w:lineRule="exact"/>
        <w:rPr>
          <w:rFonts w:ascii="Arial" w:cs="Arial" w:eastAsia="Arial" w:hAnsi="Arial"/>
          <w:sz w:val="18"/>
          <w:szCs w:val="18"/>
          <w:b w:val="1"/>
          <w:bCs w:val="1"/>
          <w:color w:val="auto"/>
        </w:rPr>
      </w:pPr>
    </w:p>
    <w:p>
      <w:pPr>
        <w:ind w:left="-436" w:right="80" w:firstLine="1428"/>
        <w:spacing w:after="0" w:line="263" w:lineRule="auto"/>
        <w:tabs>
          <w:tab w:leader="none" w:pos="1186"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law, any individual director or directors may be removed with cause by the affirmative vote of the holders of at least sixty-six and two-thirds percent (66 2/3%) of the voting power of all then-outstanding shares of capital stock of the Company entitled to vote generally at an election of directors.</w:t>
      </w:r>
    </w:p>
    <w:p>
      <w:pPr>
        <w:spacing w:after="0" w:line="179" w:lineRule="exact"/>
        <w:rPr>
          <w:rFonts w:ascii="Arial" w:cs="Arial" w:eastAsia="Arial" w:hAnsi="Arial"/>
          <w:sz w:val="18"/>
          <w:szCs w:val="18"/>
          <w:b w:val="1"/>
          <w:bCs w:val="1"/>
          <w:color w:val="auto"/>
        </w:rPr>
      </w:pPr>
    </w:p>
    <w:p>
      <w:pPr>
        <w:ind w:left="-436" w:firstLine="987"/>
        <w:spacing w:after="0" w:line="274" w:lineRule="auto"/>
        <w:tabs>
          <w:tab w:leader="none" w:pos="735" w:val="left"/>
        </w:tabs>
        <w:numPr>
          <w:ilvl w:val="1"/>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Vacancies</w:t>
      </w:r>
      <w:r>
        <w:rPr>
          <w:rFonts w:ascii="Arial" w:cs="Arial" w:eastAsia="Arial" w:hAnsi="Arial"/>
          <w:sz w:val="17"/>
          <w:szCs w:val="17"/>
          <w:color w:val="auto"/>
        </w:rPr>
        <w:t>. Subject to the rights of the holders of any series of Preferred Stock, any vacancies on the Board resulting from death,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disqualification, removal or other causes, and any newly created directorships resulting from any increase in the number of directors, shall, unless the Board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73" w:lineRule="exact"/>
        <w:rPr>
          <w:rFonts w:ascii="Arial" w:cs="Arial" w:eastAsia="Arial" w:hAnsi="Arial"/>
          <w:sz w:val="17"/>
          <w:szCs w:val="17"/>
          <w:b w:val="1"/>
          <w:bCs w:val="1"/>
          <w:color w:val="auto"/>
        </w:rPr>
      </w:pPr>
    </w:p>
    <w:p>
      <w:pPr>
        <w:ind w:left="-436" w:right="40" w:firstLine="436"/>
        <w:spacing w:after="0" w:line="294" w:lineRule="auto"/>
        <w:tabs>
          <w:tab w:leader="none" w:pos="2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w:t>
      </w:r>
      <w:r>
        <w:rPr>
          <w:rFonts w:ascii="Arial" w:cs="Arial" w:eastAsia="Arial" w:hAnsi="Arial"/>
          <w:sz w:val="12"/>
          <w:szCs w:val="12"/>
          <w:b w:val="1"/>
          <w:bCs w:val="1"/>
          <w:color w:val="auto"/>
        </w:rPr>
        <w:t>YLAW</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MENDMENTS</w:t>
      </w:r>
      <w:r>
        <w:rPr>
          <w:rFonts w:ascii="Arial" w:cs="Arial" w:eastAsia="Arial" w:hAnsi="Arial"/>
          <w:sz w:val="16"/>
          <w:szCs w:val="16"/>
          <w:color w:val="auto"/>
        </w:rPr>
        <w:t>. The Board is expressly empowered to adopt, amend or repeal the Bylaws of the Company. Any adoption,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repeal of the Bylaws of the Company by the Board shall require the approval of a majority of the authorized number of directors. The stockholders shall also have power to adopt, amend or repeal the Bylaws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sixty-six and two-thirds percent (66 2/3%) of the voting power of all of the then-outstanding shares of the capital stock of the Company entitled to vote generally in the election of directors, voting together as a single class.</w:t>
      </w:r>
    </w:p>
    <w:p>
      <w:pPr>
        <w:spacing w:after="0" w:line="159" w:lineRule="exact"/>
        <w:rPr>
          <w:rFonts w:ascii="Arial" w:cs="Arial" w:eastAsia="Arial" w:hAnsi="Arial"/>
          <w:sz w:val="16"/>
          <w:szCs w:val="16"/>
          <w:b w:val="1"/>
          <w:bCs w:val="1"/>
          <w:color w:val="auto"/>
        </w:rPr>
      </w:pPr>
    </w:p>
    <w:p>
      <w:pPr>
        <w:ind w:left="224" w:hanging="224"/>
        <w:spacing w:after="0"/>
        <w:tabs>
          <w:tab w:leader="none" w:pos="2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RITTEN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ALLOTS</w:t>
      </w:r>
      <w:r>
        <w:rPr>
          <w:rFonts w:ascii="Arial" w:cs="Arial" w:eastAsia="Arial" w:hAnsi="Arial"/>
          <w:sz w:val="18"/>
          <w:szCs w:val="18"/>
          <w:color w:val="auto"/>
        </w:rPr>
        <w:t>. The directors of the Company need not be elected by written ballot unless the Bylaws so provide.</w:t>
      </w:r>
    </w:p>
    <w:p>
      <w:pPr>
        <w:spacing w:after="0" w:line="225" w:lineRule="exact"/>
        <w:rPr>
          <w:rFonts w:ascii="Arial" w:cs="Arial" w:eastAsia="Arial" w:hAnsi="Arial"/>
          <w:sz w:val="18"/>
          <w:szCs w:val="18"/>
          <w:b w:val="1"/>
          <w:bCs w:val="1"/>
          <w:color w:val="auto"/>
        </w:rPr>
      </w:pPr>
    </w:p>
    <w:p>
      <w:pPr>
        <w:ind w:left="-436" w:right="540" w:firstLine="436"/>
        <w:spacing w:after="0" w:line="347" w:lineRule="auto"/>
        <w:tabs>
          <w:tab w:leader="none" w:pos="21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2"/>
          <w:szCs w:val="12"/>
          <w:b w:val="1"/>
          <w:bCs w:val="1"/>
          <w:color w:val="auto"/>
        </w:rPr>
        <w:t>CTION</w:t>
      </w:r>
      <w:r>
        <w:rPr>
          <w:rFonts w:ascii="Arial" w:cs="Arial" w:eastAsia="Arial" w:hAnsi="Arial"/>
          <w:sz w:val="16"/>
          <w:szCs w:val="16"/>
          <w:b w:val="1"/>
          <w:bCs w:val="1"/>
          <w:color w:val="auto"/>
        </w:rPr>
        <w:t xml:space="preserve"> B</w:t>
      </w:r>
      <w:r>
        <w:rPr>
          <w:rFonts w:ascii="Arial" w:cs="Arial" w:eastAsia="Arial" w:hAnsi="Arial"/>
          <w:sz w:val="12"/>
          <w:szCs w:val="12"/>
          <w:b w:val="1"/>
          <w:bCs w:val="1"/>
          <w:color w:val="auto"/>
        </w:rPr>
        <w:t>Y</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6"/>
          <w:szCs w:val="16"/>
          <w:color w:val="auto"/>
        </w:rPr>
        <w:t>. No action shall be taken by the stockholders of the Company except at an annual or special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called in accordance with the Bylaws and no action shall be taken by the stockholders by written consent or electronic transmission.</w:t>
      </w:r>
    </w:p>
    <w:p>
      <w:pPr>
        <w:spacing w:after="0" w:line="115" w:lineRule="exact"/>
        <w:rPr>
          <w:rFonts w:ascii="Arial" w:cs="Arial" w:eastAsia="Arial" w:hAnsi="Arial"/>
          <w:sz w:val="16"/>
          <w:szCs w:val="16"/>
          <w:b w:val="1"/>
          <w:bCs w:val="1"/>
          <w:color w:val="auto"/>
        </w:rPr>
      </w:pPr>
    </w:p>
    <w:p>
      <w:pPr>
        <w:ind w:left="-436" w:right="380" w:firstLine="436"/>
        <w:spacing w:after="0" w:line="312" w:lineRule="auto"/>
        <w:tabs>
          <w:tab w:leader="none" w:pos="187"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DVANCE</w:t>
      </w:r>
      <w:r>
        <w:rPr>
          <w:rFonts w:ascii="Arial" w:cs="Arial" w:eastAsia="Arial" w:hAnsi="Arial"/>
          <w:sz w:val="17"/>
          <w:szCs w:val="17"/>
          <w:b w:val="1"/>
          <w:bCs w:val="1"/>
          <w:color w:val="auto"/>
        </w:rPr>
        <w:t xml:space="preserve"> N</w:t>
      </w:r>
      <w:r>
        <w:rPr>
          <w:rFonts w:ascii="Arial" w:cs="Arial" w:eastAsia="Arial" w:hAnsi="Arial"/>
          <w:sz w:val="13"/>
          <w:szCs w:val="13"/>
          <w:b w:val="1"/>
          <w:bCs w:val="1"/>
          <w:color w:val="auto"/>
        </w:rPr>
        <w:t>OTICE</w:t>
      </w:r>
      <w:r>
        <w:rPr>
          <w:rFonts w:ascii="Arial" w:cs="Arial" w:eastAsia="Arial" w:hAnsi="Arial"/>
          <w:sz w:val="17"/>
          <w:szCs w:val="17"/>
          <w:color w:val="auto"/>
        </w:rPr>
        <w:t>. Advance notice of stockholder nominations for the election of directors and of business to be brought by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meeting of the stockholders of the Company shall be given in the manner provided in the Bylaws of the Company.</w:t>
      </w:r>
    </w:p>
    <w:p>
      <w:pPr>
        <w:sectPr>
          <w:pgSz w:w="11900" w:h="16838" w:orient="portrait"/>
          <w:cols w:equalWidth="0" w:num="1">
            <w:col w:w="10544"/>
          </w:cols>
          <w:pgMar w:left="876" w:top="270"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w:t>
      </w:r>
    </w:p>
    <w:p>
      <w:pPr>
        <w:spacing w:after="0" w:line="225"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for monetary damages shall be eliminated to the fullest extent under applicable law. If the DGCL is amended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 corporate action further eliminating or limiting the personal liability of directors, then the liability of a director of the Company shall be eliminated to the fullest extent permitted by the DGCL, as so amended.</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Any repeal or modification of this Article VI shall be prospective and shall not affect the rights under this Article VI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alleged occurrence of any act or omission to act giving rise to liability or indemnification.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Unless the Company consents in writing to the selection of an alternative forum, the Court of Chancery of the State of Delaware (or, if and only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(i) any derivative claim or cause of action brought on behalf of the Company; (ii) any claim or cause of action for breach of a fiduciary duty owed by any current or former director, officer or other employee of the Company, to the Company or the Company’s stockholders; (iii) any claim or cause of action against the Company or any current or former director, officer or other employee of the Company, arising out of or pursuant to any provision of the DGCL, this Amended and Restated Certificate of Incorporation or the Bylaws of the Company (as each may be amended from time to time); (iv) any claim or cause of action seeking to interpret, apply, enforce or determine the validity of this Amended and Restated Certificate of Incorporation or the Bylaws of the Company (as each may be amended from time to time, including any right, obligation, or remedy thereunder); (v) any claim or cause of action as to which the DGCL confers jurisdiction on the Court of Chancery of the State of Delaware; and (vi) any claim or cause of action against the Company or any current or former director, officer or other employee of the Company, governed by the internal-affairs doctrine, in all cases to the fullest extent permitted by law and subject to the court having personal jurisdiction over the indispensable parties named as defendants. This Section A of Article VII shall not apply to claims or causes of action brought to enforce a duty or liability created by the Securities Act, or the Securities Exchange Act of 1934, as amended, or any other claim for which the federal courts have exclusive jurisdiction.</w:t>
      </w:r>
    </w:p>
    <w:p>
      <w:pPr>
        <w:spacing w:after="0" w:line="18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Unless the Company consents in writing to the selection of an alternative forum, to the fullest extent permitted by law, the federal district courts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United States of America shall be the exclusive forum for the resolution of any complaint asserting a cause of action arising under the Securities Act.</w:t>
      </w:r>
    </w:p>
    <w:p>
      <w:pPr>
        <w:spacing w:after="0" w:line="17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Any person or entity holding, owning or otherwise acquiring any interest in any security of the Company shall be deemed to have notice of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consented to the provisions of this Amended and Restated Certificate of Incorporation.</w:t>
      </w:r>
    </w:p>
    <w:p>
      <w:pPr>
        <w:sectPr>
          <w:pgSz w:w="11900" w:h="16838" w:orient="portrait"/>
          <w:cols w:equalWidth="0" w:num="1">
            <w:col w:w="11000"/>
          </w:cols>
          <w:pgMar w:left="440" w:top="270"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VIII.</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Company reserves the right to amend, alter, change or repeal any provision contained in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the manner now or hereafter prescribed by statute, except as provided in paragraph B. of this Article VIII, and all rights conferred upon the stockholders herein are granted subject to this reservation.</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Notwithstanding any other provisions of this Amended and Restated Certificate of Incorporation or any provision of law which might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permit a lesser vote or no vote, but in addition to any affirmative vote of the holders of any particular class or series of the Company required by law or by this Amended and Restated Certificate of Incorporation or any certificate of designation filed with respect to a series of Preferred Stock that may be designated from time to time, the affirmative vote of the holders of at least sixty-six and two-thirds percent (66 2/3%) of the voting power of all of the then-outstanding shares of capital stock of the Company entitled to vote generally in the election of directors, voting together as a single class, shall be required to alter, amend or repeal Articles V, VI, VII and VIII.</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000"/>
          </w:cols>
          <w:pgMar w:left="440" w:top="270" w:right="4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August 10, 2021</w:t>
      </w:r>
    </w:p>
    <w:p>
      <w:pPr>
        <w:sectPr>
          <w:pgSz w:w="11900" w:h="16838" w:orient="portrait"/>
          <w:cols w:equalWidth="0" w:num="1">
            <w:col w:w="10020"/>
          </w:cols>
          <w:pgMar w:left="1440" w:top="121" w:right="4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ADAGIO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shall be established and maintained at the office of Incorporating Services, Ltd., 3500 S.</w:t>
      </w:r>
      <w:r>
        <w:rPr>
          <w:rFonts w:ascii="Arial" w:cs="Arial" w:eastAsia="Arial" w:hAnsi="Arial"/>
          <w:sz w:val="18"/>
          <w:szCs w:val="18"/>
          <w:b w:val="1"/>
          <w:bCs w:val="1"/>
          <w:color w:val="auto"/>
        </w:rPr>
        <w:t xml:space="preserve"> </w:t>
      </w:r>
      <w:r>
        <w:rPr>
          <w:rFonts w:ascii="Arial" w:cs="Arial" w:eastAsia="Arial" w:hAnsi="Arial"/>
          <w:sz w:val="18"/>
          <w:szCs w:val="18"/>
          <w:color w:val="auto"/>
        </w:rPr>
        <w:t>Dupont Hwy, in the city of Dover, county of Kent, Delaware 19901, and said corporation, or other such person or entity as the Board of Directors may from time to time designate, shall be the registered agent of the corporation.</w:t>
      </w:r>
    </w:p>
    <w:p>
      <w:pPr>
        <w:spacing w:after="0" w:line="176"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If adopted, the corporate seal shall consist of a die bearing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the corporation and the inscription, “Corporate Seal-Delaware.” Said seal may be used by causing it or a facsimile thereof to be impressed or affixed or reproduced or otherwise.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right="34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Annual Meetings</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96" w:lineRule="auto"/>
        <w:tabs>
          <w:tab w:leader="none" w:pos="1246"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w:t>
      </w:r>
    </w:p>
    <w:p>
      <w:pPr>
        <w:sectPr>
          <w:pgSz w:w="11900" w:h="16838" w:orient="portrait"/>
          <w:cols w:equalWidth="0" w:num="1">
            <w:col w:w="10980"/>
          </w:cols>
          <w:pgMar w:left="440" w:top="270" w:right="479" w:bottom="1440" w:gutter="0" w:footer="0" w:header="0"/>
        </w:sectPr>
      </w:pPr>
    </w:p>
    <w:bookmarkStart w:id="11" w:name="page12"/>
    <w:bookmarkEnd w:id="11"/>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8"/>
          <w:szCs w:val="18"/>
          <w:b w:val="1"/>
          <w:bCs w:val="1"/>
          <w:i w:val="1"/>
          <w:iCs w:val="1"/>
          <w:color w:val="auto"/>
        </w:rPr>
        <w:t>1934 Act</w:t>
      </w:r>
      <w:r>
        <w:rPr>
          <w:rFonts w:ascii="Arial" w:cs="Arial" w:eastAsia="Arial" w:hAnsi="Arial"/>
          <w:sz w:val="18"/>
          <w:szCs w:val="18"/>
          <w:color w:val="auto"/>
        </w:rPr>
        <w:t>”)) before an annual meeting of stockholders.</w:t>
      </w:r>
    </w:p>
    <w:p>
      <w:pPr>
        <w:spacing w:after="0" w:line="80" w:lineRule="exact"/>
        <w:rPr>
          <w:sz w:val="20"/>
          <w:szCs w:val="20"/>
          <w:color w:val="auto"/>
        </w:rPr>
      </w:pPr>
    </w:p>
    <w:p>
      <w:pPr>
        <w:ind w:right="360" w:firstLine="987"/>
        <w:spacing w:after="0" w:line="277" w:lineRule="auto"/>
        <w:tabs>
          <w:tab w:leader="none" w:pos="1256"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is a proper matter for stockholder action under Delaware law and as shall have been properly brought before the meeting.</w:t>
      </w:r>
    </w:p>
    <w:p>
      <w:pPr>
        <w:spacing w:after="0" w:line="62" w:lineRule="exact"/>
        <w:rPr>
          <w:rFonts w:ascii="Arial" w:cs="Arial" w:eastAsia="Arial" w:hAnsi="Arial"/>
          <w:sz w:val="18"/>
          <w:szCs w:val="18"/>
          <w:b w:val="1"/>
          <w:bCs w:val="1"/>
          <w:color w:val="auto"/>
        </w:rPr>
      </w:pPr>
    </w:p>
    <w:p>
      <w:pPr>
        <w:ind w:right="60" w:firstLine="1428"/>
        <w:spacing w:after="0" w:line="286" w:lineRule="auto"/>
        <w:tabs>
          <w:tab w:leader="none" w:pos="1687"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65" w:lineRule="exact"/>
        <w:rPr>
          <w:rFonts w:ascii="Arial" w:cs="Arial" w:eastAsia="Arial" w:hAnsi="Arial"/>
          <w:sz w:val="16"/>
          <w:szCs w:val="16"/>
          <w:b w:val="1"/>
          <w:bCs w:val="1"/>
          <w:color w:val="auto"/>
        </w:rPr>
      </w:pPr>
    </w:p>
    <w:p>
      <w:pPr>
        <w:ind w:firstLine="1428"/>
        <w:spacing w:after="0" w:line="270" w:lineRule="auto"/>
        <w:tabs>
          <w:tab w:leader="none" w:pos="1687" w:val="left"/>
        </w:tabs>
        <w:numPr>
          <w:ilvl w:val="1"/>
          <w:numId w:val="6"/>
        </w:numPr>
        <w:rPr>
          <w:rFonts w:ascii="Arial" w:cs="Arial" w:eastAsia="Arial" w:hAnsi="Arial"/>
          <w:sz w:val="17"/>
          <w:szCs w:val="17"/>
          <w:b w:val="1"/>
          <w:bCs w:val="1"/>
          <w:color w:val="auto"/>
        </w:rPr>
      </w:pPr>
      <w:r>
        <w:rPr>
          <w:rFonts w:ascii="Arial" w:cs="Arial" w:eastAsia="Arial" w:hAnsi="Arial"/>
          <w:sz w:val="17"/>
          <w:szCs w:val="17"/>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2" w:name="page13"/>
    <w:bookmarkEnd w:id="12"/>
    <w:p>
      <w:pPr>
        <w:ind w:left="4" w:right="140" w:firstLine="1428"/>
        <w:spacing w:after="0" w:line="286" w:lineRule="auto"/>
        <w:tabs>
          <w:tab w:leader="none" w:pos="1691" w:val="left"/>
        </w:tabs>
        <w:numPr>
          <w:ilvl w:val="1"/>
          <w:numId w:val="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timely, the written notice required by Section 5(b)(1) or 5(b)(2) must be received by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subject to the last sentence of this Section 5(b)(3), in the event that the date of the annual meeting is advanced more than thirty (30) days prior to or delayed by more than thirty</w:t>
      </w:r>
    </w:p>
    <w:p>
      <w:pPr>
        <w:spacing w:after="0" w:line="1" w:lineRule="exact"/>
        <w:rPr>
          <w:rFonts w:ascii="Arial" w:cs="Arial" w:eastAsia="Arial" w:hAnsi="Arial"/>
          <w:sz w:val="16"/>
          <w:szCs w:val="16"/>
          <w:b w:val="1"/>
          <w:bCs w:val="1"/>
          <w:color w:val="auto"/>
        </w:rPr>
      </w:pPr>
    </w:p>
    <w:p>
      <w:pPr>
        <w:ind w:left="4" w:right="80" w:hanging="4"/>
        <w:spacing w:after="0" w:line="271" w:lineRule="auto"/>
        <w:tabs>
          <w:tab w:leader="none" w:pos="349" w:val="left"/>
        </w:tabs>
        <w:numPr>
          <w:ilvl w:val="0"/>
          <w:numId w:val="8"/>
        </w:numPr>
        <w:rPr>
          <w:rFonts w:ascii="Arial" w:cs="Arial" w:eastAsia="Arial" w:hAnsi="Arial"/>
          <w:sz w:val="17"/>
          <w:szCs w:val="17"/>
          <w:color w:val="auto"/>
        </w:rPr>
      </w:pPr>
      <w:r>
        <w:rPr>
          <w:rFonts w:ascii="Arial" w:cs="Arial" w:eastAsia="Arial" w:hAnsi="Arial"/>
          <w:sz w:val="17"/>
          <w:szCs w:val="17"/>
          <w:color w:val="auto"/>
        </w:rPr>
        <w:t>days after the anniversary of the preceding year’s annual meeting, notice by the stockholder to be timely must be so received not earlier than the close of business on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annual meeting and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70" w:lineRule="exact"/>
        <w:rPr>
          <w:rFonts w:ascii="Arial" w:cs="Arial" w:eastAsia="Arial" w:hAnsi="Arial"/>
          <w:sz w:val="17"/>
          <w:szCs w:val="17"/>
          <w:color w:val="auto"/>
        </w:rPr>
      </w:pPr>
    </w:p>
    <w:p>
      <w:pPr>
        <w:ind w:left="4" w:firstLine="1428"/>
        <w:spacing w:after="0" w:line="268" w:lineRule="auto"/>
        <w:tabs>
          <w:tab w:leader="none" w:pos="1691"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Arial" w:cs="Arial" w:eastAsia="Arial" w:hAnsi="Arial"/>
          <w:sz w:val="17"/>
          <w:szCs w:val="17"/>
          <w:b w:val="1"/>
          <w:bCs w:val="1"/>
          <w:i w:val="1"/>
          <w:iCs w:val="1"/>
          <w:color w:val="auto"/>
        </w:rPr>
        <w:t>Proponent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Proponents</w:t>
      </w:r>
      <w:r>
        <w:rPr>
          <w:rFonts w:ascii="Arial" w:cs="Arial" w:eastAsia="Arial" w:hAnsi="Arial"/>
          <w:sz w:val="17"/>
          <w:szCs w:val="17"/>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8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For purposes of Sections 5 and 6, a “</w:t>
      </w:r>
      <w:r>
        <w:rPr>
          <w:rFonts w:ascii="Arial" w:cs="Arial" w:eastAsia="Arial" w:hAnsi="Arial"/>
          <w:sz w:val="18"/>
          <w:szCs w:val="18"/>
          <w:b w:val="1"/>
          <w:bCs w:val="1"/>
          <w:i w:val="1"/>
          <w:i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Proponent or any of its affiliates or associates, whether record or beneficial:</w:t>
      </w:r>
    </w:p>
    <w:p>
      <w:pPr>
        <w:spacing w:after="0" w:line="62" w:lineRule="exact"/>
        <w:rPr>
          <w:sz w:val="20"/>
          <w:szCs w:val="20"/>
          <w:color w:val="auto"/>
        </w:rPr>
      </w:pPr>
    </w:p>
    <w:p>
      <w:pPr>
        <w:ind w:left="744" w:hanging="304"/>
        <w:spacing w:after="0"/>
        <w:tabs>
          <w:tab w:leader="none" w:pos="74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value of which is derived in whole or in part from the value of any class or series of shares or other securities of the corporation,</w:t>
      </w:r>
    </w:p>
    <w:p>
      <w:pPr>
        <w:spacing w:after="0" w:line="169" w:lineRule="exact"/>
        <w:rPr>
          <w:rFonts w:ascii="Arial" w:cs="Arial" w:eastAsia="Arial" w:hAnsi="Arial"/>
          <w:sz w:val="17"/>
          <w:szCs w:val="17"/>
          <w:color w:val="auto"/>
        </w:rPr>
      </w:pPr>
    </w:p>
    <w:p>
      <w:pPr>
        <w:ind w:left="5444"/>
        <w:spacing w:after="0"/>
        <w:rPr>
          <w:rFonts w:ascii="Arial" w:cs="Arial" w:eastAsia="Arial" w:hAnsi="Arial"/>
          <w:sz w:val="17"/>
          <w:szCs w:val="17"/>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3" w:name="page14"/>
    <w:bookmarkEnd w:id="13"/>
    <w:p>
      <w:pPr>
        <w:ind w:left="444" w:right="40" w:hanging="4"/>
        <w:spacing w:after="0" w:line="277" w:lineRule="auto"/>
        <w:tabs>
          <w:tab w:leader="none" w:pos="699"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otherwise provides any direct or indirect opportunity to gain or share in any gain derived from a change in the value of securities of the corporation,</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(z) the effect or intent of which is to mitigate loss, manage risk or benefit of security value or price changes, or</w:t>
      </w:r>
    </w:p>
    <w:p>
      <w:pPr>
        <w:spacing w:after="0" w:line="117" w:lineRule="exact"/>
        <w:rPr>
          <w:sz w:val="20"/>
          <w:szCs w:val="20"/>
          <w:color w:val="auto"/>
        </w:rPr>
      </w:pPr>
    </w:p>
    <w:p>
      <w:pPr>
        <w:ind w:left="444" w:right="60" w:hanging="4"/>
        <w:spacing w:after="0" w:line="277"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which provides the right to vote or increase or decrease the voting power of, such Proponent, or any of its affiliates or associates, with respect to any securities of the corporation,</w:t>
      </w:r>
    </w:p>
    <w:p>
      <w:pPr>
        <w:spacing w:after="0" w:line="170"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68" w:lineRule="exact"/>
        <w:rPr>
          <w:sz w:val="20"/>
          <w:szCs w:val="20"/>
          <w:color w:val="auto"/>
        </w:rPr>
      </w:pPr>
    </w:p>
    <w:p>
      <w:pPr>
        <w:ind w:left="4" w:right="160" w:firstLine="987"/>
        <w:spacing w:after="0" w:line="287" w:lineRule="auto"/>
        <w:tabs>
          <w:tab w:leader="none" w:pos="1240"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A stockholder providing written notice required by Section 5(b)(1) or (2)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2" w:lineRule="exact"/>
        <w:rPr>
          <w:rFonts w:ascii="Arial" w:cs="Arial" w:eastAsia="Arial" w:hAnsi="Arial"/>
          <w:sz w:val="16"/>
          <w:szCs w:val="16"/>
          <w:b w:val="1"/>
          <w:bCs w:val="1"/>
          <w:color w:val="auto"/>
        </w:rPr>
      </w:pPr>
    </w:p>
    <w:p>
      <w:pPr>
        <w:ind w:left="4" w:hanging="4"/>
        <w:spacing w:after="0" w:line="292"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54" w:lineRule="exact"/>
        <w:rPr>
          <w:rFonts w:ascii="Arial" w:cs="Arial" w:eastAsia="Arial" w:hAnsi="Arial"/>
          <w:sz w:val="16"/>
          <w:szCs w:val="16"/>
          <w:color w:val="auto"/>
        </w:rPr>
      </w:pPr>
    </w:p>
    <w:p>
      <w:pPr>
        <w:ind w:left="4" w:right="40" w:firstLine="987"/>
        <w:spacing w:after="0" w:line="271" w:lineRule="auto"/>
        <w:tabs>
          <w:tab w:leader="none" w:pos="1260" w:val="left"/>
        </w:tabs>
        <w:numPr>
          <w:ilvl w:val="1"/>
          <w:numId w:val="13"/>
        </w:numPr>
        <w:rPr>
          <w:rFonts w:ascii="Arial" w:cs="Arial" w:eastAsia="Arial" w:hAnsi="Arial"/>
          <w:sz w:val="17"/>
          <w:szCs w:val="17"/>
          <w:b w:val="1"/>
          <w:bCs w:val="1"/>
          <w:color w:val="auto"/>
        </w:rPr>
      </w:pPr>
      <w:r>
        <w:rPr>
          <w:rFonts w:ascii="Arial" w:cs="Arial" w:eastAsia="Arial" w:hAnsi="Arial"/>
          <w:sz w:val="17"/>
          <w:szCs w:val="17"/>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Arial" w:cs="Arial" w:eastAsia="Arial" w:hAnsi="Arial"/>
          <w:sz w:val="17"/>
          <w:szCs w:val="17"/>
          <w:b w:val="1"/>
          <w:bCs w:val="1"/>
          <w:i w:val="1"/>
          <w:iCs w:val="1"/>
          <w:color w:val="auto"/>
        </w:rPr>
        <w:t>Expiring Class</w:t>
      </w:r>
      <w:r>
        <w:rPr>
          <w:rFonts w:ascii="Arial" w:cs="Arial" w:eastAsia="Arial" w:hAnsi="Arial"/>
          <w:sz w:val="17"/>
          <w:szCs w:val="17"/>
          <w:color w:val="auto"/>
        </w:rPr>
        <w:t>” shall mean a class of directors whose term shall expire at the next annual meeting of stockholders.</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14" w:name="page15"/>
    <w:bookmarkEnd w:id="14"/>
    <w:p>
      <w:pPr>
        <w:ind w:left="1244" w:hanging="253"/>
        <w:spacing w:after="0"/>
        <w:tabs>
          <w:tab w:leader="none" w:pos="1244" w:val="left"/>
        </w:tabs>
        <w:numPr>
          <w:ilvl w:val="1"/>
          <w:numId w:val="1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person shall not be eligible for election or re-election as a director unless the person is nominated either in accordance with clause</w:t>
      </w:r>
    </w:p>
    <w:p>
      <w:pPr>
        <w:spacing w:after="0" w:line="46" w:lineRule="exact"/>
        <w:rPr>
          <w:rFonts w:ascii="Arial" w:cs="Arial" w:eastAsia="Arial" w:hAnsi="Arial"/>
          <w:sz w:val="16"/>
          <w:szCs w:val="16"/>
          <w:b w:val="1"/>
          <w:bCs w:val="1"/>
          <w:color w:val="auto"/>
        </w:rPr>
      </w:pPr>
    </w:p>
    <w:p>
      <w:pPr>
        <w:ind w:left="4" w:right="20" w:hanging="4"/>
        <w:spacing w:after="0" w:line="252" w:lineRule="auto"/>
        <w:tabs>
          <w:tab w:leader="none" w:pos="2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85" w:lineRule="exact"/>
        <w:rPr>
          <w:rFonts w:ascii="Arial" w:cs="Arial" w:eastAsia="Arial" w:hAnsi="Arial"/>
          <w:sz w:val="18"/>
          <w:szCs w:val="18"/>
          <w:color w:val="auto"/>
        </w:rPr>
      </w:pPr>
    </w:p>
    <w:p>
      <w:pPr>
        <w:ind w:left="4" w:firstLine="987"/>
        <w:spacing w:after="0" w:line="255" w:lineRule="auto"/>
        <w:tabs>
          <w:tab w:leader="none" w:pos="122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84" w:lineRule="exact"/>
        <w:rPr>
          <w:rFonts w:ascii="Arial" w:cs="Arial" w:eastAsia="Arial" w:hAnsi="Arial"/>
          <w:sz w:val="18"/>
          <w:szCs w:val="18"/>
          <w:b w:val="1"/>
          <w:bCs w:val="1"/>
          <w:color w:val="auto"/>
        </w:rPr>
      </w:pPr>
    </w:p>
    <w:p>
      <w:pPr>
        <w:ind w:left="1244" w:hanging="253"/>
        <w:spacing w:after="0"/>
        <w:tabs>
          <w:tab w:leader="none" w:pos="1244"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For purposes of Sections 5 and 6,</w:t>
      </w:r>
    </w:p>
    <w:p>
      <w:pPr>
        <w:spacing w:after="0" w:line="117" w:lineRule="exact"/>
        <w:rPr>
          <w:rFonts w:ascii="Arial" w:cs="Arial" w:eastAsia="Arial" w:hAnsi="Arial"/>
          <w:sz w:val="18"/>
          <w:szCs w:val="18"/>
          <w:b w:val="1"/>
          <w:bCs w:val="1"/>
          <w:color w:val="auto"/>
        </w:rPr>
      </w:pPr>
    </w:p>
    <w:p>
      <w:pPr>
        <w:ind w:left="4" w:right="180" w:firstLine="1428"/>
        <w:spacing w:after="0" w:line="263" w:lineRule="auto"/>
        <w:tabs>
          <w:tab w:leader="none" w:pos="1691" w:val="left"/>
        </w:tabs>
        <w:numPr>
          <w:ilvl w:val="2"/>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75" w:lineRule="exact"/>
        <w:rPr>
          <w:rFonts w:ascii="Arial" w:cs="Arial" w:eastAsia="Arial" w:hAnsi="Arial"/>
          <w:sz w:val="18"/>
          <w:szCs w:val="18"/>
          <w:b w:val="1"/>
          <w:bCs w:val="1"/>
          <w:color w:val="auto"/>
        </w:rPr>
      </w:pPr>
    </w:p>
    <w:p>
      <w:pPr>
        <w:ind w:left="1684" w:hanging="252"/>
        <w:spacing w:after="0"/>
        <w:tabs>
          <w:tab w:leader="none" w:pos="1684" w:val="left"/>
        </w:tabs>
        <w:numPr>
          <w:ilvl w:val="2"/>
          <w:numId w:val="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associates</w:t>
      </w:r>
      <w:r>
        <w:rPr>
          <w:rFonts w:ascii="Arial" w:cs="Arial" w:eastAsia="Arial" w:hAnsi="Arial"/>
          <w:sz w:val="16"/>
          <w:szCs w:val="16"/>
          <w:color w:val="auto"/>
        </w:rPr>
        <w:t>” shall have the meanings set forth in Rule 405 under the Securities Act of 1933, as amended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Special Meetings</w:t>
      </w:r>
      <w:r>
        <w:rPr>
          <w:rFonts w:ascii="Arial" w:cs="Arial" w:eastAsia="Arial" w:hAnsi="Arial"/>
          <w:sz w:val="18"/>
          <w:szCs w:val="18"/>
          <w:color w:val="auto"/>
        </w:rPr>
        <w:t>.</w:t>
      </w:r>
    </w:p>
    <w:p>
      <w:pPr>
        <w:spacing w:after="0" w:line="121" w:lineRule="exact"/>
        <w:rPr>
          <w:sz w:val="20"/>
          <w:szCs w:val="20"/>
          <w:color w:val="auto"/>
        </w:rPr>
      </w:pPr>
    </w:p>
    <w:p>
      <w:pPr>
        <w:ind w:left="4" w:right="400" w:firstLine="987"/>
        <w:spacing w:after="0" w:line="259" w:lineRule="auto"/>
        <w:tabs>
          <w:tab w:leader="none" w:pos="125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78" w:lineRule="exact"/>
        <w:rPr>
          <w:rFonts w:ascii="Arial" w:cs="Arial" w:eastAsia="Arial" w:hAnsi="Arial"/>
          <w:sz w:val="18"/>
          <w:szCs w:val="18"/>
          <w:b w:val="1"/>
          <w:bCs w:val="1"/>
          <w:color w:val="auto"/>
        </w:rPr>
      </w:pPr>
    </w:p>
    <w:p>
      <w:pPr>
        <w:ind w:left="4" w:firstLine="987"/>
        <w:spacing w:after="0" w:line="286" w:lineRule="auto"/>
        <w:tabs>
          <w:tab w:leader="none" w:pos="12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5" w:name="page16"/>
    <w:bookmarkEnd w:id="15"/>
    <w:p>
      <w:pPr>
        <w:ind w:right="20" w:firstLine="987"/>
        <w:spacing w:after="0" w:line="269" w:lineRule="auto"/>
        <w:tabs>
          <w:tab w:leader="none" w:pos="1236"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w:t>
      </w:r>
      <w:r>
        <w:rPr>
          <w:rFonts w:ascii="Arial" w:cs="Arial" w:eastAsia="Arial" w:hAnsi="Arial"/>
          <w:sz w:val="14"/>
          <w:szCs w:val="14"/>
          <w:color w:val="auto"/>
        </w:rPr>
        <w:t>th</w:t>
      </w:r>
      <w:r>
        <w:rPr>
          <w:rFonts w:ascii="Arial" w:cs="Arial" w:eastAsia="Arial" w:hAnsi="Arial"/>
          <w:sz w:val="17"/>
          <w:szCs w:val="17"/>
          <w:color w:val="auto"/>
        </w:rPr>
        <w:t>) day prior to such meeting or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70" w:lineRule="exact"/>
        <w:rPr>
          <w:rFonts w:ascii="Arial" w:cs="Arial" w:eastAsia="Arial" w:hAnsi="Arial"/>
          <w:sz w:val="17"/>
          <w:szCs w:val="17"/>
          <w:b w:val="1"/>
          <w:bCs w:val="1"/>
          <w:color w:val="auto"/>
        </w:rPr>
      </w:pPr>
    </w:p>
    <w:p>
      <w:pPr>
        <w:ind w:right="160" w:firstLine="987"/>
        <w:spacing w:after="0" w:line="296" w:lineRule="auto"/>
        <w:tabs>
          <w:tab w:leader="none" w:pos="1256"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any references in these Bylaws to the 1934 Act or the rules and regulations thereunder are not intended to and shall not limit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applicable to nominations for the election to the Board of Directors to be considered pursuant to Section 6(c) of these Bylaws.</w:t>
      </w:r>
    </w:p>
    <w:p>
      <w:pPr>
        <w:spacing w:after="0" w:line="15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6" w:name="page17"/>
    <w:bookmarkEnd w:id="16"/>
    <w:p>
      <w:pPr>
        <w:ind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 Quorum</w:t>
      </w:r>
      <w:r>
        <w:rPr>
          <w:rFonts w:ascii="Arial" w:cs="Arial" w:eastAsia="Arial" w:hAnsi="Arial"/>
          <w:sz w:val="17"/>
          <w:szCs w:val="17"/>
          <w:color w:val="auto"/>
        </w:rPr>
        <w:t>. At all meetings of stockholders, except where otherwise provided by statute or by the Certificate of Incorporation, or by</w:t>
      </w:r>
      <w:r>
        <w:rPr>
          <w:rFonts w:ascii="Arial" w:cs="Arial" w:eastAsia="Arial" w:hAnsi="Arial"/>
          <w:sz w:val="17"/>
          <w:szCs w:val="17"/>
          <w:b w:val="1"/>
          <w:bCs w:val="1"/>
          <w:color w:val="auto"/>
        </w:rPr>
        <w:t xml:space="preserve"> </w:t>
      </w:r>
      <w:r>
        <w:rPr>
          <w:rFonts w:ascii="Arial" w:cs="Arial" w:eastAsia="Arial" w:hAnsi="Arial"/>
          <w:sz w:val="17"/>
          <w:szCs w:val="17"/>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7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Section 9. Adjournment and Notice of Adjourned Meetings</w:t>
      </w:r>
      <w:r>
        <w:rPr>
          <w:rFonts w:ascii="Arial" w:cs="Arial" w:eastAsia="Arial" w:hAnsi="Arial"/>
          <w:sz w:val="18"/>
          <w:szCs w:val="18"/>
          <w:color w:val="auto"/>
        </w:rPr>
        <w:t>. 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9"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b w:val="1"/>
          <w:bCs w:val="1"/>
          <w:color w:val="auto"/>
        </w:rPr>
        <w:t>Section 10. Voting Rights</w:t>
      </w:r>
      <w:r>
        <w:rPr>
          <w:rFonts w:ascii="Arial" w:cs="Arial" w:eastAsia="Arial" w:hAnsi="Arial"/>
          <w:sz w:val="16"/>
          <w:szCs w:val="16"/>
          <w:color w:val="auto"/>
        </w:rPr>
        <w:t>. 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7" w:name="page18"/>
    <w:bookmarkEnd w:id="17"/>
    <w:p>
      <w:pPr>
        <w:ind w:left="4"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Joint Owners of Stock</w:t>
      </w:r>
      <w:r>
        <w:rPr>
          <w:rFonts w:ascii="Arial" w:cs="Arial" w:eastAsia="Arial" w:hAnsi="Arial"/>
          <w:sz w:val="16"/>
          <w:szCs w:val="16"/>
          <w:color w:val="auto"/>
        </w:rPr>
        <w:t>. 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2" w:lineRule="exact"/>
        <w:rPr>
          <w:sz w:val="20"/>
          <w:szCs w:val="20"/>
          <w:color w:val="auto"/>
        </w:rPr>
      </w:pPr>
    </w:p>
    <w:p>
      <w:pPr>
        <w:ind w:left="4" w:right="120" w:hanging="4"/>
        <w:spacing w:after="0" w:line="277" w:lineRule="auto"/>
        <w:tabs>
          <w:tab w:leader="none" w:pos="2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69"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61" w:lineRule="exact"/>
        <w:rPr>
          <w:sz w:val="20"/>
          <w:szCs w:val="20"/>
          <w:color w:val="auto"/>
        </w:rPr>
      </w:pPr>
    </w:p>
    <w:p>
      <w:pPr>
        <w:ind w:left="4" w:right="140" w:firstLine="440"/>
        <w:spacing w:after="0" w:line="312" w:lineRule="auto"/>
        <w:rPr>
          <w:sz w:val="20"/>
          <w:szCs w:val="20"/>
          <w:color w:val="auto"/>
        </w:rPr>
      </w:pPr>
      <w:r>
        <w:rPr>
          <w:rFonts w:ascii="Arial" w:cs="Arial" w:eastAsia="Arial" w:hAnsi="Arial"/>
          <w:sz w:val="17"/>
          <w:szCs w:val="17"/>
          <w:b w:val="1"/>
          <w:bCs w:val="1"/>
          <w:color w:val="auto"/>
        </w:rPr>
        <w:t>Section 13. Action Without Meeting</w:t>
      </w:r>
      <w:r>
        <w:rPr>
          <w:rFonts w:ascii="Arial" w:cs="Arial" w:eastAsia="Arial" w:hAnsi="Arial"/>
          <w:sz w:val="17"/>
          <w:szCs w:val="17"/>
          <w:color w:val="auto"/>
        </w:rPr>
        <w:t>. No action shall be taken by the stockholders except at an annual or special meeting of stockholders called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these Bylaws, and no action shall be taken by the stockholders by written consent or by electronic transmission.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121" w:lineRule="exact"/>
        <w:rPr>
          <w:sz w:val="20"/>
          <w:szCs w:val="20"/>
          <w:color w:val="auto"/>
        </w:rPr>
      </w:pPr>
    </w:p>
    <w:p>
      <w:pPr>
        <w:ind w:left="4" w:firstLine="987"/>
        <w:spacing w:after="0" w:line="259" w:lineRule="auto"/>
        <w:tabs>
          <w:tab w:leader="none" w:pos="125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78" w:lineRule="exact"/>
        <w:rPr>
          <w:rFonts w:ascii="Arial" w:cs="Arial" w:eastAsia="Arial" w:hAnsi="Arial"/>
          <w:sz w:val="18"/>
          <w:szCs w:val="18"/>
          <w:b w:val="1"/>
          <w:bCs w:val="1"/>
          <w:color w:val="auto"/>
        </w:rPr>
      </w:pPr>
    </w:p>
    <w:p>
      <w:pPr>
        <w:ind w:left="4" w:firstLine="987"/>
        <w:spacing w:after="0" w:line="269" w:lineRule="auto"/>
        <w:tabs>
          <w:tab w:leader="none" w:pos="12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right="80" w:firstLine="440"/>
        <w:spacing w:after="0" w:line="261"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shall be fixed in accordance with the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0"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powers of the corporation shall be exercised, its business conducted and its property controlled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by statute or by the Certificate of Incorporation.</w:t>
      </w:r>
    </w:p>
    <w:p>
      <w:pPr>
        <w:spacing w:after="0" w:line="16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Section 17. Classes of Directors</w:t>
      </w:r>
      <w:r>
        <w:rPr>
          <w:rFonts w:ascii="Arial" w:cs="Arial" w:eastAsia="Arial" w:hAnsi="Arial"/>
          <w:sz w:val="16"/>
          <w:szCs w:val="16"/>
          <w:color w:val="auto"/>
        </w:rPr>
        <w:t>. Subject to the rights of the holders of any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immediately following the closing of the initial public offering pursuant to an effective registration statement under the 1933 Act covering the offer and sale of Common Stock to the public (the “</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80"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Section 18. Vacancies</w:t>
      </w:r>
      <w:r>
        <w:rPr>
          <w:rFonts w:ascii="Arial" w:cs="Arial" w:eastAsia="Arial" w:hAnsi="Arial"/>
          <w:sz w:val="18"/>
          <w:szCs w:val="18"/>
          <w:color w:val="auto"/>
        </w:rPr>
        <w:t>. Unless otherwise provided in the Certificate of Incorporation, and subject to the rights of the holders of any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61"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Section 19. Resignation</w:t>
      </w:r>
      <w:r>
        <w:rPr>
          <w:rFonts w:ascii="Arial" w:cs="Arial" w:eastAsia="Arial" w:hAnsi="Arial"/>
          <w:sz w:val="17"/>
          <w:szCs w:val="17"/>
          <w:color w:val="auto"/>
        </w:rPr>
        <w:t>. Any director may resign at any time by delivering his or her notice in writing or by electronic transmission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20. Removal</w:t>
      </w:r>
      <w:r>
        <w:rPr>
          <w:rFonts w:ascii="Arial" w:cs="Arial" w:eastAsia="Arial" w:hAnsi="Arial"/>
          <w:sz w:val="18"/>
          <w:szCs w:val="18"/>
          <w:color w:val="auto"/>
        </w:rPr>
        <w:t>.</w:t>
      </w:r>
    </w:p>
    <w:p>
      <w:pPr>
        <w:spacing w:after="0" w:line="121" w:lineRule="exact"/>
        <w:rPr>
          <w:sz w:val="20"/>
          <w:szCs w:val="20"/>
          <w:color w:val="auto"/>
        </w:rPr>
      </w:pPr>
    </w:p>
    <w:p>
      <w:pPr>
        <w:ind w:right="140" w:firstLine="987"/>
        <w:spacing w:after="0" w:line="277" w:lineRule="auto"/>
        <w:tabs>
          <w:tab w:leader="none" w:pos="1246"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62" w:lineRule="exact"/>
        <w:rPr>
          <w:rFonts w:ascii="Arial" w:cs="Arial" w:eastAsia="Arial" w:hAnsi="Arial"/>
          <w:sz w:val="18"/>
          <w:szCs w:val="18"/>
          <w:b w:val="1"/>
          <w:bCs w:val="1"/>
          <w:color w:val="auto"/>
        </w:rPr>
      </w:pPr>
    </w:p>
    <w:p>
      <w:pPr>
        <w:ind w:firstLine="987"/>
        <w:spacing w:after="0" w:line="263" w:lineRule="auto"/>
        <w:tabs>
          <w:tab w:leader="none" w:pos="1256"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Subject to any limitation imposed by law, any individual director or directors may be removed with cause by the affirmative vote of the holders of at least sixty-six and two-thirds percent (66 2/3%) of the voting power of all then outstanding shares of capital stock of the corporation entitled to vote generally at an election of directors.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r>
        <w:rPr>
          <w:rFonts w:ascii="Arial" w:cs="Arial" w:eastAsia="Arial" w:hAnsi="Arial"/>
          <w:sz w:val="18"/>
          <w:szCs w:val="18"/>
          <w:color w:val="auto"/>
        </w:rPr>
        <w:t>.</w:t>
      </w:r>
    </w:p>
    <w:p>
      <w:pPr>
        <w:spacing w:after="0" w:line="117" w:lineRule="exact"/>
        <w:rPr>
          <w:sz w:val="20"/>
          <w:szCs w:val="20"/>
          <w:color w:val="auto"/>
        </w:rPr>
      </w:pPr>
    </w:p>
    <w:p>
      <w:pPr>
        <w:ind w:right="120" w:firstLine="987"/>
        <w:spacing w:after="0" w:line="258" w:lineRule="auto"/>
        <w:tabs>
          <w:tab w:leader="none" w:pos="12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75" w:lineRule="exact"/>
        <w:rPr>
          <w:rFonts w:ascii="Arial" w:cs="Arial" w:eastAsia="Arial" w:hAnsi="Arial"/>
          <w:sz w:val="18"/>
          <w:szCs w:val="18"/>
          <w:b w:val="1"/>
          <w:bCs w:val="1"/>
          <w:color w:val="auto"/>
        </w:rPr>
      </w:pPr>
    </w:p>
    <w:p>
      <w:pPr>
        <w:ind w:right="200" w:firstLine="987"/>
        <w:spacing w:after="0" w:line="266" w:lineRule="auto"/>
        <w:tabs>
          <w:tab w:leader="none" w:pos="125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Chairman of the Board, the Chief Executive Officer or a majority of the authorized number of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0" w:name="page21"/>
    <w:bookmarkEnd w:id="20"/>
    <w:p>
      <w:pPr>
        <w:ind w:right="360" w:firstLine="987"/>
        <w:spacing w:after="0" w:line="314" w:lineRule="auto"/>
        <w:tabs>
          <w:tab w:leader="none" w:pos="123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33" w:lineRule="exact"/>
        <w:rPr>
          <w:rFonts w:ascii="Arial" w:cs="Arial" w:eastAsia="Arial" w:hAnsi="Arial"/>
          <w:sz w:val="16"/>
          <w:szCs w:val="16"/>
          <w:b w:val="1"/>
          <w:bCs w:val="1"/>
          <w:color w:val="auto"/>
        </w:rPr>
      </w:pPr>
    </w:p>
    <w:p>
      <w:pPr>
        <w:ind w:right="40" w:firstLine="987"/>
        <w:spacing w:after="0" w:line="273" w:lineRule="auto"/>
        <w:tabs>
          <w:tab w:leader="none" w:pos="1256"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Notice of Special Meetings</w:t>
      </w:r>
      <w:r>
        <w:rPr>
          <w:rFonts w:ascii="Arial" w:cs="Arial" w:eastAsia="Arial" w:hAnsi="Arial"/>
          <w:sz w:val="17"/>
          <w:szCs w:val="17"/>
          <w:color w:val="auto"/>
        </w:rPr>
        <w:t>. Notice of the time and place of all special meetings of the Board of Directors shall be orally or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63" w:lineRule="exact"/>
        <w:rPr>
          <w:rFonts w:ascii="Arial" w:cs="Arial" w:eastAsia="Arial" w:hAnsi="Arial"/>
          <w:sz w:val="17"/>
          <w:szCs w:val="17"/>
          <w:b w:val="1"/>
          <w:bCs w:val="1"/>
          <w:color w:val="auto"/>
        </w:rPr>
      </w:pPr>
    </w:p>
    <w:p>
      <w:pPr>
        <w:ind w:firstLine="987"/>
        <w:spacing w:after="0" w:line="303" w:lineRule="auto"/>
        <w:tabs>
          <w:tab w:leader="none" w:pos="123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Notice</w:t>
      </w:r>
      <w:r>
        <w:rPr>
          <w:rFonts w:ascii="Arial" w:cs="Arial" w:eastAsia="Arial" w:hAnsi="Arial"/>
          <w:sz w:val="16"/>
          <w:szCs w:val="16"/>
          <w:color w:val="auto"/>
        </w:rPr>
        <w:t>. 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96" w:lineRule="auto"/>
        <w:tabs>
          <w:tab w:leader="none" w:pos="1246"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53" w:lineRule="exact"/>
        <w:rPr>
          <w:rFonts w:ascii="Arial" w:cs="Arial" w:eastAsia="Arial" w:hAnsi="Arial"/>
          <w:sz w:val="16"/>
          <w:szCs w:val="16"/>
          <w:b w:val="1"/>
          <w:bCs w:val="1"/>
          <w:color w:val="auto"/>
        </w:rPr>
      </w:pPr>
    </w:p>
    <w:p>
      <w:pPr>
        <w:ind w:right="540" w:firstLine="987"/>
        <w:spacing w:after="0" w:line="342" w:lineRule="auto"/>
        <w:tabs>
          <w:tab w:leader="none" w:pos="1256"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1" w:name="page22"/>
    <w:bookmarkEnd w:id="21"/>
    <w:p>
      <w:pPr>
        <w:ind w:left="4"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23. Action Without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left="4" w:right="34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Committees</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987"/>
        <w:spacing w:after="0" w:line="287" w:lineRule="auto"/>
        <w:tabs>
          <w:tab w:leader="none" w:pos="1250"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(1) or more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spacing w:after="0" w:line="2" w:lineRule="exact"/>
        <w:rPr>
          <w:rFonts w:ascii="Arial" w:cs="Arial" w:eastAsia="Arial" w:hAnsi="Arial"/>
          <w:sz w:val="16"/>
          <w:szCs w:val="16"/>
          <w:b w:val="1"/>
          <w:bCs w:val="1"/>
          <w:color w:val="auto"/>
        </w:rPr>
      </w:pPr>
    </w:p>
    <w:p>
      <w:pPr>
        <w:ind w:left="4" w:right="20" w:hanging="4"/>
        <w:spacing w:after="0" w:line="290" w:lineRule="auto"/>
        <w:tabs>
          <w:tab w:leader="none" w:pos="21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49" w:lineRule="exact"/>
        <w:rPr>
          <w:rFonts w:ascii="Arial" w:cs="Arial" w:eastAsia="Arial" w:hAnsi="Arial"/>
          <w:sz w:val="17"/>
          <w:szCs w:val="17"/>
          <w:color w:val="auto"/>
        </w:rPr>
      </w:pPr>
    </w:p>
    <w:p>
      <w:pPr>
        <w:ind w:left="4" w:right="60" w:firstLine="987"/>
        <w:spacing w:after="0" w:line="261" w:lineRule="auto"/>
        <w:tabs>
          <w:tab w:leader="none" w:pos="126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1" w:lineRule="exact"/>
        <w:rPr>
          <w:rFonts w:ascii="Arial" w:cs="Arial" w:eastAsia="Arial" w:hAnsi="Arial"/>
          <w:sz w:val="18"/>
          <w:szCs w:val="18"/>
          <w:b w:val="1"/>
          <w:bCs w:val="1"/>
          <w:color w:val="auto"/>
        </w:rPr>
      </w:pPr>
    </w:p>
    <w:p>
      <w:pPr>
        <w:ind w:left="4" w:right="20" w:firstLine="987"/>
        <w:spacing w:after="0" w:line="271" w:lineRule="auto"/>
        <w:tabs>
          <w:tab w:leader="none" w:pos="1240" w:val="left"/>
        </w:tabs>
        <w:numPr>
          <w:ilvl w:val="1"/>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22" w:name="page23"/>
    <w:bookmarkEnd w:id="22"/>
    <w:p>
      <w:pPr>
        <w:ind w:firstLine="987"/>
        <w:spacing w:after="0" w:line="269" w:lineRule="auto"/>
        <w:tabs>
          <w:tab w:leader="none" w:pos="1256"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Meetings</w:t>
      </w:r>
      <w:r>
        <w:rPr>
          <w:rFonts w:ascii="Arial" w:cs="Arial" w:eastAsia="Arial" w:hAnsi="Arial"/>
          <w:sz w:val="17"/>
          <w:szCs w:val="17"/>
          <w:color w:val="auto"/>
        </w:rPr>
        <w:t>. Unless the Board of Directors shall otherwise provide, regular meetings of the Executive Committee or any other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79"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Section 26. Organization</w:t>
      </w:r>
      <w:r>
        <w:rPr>
          <w:rFonts w:ascii="Arial" w:cs="Arial" w:eastAsia="Arial" w:hAnsi="Arial"/>
          <w:sz w:val="17"/>
          <w:szCs w:val="17"/>
          <w:color w:val="auto"/>
        </w:rPr>
        <w:t>. At every meeting of the directors and stockholders, the Chairman of the Board of Directors, or, if a Chairman has not</w:t>
      </w:r>
      <w:r>
        <w:rPr>
          <w:rFonts w:ascii="Arial" w:cs="Arial" w:eastAsia="Arial" w:hAnsi="Arial"/>
          <w:sz w:val="17"/>
          <w:szCs w:val="17"/>
          <w:b w:val="1"/>
          <w:bCs w:val="1"/>
          <w:color w:val="auto"/>
        </w:rPr>
        <w:t xml:space="preserve"> </w:t>
      </w:r>
      <w:r>
        <w:rPr>
          <w:rFonts w:ascii="Arial" w:cs="Arial" w:eastAsia="Arial" w:hAnsi="Arial"/>
          <w:sz w:val="17"/>
          <w:szCs w:val="17"/>
          <w:color w:val="auto"/>
        </w:rPr>
        <w:t>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Section 27. Officers Designated</w:t>
      </w:r>
      <w:r>
        <w:rPr>
          <w:rFonts w:ascii="Arial" w:cs="Arial" w:eastAsia="Arial" w:hAnsi="Arial"/>
          <w:sz w:val="17"/>
          <w:szCs w:val="17"/>
          <w:color w:val="auto"/>
        </w:rPr>
        <w:t>. The officers of the corporation shall include, if and when designated by the Board of Directors, the Chairman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28. Tenure and Duties of Officers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6" w:lineRule="auto"/>
        <w:tabs>
          <w:tab w:leader="none" w:pos="124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shall hold office at the pleasure of the Board of Directors and until their successors shall have been duly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67" w:lineRule="exact"/>
        <w:rPr>
          <w:rFonts w:ascii="Arial" w:cs="Arial" w:eastAsia="Arial" w:hAnsi="Arial"/>
          <w:sz w:val="18"/>
          <w:szCs w:val="18"/>
          <w:b w:val="1"/>
          <w:bCs w:val="1"/>
          <w:color w:val="auto"/>
        </w:rPr>
      </w:pPr>
    </w:p>
    <w:p>
      <w:pPr>
        <w:ind w:firstLine="987"/>
        <w:spacing w:after="0" w:line="273" w:lineRule="auto"/>
        <w:tabs>
          <w:tab w:leader="none" w:pos="1256"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Executive Officer</w:t>
      </w:r>
      <w:r>
        <w:rPr>
          <w:rFonts w:ascii="Arial" w:cs="Arial" w:eastAsia="Arial" w:hAnsi="Arial"/>
          <w:sz w:val="17"/>
          <w:szCs w:val="17"/>
          <w:color w:val="auto"/>
        </w:rPr>
        <w:t>. The Chief Executive Officer shall preside at all meetings of the stockholders and at all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63" w:lineRule="exact"/>
        <w:rPr>
          <w:rFonts w:ascii="Arial" w:cs="Arial" w:eastAsia="Arial" w:hAnsi="Arial"/>
          <w:sz w:val="17"/>
          <w:szCs w:val="17"/>
          <w:b w:val="1"/>
          <w:bCs w:val="1"/>
          <w:color w:val="auto"/>
        </w:rPr>
      </w:pPr>
    </w:p>
    <w:p>
      <w:pPr>
        <w:ind w:right="20" w:firstLine="987"/>
        <w:spacing w:after="0" w:line="256" w:lineRule="auto"/>
        <w:tabs>
          <w:tab w:leader="none" w:pos="123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President</w:t>
      </w:r>
      <w:r>
        <w:rPr>
          <w:rFonts w:ascii="Arial" w:cs="Arial" w:eastAsia="Arial" w:hAnsi="Arial"/>
          <w:sz w:val="18"/>
          <w:szCs w:val="18"/>
          <w:color w:val="auto"/>
        </w:rPr>
        <w:t>. The President shall preside at all meetings of the stockholders and at all meetings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79" w:lineRule="exact"/>
        <w:rPr>
          <w:rFonts w:ascii="Arial" w:cs="Arial" w:eastAsia="Arial" w:hAnsi="Arial"/>
          <w:sz w:val="18"/>
          <w:szCs w:val="18"/>
          <w:b w:val="1"/>
          <w:bCs w:val="1"/>
          <w:color w:val="auto"/>
        </w:rPr>
      </w:pPr>
    </w:p>
    <w:p>
      <w:pPr>
        <w:jc w:val="both"/>
        <w:ind w:right="20" w:firstLine="987"/>
        <w:spacing w:after="0" w:line="261" w:lineRule="auto"/>
        <w:tabs>
          <w:tab w:leader="none" w:pos="125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Vice Presidents</w:t>
      </w:r>
      <w:r>
        <w:rPr>
          <w:rFonts w:ascii="Arial" w:cs="Arial" w:eastAsia="Arial" w:hAnsi="Arial"/>
          <w:sz w:val="18"/>
          <w:szCs w:val="18"/>
          <w:color w:val="auto"/>
        </w:rPr>
        <w:t>. The Vice Presidents may assume and perform the duties of the President in the absence or disability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1" w:lineRule="exact"/>
        <w:rPr>
          <w:rFonts w:ascii="Arial" w:cs="Arial" w:eastAsia="Arial" w:hAnsi="Arial"/>
          <w:sz w:val="18"/>
          <w:szCs w:val="18"/>
          <w:b w:val="1"/>
          <w:bCs w:val="1"/>
          <w:color w:val="auto"/>
        </w:rPr>
      </w:pPr>
    </w:p>
    <w:p>
      <w:pPr>
        <w:ind w:right="100" w:firstLine="987"/>
        <w:spacing w:after="0" w:line="258" w:lineRule="auto"/>
        <w:tabs>
          <w:tab w:leader="none" w:pos="123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Secretary</w:t>
      </w:r>
      <w:r>
        <w:rPr>
          <w:rFonts w:ascii="Arial" w:cs="Arial" w:eastAsia="Arial" w:hAnsi="Arial"/>
          <w:sz w:val="18"/>
          <w:szCs w:val="18"/>
          <w:color w:val="auto"/>
        </w:rPr>
        <w:t>. The Secretary shall attend all meetings of the stockholders and of the Board of Directors and shall record all acts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72" w:lineRule="exact"/>
        <w:rPr>
          <w:sz w:val="20"/>
          <w:szCs w:val="20"/>
          <w:color w:val="auto"/>
        </w:rPr>
      </w:pPr>
    </w:p>
    <w:p>
      <w:pPr>
        <w:ind w:firstLine="987"/>
        <w:spacing w:after="0" w:line="289" w:lineRule="auto"/>
        <w:tabs>
          <w:tab w:leader="none" w:pos="121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Financial Officer</w:t>
      </w:r>
      <w:r>
        <w:rPr>
          <w:rFonts w:ascii="Arial" w:cs="Arial" w:eastAsia="Arial" w:hAnsi="Arial"/>
          <w:sz w:val="16"/>
          <w:szCs w:val="16"/>
          <w:color w:val="auto"/>
        </w:rPr>
        <w:t>. 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52" w:lineRule="exact"/>
        <w:rPr>
          <w:rFonts w:ascii="Arial" w:cs="Arial" w:eastAsia="Arial" w:hAnsi="Arial"/>
          <w:sz w:val="16"/>
          <w:szCs w:val="16"/>
          <w:b w:val="1"/>
          <w:bCs w:val="1"/>
          <w:color w:val="auto"/>
        </w:rPr>
      </w:pPr>
    </w:p>
    <w:p>
      <w:pPr>
        <w:ind w:right="60" w:firstLine="987"/>
        <w:spacing w:after="0" w:line="256" w:lineRule="auto"/>
        <w:tabs>
          <w:tab w:leader="none" w:pos="12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Treasurer</w:t>
      </w:r>
      <w:r>
        <w:rPr>
          <w:rFonts w:ascii="Arial" w:cs="Arial" w:eastAsia="Arial" w:hAnsi="Arial"/>
          <w:sz w:val="18"/>
          <w:szCs w:val="18"/>
          <w:color w:val="auto"/>
        </w:rPr>
        <w:t>. Unless another officer has been appointed Chief Financial Officer of the corporation, the Treasurer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87"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30. Resignations</w:t>
      </w:r>
      <w:r>
        <w:rPr>
          <w:rFonts w:ascii="Arial" w:cs="Arial" w:eastAsia="Arial" w:hAnsi="Arial"/>
          <w:sz w:val="18"/>
          <w:szCs w:val="18"/>
          <w:color w:val="auto"/>
        </w:rPr>
        <w:t>. Any officer may resign at any time by giving notice in writing or by electronic transmission to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3"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Section 31. Removal</w:t>
      </w:r>
      <w:r>
        <w:rPr>
          <w:rFonts w:ascii="Arial" w:cs="Arial" w:eastAsia="Arial" w:hAnsi="Arial"/>
          <w:sz w:val="17"/>
          <w:szCs w:val="17"/>
          <w:color w:val="auto"/>
        </w:rPr>
        <w:t>. Any officer may be removed from office at any time, either with or without cause, by the affirmative vote of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 OF SECURITIES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OWNED BY THE CORPORATION</w:t>
      </w:r>
    </w:p>
    <w:p>
      <w:pPr>
        <w:spacing w:after="0" w:line="207"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Section 32. Execution of Corporate Instruments</w:t>
      </w:r>
      <w:r>
        <w:rPr>
          <w:rFonts w:ascii="Arial" w:cs="Arial" w:eastAsia="Arial" w:hAnsi="Arial"/>
          <w:sz w:val="17"/>
          <w:szCs w:val="17"/>
          <w:color w:val="auto"/>
        </w:rPr>
        <w:t>. The Board of Directors may, in its discretion, determine the method and designate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7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Section 34. Form and Execution of Certificates</w:t>
      </w:r>
      <w:r>
        <w:rPr>
          <w:rFonts w:ascii="Arial" w:cs="Arial" w:eastAsia="Arial" w:hAnsi="Arial"/>
          <w:sz w:val="17"/>
          <w:szCs w:val="17"/>
          <w:color w:val="auto"/>
        </w:rPr>
        <w:t>. The shares of the corporation shall be represented by certificates, or shall be uncertificated if so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left="4" w:right="8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35. Lost Certificates</w:t>
      </w:r>
      <w:r>
        <w:rPr>
          <w:rFonts w:ascii="Arial" w:cs="Arial" w:eastAsia="Arial" w:hAnsi="Arial"/>
          <w:sz w:val="17"/>
          <w:szCs w:val="17"/>
          <w:color w:val="auto"/>
        </w:rPr>
        <w:t>. A new certificate or certificates shall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36. Transfers</w:t>
      </w:r>
      <w:r>
        <w:rPr>
          <w:rFonts w:ascii="Arial" w:cs="Arial" w:eastAsia="Arial" w:hAnsi="Arial"/>
          <w:sz w:val="18"/>
          <w:szCs w:val="18"/>
          <w:color w:val="auto"/>
        </w:rPr>
        <w:t>.</w:t>
      </w:r>
    </w:p>
    <w:p>
      <w:pPr>
        <w:spacing w:after="0" w:line="121" w:lineRule="exact"/>
        <w:rPr>
          <w:sz w:val="20"/>
          <w:szCs w:val="20"/>
          <w:color w:val="auto"/>
        </w:rPr>
      </w:pPr>
    </w:p>
    <w:p>
      <w:pPr>
        <w:ind w:left="4" w:right="260" w:firstLine="987"/>
        <w:spacing w:after="0" w:line="263" w:lineRule="auto"/>
        <w:tabs>
          <w:tab w:leader="none" w:pos="125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75" w:lineRule="exact"/>
        <w:rPr>
          <w:rFonts w:ascii="Arial" w:cs="Arial" w:eastAsia="Arial" w:hAnsi="Arial"/>
          <w:sz w:val="18"/>
          <w:szCs w:val="18"/>
          <w:b w:val="1"/>
          <w:bCs w:val="1"/>
          <w:color w:val="auto"/>
        </w:rPr>
      </w:pPr>
    </w:p>
    <w:p>
      <w:pPr>
        <w:ind w:left="4" w:firstLine="987"/>
        <w:spacing w:after="0" w:line="263" w:lineRule="auto"/>
        <w:tabs>
          <w:tab w:leader="none" w:pos="12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37. Fixing Record Dates</w:t>
      </w:r>
      <w:r>
        <w:rPr>
          <w:rFonts w:ascii="Arial" w:cs="Arial" w:eastAsia="Arial" w:hAnsi="Arial"/>
          <w:sz w:val="18"/>
          <w:szCs w:val="18"/>
          <w:color w:val="auto"/>
        </w:rPr>
        <w:t>.</w:t>
      </w:r>
    </w:p>
    <w:p>
      <w:pPr>
        <w:spacing w:after="0" w:line="121" w:lineRule="exact"/>
        <w:rPr>
          <w:sz w:val="20"/>
          <w:szCs w:val="20"/>
          <w:color w:val="auto"/>
        </w:rPr>
      </w:pPr>
    </w:p>
    <w:p>
      <w:pPr>
        <w:ind w:left="4" w:right="320" w:firstLine="987"/>
        <w:spacing w:after="0" w:line="287" w:lineRule="auto"/>
        <w:tabs>
          <w:tab w:leader="none" w:pos="1250" w:val="left"/>
        </w:tabs>
        <w:numPr>
          <w:ilvl w:val="1"/>
          <w:numId w:val="30"/>
        </w:numPr>
        <w:rPr>
          <w:rFonts w:ascii="Arial" w:cs="Arial" w:eastAsia="Arial" w:hAnsi="Arial"/>
          <w:sz w:val="16"/>
          <w:szCs w:val="16"/>
          <w:b w:val="1"/>
          <w:bCs w:val="1"/>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2" w:lineRule="exact"/>
        <w:rPr>
          <w:rFonts w:ascii="Arial" w:cs="Arial" w:eastAsia="Arial" w:hAnsi="Arial"/>
          <w:sz w:val="16"/>
          <w:szCs w:val="16"/>
          <w:b w:val="1"/>
          <w:bCs w:val="1"/>
          <w:color w:val="auto"/>
        </w:rPr>
      </w:pPr>
    </w:p>
    <w:p>
      <w:pPr>
        <w:ind w:left="4" w:right="40" w:hanging="4"/>
        <w:spacing w:after="0" w:line="253" w:lineRule="auto"/>
        <w:tabs>
          <w:tab w:leader="none" w:pos="3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the adjourned meeting.</w:t>
      </w:r>
    </w:p>
    <w:p>
      <w:pPr>
        <w:spacing w:after="0" w:line="82" w:lineRule="exact"/>
        <w:rPr>
          <w:rFonts w:ascii="Arial" w:cs="Arial" w:eastAsia="Arial" w:hAnsi="Arial"/>
          <w:sz w:val="18"/>
          <w:szCs w:val="18"/>
          <w:color w:val="auto"/>
        </w:rPr>
      </w:pPr>
    </w:p>
    <w:p>
      <w:pPr>
        <w:ind w:left="4" w:firstLine="987"/>
        <w:spacing w:after="0" w:line="255" w:lineRule="auto"/>
        <w:tabs>
          <w:tab w:leader="none" w:pos="126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27" w:name="page28"/>
    <w:bookmarkEnd w:id="27"/>
    <w:p>
      <w:pPr>
        <w:jc w:val="both"/>
        <w:ind w:right="1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38.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THER SECURITIES OF THE CORPORATION</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Section 39. Execution of Other Securities</w:t>
      </w:r>
      <w:r>
        <w:rPr>
          <w:rFonts w:ascii="Arial" w:cs="Arial" w:eastAsia="Arial" w:hAnsi="Arial"/>
          <w:sz w:val="17"/>
          <w:szCs w:val="17"/>
          <w:color w:val="auto"/>
        </w:rPr>
        <w:t>. All bonds, debentures and other corporate securities of the corporation, other than stock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Section 40.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41. Dividend Reserve</w:t>
      </w:r>
      <w:r>
        <w:rPr>
          <w:rFonts w:ascii="Arial" w:cs="Arial" w:eastAsia="Arial" w:hAnsi="Arial"/>
          <w:sz w:val="16"/>
          <w:szCs w:val="16"/>
          <w:color w:val="auto"/>
        </w:rPr>
        <w:t>. 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b w:val="1"/>
          <w:bCs w:val="1"/>
          <w:color w:val="auto"/>
        </w:rPr>
        <w:t>ISCAL YEAR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42. Fiscal Year</w:t>
      </w:r>
      <w:r>
        <w:rPr>
          <w:rFonts w:ascii="Arial" w:cs="Arial" w:eastAsia="Arial" w:hAnsi="Arial"/>
          <w:sz w:val="18"/>
          <w:szCs w:val="18"/>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43. Indemnification of Directors, Officers, Employees and Other Agents</w:t>
      </w:r>
      <w:r>
        <w:rPr>
          <w:rFonts w:ascii="Arial" w:cs="Arial" w:eastAsia="Arial" w:hAnsi="Arial"/>
          <w:sz w:val="18"/>
          <w:szCs w:val="18"/>
          <w:color w:val="auto"/>
        </w:rPr>
        <w:t>.</w:t>
      </w:r>
    </w:p>
    <w:p>
      <w:pPr>
        <w:spacing w:after="0" w:line="117" w:lineRule="exact"/>
        <w:rPr>
          <w:sz w:val="20"/>
          <w:szCs w:val="20"/>
          <w:color w:val="auto"/>
        </w:rPr>
      </w:pPr>
    </w:p>
    <w:p>
      <w:pPr>
        <w:jc w:val="both"/>
        <w:ind w:left="4" w:right="120" w:firstLine="987"/>
        <w:spacing w:after="0" w:line="289" w:lineRule="auto"/>
        <w:tabs>
          <w:tab w:leader="none" w:pos="1250" w:val="left"/>
        </w:tabs>
        <w:numPr>
          <w:ilvl w:val="1"/>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r>
        <w:rPr>
          <w:rFonts w:ascii="Arial" w:cs="Arial" w:eastAsia="Arial" w:hAnsi="Arial"/>
          <w:sz w:val="16"/>
          <w:szCs w:val="16"/>
          <w:color w:val="auto"/>
        </w:rPr>
        <w:t>. The corporation shall indemnify its directors to the fullest extent not prohibited by the DGCL or any other applicable law;</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corporation may modify the extent of such indemnification by individual contracts with its directors; and,</w:t>
      </w:r>
      <w:r>
        <w:rPr>
          <w:rFonts w:ascii="Arial" w:cs="Arial" w:eastAsia="Arial" w:hAnsi="Arial"/>
          <w:sz w:val="16"/>
          <w:szCs w:val="16"/>
          <w:i w:val="1"/>
          <w:iCs w:val="1"/>
          <w:color w:val="auto"/>
        </w:rPr>
        <w:t xml:space="preserve"> provided, further, </w:t>
      </w:r>
      <w:r>
        <w:rPr>
          <w:rFonts w:ascii="Arial" w:cs="Arial" w:eastAsia="Arial" w:hAnsi="Arial"/>
          <w:sz w:val="16"/>
          <w:szCs w:val="16"/>
          <w:color w:val="auto"/>
        </w:rPr>
        <w:t>that the corporation shall not be required to indemnify any director in connection with any proceeding (or part thereof) initiated by such person unless</w:t>
      </w:r>
    </w:p>
    <w:p>
      <w:pPr>
        <w:spacing w:after="0" w:line="1" w:lineRule="exact"/>
        <w:rPr>
          <w:rFonts w:ascii="Arial" w:cs="Arial" w:eastAsia="Arial" w:hAnsi="Arial"/>
          <w:sz w:val="16"/>
          <w:szCs w:val="16"/>
          <w:b w:val="1"/>
          <w:bCs w:val="1"/>
          <w:color w:val="auto"/>
        </w:rPr>
      </w:pPr>
    </w:p>
    <w:p>
      <w:pPr>
        <w:ind w:left="224" w:hanging="224"/>
        <w:spacing w:after="0"/>
        <w:tabs>
          <w:tab w:leader="none" w:pos="2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such indemnification is expressly required to be made by law, (ii) the proceeding was authorized by the Board of Directors of the corporation,</w:t>
      </w:r>
    </w:p>
    <w:p>
      <w:pPr>
        <w:spacing w:after="0" w:line="21" w:lineRule="exact"/>
        <w:rPr>
          <w:sz w:val="20"/>
          <w:szCs w:val="20"/>
          <w:color w:val="auto"/>
        </w:rPr>
      </w:pPr>
    </w:p>
    <w:p>
      <w:pPr>
        <w:ind w:left="4" w:right="120" w:hanging="4"/>
        <w:spacing w:after="0" w:line="260"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indemnification is provided by the corporation, in its sole discretion, pursuant to the powers vested in the corporation under the DGCL or any other applicable law or (iv) such indemnification is required to be made under subsection (d).</w:t>
      </w:r>
    </w:p>
    <w:p>
      <w:pPr>
        <w:spacing w:after="0" w:line="73" w:lineRule="exact"/>
        <w:rPr>
          <w:rFonts w:ascii="Arial" w:cs="Arial" w:eastAsia="Arial" w:hAnsi="Arial"/>
          <w:sz w:val="18"/>
          <w:szCs w:val="18"/>
          <w:color w:val="auto"/>
        </w:rPr>
      </w:pPr>
    </w:p>
    <w:p>
      <w:pPr>
        <w:ind w:left="4" w:firstLine="987"/>
        <w:spacing w:after="0" w:line="266" w:lineRule="auto"/>
        <w:tabs>
          <w:tab w:leader="none" w:pos="1260"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Officers, Employees and Other Agents</w:t>
      </w:r>
      <w:r>
        <w:rPr>
          <w:rFonts w:ascii="Arial" w:cs="Arial" w:eastAsia="Arial" w:hAnsi="Arial"/>
          <w:sz w:val="18"/>
          <w:szCs w:val="18"/>
          <w:color w:val="auto"/>
        </w:rPr>
        <w:t>. The corporation shall have power to indemnify its officers, employees and other agents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67" w:lineRule="exact"/>
        <w:rPr>
          <w:rFonts w:ascii="Arial" w:cs="Arial" w:eastAsia="Arial" w:hAnsi="Arial"/>
          <w:sz w:val="18"/>
          <w:szCs w:val="18"/>
          <w:b w:val="1"/>
          <w:bCs w:val="1"/>
          <w:color w:val="auto"/>
        </w:rPr>
      </w:pPr>
    </w:p>
    <w:p>
      <w:pPr>
        <w:ind w:left="4" w:right="40" w:firstLine="987"/>
        <w:spacing w:after="0" w:line="271" w:lineRule="auto"/>
        <w:tabs>
          <w:tab w:leader="none" w:pos="1240"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corporation shall advance to any person who was or is a party or is threatened to be made a party to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29" w:name="page30"/>
    <w:bookmarkEnd w:id="29"/>
    <w:p>
      <w:pPr>
        <w:ind w:firstLine="987"/>
        <w:spacing w:after="0" w:line="268" w:lineRule="auto"/>
        <w:tabs>
          <w:tab w:leader="none" w:pos="125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Arial" w:cs="Arial" w:eastAsia="Arial" w:hAnsi="Arial"/>
          <w:sz w:val="17"/>
          <w:szCs w:val="17"/>
          <w:color w:val="auto"/>
        </w:rPr>
        <w:t>. Without the necessity of entering into an express contract, all rights to indemnification and advances to directors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73" w:lineRule="exact"/>
        <w:rPr>
          <w:rFonts w:ascii="Arial" w:cs="Arial" w:eastAsia="Arial" w:hAnsi="Arial"/>
          <w:sz w:val="17"/>
          <w:szCs w:val="17"/>
          <w:b w:val="1"/>
          <w:bCs w:val="1"/>
          <w:color w:val="auto"/>
        </w:rPr>
      </w:pPr>
    </w:p>
    <w:p>
      <w:pPr>
        <w:ind w:firstLine="987"/>
        <w:spacing w:after="0" w:line="277" w:lineRule="auto"/>
        <w:tabs>
          <w:tab w:leader="none" w:pos="123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Bylaw shall not be exclusive of any other right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59" w:lineRule="exact"/>
        <w:rPr>
          <w:rFonts w:ascii="Arial" w:cs="Arial" w:eastAsia="Arial" w:hAnsi="Arial"/>
          <w:sz w:val="17"/>
          <w:szCs w:val="17"/>
          <w:b w:val="1"/>
          <w:bCs w:val="1"/>
          <w:color w:val="auto"/>
        </w:rPr>
      </w:pPr>
    </w:p>
    <w:p>
      <w:pPr>
        <w:ind w:right="60" w:firstLine="987"/>
        <w:spacing w:after="0" w:line="282" w:lineRule="auto"/>
        <w:tabs>
          <w:tab w:leader="none" w:pos="121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Bylaw shall continue as to a person who has ceased to be a director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inure to the benefit of the heirs, executors and administrators of such a person.</w:t>
      </w:r>
    </w:p>
    <w:p>
      <w:pPr>
        <w:spacing w:after="0" w:line="53" w:lineRule="exact"/>
        <w:rPr>
          <w:rFonts w:ascii="Arial" w:cs="Arial" w:eastAsia="Arial" w:hAnsi="Arial"/>
          <w:sz w:val="18"/>
          <w:szCs w:val="18"/>
          <w:b w:val="1"/>
          <w:bCs w:val="1"/>
          <w:color w:val="auto"/>
        </w:rPr>
      </w:pPr>
    </w:p>
    <w:p>
      <w:pPr>
        <w:ind w:right="240" w:firstLine="987"/>
        <w:spacing w:after="0" w:line="312" w:lineRule="auto"/>
        <w:tabs>
          <w:tab w:leader="none" w:pos="124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31" w:lineRule="exact"/>
        <w:rPr>
          <w:rFonts w:ascii="Arial" w:cs="Arial" w:eastAsia="Arial" w:hAnsi="Arial"/>
          <w:sz w:val="17"/>
          <w:szCs w:val="17"/>
          <w:b w:val="1"/>
          <w:bCs w:val="1"/>
          <w:color w:val="auto"/>
        </w:rPr>
      </w:pPr>
    </w:p>
    <w:p>
      <w:pPr>
        <w:ind w:right="200" w:firstLine="987"/>
        <w:spacing w:after="0" w:line="347" w:lineRule="auto"/>
        <w:tabs>
          <w:tab w:leader="none" w:pos="125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30" w:name="page31"/>
    <w:bookmarkEnd w:id="30"/>
    <w:p>
      <w:pPr>
        <w:jc w:val="both"/>
        <w:ind w:left="-20" w:firstLine="987"/>
        <w:spacing w:after="0" w:line="281" w:lineRule="auto"/>
        <w:tabs>
          <w:tab w:leader="none" w:pos="1186"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Saving Clause</w:t>
      </w:r>
      <w:r>
        <w:rPr>
          <w:rFonts w:ascii="Arial" w:cs="Arial" w:eastAsia="Arial" w:hAnsi="Arial"/>
          <w:sz w:val="17"/>
          <w:szCs w:val="17"/>
          <w:color w:val="auto"/>
        </w:rPr>
        <w:t>. If this Bylaw or any portion hereof shall be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56" w:lineRule="exact"/>
        <w:rPr>
          <w:rFonts w:ascii="Arial" w:cs="Arial" w:eastAsia="Arial" w:hAnsi="Arial"/>
          <w:sz w:val="17"/>
          <w:szCs w:val="17"/>
          <w:b w:val="1"/>
          <w:bCs w:val="1"/>
          <w:color w:val="auto"/>
        </w:rPr>
      </w:pPr>
    </w:p>
    <w:p>
      <w:pPr>
        <w:ind w:left="1200" w:hanging="233"/>
        <w:spacing w:after="0"/>
        <w:tabs>
          <w:tab w:leader="none" w:pos="12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Bylaw, the following definitions shall apply:</w:t>
      </w:r>
    </w:p>
    <w:p>
      <w:pPr>
        <w:spacing w:after="0" w:line="121" w:lineRule="exact"/>
        <w:rPr>
          <w:rFonts w:ascii="Arial" w:cs="Arial" w:eastAsia="Arial" w:hAnsi="Arial"/>
          <w:sz w:val="18"/>
          <w:szCs w:val="18"/>
          <w:b w:val="1"/>
          <w:bCs w:val="1"/>
          <w:color w:val="auto"/>
        </w:rPr>
      </w:pPr>
    </w:p>
    <w:p>
      <w:pPr>
        <w:ind w:left="-20" w:right="760" w:firstLine="1428"/>
        <w:spacing w:after="0" w:line="263" w:lineRule="auto"/>
        <w:tabs>
          <w:tab w:leader="none" w:pos="1667"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5" w:lineRule="exact"/>
        <w:rPr>
          <w:rFonts w:ascii="Arial" w:cs="Arial" w:eastAsia="Arial" w:hAnsi="Arial"/>
          <w:sz w:val="18"/>
          <w:szCs w:val="18"/>
          <w:b w:val="1"/>
          <w:bCs w:val="1"/>
          <w:color w:val="auto"/>
        </w:rPr>
      </w:pPr>
    </w:p>
    <w:p>
      <w:pPr>
        <w:ind w:left="-20" w:right="200" w:firstLine="1428"/>
        <w:spacing w:after="0" w:line="342" w:lineRule="auto"/>
        <w:tabs>
          <w:tab w:leader="none" w:pos="1667" w:val="left"/>
        </w:tabs>
        <w:numPr>
          <w:ilvl w:val="1"/>
          <w:numId w:val="36"/>
        </w:numPr>
        <w:rPr>
          <w:rFonts w:ascii="Arial" w:cs="Arial" w:eastAsia="Arial" w:hAnsi="Arial"/>
          <w:sz w:val="16"/>
          <w:szCs w:val="16"/>
          <w:b w:val="1"/>
          <w:bCs w:val="1"/>
          <w:color w:val="auto"/>
        </w:rPr>
      </w:pPr>
      <w:r>
        <w:rPr>
          <w:rFonts w:ascii="Arial" w:cs="Arial" w:eastAsia="Arial" w:hAnsi="Arial"/>
          <w:sz w:val="16"/>
          <w:szCs w:val="16"/>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5" w:lineRule="exact"/>
        <w:rPr>
          <w:rFonts w:ascii="Arial" w:cs="Arial" w:eastAsia="Arial" w:hAnsi="Arial"/>
          <w:sz w:val="16"/>
          <w:szCs w:val="16"/>
          <w:b w:val="1"/>
          <w:bCs w:val="1"/>
          <w:color w:val="auto"/>
        </w:rPr>
      </w:pPr>
    </w:p>
    <w:p>
      <w:pPr>
        <w:ind w:left="-20" w:right="20" w:firstLine="1428"/>
        <w:spacing w:after="0" w:line="293" w:lineRule="auto"/>
        <w:tabs>
          <w:tab w:leader="none" w:pos="1667" w:val="left"/>
        </w:tabs>
        <w:numPr>
          <w:ilvl w:val="1"/>
          <w:numId w:val="36"/>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56" w:lineRule="exact"/>
        <w:rPr>
          <w:rFonts w:ascii="Arial" w:cs="Arial" w:eastAsia="Arial" w:hAnsi="Arial"/>
          <w:sz w:val="16"/>
          <w:szCs w:val="16"/>
          <w:b w:val="1"/>
          <w:bCs w:val="1"/>
          <w:color w:val="auto"/>
        </w:rPr>
      </w:pPr>
    </w:p>
    <w:p>
      <w:pPr>
        <w:ind w:left="-20" w:right="460" w:firstLine="1428"/>
        <w:spacing w:after="0" w:line="263" w:lineRule="auto"/>
        <w:tabs>
          <w:tab w:leader="none" w:pos="1667"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5" w:lineRule="exact"/>
        <w:rPr>
          <w:rFonts w:ascii="Arial" w:cs="Arial" w:eastAsia="Arial" w:hAnsi="Arial"/>
          <w:sz w:val="18"/>
          <w:szCs w:val="18"/>
          <w:b w:val="1"/>
          <w:bCs w:val="1"/>
          <w:color w:val="auto"/>
        </w:rPr>
      </w:pPr>
    </w:p>
    <w:p>
      <w:pPr>
        <w:ind w:left="-20" w:right="20" w:firstLine="1428"/>
        <w:spacing w:after="0" w:line="255" w:lineRule="auto"/>
        <w:tabs>
          <w:tab w:leader="none" w:pos="1667"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60" w:top="270" w:right="4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Notices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1" w:lineRule="auto"/>
        <w:tabs>
          <w:tab w:leader="none" w:pos="1246"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shall be given as provided in Section 7 herein.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56" w:lineRule="exact"/>
        <w:rPr>
          <w:rFonts w:ascii="Arial" w:cs="Arial" w:eastAsia="Arial" w:hAnsi="Arial"/>
          <w:sz w:val="17"/>
          <w:szCs w:val="17"/>
          <w:b w:val="1"/>
          <w:bCs w:val="1"/>
          <w:color w:val="auto"/>
        </w:rPr>
      </w:pPr>
    </w:p>
    <w:p>
      <w:pPr>
        <w:ind w:right="60" w:firstLine="987"/>
        <w:spacing w:after="0" w:line="261" w:lineRule="auto"/>
        <w:tabs>
          <w:tab w:leader="none" w:pos="125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Directors</w:t>
      </w:r>
      <w:r>
        <w:rPr>
          <w:rFonts w:ascii="Arial" w:cs="Arial" w:eastAsia="Arial" w:hAnsi="Arial"/>
          <w:sz w:val="18"/>
          <w:szCs w:val="18"/>
          <w:color w:val="auto"/>
        </w:rPr>
        <w:t>. Any notice required to be given to any director may be given by the method stated in subsection (a), as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71" w:lineRule="exact"/>
        <w:rPr>
          <w:rFonts w:ascii="Arial" w:cs="Arial" w:eastAsia="Arial" w:hAnsi="Arial"/>
          <w:sz w:val="18"/>
          <w:szCs w:val="18"/>
          <w:b w:val="1"/>
          <w:bCs w:val="1"/>
          <w:color w:val="auto"/>
        </w:rPr>
      </w:pPr>
    </w:p>
    <w:p>
      <w:pPr>
        <w:ind w:firstLine="987"/>
        <w:spacing w:after="0" w:line="261" w:lineRule="auto"/>
        <w:tabs>
          <w:tab w:leader="none" w:pos="123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71" w:lineRule="exact"/>
        <w:rPr>
          <w:rFonts w:ascii="Arial" w:cs="Arial" w:eastAsia="Arial" w:hAnsi="Arial"/>
          <w:sz w:val="18"/>
          <w:szCs w:val="18"/>
          <w:b w:val="1"/>
          <w:bCs w:val="1"/>
          <w:color w:val="auto"/>
        </w:rPr>
      </w:pPr>
    </w:p>
    <w:p>
      <w:pPr>
        <w:ind w:right="100" w:firstLine="987"/>
        <w:spacing w:after="0" w:line="266" w:lineRule="auto"/>
        <w:tabs>
          <w:tab w:leader="none" w:pos="125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67"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Person With Whom Communication Is Unlawful</w:t>
      </w:r>
      <w:r>
        <w:rPr>
          <w:rFonts w:ascii="Arial" w:cs="Arial" w:eastAsia="Arial" w:hAnsi="Arial"/>
          <w:sz w:val="17"/>
          <w:szCs w:val="17"/>
          <w:color w:val="auto"/>
        </w:rPr>
        <w:t>. Whenever notice is required to be given, under any provision of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right="120" w:firstLine="987"/>
        <w:spacing w:after="0" w:line="277" w:lineRule="auto"/>
        <w:tabs>
          <w:tab w:leader="none" w:pos="1216"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Stockholders Sharing an Address</w:t>
      </w:r>
      <w:r>
        <w:rPr>
          <w:rFonts w:ascii="Arial" w:cs="Arial" w:eastAsia="Arial" w:hAnsi="Arial"/>
          <w:sz w:val="17"/>
          <w:szCs w:val="17"/>
          <w:color w:val="auto"/>
        </w:rPr>
        <w:t>. Except as otherwise prohibited under DGCL, any notice given under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Section 45. Bylaw Amendments</w:t>
      </w:r>
      <w:r>
        <w:rPr>
          <w:rFonts w:ascii="Arial" w:cs="Arial" w:eastAsia="Arial" w:hAnsi="Arial"/>
          <w:sz w:val="16"/>
          <w:szCs w:val="16"/>
          <w:color w:val="auto"/>
        </w:rPr>
        <w:t>. Subject to the limitations set forth in Section 43(h) of these Bylaws or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 OR EMPLOYEES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Section 46. Loans to Officers or Employees</w:t>
      </w:r>
      <w:r>
        <w:rPr>
          <w:rFonts w:ascii="Arial" w:cs="Arial" w:eastAsia="Arial" w:hAnsi="Arial"/>
          <w:sz w:val="18"/>
          <w:szCs w:val="18"/>
          <w:color w:val="auto"/>
        </w:rPr>
        <w:t>. Except as otherwise prohibited by applicable law, including the Sarbanes-Oxley Act of 2002,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3">
    <w:nsid w:val="628C895D"/>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2"/>
    </w:lvl>
    <w:lvl w:ilvl="1">
      <w:lvlJc w:val="left"/>
      <w:lvlText w:val="(%2)"/>
      <w:numFmt w:val="decimal"/>
      <w:start w:val="1"/>
    </w:lvl>
  </w:abstractNum>
  <w:abstractNum w:abstractNumId="6">
    <w:nsid w:val="2443A858"/>
    <w:multiLevelType w:val="hybridMultilevel"/>
    <w:lvl w:ilvl="0">
      <w:lvlJc w:val="left"/>
      <w:lvlText w:val="%1"/>
      <w:numFmt w:val="decimal"/>
      <w:start w:val="1"/>
    </w:lvl>
    <w:lvl w:ilvl="1">
      <w:lvlJc w:val="left"/>
      <w:lvlText w:val="(%2)"/>
      <w:numFmt w:val="decimal"/>
      <w:start w:val="3"/>
    </w:lvl>
  </w:abstractNum>
  <w:abstractNum w:abstractNumId="7">
    <w:nsid w:val="2D1D5AE9"/>
    <w:multiLevelType w:val="hybridMultilevel"/>
    <w:lvl w:ilvl="0">
      <w:lvlJc w:val="left"/>
      <w:lvlText w:val="(%1)"/>
      <w:numFmt w:val="decimal"/>
      <w:start w:val="30"/>
    </w:lvl>
    <w:lvl w:ilvl="1">
      <w:lvlJc w:val="left"/>
      <w:lvlText w:val="(%2)"/>
      <w:numFmt w:val="decimal"/>
      <w:start w:val="4"/>
    </w:lvl>
  </w:abstractNum>
  <w:abstractNum w:abstractNumId="8">
    <w:nsid w:val="6763845E"/>
    <w:multiLevelType w:val="hybridMultilevel"/>
    <w:lvl w:ilvl="0">
      <w:lvlJc w:val="left"/>
      <w:lvlText w:val="(%1)"/>
      <w:numFmt w:val="lowerLetter"/>
      <w:start w:val="23"/>
    </w:lvl>
  </w:abstractNum>
  <w:abstractNum w:abstractNumId="9">
    <w:nsid w:val="75A2A8D4"/>
    <w:multiLevelType w:val="hybridMultilevel"/>
    <w:lvl w:ilvl="0">
      <w:lvlJc w:val="left"/>
      <w:lvlText w:val="(%1)"/>
      <w:numFmt w:val="lowerRoman"/>
      <w:start w:val="10"/>
    </w:lvl>
  </w:abstractNum>
  <w:abstractNum w:abstractNumId="10">
    <w:nsid w:val="8EDBDAB"/>
    <w:multiLevelType w:val="hybridMultilevel"/>
    <w:lvl w:ilvl="0">
      <w:lvlJc w:val="left"/>
      <w:lvlText w:val="(%1)"/>
      <w:numFmt w:val="lowerLetter"/>
      <w:start w:val="26"/>
    </w:lvl>
  </w:abstractNum>
  <w:abstractNum w:abstractNumId="11">
    <w:nsid w:val="79838CB2"/>
    <w:multiLevelType w:val="hybridMultilevel"/>
    <w:lvl w:ilvl="0">
      <w:lvlJc w:val="left"/>
      <w:lvlText w:val="%1"/>
      <w:numFmt w:val="decimal"/>
      <w:start w:val="1"/>
    </w:lvl>
    <w:lvl w:ilvl="1">
      <w:lvlJc w:val="left"/>
      <w:lvlText w:val="(%2)"/>
      <w:numFmt w:val="lowerLetter"/>
      <w:start w:val="3"/>
    </w:lvl>
  </w:abstractNum>
  <w:abstractNum w:abstractNumId="12">
    <w:nsid w:val="4353D0CD"/>
    <w:multiLevelType w:val="hybridMultilevel"/>
    <w:lvl w:ilvl="0">
      <w:lvlJc w:val="left"/>
      <w:lvlText w:val="(%1)"/>
      <w:numFmt w:val="decimal"/>
      <w:start w:val="5"/>
    </w:lvl>
    <w:lvl w:ilvl="1">
      <w:lvlJc w:val="left"/>
      <w:lvlText w:val="(%2)"/>
      <w:numFmt w:val="lowerLetter"/>
      <w:start w:val="4"/>
    </w:lvl>
  </w:abstractNum>
  <w:abstractNum w:abstractNumId="13">
    <w:nsid w:val="B03E0C6"/>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4">
    <w:nsid w:val="189A769B"/>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3"/>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3"/>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1"/>
    </w:lvl>
    <w:lvl w:ilvl="1">
      <w:lvlJc w:val="left"/>
      <w:lvlText w:val="(%2)"/>
      <w:numFmt w:val="lowerLetter"/>
      <w:start w:val="1"/>
    </w:lvl>
  </w:abstractNum>
  <w:abstractNum w:abstractNumId="24">
    <w:nsid w:val="737B8DDC"/>
    <w:multiLevelType w:val="hybridMultilevel"/>
    <w:lvl w:ilvl="0">
      <w:lvlJc w:val="left"/>
      <w:lvlText w:val="(%1)"/>
      <w:numFmt w:val="lowerLetter"/>
      <w:start w:val="9"/>
    </w:lvl>
    <w:lvl w:ilvl="1">
      <w:lvlJc w:val="left"/>
      <w:lvlText w:val="(%2)"/>
      <w:numFmt w:val="lowerLetter"/>
      <w:start w:val="2"/>
    </w:lvl>
  </w:abstractNum>
  <w:abstractNum w:abstractNumId="25">
    <w:nsid w:val="6CEAF087"/>
    <w:multiLevelType w:val="hybridMultilevel"/>
    <w:lvl w:ilvl="0">
      <w:lvlJc w:val="left"/>
      <w:lvlText w:val="(%1)"/>
      <w:numFmt w:val="lowerLetter"/>
      <w:start w:val="4"/>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6"/>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decimal"/>
      <w:start w:val="1"/>
    </w:lvl>
    <w:lvl w:ilvl="1">
      <w:lvlJc w:val="left"/>
      <w:lvlText w:val="(%2)"/>
      <w:numFmt w:val="lowerLetter"/>
      <w:start w:val="1"/>
    </w:lvl>
  </w:abstractNum>
  <w:abstractNum w:abstractNumId="30">
    <w:nsid w:val="419AC241"/>
    <w:multiLevelType w:val="hybridMultilevel"/>
    <w:lvl w:ilvl="0">
      <w:lvlJc w:val="left"/>
      <w:lvlText w:val="(%1)"/>
      <w:numFmt w:val="decimal"/>
      <w:start w:val="10"/>
    </w:lvl>
    <w:lvl w:ilvl="1">
      <w:lvlJc w:val="left"/>
      <w:lvlText w:val="(%2)"/>
      <w:numFmt w:val="lowerLetter"/>
      <w:start w:val="2"/>
    </w:lvl>
  </w:abstractNum>
  <w:abstractNum w:abstractNumId="31">
    <w:nsid w:val="5577F8E1"/>
    <w:multiLevelType w:val="hybridMultilevel"/>
    <w:lvl w:ilvl="0">
      <w:lvlJc w:val="left"/>
      <w:lvlText w:val="%1"/>
      <w:numFmt w:val="lowerLetter"/>
      <w:start w:val="1"/>
    </w:lvl>
    <w:lvl w:ilvl="1">
      <w:lvlJc w:val="left"/>
      <w:lvlText w:val="(%2)"/>
      <w:numFmt w:val="lowerLetter"/>
      <w:start w:val="1"/>
    </w:lvl>
  </w:abstractNum>
  <w:abstractNum w:abstractNumId="32">
    <w:nsid w:val="440BADFC"/>
    <w:multiLevelType w:val="hybridMultilevel"/>
    <w:lvl w:ilvl="0">
      <w:lvlJc w:val="left"/>
      <w:lvlText w:val="(%1)"/>
      <w:numFmt w:val="lowerLetter"/>
      <w:start w:val="9"/>
    </w:lvl>
    <w:lvl w:ilvl="1">
      <w:lvlJc w:val="left"/>
      <w:lvlText w:val="%2"/>
      <w:numFmt w:val="lowerLetter"/>
      <w:start w:val="1"/>
    </w:lvl>
  </w:abstractNum>
  <w:abstractNum w:abstractNumId="33">
    <w:nsid w:val="5072367"/>
    <w:multiLevelType w:val="hybridMultilevel"/>
    <w:lvl w:ilvl="0">
      <w:lvlJc w:val="left"/>
      <w:lvlText w:val="(%1)"/>
      <w:numFmt w:val="lowerLetter"/>
      <w:start w:val="61"/>
    </w:lvl>
    <w:lvl w:ilvl="1">
      <w:lvlJc w:val="left"/>
      <w:lvlText w:val="(%2)"/>
      <w:numFmt w:val="lowerLetter"/>
      <w:start w:val="2"/>
    </w:lvl>
  </w:abstractNum>
  <w:abstractNum w:abstractNumId="34">
    <w:nsid w:val="3804823E"/>
    <w:multiLevelType w:val="hybridMultilevel"/>
    <w:lvl w:ilvl="0">
      <w:lvlJc w:val="left"/>
      <w:lvlText w:val="(%1)"/>
      <w:numFmt w:val="lowerLetter"/>
      <w:start w:val="4"/>
    </w:lvl>
  </w:abstractNum>
  <w:abstractNum w:abstractNumId="35">
    <w:nsid w:val="77465F01"/>
    <w:multiLevelType w:val="hybridMultilevel"/>
    <w:lvl w:ilvl="0">
      <w:lvlJc w:val="left"/>
      <w:lvlText w:val="(%1)"/>
      <w:numFmt w:val="lowerLetter"/>
      <w:start w:val="9"/>
    </w:lvl>
    <w:lvl w:ilvl="1">
      <w:lvlJc w:val="left"/>
      <w:lvlText w:val="(%2)"/>
      <w:numFmt w:val="decimal"/>
      <w:start w:val="1"/>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2021-08-10T16:45:00Z</dcterms:created>
  <dcterms:modified xsi:type="dcterms:W3CDTF">2021-08-10T16:45:00Z</dcterms:modified>
</cp:coreProperties>
</file>