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20"/>
        </w:rPr>
      </w:pPr>
      <w:bookmarkStart w:id="0" w:name="ivvd-20260514.htm"/>
      <w:bookmarkStart w:id="1" w:name="ksivvd20260514"/>
      <w:bookmarkEnd w:id="0"/>
      <w:bookmarkEnd w:id="1"/>
      <w:r>
        <w:rPr>
          <w:rFonts w:ascii="Times New Roman" w:hAnsi="Times New Roman"/>
          <w:b/>
          <w:color w:val="000000"/>
          <w:sz w:val="20"/>
        </w:rPr>
        <w:t>As filed with the Securities and Exchange Commission on May 14, 2026</w:t>
      </w:r>
    </w:p>
    <w:p>
      <w:pPr>
        <w:pStyle w:val="TextBody"/>
        <w:bidi w:val="0"/>
        <w:jc w:val="right"/>
        <w:rPr/>
      </w:pPr>
      <w:r>
        <w:rPr/>
        <w:t> </w:t>
      </w:r>
    </w:p>
    <w:p>
      <w:pPr>
        <w:pStyle w:val="TextBody"/>
        <w:bidi w:val="0"/>
        <w:jc w:val="right"/>
        <w:rPr>
          <w:rFonts w:ascii="Times New Roman" w:hAnsi="Times New Roman"/>
          <w:sz w:val="20"/>
        </w:rPr>
      </w:pPr>
      <w:r>
        <w:rPr>
          <w:rFonts w:ascii="Times New Roman" w:hAnsi="Times New Roman"/>
          <w:b/>
          <w:color w:val="000000"/>
          <w:sz w:val="20"/>
        </w:rPr>
        <w:t>Registration No. 333-</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2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THE SECURITIES ACT OF 1933</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40"/>
        </w:rPr>
        <w:t>Invivyd,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85-1403134</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209 Church Street</w:t>
      </w:r>
    </w:p>
    <w:p>
      <w:pPr>
        <w:pStyle w:val="TextBody"/>
        <w:bidi w:val="0"/>
        <w:jc w:val="center"/>
        <w:rPr>
          <w:rFonts w:ascii="Times New Roman" w:hAnsi="Times New Roman"/>
          <w:b/>
          <w:color w:val="000000"/>
          <w:sz w:val="20"/>
        </w:rPr>
      </w:pPr>
      <w:r>
        <w:rPr>
          <w:rFonts w:ascii="Times New Roman" w:hAnsi="Times New Roman"/>
          <w:b/>
          <w:color w:val="000000"/>
          <w:sz w:val="20"/>
        </w:rPr>
        <w:t>New Haven, CT 06510</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 (Zip code)</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2021 Equity Incentive Plan</w:t>
      </w:r>
    </w:p>
    <w:p>
      <w:pPr>
        <w:pStyle w:val="TextBody"/>
        <w:bidi w:val="0"/>
        <w:jc w:val="center"/>
        <w:rPr>
          <w:rFonts w:ascii="Times New Roman" w:hAnsi="Times New Roman"/>
          <w:b/>
          <w:color w:val="000000"/>
          <w:sz w:val="20"/>
        </w:rPr>
      </w:pPr>
      <w:r>
        <w:rPr>
          <w:rFonts w:ascii="Times New Roman" w:hAnsi="Times New Roman"/>
          <w:b/>
          <w:color w:val="000000"/>
          <w:sz w:val="20"/>
        </w:rPr>
        <w:t>2021 Employee Stock Purchase Plan</w:t>
      </w:r>
    </w:p>
    <w:p>
      <w:pPr>
        <w:pStyle w:val="TextBody"/>
        <w:bidi w:val="0"/>
        <w:jc w:val="center"/>
        <w:rPr>
          <w:rFonts w:ascii="Times New Roman" w:hAnsi="Times New Roman"/>
          <w:b/>
          <w:color w:val="000000"/>
          <w:sz w:val="20"/>
        </w:rPr>
      </w:pPr>
      <w:r>
        <w:rPr>
          <w:rFonts w:ascii="Times New Roman" w:hAnsi="Times New Roman"/>
          <w:b/>
          <w:color w:val="000000"/>
          <w:sz w:val="20"/>
        </w:rPr>
        <w:t>2026 Inducement Plan</w:t>
      </w:r>
    </w:p>
    <w:p>
      <w:pPr>
        <w:pStyle w:val="TextBody"/>
        <w:bidi w:val="0"/>
        <w:jc w:val="center"/>
        <w:rPr>
          <w:rFonts w:ascii="Times New Roman" w:hAnsi="Times New Roman"/>
          <w:sz w:val="20"/>
        </w:rPr>
      </w:pPr>
      <w:r>
        <w:rPr>
          <w:rFonts w:ascii="Times New Roman" w:hAnsi="Times New Roman"/>
          <w:b/>
          <w:color w:val="000000"/>
          <w:sz w:val="16"/>
        </w:rPr>
        <w:t>(Full titles of the plans)</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William Duke, Jr.</w:t>
      </w:r>
    </w:p>
    <w:p>
      <w:pPr>
        <w:pStyle w:val="TextBody"/>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209 Church Street</w:t>
      </w:r>
    </w:p>
    <w:p>
      <w:pPr>
        <w:pStyle w:val="TextBody"/>
        <w:bidi w:val="0"/>
        <w:jc w:val="center"/>
        <w:rPr>
          <w:rFonts w:ascii="Times New Roman" w:hAnsi="Times New Roman"/>
          <w:b/>
          <w:color w:val="000000"/>
          <w:sz w:val="20"/>
        </w:rPr>
      </w:pPr>
      <w:r>
        <w:rPr>
          <w:rFonts w:ascii="Times New Roman" w:hAnsi="Times New Roman"/>
          <w:b/>
          <w:color w:val="000000"/>
          <w:sz w:val="20"/>
        </w:rPr>
        <w:t>New Haven, CT 06510</w:t>
      </w:r>
    </w:p>
    <w:p>
      <w:pPr>
        <w:pStyle w:val="TextBody"/>
        <w:bidi w:val="0"/>
        <w:jc w:val="center"/>
        <w:rPr>
          <w:rFonts w:ascii="Times New Roman" w:hAnsi="Times New Roman"/>
          <w:sz w:val="20"/>
        </w:rPr>
      </w:pPr>
      <w:r>
        <w:rPr>
          <w:rFonts w:ascii="Times New Roman" w:hAnsi="Times New Roman"/>
          <w:b/>
          <w:color w:val="000000"/>
          <w:sz w:val="16"/>
        </w:rPr>
        <w:t>(Name and address of agent for service)</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0"/>
        </w:rPr>
        <w:t>(781) 819-0080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(Telephone number, including area code, of agent for service)</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i/>
          <w:color w:val="000000"/>
          <w:sz w:val="20"/>
        </w:rPr>
        <w:t>Copies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20"/>
        </w:rPr>
        <w:t>Jill Andersen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Chief Legal Officer and Corporate Secretary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Invivyd,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209 Church Street</w:t>
      </w:r>
    </w:p>
    <w:p>
      <w:pPr>
        <w:pStyle w:val="TextBody"/>
        <w:bidi w:val="0"/>
        <w:jc w:val="center"/>
        <w:rPr>
          <w:rFonts w:ascii="Times New Roman" w:hAnsi="Times New Roman"/>
          <w:b/>
          <w:color w:val="000000"/>
          <w:sz w:val="20"/>
        </w:rPr>
      </w:pPr>
      <w:r>
        <w:rPr>
          <w:rFonts w:ascii="Times New Roman" w:hAnsi="Times New Roman"/>
          <w:b/>
          <w:color w:val="000000"/>
          <w:sz w:val="20"/>
        </w:rPr>
        <w:t>New Haven, CT 06510</w:t>
      </w:r>
    </w:p>
    <w:p>
      <w:pPr>
        <w:pStyle w:val="TextBody"/>
        <w:bidi w:val="0"/>
        <w:jc w:val="left"/>
        <w:rPr/>
      </w:pPr>
      <w:r>
        <w:rPr/>
        <w:t> </w:t>
      </w:r>
    </w:p>
    <w:p>
      <w:pPr>
        <w:pStyle w:val="TextBody"/>
        <w:bidi w:val="0"/>
        <w:spacing w:before="16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717" w:type="dxa"/>
        <w:jc w:val="left"/>
        <w:tblInd w:w="0" w:type="dxa"/>
        <w:tblLayout w:type="fixed"/>
        <w:tblCellMar>
          <w:top w:w="28" w:type="dxa"/>
          <w:left w:w="28" w:type="dxa"/>
          <w:bottom w:w="28" w:type="dxa"/>
          <w:right w:w="28" w:type="dxa"/>
        </w:tblCellMar>
      </w:tblPr>
      <w:tblGrid>
        <w:gridCol w:w="2191"/>
        <w:gridCol w:w="146"/>
        <w:gridCol w:w="316"/>
        <w:gridCol w:w="146"/>
        <w:gridCol w:w="2311"/>
        <w:gridCol w:w="146"/>
        <w:gridCol w:w="461"/>
      </w:tblGrid>
      <w:tr>
        <w:trPr/>
        <w:tc>
          <w:tcPr>
            <w:tcW w:w="2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ind w:left="0" w:right="0" w:firstLine="270"/>
              <w:jc w:val="left"/>
              <w:rPr>
                <w:rFonts w:ascii="Times New Roman" w:hAnsi="Times New Roman"/>
                <w:color w:val="000000"/>
                <w:sz w:val="20"/>
              </w:rPr>
            </w:pPr>
            <w:r>
              <w:rPr>
                <w:rFonts w:ascii="Times New Roman" w:hAnsi="Times New Roman"/>
                <w:color w:val="000000"/>
                <w:sz w:val="20"/>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tcMar>
              <w:top w:w="0" w:type="dxa"/>
              <w:left w:w="0" w:type="dxa"/>
              <w:bottom w:w="0" w:type="dxa"/>
              <w:right w:w="0" w:type="dxa"/>
            </w:tcMar>
            <w:vAlign w:val="center"/>
          </w:tcPr>
          <w:p>
            <w:pPr>
              <w:pStyle w:val="TableContents"/>
              <w:bidi w:val="0"/>
              <w:spacing w:before="0" w:after="283"/>
              <w:ind w:left="0" w:right="0" w:firstLine="270"/>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ind w:left="0" w:right="0" w:firstLine="270"/>
              <w:jc w:val="left"/>
              <w:rPr>
                <w:rFonts w:ascii="Times New Roman" w:hAnsi="Times New Roman"/>
                <w:color w:val="000000"/>
                <w:sz w:val="20"/>
              </w:rPr>
            </w:pPr>
            <w:r>
              <w:rPr>
                <w:rFonts w:ascii="Times New Roman" w:hAnsi="Times New Roman"/>
                <w:color w:val="000000"/>
                <w:sz w:val="20"/>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Invivyd, Inc. (the “</w:t>
      </w:r>
      <w:r>
        <w:rPr>
          <w:rFonts w:ascii="Times New Roman" w:hAnsi="Times New Roman"/>
          <w:b/>
          <w:i/>
          <w:color w:val="000000"/>
          <w:sz w:val="20"/>
        </w:rPr>
        <w:t>Registrant</w:t>
      </w:r>
      <w:r>
        <w:rPr>
          <w:rFonts w:ascii="Times New Roman" w:hAnsi="Times New Roman"/>
          <w:color w:val="000000"/>
          <w:sz w:val="20"/>
        </w:rPr>
        <w:t>”) is filing this Registration Statement with the Securities and Exchange Commission (the “</w:t>
      </w:r>
      <w:r>
        <w:rPr>
          <w:rFonts w:ascii="Times New Roman" w:hAnsi="Times New Roman"/>
          <w:b/>
          <w:i/>
          <w:color w:val="000000"/>
          <w:sz w:val="20"/>
        </w:rPr>
        <w:t>Commission</w:t>
      </w:r>
      <w:r>
        <w:rPr>
          <w:rFonts w:ascii="Times New Roman" w:hAnsi="Times New Roman"/>
          <w:color w:val="000000"/>
          <w:sz w:val="20"/>
        </w:rPr>
        <w:t>”) to register (i) 14,099,351 additional shares of its common stock, par value $0.0001 per share (“</w:t>
      </w:r>
      <w:r>
        <w:rPr>
          <w:rFonts w:ascii="Times New Roman" w:hAnsi="Times New Roman"/>
          <w:b/>
          <w:i/>
          <w:color w:val="000000"/>
          <w:sz w:val="20"/>
        </w:rPr>
        <w:t>Common Stock</w:t>
      </w:r>
      <w:r>
        <w:rPr>
          <w:rFonts w:ascii="Times New Roman" w:hAnsi="Times New Roman"/>
          <w:color w:val="000000"/>
          <w:sz w:val="20"/>
        </w:rPr>
        <w:t>”), issuable under the Registrant’s 2021 Equity Incentive Plan (the “</w:t>
      </w:r>
      <w:r>
        <w:rPr>
          <w:rFonts w:ascii="Times New Roman" w:hAnsi="Times New Roman"/>
          <w:b/>
          <w:i/>
          <w:color w:val="000000"/>
          <w:sz w:val="20"/>
        </w:rPr>
        <w:t>2021 EIP</w:t>
      </w:r>
      <w:r>
        <w:rPr>
          <w:rFonts w:ascii="Times New Roman" w:hAnsi="Times New Roman"/>
          <w:color w:val="000000"/>
          <w:sz w:val="20"/>
        </w:rPr>
        <w:t>”), pursuant to the provisions of the 2021 EIP providing for an automatic increase in the number of shares of Common Stock reserved and available for issuance under the 2021 EIP on January 1, 2026; (ii) 2,685,546 additional shares of Common Stock issuable under the Registrant’s 2021 Employee Stock Purchase Plan (the “</w:t>
      </w:r>
      <w:r>
        <w:rPr>
          <w:rFonts w:ascii="Times New Roman" w:hAnsi="Times New Roman"/>
          <w:b/>
          <w:i/>
          <w:color w:val="000000"/>
          <w:sz w:val="20"/>
        </w:rPr>
        <w:t>2021 ESPP</w:t>
      </w:r>
      <w:r>
        <w:rPr>
          <w:rFonts w:ascii="Times New Roman" w:hAnsi="Times New Roman"/>
          <w:color w:val="000000"/>
          <w:sz w:val="20"/>
        </w:rPr>
        <w:t>”), pursuant to the provisions of the 2021 ESPP providing for an automatic increase in the number of shares of Common Stock reserved and available for issuance under the 2021 ESPP on January 1, 2026; (iii) 5,993,250 shares of Common Stock issuable under the Registrant’s 2026 Inducement Plan (the “</w:t>
      </w:r>
      <w:r>
        <w:rPr>
          <w:rFonts w:ascii="Times New Roman" w:hAnsi="Times New Roman"/>
          <w:b/>
          <w:i/>
          <w:color w:val="000000"/>
          <w:sz w:val="20"/>
        </w:rPr>
        <w:t>2026 Inducement Plan</w:t>
      </w:r>
      <w:r>
        <w:rPr>
          <w:rFonts w:ascii="Times New Roman" w:hAnsi="Times New Roman"/>
          <w:color w:val="000000"/>
          <w:sz w:val="20"/>
        </w:rPr>
        <w:t xml:space="preserve">”) for new hire awards to certain individuals who satisfy the standards for inducement grants under Nasdaq Listing Rule 5635(c)(4) and the related guidance thereunder; and (iv) 2,006,750 shares of Common Stock issuable upon the exercise of outstanding options previously granted pursuant to the 2026 Inducement Plan.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Registrant previously registered shares of Common Stock for issuance under the 2021 EIP and 2021 ESPP under (i) the Registration Statement on Form S-8 filed with the Commission by the Registrant on August 23, 2021 (File No. 333-259008), (ii) the Registration Statement on Form S-8 filed with the Commission by the Registrant on May 13, 2022 (File No. 333-264920), and (iii) the Registration Statement on Form S-8 filed with the Commission by the Registrant on May 9, 2024 (File No. 333-279268) (the “</w:t>
      </w:r>
      <w:r>
        <w:rPr>
          <w:rFonts w:ascii="Times New Roman" w:hAnsi="Times New Roman"/>
          <w:b/>
          <w:i/>
          <w:color w:val="000000"/>
          <w:sz w:val="20"/>
        </w:rPr>
        <w:t>Prior Registration Statements</w:t>
      </w:r>
      <w:r>
        <w:rPr>
          <w:rFonts w:ascii="Times New Roman" w:hAnsi="Times New Roman"/>
          <w:color w:val="000000"/>
          <w:sz w:val="20"/>
        </w:rPr>
        <w:t>”). Pursuant to General Instruction E of Form S-8, this Registration Statement incorporates by reference the contents of the Prior Registration Statements, in each case, except to the extent supplemented, amended or superseded by the information set forth herein.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SECTION 10(a) PROSPECTUS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As permitted by the rules of the Commission, this Registration Statement omits the information specified in Part I of Form S-8. The documents containing the information specified in Part I will be delivered to the participants in the 2021 EIP, the 2021 ESPP and the 2026 Inducement Plan, as applicable, as required by Rule 428(b)(1) under the Securities Act of 1933, as amended (the “</w:t>
      </w:r>
      <w:r>
        <w:rPr>
          <w:rFonts w:ascii="Times New Roman" w:hAnsi="Times New Roman"/>
          <w:b/>
          <w:i/>
          <w:color w:val="000000"/>
          <w:sz w:val="20"/>
        </w:rPr>
        <w:t>Securities Act</w:t>
      </w:r>
      <w:r>
        <w:rPr>
          <w:rFonts w:ascii="Times New Roman" w:hAnsi="Times New Roman"/>
          <w:color w:val="000000"/>
          <w:sz w:val="20"/>
        </w:rPr>
        <w:t>”).</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841"/>
        <w:gridCol w:w="5026"/>
      </w:tblGrid>
      <w:tr>
        <w:trPr/>
        <w:tc>
          <w:tcPr>
            <w:tcW w:w="841"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3.</w:t>
            </w:r>
          </w:p>
        </w:tc>
        <w:tc>
          <w:tcPr>
            <w:tcW w:w="5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INCORPORATION OF DOCUMENTS BY REFERENCE.</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filed by the Registrant with the Commission are incorporated by reference into this Registration Statement: </w:t>
      </w:r>
    </w:p>
    <w:p>
      <w:pPr>
        <w:pStyle w:val="TextBody"/>
        <w:bidi w:val="0"/>
        <w:spacing w:before="120" w:after="283"/>
        <w:jc w:val="left"/>
        <w:rPr/>
      </w:pPr>
      <w:r>
        <w:rPr>
          <w:rFonts w:ascii="Times New Roman" w:hAnsi="Times New Roman"/>
          <w:color w:val="000000"/>
          <w:sz w:val="20"/>
        </w:rPr>
        <w:t xml:space="preserve">(a) The Registrant’s Annual Report on </w:t>
      </w:r>
      <w:hyperlink r:id="rId2">
        <w:r>
          <w:rPr>
            <w:rStyle w:val="InternetLink"/>
            <w:rFonts w:ascii="Times New Roman" w:hAnsi="Times New Roman"/>
            <w:color w:val="0000FF"/>
            <w:sz w:val="20"/>
            <w:u w:val="single"/>
          </w:rPr>
          <w:t>Form 10-K</w:t>
        </w:r>
      </w:hyperlink>
      <w:r>
        <w:rPr>
          <w:rFonts w:ascii="Times New Roman" w:hAnsi="Times New Roman"/>
          <w:color w:val="000000"/>
          <w:sz w:val="20"/>
        </w:rPr>
        <w:t xml:space="preserve"> for the fiscal year ended December 31, 2025, filed with the Commission on March 5, 2026 (File No. 001-40703) (the “</w:t>
      </w:r>
      <w:r>
        <w:rPr>
          <w:rFonts w:ascii="Times New Roman" w:hAnsi="Times New Roman"/>
          <w:b/>
          <w:i/>
          <w:color w:val="000000"/>
          <w:sz w:val="20"/>
        </w:rPr>
        <w:t>Form 10-K</w:t>
      </w:r>
      <w:r>
        <w:rPr>
          <w:rFonts w:ascii="Times New Roman" w:hAnsi="Times New Roman"/>
          <w:color w:val="000000"/>
          <w:sz w:val="20"/>
        </w:rPr>
        <w:t xml:space="preserve">”); </w:t>
      </w:r>
    </w:p>
    <w:p>
      <w:pPr>
        <w:pStyle w:val="TextBody"/>
        <w:bidi w:val="0"/>
        <w:spacing w:before="120" w:after="283"/>
        <w:jc w:val="left"/>
        <w:rPr/>
      </w:pPr>
      <w:r>
        <w:rPr>
          <w:rFonts w:ascii="Times New Roman" w:hAnsi="Times New Roman"/>
          <w:color w:val="000000"/>
          <w:sz w:val="20"/>
        </w:rPr>
        <w:t xml:space="preserve">(b) The portions of the Registrant’s Definitive Proxy Statement on </w:t>
      </w:r>
      <w:hyperlink r:id="rId3">
        <w:r>
          <w:rPr>
            <w:rStyle w:val="InternetLink"/>
            <w:rFonts w:ascii="Times New Roman" w:hAnsi="Times New Roman"/>
            <w:color w:val="0000FF"/>
            <w:sz w:val="20"/>
            <w:u w:val="single"/>
          </w:rPr>
          <w:t>Schedule 14A</w:t>
        </w:r>
      </w:hyperlink>
      <w:r>
        <w:rPr>
          <w:rFonts w:ascii="Times New Roman" w:hAnsi="Times New Roman"/>
          <w:color w:val="000000"/>
          <w:sz w:val="20"/>
        </w:rPr>
        <w:t>, filed with the Commission on April 6, 2026, that are incorporated by reference into Part III of the Form 10-K;</w:t>
      </w:r>
    </w:p>
    <w:p>
      <w:pPr>
        <w:pStyle w:val="TextBody"/>
        <w:bidi w:val="0"/>
        <w:spacing w:before="120" w:after="283"/>
        <w:jc w:val="left"/>
        <w:rPr/>
      </w:pPr>
      <w:r>
        <w:rPr>
          <w:rFonts w:ascii="Times New Roman" w:hAnsi="Times New Roman"/>
          <w:color w:val="000000"/>
          <w:sz w:val="20"/>
        </w:rPr>
        <w:t xml:space="preserve">(c) The Registrant’s Quarterly Report on </w:t>
      </w:r>
      <w:hyperlink r:id="rId4">
        <w:r>
          <w:rPr>
            <w:rStyle w:val="InternetLink"/>
            <w:rFonts w:ascii="Times New Roman" w:hAnsi="Times New Roman"/>
            <w:color w:val="0000FF"/>
            <w:sz w:val="20"/>
            <w:u w:val="single"/>
          </w:rPr>
          <w:t>Form 10-Q</w:t>
        </w:r>
      </w:hyperlink>
      <w:r>
        <w:rPr>
          <w:rFonts w:ascii="Times New Roman" w:hAnsi="Times New Roman"/>
          <w:color w:val="000000"/>
          <w:sz w:val="20"/>
        </w:rPr>
        <w:t xml:space="preserve"> for the quarterly period ended March 31, 2026, filed with the Commission on May 14, 2026;</w:t>
      </w:r>
    </w:p>
    <w:p>
      <w:pPr>
        <w:pStyle w:val="TextBody"/>
        <w:bidi w:val="0"/>
        <w:spacing w:before="120" w:after="283"/>
        <w:jc w:val="left"/>
        <w:rPr/>
      </w:pPr>
      <w:r>
        <w:rPr>
          <w:rFonts w:ascii="Times New Roman" w:hAnsi="Times New Roman"/>
          <w:color w:val="000000"/>
          <w:sz w:val="20"/>
        </w:rPr>
        <w:t xml:space="preserve">(d) The Registrant’s Current Reports on Form 8-K (File No. 001-40703) filed with the Commission on </w:t>
      </w:r>
      <w:hyperlink r:id="rId5">
        <w:r>
          <w:rPr>
            <w:rStyle w:val="InternetLink"/>
            <w:rFonts w:ascii="Times New Roman" w:hAnsi="Times New Roman"/>
            <w:color w:val="0000FF"/>
            <w:sz w:val="20"/>
            <w:u w:val="single"/>
          </w:rPr>
          <w:t>January 8,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March 5,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April 9, 2026</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May 14, 2026</w:t>
        </w:r>
      </w:hyperlink>
      <w:r>
        <w:rPr>
          <w:rFonts w:ascii="Times New Roman" w:hAnsi="Times New Roman"/>
          <w:color w:val="000000"/>
          <w:sz w:val="20"/>
        </w:rPr>
        <w:t xml:space="preserve"> to the extent the information in and exhibits to such reports are filed and not furnished; and </w:t>
      </w:r>
    </w:p>
    <w:p>
      <w:pPr>
        <w:pStyle w:val="TextBody"/>
        <w:bidi w:val="0"/>
        <w:spacing w:before="120" w:after="283"/>
        <w:jc w:val="left"/>
        <w:rPr/>
      </w:pPr>
      <w:r>
        <w:rPr>
          <w:rFonts w:ascii="Times New Roman" w:hAnsi="Times New Roman"/>
          <w:color w:val="000000"/>
          <w:sz w:val="20"/>
        </w:rPr>
        <w:t xml:space="preserve">(e) The description of the Registrant’s Common Stock contained in the Registrant’s Registration Statement on </w:t>
      </w:r>
      <w:hyperlink r:id="rId9">
        <w:r>
          <w:rPr>
            <w:rStyle w:val="InternetLink"/>
            <w:rFonts w:ascii="Times New Roman" w:hAnsi="Times New Roman"/>
            <w:color w:val="0000FF"/>
            <w:sz w:val="20"/>
            <w:u w:val="single"/>
          </w:rPr>
          <w:t>Form 8-A</w:t>
        </w:r>
      </w:hyperlink>
      <w:r>
        <w:rPr>
          <w:rFonts w:ascii="Times New Roman" w:hAnsi="Times New Roman"/>
          <w:color w:val="000000"/>
          <w:sz w:val="20"/>
        </w:rPr>
        <w:t xml:space="preserve"> filed on August 3, 2021 (File No. 001-40703)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as the description therein has been updated and superseded by the description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 xml:space="preserve">Registrant’s Common Stock contained in </w:t>
      </w:r>
      <w:hyperlink r:id="rId10">
        <w:r>
          <w:rPr>
            <w:rStyle w:val="InternetLink"/>
            <w:rFonts w:ascii="Times New Roman" w:hAnsi="Times New Roman"/>
            <w:color w:val="0000FF"/>
            <w:sz w:val="20"/>
            <w:u w:val="single"/>
          </w:rPr>
          <w:t>Exhibit 4.2</w:t>
        </w:r>
      </w:hyperlink>
      <w:r>
        <w:rPr>
          <w:rFonts w:ascii="Times New Roman" w:hAnsi="Times New Roman"/>
          <w:color w:val="000000"/>
          <w:sz w:val="20"/>
        </w:rPr>
        <w:t xml:space="preserve"> to the Form 10-K, including any amendment or report filed for the purpose of updating such description.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documents, reports and definitive proxy or information statements filed by the Registrant pursuant to Sections 13(a), 13(c), 14 and 15(d) of the Exchange Act (other than Current Reports on Form 8-K furnished under Item 2.02 or Item 7.01 of Form 8-K and exhibits furnished on such form that relate to such items) on or after the date of this Registration Statement and prior to the filing of a post-effective amendment to this Registration Statement that indicates that all securities offered hereby have been sold or that deregisters all securities then remaining unsold shall be deemed to be incorporated by reference in this Registration Statement and to be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jc w:val="left"/>
        <w:rPr/>
      </w:pPr>
      <w:r>
        <w:rPr/>
        <w:t> </w:t>
      </w:r>
    </w:p>
    <w:tbl>
      <w:tblPr>
        <w:tblW w:w="3902" w:type="dxa"/>
        <w:jc w:val="left"/>
        <w:tblInd w:w="0" w:type="dxa"/>
        <w:tblLayout w:type="fixed"/>
        <w:tblCellMar>
          <w:top w:w="28" w:type="dxa"/>
          <w:left w:w="28" w:type="dxa"/>
          <w:bottom w:w="28" w:type="dxa"/>
          <w:right w:w="28" w:type="dxa"/>
        </w:tblCellMar>
      </w:tblPr>
      <w:tblGrid>
        <w:gridCol w:w="841"/>
        <w:gridCol w:w="3061"/>
      </w:tblGrid>
      <w:tr>
        <w:trPr/>
        <w:tc>
          <w:tcPr>
            <w:tcW w:w="8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4.</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SECURITIES.</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tbl>
      <w:tblPr>
        <w:tblW w:w="5582" w:type="dxa"/>
        <w:jc w:val="left"/>
        <w:tblInd w:w="0" w:type="dxa"/>
        <w:tblLayout w:type="fixed"/>
        <w:tblCellMar>
          <w:top w:w="28" w:type="dxa"/>
          <w:left w:w="28" w:type="dxa"/>
          <w:bottom w:w="28" w:type="dxa"/>
          <w:right w:w="28" w:type="dxa"/>
        </w:tblCellMar>
      </w:tblPr>
      <w:tblGrid>
        <w:gridCol w:w="841"/>
        <w:gridCol w:w="4741"/>
      </w:tblGrid>
      <w:tr>
        <w:trPr/>
        <w:tc>
          <w:tcPr>
            <w:tcW w:w="841" w:type="dxa"/>
            <w:tcBorders/>
            <w:vAlign w:val="center"/>
          </w:tcPr>
          <w:p>
            <w:pPr>
              <w:pStyle w:val="TableContents"/>
              <w:bidi w:val="0"/>
              <w:spacing w:before="0" w:after="283"/>
              <w:jc w:val="left"/>
              <w:rPr>
                <w:sz w:val="4"/>
                <w:szCs w:val="4"/>
              </w:rPr>
            </w:pPr>
            <w:r>
              <w:rPr>
                <w:sz w:val="4"/>
                <w:szCs w:val="4"/>
              </w:rPr>
            </w:r>
          </w:p>
        </w:tc>
        <w:tc>
          <w:tcPr>
            <w:tcW w:w="4741"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5.</w:t>
            </w:r>
          </w:p>
        </w:tc>
        <w:tc>
          <w:tcPr>
            <w:tcW w:w="4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INTERESTS OF NAMED EXPERTS AND COUNSEL.</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tbl>
      <w:tblPr>
        <w:tblW w:w="5837" w:type="dxa"/>
        <w:jc w:val="left"/>
        <w:tblInd w:w="0" w:type="dxa"/>
        <w:tblLayout w:type="fixed"/>
        <w:tblCellMar>
          <w:top w:w="28" w:type="dxa"/>
          <w:left w:w="28" w:type="dxa"/>
          <w:bottom w:w="28" w:type="dxa"/>
          <w:right w:w="28" w:type="dxa"/>
        </w:tblCellMar>
      </w:tblPr>
      <w:tblGrid>
        <w:gridCol w:w="841"/>
        <w:gridCol w:w="4996"/>
      </w:tblGrid>
      <w:tr>
        <w:trPr/>
        <w:tc>
          <w:tcPr>
            <w:tcW w:w="841" w:type="dxa"/>
            <w:tcBorders/>
            <w:vAlign w:val="center"/>
          </w:tcPr>
          <w:p>
            <w:pPr>
              <w:pStyle w:val="TableContents"/>
              <w:bidi w:val="0"/>
              <w:spacing w:before="0" w:after="283"/>
              <w:jc w:val="left"/>
              <w:rPr>
                <w:sz w:val="4"/>
                <w:szCs w:val="4"/>
              </w:rPr>
            </w:pPr>
            <w:r>
              <w:rPr>
                <w:sz w:val="4"/>
                <w:szCs w:val="4"/>
              </w:rPr>
            </w:r>
          </w:p>
        </w:tc>
        <w:tc>
          <w:tcPr>
            <w:tcW w:w="499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6.</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INDEMNIFICATION OF DIRECTORS AND OFFICERS.</w:t>
            </w:r>
          </w:p>
        </w:tc>
      </w:tr>
    </w:tbl>
    <w:p>
      <w:pPr>
        <w:pStyle w:val="TextBody"/>
        <w:bidi w:val="0"/>
        <w:spacing w:before="120" w:after="283"/>
        <w:jc w:val="left"/>
        <w:rPr>
          <w:rFonts w:ascii="Times New Roman" w:hAnsi="Times New Roman"/>
          <w:sz w:val="20"/>
        </w:rPr>
      </w:pPr>
      <w:r>
        <w:rPr>
          <w:rFonts w:ascii="Times New Roman" w:hAnsi="Times New Roman"/>
          <w:color w:val="000000"/>
          <w:sz w:val="20"/>
        </w:rPr>
        <w:t>The Registrant is incorporated under the laws of the State of Delaware. Section 102(b)(7) of the Delaware General Corporation Law (the “</w:t>
      </w:r>
      <w:r>
        <w:rPr>
          <w:rFonts w:ascii="Times New Roman" w:hAnsi="Times New Roman"/>
          <w:b/>
          <w:i/>
          <w:color w:val="000000"/>
          <w:sz w:val="20"/>
        </w:rPr>
        <w:t>DGCL</w:t>
      </w:r>
      <w:r>
        <w:rPr>
          <w:rFonts w:ascii="Times New Roman" w:hAnsi="Times New Roman"/>
          <w:color w:val="000000"/>
          <w:sz w:val="20"/>
        </w:rPr>
        <w:t>”) generally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for (i), with respect to directors and officers, any breach of the director’s or officer’s duty of loyalty to the corporation or its stockholders; (ii), with respect to directors and officers, acts or omissions not in good faith or which involve intentional misconduct or a knowing violation of law; (iii), with respect to directors, payments of unlawful dividends or unlawful stock repurchases or redemptions under Section 174 of the DGCL; (iv), with respect to directors and officers, any transaction from which the director or officer derived an improper personal benefit; or (v), with respect to officers, any action by or in the right of the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such person was or is a party or threatened to be made a party by reason of such position, if such person acted in good faith and in a manner such person reasonably believed to be in or not opposed to the best interests of the corporation, and, in any criminal action or proceeding, had no reasonable cause to believe such person’s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by the DGCL, the Registrant’s amended and restated certificate of incorporation, as amended, and amended and restated bylaws, as amended, provide that: (i) it is required to indemnify its directors to the fullest extent permitted by the DGCL; (ii) it may, in its discretion, indemnify its officers, employees and agents as set forth in the DGCL; (iii) it is required, upon satisfaction of certain conditions, to advance all expenses incurred by its directors in connection with certain legal proceedings; (iv) the rights conferred in the bylaws are not exclusive; and (v) it is authorized to enter into indemnification agreements with its directors, officers, employees and agents.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 has entered into indemnification agreements with each of its directors and executive officers which require it to indemnify them against expenses, judgments, fines, settlements and other amounts that any such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person becomes legally obligated to pay (including with respect to a derivative action) in connection with any proceeding, whether actual or threatened, to which such person may be made a party by reason of the fact that such person is or was a director or officer of the Registrant or any of its affiliates, provided such person acted in good faith and in a manner such person reasonably believed to be in, or not opposed to, the Registrant’s best interests. The indemnification agreements also set forth certain procedures that will apply in the event of a claim for indemnification thereunder.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 maintains a directors’ and officers’ liability insurance policy. The policy insures directors and officers against unindemnified losses arising from certain wrongful acts in their capacities as directors and officers and reimburses the Registrant for those losses for which it has lawfully indemnified the directors and officers. The policy contains various exclusions.</w:t>
      </w:r>
    </w:p>
    <w:p>
      <w:pPr>
        <w:pStyle w:val="TextBody"/>
        <w:bidi w:val="0"/>
        <w:jc w:val="left"/>
        <w:rPr/>
      </w:pPr>
      <w:r>
        <w:rPr/>
        <w:t> </w:t>
      </w:r>
    </w:p>
    <w:tbl>
      <w:tblPr>
        <w:tblW w:w="5387" w:type="dxa"/>
        <w:jc w:val="left"/>
        <w:tblInd w:w="0" w:type="dxa"/>
        <w:tblLayout w:type="fixed"/>
        <w:tblCellMar>
          <w:top w:w="28" w:type="dxa"/>
          <w:left w:w="28" w:type="dxa"/>
          <w:bottom w:w="28" w:type="dxa"/>
          <w:right w:w="28" w:type="dxa"/>
        </w:tblCellMar>
      </w:tblPr>
      <w:tblGrid>
        <w:gridCol w:w="841"/>
        <w:gridCol w:w="4546"/>
      </w:tblGrid>
      <w:tr>
        <w:trPr/>
        <w:tc>
          <w:tcPr>
            <w:tcW w:w="841"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7.</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EXEMPTION FROM REGISTRATION CLAIMED.</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tbl>
      <w:tblPr>
        <w:tblW w:w="2027" w:type="dxa"/>
        <w:jc w:val="left"/>
        <w:tblInd w:w="0" w:type="dxa"/>
        <w:tblLayout w:type="fixed"/>
        <w:tblCellMar>
          <w:top w:w="28" w:type="dxa"/>
          <w:left w:w="28" w:type="dxa"/>
          <w:bottom w:w="28" w:type="dxa"/>
          <w:right w:w="28" w:type="dxa"/>
        </w:tblCellMar>
      </w:tblPr>
      <w:tblGrid>
        <w:gridCol w:w="841"/>
        <w:gridCol w:w="1186"/>
      </w:tblGrid>
      <w:tr>
        <w:trPr/>
        <w:tc>
          <w:tcPr>
            <w:tcW w:w="84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EXHIBITS.</w:t>
            </w:r>
            <w:r>
              <w:rPr>
                <w:rFonts w:ascii="Times New Roman" w:hAnsi="Times New Roman"/>
                <w:color w:val="000000"/>
                <w:sz w:val="20"/>
              </w:rPr>
              <w:t xml:space="preserve">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413" w:type="dxa"/>
            <w:tcBorders/>
            <w:tcMar>
              <w:top w:w="0" w:type="dxa"/>
              <w:left w:w="0" w:type="dxa"/>
              <w:bottom w:w="0" w:type="dxa"/>
              <w:right w:w="0" w:type="dxa"/>
            </w:tcMar>
            <w:vAlign w:val="center"/>
          </w:tcPr>
          <w:p>
            <w:pPr>
              <w:pStyle w:val="TableContents"/>
              <w:pBdr>
                <w:bottom w:val="single" w:sz="8"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Amended and Restated Certificate of Incorporation (incorporated by reference to Exhibit 3.1 of the Registrant’s Current Report on Form 8-K (File No. 001-40703), filed with the Securities and Exchange Commission on August 10,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Certificate of Amendment to the Amended and Restated Certificate of Incorporation (incorporated by reference to Exhibit 3.1 of the Registrant’s Current Report on Form 8-K (File No. 001-40703), filed with the Securities and Exchange Commission on September 13,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Amendment to the Amended and Restated Certificate of Incorporation (incorporated by reference to Exhibit 3.1 of the Registrant’s Current Report on Form 8-K (File No. 001-40703), filed with the Securities and Exchange Commission on May 25,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Delaware Certificate of Change of Registered Agent (incorporated by reference to Exhibit 3.3 of the Company’s Registration Statement on Form S-3 (File No. 333-267643), filed with the Securities and Exchange Commission on September 28,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Amended and Restated Bylaws (incorporated by reference to Exhibit 3.2 of the Registrant’s Current Report on Form 8-K (File No. 001-40703), filed with the Securities and Exchange Commission on September 13,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Amendment No. 1 to the Amended and Restated Bylaws (incorporated by reference to Exhibit 3.2 of the Registrant’s Current Report on Form 8-K (File No. 001-40703), filed with the Securities and Exchange Commission on May 25,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2021 Equity Incentive Plan and Forms of Stock Option Grant Notice, Stock Option Agreement, Exercise Notice, RSU Award Grant Notice and RSU Award Agreement (incorporated by reference to Exhibit 10.2 of the Registrant’s Annual Report on Form 10-K (file No. 001-40703), filed with the Securities and Exchange Commission on March 5,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2021 Employee Stock Purchase Plan (incorporated by reference to Exhibit 10.6 of the Registrant’s Quarterly Report on Form 10-Q (File No. 001-40703), filed with the Securities and Exchange Commission on November 10,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2026 Inducement Plan and Forms of Stock Option Grant Notice, Stock Option Agreement, Exercise Notice, RSU Award Grant Notice and RSU Award Agreement (incorporated by reference to Exhibit 10.4 of the Registrant’s Annual Report on Form 10-K (File No. 001-40703), filed with the Securities and Exchange Commission on March 5, 2026).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ivvd-ex5_1.htm">
              <w:r>
                <w:rPr>
                  <w:rStyle w:val="InternetLink"/>
                  <w:rFonts w:ascii="Times New Roman" w:hAnsi="Times New Roman"/>
                  <w:color w:val="0000FF"/>
                  <w:sz w:val="20"/>
                  <w:u w:val="single"/>
                </w:rPr>
                <w:t>Opinion of Hogan Lovells US LLP.</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ivvd-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ivvd-ex5_1.htm">
              <w:r>
                <w:rPr>
                  <w:rStyle w:val="InternetLink"/>
                  <w:rFonts w:ascii="Times New Roman" w:hAnsi="Times New Roman"/>
                  <w:color w:val="0000FF"/>
                  <w:sz w:val="20"/>
                  <w:u w:val="single"/>
                </w:rPr>
                <w:t>Consent of Hogan Lovells US LLP (included in Exhibit 5.1).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powerofattorney">
              <w:r>
                <w:rPr>
                  <w:rStyle w:val="InternetLink"/>
                  <w:rFonts w:ascii="Times New Roman" w:hAnsi="Times New Roman"/>
                  <w:color w:val="0000FF"/>
                  <w:sz w:val="20"/>
                  <w:u w:val="single"/>
                </w:rPr>
                <w:t>Power of Attorney (included on signature page of Registration Statement).</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ivvd-exfiling_fees.htm">
              <w:r>
                <w:rPr>
                  <w:rStyle w:val="InternetLink"/>
                  <w:rFonts w:ascii="Times New Roman" w:hAnsi="Times New Roman"/>
                  <w:color w:val="0000FF"/>
                  <w:sz w:val="20"/>
                  <w:u w:val="single"/>
                </w:rPr>
                <w:t>Filing Fee Table.</w:t>
              </w:r>
            </w:hyperlink>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597" w:type="dxa"/>
        <w:jc w:val="left"/>
        <w:tblInd w:w="0" w:type="dxa"/>
        <w:tblLayout w:type="fixed"/>
        <w:tblCellMar>
          <w:top w:w="28" w:type="dxa"/>
          <w:left w:w="28" w:type="dxa"/>
          <w:bottom w:w="28" w:type="dxa"/>
          <w:right w:w="28" w:type="dxa"/>
        </w:tblCellMar>
      </w:tblPr>
      <w:tblGrid>
        <w:gridCol w:w="841"/>
        <w:gridCol w:w="1756"/>
      </w:tblGrid>
      <w:tr>
        <w:trPr/>
        <w:tc>
          <w:tcPr>
            <w:tcW w:w="841"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r>
      <w:tr>
        <w:trPr/>
        <w:tc>
          <w:tcPr>
            <w:tcW w:w="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w:t>
            </w:r>
          </w:p>
        </w:tc>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UNDERTAKINGS.</w:t>
            </w:r>
          </w:p>
        </w:tc>
      </w:tr>
    </w:tbl>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240"/>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15(d) of the Exchange Act that are incorporated by reference in this registration statement.</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hAnsi="Times New Roman"/>
          <w:i/>
          <w:color w:val="000000"/>
          <w:sz w:val="20"/>
        </w:rPr>
        <w:t>bona fide</w:t>
      </w:r>
      <w:r>
        <w:rPr>
          <w:rFonts w:ascii="Times New Roman" w:hAnsi="Times New Roman"/>
          <w:color w:val="000000"/>
          <w:sz w:val="20"/>
        </w:rPr>
        <w:t xml:space="preserve"> offering thereof.</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24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80" w:after="80"/>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New Haven, State of Connecticut, on this 14th day of May, 2026. </w:t>
      </w:r>
    </w:p>
    <w:tbl>
      <w:tblPr>
        <w:tblW w:w="3036" w:type="dxa"/>
        <w:jc w:val="left"/>
        <w:tblInd w:w="0" w:type="dxa"/>
        <w:tblLayout w:type="fixed"/>
        <w:tblCellMar>
          <w:top w:w="28" w:type="dxa"/>
          <w:left w:w="28" w:type="dxa"/>
          <w:bottom w:w="28" w:type="dxa"/>
          <w:right w:w="28" w:type="dxa"/>
        </w:tblCellMar>
      </w:tblPr>
      <w:tblGrid>
        <w:gridCol w:w="421"/>
        <w:gridCol w:w="109"/>
        <w:gridCol w:w="250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03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INVIVYD, INC.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William Duke, Jr.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William Duke, Jr.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 Chief Financial Officer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2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center"/>
        <w:rPr>
          <w:rFonts w:ascii="Times New Roman" w:hAnsi="Times New Roman"/>
          <w:sz w:val="20"/>
        </w:rPr>
      </w:pPr>
      <w:bookmarkStart w:id="2" w:name="powerofattorney"/>
      <w:bookmarkEnd w:id="2"/>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80" w:after="80"/>
        <w:jc w:val="left"/>
        <w:rPr>
          <w:rFonts w:ascii="Times New Roman" w:hAnsi="Times New Roman"/>
          <w:color w:val="000000"/>
          <w:sz w:val="20"/>
        </w:rPr>
      </w:pPr>
      <w:r>
        <w:rPr>
          <w:rFonts w:ascii="Times New Roman" w:hAnsi="Times New Roman"/>
          <w:color w:val="000000"/>
          <w:sz w:val="20"/>
        </w:rPr>
        <w:t xml:space="preserve">KNOW ALL BY THESE PRESENTS, that each person whose signature appears below hereby constitutes and appoints William Duke, Jr. and Jill Andersen,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 </w:t>
      </w:r>
    </w:p>
    <w:p>
      <w:pPr>
        <w:pStyle w:val="TextBody"/>
        <w:bidi w:val="0"/>
        <w:spacing w:before="0" w:after="8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tbl>
      <w:tblPr>
        <w:tblW w:w="8845" w:type="dxa"/>
        <w:jc w:val="left"/>
        <w:tblInd w:w="0" w:type="dxa"/>
        <w:tblLayout w:type="fixed"/>
        <w:tblCellMar>
          <w:top w:w="28" w:type="dxa"/>
          <w:left w:w="28" w:type="dxa"/>
          <w:bottom w:w="28" w:type="dxa"/>
          <w:right w:w="28" w:type="dxa"/>
        </w:tblCellMar>
      </w:tblPr>
      <w:tblGrid>
        <w:gridCol w:w="2116"/>
        <w:gridCol w:w="146"/>
        <w:gridCol w:w="5146"/>
        <w:gridCol w:w="146"/>
        <w:gridCol w:w="129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4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Date</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William Duke, Jr.</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William Duke, Jr.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jc w:val="center"/>
              <w:rPr>
                <w:rFonts w:ascii="Times New Roman" w:hAnsi="Times New Roman"/>
                <w:sz w:val="20"/>
              </w:rPr>
            </w:pPr>
            <w:r>
              <w:rPr>
                <w:rFonts w:ascii="Times New Roman" w:hAnsi="Times New Roman"/>
                <w:i/>
                <w:color w:val="000000"/>
                <w:sz w:val="20"/>
              </w:rPr>
              <w:t>(Principal Executive Officer, Principal Financial Officer and</w:t>
            </w:r>
            <w:r>
              <w:rPr>
                <w:rFonts w:ascii="Times New Roman" w:hAnsi="Times New Roman"/>
                <w:color w:val="000000"/>
                <w:sz w:val="20"/>
              </w:rPr>
              <w:t xml:space="preserve"> </w:t>
            </w:r>
          </w:p>
          <w:p>
            <w:pPr>
              <w:pStyle w:val="TableContents"/>
              <w:bidi w:val="0"/>
              <w:spacing w:before="0" w:after="20"/>
              <w:jc w:val="center"/>
              <w:rPr>
                <w:rFonts w:ascii="Times New Roman" w:hAnsi="Times New Roman"/>
                <w:i/>
                <w:color w:val="000000"/>
                <w:sz w:val="20"/>
              </w:rPr>
            </w:pPr>
            <w:r>
              <w:rPr>
                <w:rFonts w:ascii="Times New Roman" w:hAnsi="Times New Roman"/>
                <w:i/>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Marc Elia</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Marc Elia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Tamsin Berry</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Tamsin Berry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jc w:val="center"/>
              <w:rPr>
                <w:rFonts w:ascii="Times New Roman" w:hAnsi="Times New Roman"/>
                <w:color w:val="000000"/>
                <w:sz w:val="20"/>
              </w:rPr>
            </w:pPr>
            <w:r>
              <w:rPr>
                <w:rFonts w:ascii="Times New Roman" w:hAnsi="Times New Roman"/>
                <w:color w:val="000000"/>
                <w:sz w:val="20"/>
              </w:rPr>
              <w:t>/s/ Paul B. Bolno, M.D.</w:t>
            </w:r>
          </w:p>
          <w:p>
            <w:pPr>
              <w:pStyle w:val="TableContents"/>
              <w:bidi w:val="0"/>
              <w:spacing w:before="0" w:after="20"/>
              <w:jc w:val="center"/>
              <w:rPr>
                <w:rFonts w:ascii="Times New Roman" w:hAnsi="Times New Roman"/>
                <w:color w:val="000000"/>
                <w:sz w:val="20"/>
              </w:rPr>
            </w:pPr>
            <w:r>
              <w:rPr>
                <w:rFonts w:ascii="Times New Roman" w:hAnsi="Times New Roman"/>
                <w:color w:val="000000"/>
                <w:sz w:val="20"/>
              </w:rPr>
              <w:t>Paul B. Bolno,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Terrance McGuire</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Terrance McGuire</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Kevin F. McLaughlin</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F. McLaughlin</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1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29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color w:val="000000"/>
                <w:sz w:val="20"/>
              </w:rPr>
            </w:pPr>
            <w:r>
              <w:rPr>
                <w:rFonts w:ascii="Times New Roman" w:hAnsi="Times New Roman"/>
                <w:color w:val="000000"/>
                <w:sz w:val="20"/>
              </w:rPr>
              <w:t>/s/ Ajay Royan</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514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vMerge w:val="restart"/>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r>
      <w:tr>
        <w:trPr/>
        <w:tc>
          <w:tcPr>
            <w:tcW w:w="21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Ajay Royan</w:t>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5146" w:type="dxa"/>
            <w:vMerge w:val="continue"/>
            <w:tcBorders/>
            <w:tcMar>
              <w:top w:w="0" w:type="dxa"/>
              <w:left w:w="0" w:type="dxa"/>
              <w:bottom w:w="0" w:type="dxa"/>
              <w:right w:w="0" w:type="dxa"/>
            </w:tcMar>
            <w:vAlign w:val="center"/>
          </w:tcPr>
          <w:p>
            <w:pPr>
              <w:pStyle w:val="Normal"/>
              <w:bidi w:val="0"/>
              <w:jc w:val="left"/>
              <w:rPr/>
            </w:pPr>
            <w:r>
              <w:rPr/>
            </w:r>
          </w:p>
        </w:tc>
        <w:tc>
          <w:tcPr>
            <w:tcW w:w="146" w:type="dxa"/>
            <w:vMerge w:val="continue"/>
            <w:tcBorders/>
            <w:tcMar>
              <w:top w:w="0" w:type="dxa"/>
              <w:left w:w="0" w:type="dxa"/>
              <w:bottom w:w="0" w:type="dxa"/>
              <w:right w:w="0" w:type="dxa"/>
            </w:tcMar>
            <w:vAlign w:val="center"/>
          </w:tcPr>
          <w:p>
            <w:pPr>
              <w:pStyle w:val="Normal"/>
              <w:bidi w:val="0"/>
              <w:jc w:val="left"/>
              <w:rPr/>
            </w:pPr>
            <w:r>
              <w:rPr/>
            </w:r>
          </w:p>
        </w:tc>
        <w:tc>
          <w:tcPr>
            <w:tcW w:w="12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 w:name="ivvd-ex5_1.htm"/>
      <w:bookmarkStart w:id="4" w:name="ksivvdex5_1"/>
      <w:bookmarkEnd w:id="3"/>
      <w:bookmarkEnd w:id="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5.1</w:t>
      </w:r>
    </w:p>
    <w:p>
      <w:pPr>
        <w:pStyle w:val="TextBody"/>
        <w:bidi w:val="0"/>
        <w:jc w:val="left"/>
        <w:rPr/>
      </w:pPr>
      <w:r>
        <w:rPr/>
        <w:t> </w:t>
      </w:r>
    </w:p>
    <w:tbl>
      <w:tblPr>
        <w:tblW w:w="3762" w:type="dxa"/>
        <w:jc w:val="left"/>
        <w:tblInd w:w="0" w:type="dxa"/>
        <w:tblLayout w:type="fixed"/>
        <w:tblCellMar>
          <w:top w:w="28" w:type="dxa"/>
          <w:left w:w="28" w:type="dxa"/>
          <w:bottom w:w="28" w:type="dxa"/>
          <w:right w:w="28" w:type="dxa"/>
        </w:tblCellMar>
      </w:tblPr>
      <w:tblGrid>
        <w:gridCol w:w="1526"/>
        <w:gridCol w:w="2236"/>
      </w:tblGrid>
      <w:tr>
        <w:trPr/>
        <w:tc>
          <w:tcPr>
            <w:tcW w:w="1526"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r>
      <w:tr>
        <w:trPr/>
        <w:tc>
          <w:tcPr>
            <w:tcW w:w="152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9048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0"/>
                          <a:stretch>
                            <a:fillRect/>
                          </a:stretch>
                        </pic:blipFill>
                        <pic:spPr bwMode="auto">
                          <a:xfrm>
                            <a:off x="0" y="0"/>
                            <a:ext cx="904875" cy="904875"/>
                          </a:xfrm>
                          <a:prstGeom prst="rect">
                            <a:avLst/>
                          </a:prstGeom>
                        </pic:spPr>
                      </pic:pic>
                    </a:graphicData>
                  </a:graphic>
                </wp:inline>
              </w:drawing>
            </w:r>
          </w:p>
        </w:tc>
        <w:tc>
          <w:tcPr>
            <w:tcW w:w="2236" w:type="dxa"/>
            <w:tcBorders/>
            <w:tcMar>
              <w:top w:w="0" w:type="dxa"/>
              <w:left w:w="0" w:type="dxa"/>
              <w:bottom w:w="0" w:type="dxa"/>
              <w:right w:w="0" w:type="dxa"/>
            </w:tcMar>
            <w:vAlign w:val="center"/>
          </w:tcPr>
          <w:p>
            <w:pPr>
              <w:pStyle w:val="TableContents"/>
              <w:bidi w:val="0"/>
              <w:jc w:val="left"/>
              <w:rPr>
                <w:rFonts w:ascii="Arial" w:hAnsi="Arial"/>
                <w:color w:val="000000"/>
                <w:sz w:val="16"/>
              </w:rPr>
            </w:pPr>
            <w:r>
              <w:rPr>
                <w:rFonts w:ascii="Arial" w:hAnsi="Arial"/>
                <w:color w:val="000000"/>
                <w:sz w:val="16"/>
              </w:rPr>
              <w:t>Hogan Lovells US LLP</w:t>
            </w:r>
          </w:p>
          <w:p>
            <w:pPr>
              <w:pStyle w:val="TableContents"/>
              <w:bidi w:val="0"/>
              <w:jc w:val="left"/>
              <w:rPr>
                <w:rFonts w:ascii="Arial" w:hAnsi="Arial"/>
                <w:color w:val="000000"/>
                <w:sz w:val="16"/>
              </w:rPr>
            </w:pPr>
            <w:r>
              <w:rPr>
                <w:rFonts w:ascii="Arial" w:hAnsi="Arial"/>
                <w:color w:val="000000"/>
                <w:sz w:val="16"/>
              </w:rPr>
              <w:t>1735 Market Street, Floor 23</w:t>
            </w:r>
          </w:p>
          <w:p>
            <w:pPr>
              <w:pStyle w:val="TableContents"/>
              <w:bidi w:val="0"/>
              <w:jc w:val="left"/>
              <w:rPr>
                <w:rFonts w:ascii="Arial" w:hAnsi="Arial"/>
                <w:color w:val="000000"/>
                <w:sz w:val="16"/>
              </w:rPr>
            </w:pPr>
            <w:r>
              <w:rPr>
                <w:rFonts w:ascii="Arial" w:hAnsi="Arial"/>
                <w:color w:val="000000"/>
                <w:sz w:val="16"/>
              </w:rPr>
              <w:t>Philadelphia, PA 19103</w:t>
            </w:r>
          </w:p>
          <w:p>
            <w:pPr>
              <w:pStyle w:val="TableContents"/>
              <w:bidi w:val="0"/>
              <w:jc w:val="left"/>
              <w:rPr>
                <w:rFonts w:ascii="Arial" w:hAnsi="Arial"/>
                <w:color w:val="000000"/>
                <w:sz w:val="16"/>
              </w:rPr>
            </w:pPr>
            <w:r>
              <w:rPr>
                <w:rFonts w:ascii="Arial" w:hAnsi="Arial"/>
                <w:color w:val="000000"/>
                <w:sz w:val="16"/>
              </w:rPr>
              <w:t>T +1 267 675 4600</w:t>
            </w:r>
          </w:p>
          <w:p>
            <w:pPr>
              <w:pStyle w:val="TableContents"/>
              <w:bidi w:val="0"/>
              <w:jc w:val="left"/>
              <w:rPr>
                <w:rFonts w:ascii="Arial" w:hAnsi="Arial"/>
                <w:color w:val="000000"/>
                <w:sz w:val="16"/>
              </w:rPr>
            </w:pPr>
            <w:r>
              <w:rPr>
                <w:rFonts w:ascii="Arial" w:hAnsi="Arial"/>
                <w:color w:val="000000"/>
                <w:sz w:val="16"/>
              </w:rPr>
              <w:t>F +1 267 675 4601</w:t>
            </w:r>
          </w:p>
          <w:p>
            <w:pPr>
              <w:pStyle w:val="TableContents"/>
              <w:bidi w:val="0"/>
              <w:spacing w:before="0" w:after="283"/>
              <w:jc w:val="left"/>
              <w:rPr>
                <w:rFonts w:ascii="Arial" w:hAnsi="Arial"/>
                <w:color w:val="000000"/>
                <w:sz w:val="16"/>
              </w:rPr>
            </w:pPr>
            <w:r>
              <w:rPr>
                <w:rFonts w:ascii="Arial" w:hAnsi="Arial"/>
                <w:color w:val="000000"/>
                <w:sz w:val="16"/>
              </w:rPr>
              <w:t>www.hoganlovells.com</w:t>
            </w:r>
          </w:p>
        </w:tc>
      </w:tr>
      <w:tr>
        <w:trPr/>
        <w:tc>
          <w:tcPr>
            <w:tcW w:w="1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May 14, 2026</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Board of Directors</w:t>
      </w:r>
    </w:p>
    <w:p>
      <w:pPr>
        <w:pStyle w:val="TextBody"/>
        <w:bidi w:val="0"/>
        <w:jc w:val="both"/>
        <w:rPr>
          <w:rFonts w:ascii="Arial" w:hAnsi="Arial"/>
          <w:color w:val="000000"/>
          <w:sz w:val="21"/>
        </w:rPr>
      </w:pPr>
      <w:r>
        <w:rPr>
          <w:rFonts w:ascii="Arial" w:hAnsi="Arial"/>
          <w:color w:val="000000"/>
          <w:sz w:val="21"/>
        </w:rPr>
        <w:t>Invivyd, Inc.</w:t>
      </w:r>
    </w:p>
    <w:p>
      <w:pPr>
        <w:pStyle w:val="TextBody"/>
        <w:bidi w:val="0"/>
        <w:jc w:val="both"/>
        <w:rPr>
          <w:rFonts w:ascii="Arial" w:hAnsi="Arial"/>
          <w:color w:val="000000"/>
          <w:sz w:val="21"/>
        </w:rPr>
      </w:pPr>
      <w:r>
        <w:rPr>
          <w:rFonts w:ascii="Arial" w:hAnsi="Arial"/>
          <w:color w:val="000000"/>
          <w:sz w:val="21"/>
        </w:rPr>
        <w:t>209 Church Street</w:t>
      </w:r>
    </w:p>
    <w:p>
      <w:pPr>
        <w:pStyle w:val="TextBody"/>
        <w:bidi w:val="0"/>
        <w:jc w:val="both"/>
        <w:rPr>
          <w:rFonts w:ascii="Arial" w:hAnsi="Arial"/>
          <w:color w:val="000000"/>
          <w:sz w:val="21"/>
        </w:rPr>
      </w:pPr>
      <w:r>
        <w:rPr>
          <w:rFonts w:ascii="Arial" w:hAnsi="Arial"/>
          <w:color w:val="000000"/>
          <w:sz w:val="21"/>
        </w:rPr>
        <w:t>New Haven, Connecticut 06510</w:t>
      </w:r>
    </w:p>
    <w:p>
      <w:pPr>
        <w:pStyle w:val="TextBody"/>
        <w:bidi w:val="0"/>
        <w:jc w:val="both"/>
        <w:rPr/>
      </w:pPr>
      <w:r>
        <w:rPr/>
        <w:t> </w:t>
      </w:r>
    </w:p>
    <w:p>
      <w:pPr>
        <w:pStyle w:val="TextBody"/>
        <w:bidi w:val="0"/>
        <w:jc w:val="both"/>
        <w:rPr>
          <w:rFonts w:ascii="Arial" w:hAnsi="Arial"/>
          <w:color w:val="000000"/>
          <w:sz w:val="21"/>
        </w:rPr>
      </w:pPr>
      <w:r>
        <w:rPr>
          <w:rFonts w:ascii="Arial" w:hAnsi="Arial"/>
          <w:color w:val="000000"/>
          <w:sz w:val="21"/>
        </w:rPr>
        <w:t>To the addressee referred to above:</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1"/>
        </w:rPr>
        <w:t>We are acting as counsel to Invivyd, Inc., a Delaware corporation (the “</w:t>
      </w:r>
      <w:r>
        <w:rPr>
          <w:rFonts w:ascii="Arial" w:hAnsi="Arial"/>
          <w:b/>
          <w:color w:val="000000"/>
          <w:sz w:val="21"/>
        </w:rPr>
        <w:t>Company</w:t>
      </w:r>
      <w:r>
        <w:rPr>
          <w:rFonts w:ascii="Times New Roman" w:hAnsi="Times New Roman"/>
          <w:color w:val="000000"/>
          <w:sz w:val="20"/>
        </w:rPr>
        <w:t>”</w:t>
      </w:r>
      <w:r>
        <w:rPr>
          <w:rFonts w:ascii="Arial" w:hAnsi="Arial"/>
          <w:color w:val="000000"/>
          <w:sz w:val="21"/>
        </w:rPr>
        <w:t>), in connection with its registration statement on Form S</w:t>
        <w:noBreakHyphen/>
        <w:t>8 (the “</w:t>
      </w:r>
      <w:r>
        <w:rPr>
          <w:rFonts w:ascii="Arial" w:hAnsi="Arial"/>
          <w:b/>
          <w:color w:val="000000"/>
          <w:sz w:val="21"/>
        </w:rPr>
        <w:t>Registration Statement</w:t>
      </w:r>
      <w:r>
        <w:rPr>
          <w:rFonts w:ascii="Times New Roman" w:hAnsi="Times New Roman"/>
          <w:color w:val="000000"/>
          <w:sz w:val="20"/>
        </w:rPr>
        <w:t>”</w:t>
      </w:r>
      <w:r>
        <w:rPr>
          <w:rFonts w:ascii="Arial" w:hAnsi="Arial"/>
          <w:color w:val="000000"/>
          <w:sz w:val="21"/>
        </w:rPr>
        <w:t>), filed with the Securities and Exchange Commission under the Securities Act of 1933, as amended (the “</w:t>
      </w:r>
      <w:r>
        <w:rPr>
          <w:rFonts w:ascii="Arial" w:hAnsi="Arial"/>
          <w:b/>
          <w:color w:val="000000"/>
          <w:sz w:val="21"/>
        </w:rPr>
        <w:t>Act</w:t>
      </w:r>
      <w:r>
        <w:rPr>
          <w:rFonts w:ascii="Times New Roman" w:hAnsi="Times New Roman"/>
          <w:color w:val="000000"/>
          <w:sz w:val="20"/>
        </w:rPr>
        <w:t>”</w:t>
      </w:r>
      <w:r>
        <w:rPr>
          <w:rFonts w:ascii="Arial" w:hAnsi="Arial"/>
          <w:color w:val="000000"/>
          <w:sz w:val="21"/>
        </w:rPr>
        <w:t>), relating to the proposed offering of up to an aggregate of 24,784,897 shares (the “</w:t>
      </w:r>
      <w:r>
        <w:rPr>
          <w:rFonts w:ascii="Arial" w:hAnsi="Arial"/>
          <w:b/>
          <w:color w:val="000000"/>
          <w:sz w:val="21"/>
        </w:rPr>
        <w:t>Shares</w:t>
      </w:r>
      <w:r>
        <w:rPr>
          <w:rFonts w:ascii="Times New Roman" w:hAnsi="Times New Roman"/>
          <w:color w:val="000000"/>
          <w:sz w:val="20"/>
        </w:rPr>
        <w:t>”</w:t>
      </w:r>
      <w:r>
        <w:rPr>
          <w:rFonts w:ascii="Arial" w:hAnsi="Arial"/>
          <w:color w:val="000000"/>
          <w:sz w:val="21"/>
        </w:rPr>
        <w:t>) of common stock, par value $0.0001 per share, of the Company (the “</w:t>
      </w:r>
      <w:r>
        <w:rPr>
          <w:rFonts w:ascii="Arial" w:hAnsi="Arial"/>
          <w:b/>
          <w:color w:val="000000"/>
          <w:sz w:val="21"/>
        </w:rPr>
        <w:t>Common Stock</w:t>
      </w:r>
      <w:r>
        <w:rPr>
          <w:rFonts w:ascii="Times New Roman" w:hAnsi="Times New Roman"/>
          <w:color w:val="000000"/>
          <w:sz w:val="20"/>
        </w:rPr>
        <w:t>”</w:t>
      </w:r>
      <w:r>
        <w:rPr>
          <w:rFonts w:ascii="Arial" w:hAnsi="Arial"/>
          <w:color w:val="000000"/>
          <w:sz w:val="21"/>
        </w:rPr>
        <w:t>), consisting of (i) 14,099,351 shares of Common Stock issuable pursuant to the Invivyd, Inc. 2021 Equity Incentive Plan (the “</w:t>
      </w:r>
      <w:r>
        <w:rPr>
          <w:rFonts w:ascii="Arial" w:hAnsi="Arial"/>
          <w:b/>
          <w:color w:val="000000"/>
          <w:sz w:val="21"/>
        </w:rPr>
        <w:t>Incentive Plan</w:t>
      </w:r>
      <w:r>
        <w:rPr>
          <w:rFonts w:ascii="Times New Roman" w:hAnsi="Times New Roman"/>
          <w:color w:val="000000"/>
          <w:sz w:val="20"/>
        </w:rPr>
        <w:t>”</w:t>
      </w:r>
      <w:r>
        <w:rPr>
          <w:rFonts w:ascii="Arial" w:hAnsi="Arial"/>
          <w:color w:val="000000"/>
          <w:sz w:val="21"/>
        </w:rPr>
        <w:t>), (ii) 2,685,546 shares of Common Stock issuable pursuant to the Invivyd, Inc. 2021 Employee Stock Purchase Plan (the “</w:t>
      </w:r>
      <w:r>
        <w:rPr>
          <w:rFonts w:ascii="Arial" w:hAnsi="Arial"/>
          <w:b/>
          <w:color w:val="000000"/>
          <w:sz w:val="21"/>
        </w:rPr>
        <w:t>Employee Stock Purchase Plan</w:t>
      </w:r>
      <w:r>
        <w:rPr>
          <w:rFonts w:ascii="Times New Roman" w:hAnsi="Times New Roman"/>
          <w:color w:val="000000"/>
          <w:sz w:val="20"/>
        </w:rPr>
        <w:t>”</w:t>
      </w:r>
      <w:r>
        <w:rPr>
          <w:rFonts w:ascii="Arial" w:hAnsi="Arial"/>
          <w:color w:val="000000"/>
          <w:sz w:val="21"/>
        </w:rPr>
        <w:t>), and (iii) 8,000,000 shares of Common Stock issuable pursuant to the Invivyd, Inc. 2026 Inducement Plan (the “</w:t>
      </w:r>
      <w:r>
        <w:rPr>
          <w:rFonts w:ascii="Arial" w:hAnsi="Arial"/>
          <w:b/>
          <w:color w:val="000000"/>
          <w:sz w:val="21"/>
        </w:rPr>
        <w:t>Inducement Plan</w:t>
      </w:r>
      <w:r>
        <w:rPr>
          <w:rFonts w:ascii="Times New Roman" w:hAnsi="Times New Roman"/>
          <w:color w:val="000000"/>
          <w:sz w:val="20"/>
        </w:rPr>
        <w:t>”</w:t>
      </w:r>
      <w:r>
        <w:rPr>
          <w:rFonts w:ascii="Arial" w:hAnsi="Arial"/>
          <w:color w:val="000000"/>
          <w:sz w:val="21"/>
        </w:rPr>
        <w:t>). This opinion letter is furnished to you at your request to enable you to fulfill the requirements of Item 601(b)(5) of Regulation S</w:t>
        <w:noBreakHyphen/>
        <w:t>K, 17 C.F.R. § 229.601(b)(5), in connection with the Registration Statement.</w:t>
      </w:r>
    </w:p>
    <w:p>
      <w:pPr>
        <w:pStyle w:val="TextBody"/>
        <w:bidi w:val="0"/>
        <w:spacing w:before="0" w:after="240"/>
        <w:jc w:val="both"/>
        <w:rPr>
          <w:rFonts w:ascii="Times New Roman" w:hAnsi="Times New Roman"/>
          <w:sz w:val="20"/>
        </w:rPr>
      </w:pPr>
      <w:r>
        <w:rPr>
          <w:rFonts w:ascii="Arial" w:hAnsi="Arial"/>
          <w:color w:val="000000"/>
          <w:sz w:val="21"/>
        </w:rPr>
        <w:t>For purposes of this opinion letter, we have examined copies of such agreements, instruments and documents as we have deemed an appropriate basis on which to render the opinions hereinafter expressed. In our examination of the aforesaid documents, we have assumed the genuineness of all signatures, the legal capacity of all natural persons, the accuracy and completeness of all documents submitted to us, the authenticity of all original documents, and the conformity to authentic original documents of all documents submitted to us as copies (including pdfs). As to all matters of fact, we have relied on the representations and statements of fact made in the documents so reviewed, and we have not independently established the facts so relied on. This opinion letter is given, and all statements herein are made, in the context of the foregoing.</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This opinion letter is based as to matters of law solely on the Delaware General Corporation Law, as amended. We express no opinion herein as to any other statutes, rules or regulations.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1"/>
        </w:rPr>
        <w:t>Based upon, subject to and limited by the foregoing, we are of the opinion that following (i) effectiveness of the Registration Statement, (ii) issuance of the Shares pursuant to the terms of the Incentive Plan, the Employee Stock Purchase Plan, or the Inducement Plan, as applicable, and (iii) receipt by the Company of the consideration for the Shares specified in the applicable resolutions of the Board of Directors (or a duly authorized committee thereof) and in the Incentive Plan, the Employee</w:t>
      </w:r>
      <w:r>
        <w:rPr>
          <w:rFonts w:ascii="Times New Roman" w:hAnsi="Times New Roman"/>
          <w:color w:val="000000"/>
          <w:sz w:val="20"/>
        </w:rPr>
        <w:t xml:space="preserve"> </w:t>
      </w:r>
    </w:p>
    <w:p>
      <w:pPr>
        <w:pStyle w:val="TextBody"/>
        <w:bidi w:val="0"/>
        <w:jc w:val="both"/>
        <w:rPr/>
      </w:pPr>
      <w:r>
        <w:rPr/>
        <w:t> </w:t>
      </w:r>
    </w:p>
    <w:p>
      <w:pPr>
        <w:pStyle w:val="TextBody"/>
        <w:bidi w:val="0"/>
        <w:jc w:val="left"/>
        <w:rPr>
          <w:rFonts w:ascii="Arial" w:hAnsi="Arial"/>
          <w:color w:val="000000"/>
          <w:sz w:val="12"/>
        </w:rPr>
      </w:pPr>
      <w:r>
        <w:rPr>
          <w:rFonts w:ascii="Arial" w:hAnsi="Arial"/>
          <w:color w:val="000000"/>
          <w:sz w:val="12"/>
        </w:rPr>
        <w:t>Hogan Lovells US LLP is a limited liability partnership registered in the state of Delaware. “Hogan Lovells” is an international legal practice that includes Hogan Lovells US LLP and Hogan Lovells International LLP, with offices in: Alicante Amsterdam Baltimore Beijing Berlin Birmingham Boston Brussels Colorado Springs Denver Dubai Dublin Dusseldorf Frankfurt Hamburg Hanoi Ho Chi Minh City Hong Kong Houston London Los Angeles Luxembourg Madrid Mexico City Miami Milan Minneapolis Monterrey Munich New York Northern Virginia Paris Philadelphia Riyadh Rome San Francisco São Paulo Shanghai Silicon Valley Singapore Tokyo Washington, D.C. For more information see www.hoganlovells.com.</w:t>
      </w:r>
    </w:p>
    <w:p>
      <w:pPr>
        <w:pStyle w:val="HorizontalLine"/>
        <w:pBdr>
          <w:bottom w:val="double" w:sz="2" w:space="0" w:color="808080"/>
        </w:pBdr>
        <w:bidi w:val="0"/>
        <w:spacing w:before="0" w:after="283"/>
        <w:jc w:val="left"/>
        <w:rPr/>
      </w:pPr>
      <w:r>
        <w:rPr/>
      </w:r>
    </w:p>
    <w:tbl>
      <w:tblPr>
        <w:tblW w:w="3198" w:type="dxa"/>
        <w:jc w:val="left"/>
        <w:tblInd w:w="0" w:type="dxa"/>
        <w:tblLayout w:type="fixed"/>
        <w:tblCellMar>
          <w:top w:w="28" w:type="dxa"/>
          <w:left w:w="28" w:type="dxa"/>
          <w:bottom w:w="28" w:type="dxa"/>
          <w:right w:w="28" w:type="dxa"/>
        </w:tblCellMar>
      </w:tblPr>
      <w:tblGrid>
        <w:gridCol w:w="1246"/>
        <w:gridCol w:w="496"/>
        <w:gridCol w:w="1456"/>
      </w:tblGrid>
      <w:tr>
        <w:trPr/>
        <w:tc>
          <w:tcPr>
            <w:tcW w:w="124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2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1"/>
              </w:rPr>
            </w:pPr>
            <w:r>
              <w:rPr>
                <w:rFonts w:ascii="Arial" w:hAnsi="Arial"/>
                <w:color w:val="000000"/>
                <w:sz w:val="21"/>
              </w:rPr>
              <w:t>Invivyd, Inc.</w:t>
            </w:r>
          </w:p>
        </w:tc>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1"/>
              </w:rPr>
            </w:pPr>
            <w:r>
              <w:rPr>
                <w:rFonts w:ascii="Arial" w:hAnsi="Arial"/>
                <w:color w:val="000000"/>
                <w:sz w:val="21"/>
              </w:rPr>
              <w:t>- 2</w:t>
            </w:r>
            <w:r>
              <w:rPr>
                <w:rFonts w:ascii="Times New Roman" w:hAnsi="Times New Roman"/>
                <w:color w:val="000000"/>
                <w:sz w:val="21"/>
              </w:rPr>
              <w:t> </w:t>
            </w:r>
            <w:r>
              <w:rPr>
                <w:rFonts w:ascii="Arial" w:hAnsi="Arial"/>
                <w:color w:val="000000"/>
                <w:sz w:val="21"/>
              </w:rPr>
              <w:t>-</w:t>
            </w:r>
          </w:p>
        </w:tc>
        <w:tc>
          <w:tcPr>
            <w:tcW w:w="145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1"/>
              </w:rPr>
            </w:pPr>
            <w:r>
              <w:rPr>
                <w:rFonts w:ascii="Arial" w:hAnsi="Arial"/>
                <w:color w:val="000000"/>
                <w:sz w:val="21"/>
              </w:rPr>
              <w:t>May 14, 2026</w:t>
            </w:r>
          </w:p>
        </w:tc>
      </w:tr>
    </w:tbl>
    <w:p>
      <w:pPr>
        <w:pStyle w:val="TextBody"/>
        <w:bidi w:val="0"/>
        <w:jc w:val="both"/>
        <w:rPr/>
      </w:pPr>
      <w:r>
        <w:rPr/>
        <w:t> </w:t>
      </w:r>
    </w:p>
    <w:p>
      <w:pPr>
        <w:pStyle w:val="TextBody"/>
        <w:bidi w:val="0"/>
        <w:spacing w:before="0" w:after="240"/>
        <w:jc w:val="both"/>
        <w:rPr>
          <w:rFonts w:ascii="Arial" w:hAnsi="Arial"/>
          <w:color w:val="000000"/>
          <w:sz w:val="21"/>
        </w:rPr>
      </w:pPr>
      <w:r>
        <w:rPr>
          <w:rFonts w:ascii="Arial" w:hAnsi="Arial"/>
          <w:color w:val="000000"/>
          <w:sz w:val="21"/>
        </w:rPr>
        <w:t>Stock Purchase Plan, or the Inducement Plan, as applicable, the Shares will be validly issued, fully paid, and nonassessable.</w:t>
      </w:r>
    </w:p>
    <w:p>
      <w:pPr>
        <w:pStyle w:val="TextBody"/>
        <w:bidi w:val="0"/>
        <w:spacing w:before="0" w:after="240"/>
        <w:jc w:val="both"/>
        <w:rPr>
          <w:rFonts w:ascii="Arial" w:hAnsi="Arial"/>
          <w:color w:val="000000"/>
          <w:sz w:val="21"/>
        </w:rPr>
      </w:pPr>
      <w:r>
        <w:rPr>
          <w:rFonts w:ascii="Arial" w:hAnsi="Arial"/>
          <w:color w:val="000000"/>
          <w:sz w:val="21"/>
        </w:rPr>
        <w:t>This opinion letter has been prepared for use in connection with the Registration Statement. We assume no obligation to advise of any changes in the foregoing subsequent to the effective date of the Registration Statement.</w:t>
      </w:r>
    </w:p>
    <w:p>
      <w:pPr>
        <w:pStyle w:val="TextBody"/>
        <w:bidi w:val="0"/>
        <w:jc w:val="left"/>
        <w:rPr>
          <w:rFonts w:ascii="Arial" w:hAnsi="Arial"/>
          <w:color w:val="000000"/>
          <w:sz w:val="21"/>
        </w:rPr>
      </w:pPr>
      <w:r>
        <w:rPr>
          <w:rFonts w:ascii="Arial" w:hAnsi="Arial"/>
          <w:color w:val="000000"/>
          <w:sz w:val="21"/>
        </w:rPr>
        <w:t>We hereby consent to the filing of this opinion letter as Exhibit 5.1 to the Registration Statement. In giving this consent, we do not thereby admit that we are an “expert” within the meaning of the Act.</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Very truly yours,</w:t>
      </w:r>
    </w:p>
    <w:p>
      <w:pPr>
        <w:pStyle w:val="TextBody"/>
        <w:bidi w:val="0"/>
        <w:jc w:val="left"/>
        <w:rPr/>
      </w:pPr>
      <w:r>
        <w:rPr/>
        <w:t> </w:t>
      </w:r>
    </w:p>
    <w:p>
      <w:pPr>
        <w:pStyle w:val="TextBody"/>
        <w:bidi w:val="0"/>
        <w:jc w:val="left"/>
        <w:rPr>
          <w:rFonts w:ascii="Arial" w:hAnsi="Arial"/>
          <w:color w:val="000000"/>
          <w:sz w:val="21"/>
          <w:u w:val="single"/>
        </w:rPr>
      </w:pPr>
      <w:r>
        <w:rPr>
          <w:rFonts w:ascii="Arial" w:hAnsi="Arial"/>
          <w:color w:val="000000"/>
          <w:sz w:val="21"/>
          <w:u w:val="single"/>
        </w:rPr>
        <w:t>/s/ HOGAN LOVELLS US LLP</w:t>
      </w:r>
    </w:p>
    <w:p>
      <w:pPr>
        <w:pStyle w:val="TextBody"/>
        <w:bidi w:val="0"/>
        <w:jc w:val="left"/>
        <w:rPr/>
      </w:pPr>
      <w:r>
        <w:rPr/>
        <w:t> </w:t>
      </w:r>
    </w:p>
    <w:p>
      <w:pPr>
        <w:pStyle w:val="TextBody"/>
        <w:bidi w:val="0"/>
        <w:jc w:val="left"/>
        <w:rPr>
          <w:rFonts w:ascii="Arial" w:hAnsi="Arial"/>
          <w:color w:val="000000"/>
          <w:sz w:val="21"/>
        </w:rPr>
      </w:pPr>
      <w:r>
        <w:rPr>
          <w:rFonts w:ascii="Arial" w:hAnsi="Arial"/>
          <w:color w:val="000000"/>
          <w:sz w:val="21"/>
        </w:rPr>
        <w:t>HOGAN LOVELLS US LLP</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80" w:after="480"/>
        <w:jc w:val="right"/>
        <w:rPr>
          <w:rFonts w:ascii="Times New Roman" w:hAnsi="Times New Roman"/>
          <w:b/>
          <w:color w:val="000000"/>
          <w:sz w:val="20"/>
        </w:rPr>
      </w:pPr>
      <w:bookmarkStart w:id="5" w:name="ivvd-ex23_1.htm"/>
      <w:bookmarkStart w:id="6" w:name="ksivvdex23_1"/>
      <w:bookmarkEnd w:id="5"/>
      <w:bookmarkEnd w:id="6"/>
      <w:r>
        <w:rPr>
          <w:rFonts w:ascii="Times New Roman" w:hAnsi="Times New Roman"/>
          <w:b/>
          <w:color w:val="000000"/>
          <w:sz w:val="20"/>
        </w:rPr>
        <w:t>Exhibit 23.1</w:t>
      </w:r>
      <w:r>
        <w:br w:type="page"/>
      </w:r>
    </w:p>
    <w:p>
      <w:pPr>
        <w:pStyle w:val="TextBody"/>
        <w:bidi w:val="0"/>
        <w:spacing w:before="0" w:after="48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120"/>
        <w:jc w:val="left"/>
        <w:rPr>
          <w:rFonts w:ascii="Times New Roman" w:hAnsi="Times New Roman"/>
          <w:sz w:val="20"/>
        </w:rPr>
      </w:pPr>
      <w:r>
        <w:rPr>
          <w:rFonts w:ascii="Times New Roman" w:hAnsi="Times New Roman"/>
          <w:color w:val="000000"/>
          <w:sz w:val="20"/>
        </w:rPr>
        <w:t>We hereby consent to the incorporation by reference in this Registration Statement on Form S-8 of Invivyd, Inc.</w:t>
      </w:r>
      <w:r>
        <w:rPr>
          <w:rFonts w:ascii="Times New Roman" w:hAnsi="Times New Roman"/>
          <w:color w:val="FF0000"/>
          <w:sz w:val="20"/>
        </w:rPr>
        <w:t xml:space="preserve"> </w:t>
      </w:r>
      <w:r>
        <w:rPr>
          <w:rFonts w:ascii="Times New Roman" w:hAnsi="Times New Roman"/>
          <w:color w:val="000000"/>
          <w:sz w:val="20"/>
        </w:rPr>
        <w:t>of our report dated March 5, 2026</w:t>
      </w:r>
      <w:r>
        <w:rPr>
          <w:rFonts w:ascii="Times New Roman" w:hAnsi="Times New Roman"/>
          <w:color w:val="FF0000"/>
          <w:sz w:val="20"/>
        </w:rPr>
        <w:t xml:space="preserve"> </w:t>
      </w:r>
      <w:r>
        <w:rPr>
          <w:rFonts w:ascii="Times New Roman" w:hAnsi="Times New Roman"/>
          <w:color w:val="000000"/>
          <w:sz w:val="20"/>
        </w:rPr>
        <w:t xml:space="preserve">relating to the financial statements, which appears in Invivyd, Inc.’s Annual Report on Form 10-K for the year ended December 31, 2025. </w:t>
      </w:r>
    </w:p>
    <w:p>
      <w:pPr>
        <w:pStyle w:val="TextBody"/>
        <w:bidi w:val="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283"/>
              <w:jc w:val="left"/>
              <w:rPr>
                <w:sz w:val="4"/>
                <w:szCs w:val="4"/>
              </w:rPr>
            </w:pPr>
            <w:r>
              <w:rPr>
                <w:sz w:val="4"/>
                <w:szCs w:val="4"/>
              </w:rPr>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PricewaterhouseCoopers LLP</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Boston, Massachusetts</w:t>
            </w:r>
          </w:p>
        </w:tc>
      </w:tr>
      <w:tr>
        <w:trPr/>
        <w:tc>
          <w:tcPr>
            <w:tcW w:w="2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14, 2026</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7" w:name="ivvd-exfiling_fees.htm"/>
      <w:bookmarkStart w:id="8" w:name="ksivvdexfiling_fees"/>
      <w:bookmarkStart w:id="9" w:name="ivvd-exfiling_fees.htm"/>
      <w:bookmarkStart w:id="10" w:name="ksivvdexfiling_fees"/>
      <w:bookmarkEnd w:id="9"/>
      <w:bookmarkEnd w:id="10"/>
      <w:r>
        <w:br w:type="page"/>
      </w:r>
    </w:p>
    <w:tbl>
      <w:tblPr>
        <w:tblW w:w="3551" w:type="dxa"/>
        <w:jc w:val="left"/>
        <w:tblInd w:w="0" w:type="dxa"/>
        <w:tblLayout w:type="fixed"/>
        <w:tblCellMar>
          <w:top w:w="28" w:type="dxa"/>
          <w:left w:w="28" w:type="dxa"/>
          <w:bottom w:w="28" w:type="dxa"/>
          <w:right w:w="28" w:type="dxa"/>
        </w:tblCellMar>
      </w:tblPr>
      <w:tblGrid>
        <w:gridCol w:w="3397"/>
        <w:gridCol w:w="154"/>
      </w:tblGrid>
      <w:tr>
        <w:trPr/>
        <w:tc>
          <w:tcPr>
            <w:tcW w:w="355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7"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7" w:type="dxa"/>
            <w:tcBorders/>
            <w:vAlign w:val="center"/>
          </w:tcPr>
          <w:p>
            <w:pPr>
              <w:pStyle w:val="TableContents"/>
              <w:bidi w:val="0"/>
              <w:spacing w:before="0" w:after="283"/>
              <w:jc w:val="left"/>
              <w:rPr>
                <w:b/>
              </w:rPr>
            </w:pPr>
            <w:r>
              <w:rPr>
                <w:b/>
              </w:rPr>
              <w:t xml:space="preserve">Invivyd,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6"/>
        <w:gridCol w:w="1046"/>
        <w:gridCol w:w="1292"/>
        <w:gridCol w:w="1201"/>
        <w:gridCol w:w="1213"/>
        <w:gridCol w:w="1701"/>
        <w:gridCol w:w="1126"/>
        <w:gridCol w:w="1429"/>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2"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1"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14,099,351 </w:t>
            </w:r>
          </w:p>
        </w:tc>
        <w:tc>
          <w:tcPr>
            <w:tcW w:w="1213" w:type="dxa"/>
            <w:tcBorders/>
            <w:shd w:fill="E7E7E2" w:val="clear"/>
            <w:vAlign w:val="center"/>
          </w:tcPr>
          <w:p>
            <w:pPr>
              <w:pStyle w:val="TableContents"/>
              <w:bidi w:val="0"/>
              <w:spacing w:before="0" w:after="283"/>
              <w:jc w:val="right"/>
              <w:rPr/>
            </w:pPr>
            <w:r>
              <w:rPr/>
              <w:t xml:space="preserve">$ 1.47 </w:t>
            </w:r>
          </w:p>
        </w:tc>
        <w:tc>
          <w:tcPr>
            <w:tcW w:w="1701" w:type="dxa"/>
            <w:tcBorders/>
            <w:shd w:fill="E7E7E2" w:val="clear"/>
            <w:vAlign w:val="center"/>
          </w:tcPr>
          <w:p>
            <w:pPr>
              <w:pStyle w:val="TableContents"/>
              <w:bidi w:val="0"/>
              <w:spacing w:before="0" w:after="283"/>
              <w:jc w:val="right"/>
              <w:rPr/>
            </w:pPr>
            <w:r>
              <w:rPr/>
              <w:t xml:space="preserve">$ 20,726,045.97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$ 2,862.27 </w:t>
            </w:r>
          </w:p>
        </w:tc>
      </w:tr>
      <w:tr>
        <w:trPr/>
        <w:tc>
          <w:tcPr>
            <w:tcW w:w="241" w:type="dxa"/>
            <w:tcBorders/>
            <w:shd w:fill="E7E7E2" w:val="clear"/>
            <w:vAlign w:val="center"/>
          </w:tcPr>
          <w:p>
            <w:pPr>
              <w:pStyle w:val="TableContents"/>
              <w:bidi w:val="0"/>
              <w:spacing w:before="0" w:after="283"/>
              <w:jc w:val="center"/>
              <w:rPr/>
            </w:pPr>
            <w:r>
              <w:rPr/>
              <w:t xml:space="preserve">2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2,685,546 </w:t>
            </w:r>
          </w:p>
        </w:tc>
        <w:tc>
          <w:tcPr>
            <w:tcW w:w="1213" w:type="dxa"/>
            <w:tcBorders/>
            <w:shd w:fill="E7E7E2" w:val="clear"/>
            <w:vAlign w:val="center"/>
          </w:tcPr>
          <w:p>
            <w:pPr>
              <w:pStyle w:val="TableContents"/>
              <w:bidi w:val="0"/>
              <w:spacing w:before="0" w:after="283"/>
              <w:jc w:val="right"/>
              <w:rPr/>
            </w:pPr>
            <w:r>
              <w:rPr/>
              <w:t xml:space="preserve">$ 1.2495 </w:t>
            </w:r>
          </w:p>
        </w:tc>
        <w:tc>
          <w:tcPr>
            <w:tcW w:w="1701" w:type="dxa"/>
            <w:tcBorders/>
            <w:shd w:fill="E7E7E2" w:val="clear"/>
            <w:vAlign w:val="center"/>
          </w:tcPr>
          <w:p>
            <w:pPr>
              <w:pStyle w:val="TableContents"/>
              <w:bidi w:val="0"/>
              <w:spacing w:before="0" w:after="283"/>
              <w:jc w:val="right"/>
              <w:rPr/>
            </w:pPr>
            <w:r>
              <w:rPr/>
              <w:t xml:space="preserve">$ 3,355,589.73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$ 463.41 </w:t>
            </w:r>
          </w:p>
        </w:tc>
      </w:tr>
      <w:tr>
        <w:trPr/>
        <w:tc>
          <w:tcPr>
            <w:tcW w:w="241" w:type="dxa"/>
            <w:tcBorders/>
            <w:shd w:fill="E7E7E2" w:val="clear"/>
            <w:vAlign w:val="center"/>
          </w:tcPr>
          <w:p>
            <w:pPr>
              <w:pStyle w:val="TableContents"/>
              <w:bidi w:val="0"/>
              <w:spacing w:before="0" w:after="283"/>
              <w:jc w:val="center"/>
              <w:rPr/>
            </w:pPr>
            <w:r>
              <w:rPr/>
              <w:t xml:space="preserve">3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5,993,250 </w:t>
            </w:r>
          </w:p>
        </w:tc>
        <w:tc>
          <w:tcPr>
            <w:tcW w:w="1213" w:type="dxa"/>
            <w:tcBorders/>
            <w:shd w:fill="E7E7E2" w:val="clear"/>
            <w:vAlign w:val="center"/>
          </w:tcPr>
          <w:p>
            <w:pPr>
              <w:pStyle w:val="TableContents"/>
              <w:bidi w:val="0"/>
              <w:spacing w:before="0" w:after="283"/>
              <w:jc w:val="right"/>
              <w:rPr/>
            </w:pPr>
            <w:r>
              <w:rPr/>
              <w:t xml:space="preserve">$ 1.47 </w:t>
            </w:r>
          </w:p>
        </w:tc>
        <w:tc>
          <w:tcPr>
            <w:tcW w:w="1701" w:type="dxa"/>
            <w:tcBorders/>
            <w:shd w:fill="E7E7E2" w:val="clear"/>
            <w:vAlign w:val="center"/>
          </w:tcPr>
          <w:p>
            <w:pPr>
              <w:pStyle w:val="TableContents"/>
              <w:bidi w:val="0"/>
              <w:spacing w:before="0" w:after="283"/>
              <w:jc w:val="right"/>
              <w:rPr/>
            </w:pPr>
            <w:r>
              <w:rPr/>
              <w:t xml:space="preserve">$ 8,810,077.50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$ 1,216.67 </w:t>
            </w:r>
          </w:p>
        </w:tc>
      </w:tr>
      <w:tr>
        <w:trPr/>
        <w:tc>
          <w:tcPr>
            <w:tcW w:w="241" w:type="dxa"/>
            <w:tcBorders/>
            <w:shd w:fill="E7E7E2" w:val="clear"/>
            <w:vAlign w:val="center"/>
          </w:tcPr>
          <w:p>
            <w:pPr>
              <w:pStyle w:val="TableContents"/>
              <w:bidi w:val="0"/>
              <w:spacing w:before="0" w:after="283"/>
              <w:jc w:val="center"/>
              <w:rPr/>
            </w:pPr>
            <w:r>
              <w:rPr/>
              <w:t xml:space="preserve">4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192,000 </w:t>
            </w:r>
          </w:p>
        </w:tc>
        <w:tc>
          <w:tcPr>
            <w:tcW w:w="1213" w:type="dxa"/>
            <w:tcBorders/>
            <w:shd w:fill="E7E7E2" w:val="clear"/>
            <w:vAlign w:val="center"/>
          </w:tcPr>
          <w:p>
            <w:pPr>
              <w:pStyle w:val="TableContents"/>
              <w:bidi w:val="0"/>
              <w:spacing w:before="0" w:after="283"/>
              <w:jc w:val="right"/>
              <w:rPr/>
            </w:pPr>
            <w:r>
              <w:rPr/>
              <w:t xml:space="preserve">$ 1.69 </w:t>
            </w:r>
          </w:p>
        </w:tc>
        <w:tc>
          <w:tcPr>
            <w:tcW w:w="1701" w:type="dxa"/>
            <w:tcBorders/>
            <w:shd w:fill="E7E7E2" w:val="clear"/>
            <w:vAlign w:val="center"/>
          </w:tcPr>
          <w:p>
            <w:pPr>
              <w:pStyle w:val="TableContents"/>
              <w:bidi w:val="0"/>
              <w:spacing w:before="0" w:after="283"/>
              <w:jc w:val="right"/>
              <w:rPr/>
            </w:pPr>
            <w:r>
              <w:rPr/>
              <w:t xml:space="preserve">$ 324,480.00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$ 44.81 </w:t>
            </w:r>
          </w:p>
        </w:tc>
      </w:tr>
      <w:tr>
        <w:trPr/>
        <w:tc>
          <w:tcPr>
            <w:tcW w:w="241" w:type="dxa"/>
            <w:tcBorders/>
            <w:shd w:fill="E7E7E2" w:val="clear"/>
            <w:vAlign w:val="center"/>
          </w:tcPr>
          <w:p>
            <w:pPr>
              <w:pStyle w:val="TableContents"/>
              <w:bidi w:val="0"/>
              <w:spacing w:before="0" w:after="283"/>
              <w:jc w:val="center"/>
              <w:rPr/>
            </w:pPr>
            <w:r>
              <w:rPr/>
              <w:t xml:space="preserve">5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1,083,750 </w:t>
            </w:r>
          </w:p>
        </w:tc>
        <w:tc>
          <w:tcPr>
            <w:tcW w:w="1213" w:type="dxa"/>
            <w:tcBorders/>
            <w:shd w:fill="E7E7E2" w:val="clear"/>
            <w:vAlign w:val="center"/>
          </w:tcPr>
          <w:p>
            <w:pPr>
              <w:pStyle w:val="TableContents"/>
              <w:bidi w:val="0"/>
              <w:spacing w:before="0" w:after="283"/>
              <w:jc w:val="right"/>
              <w:rPr/>
            </w:pPr>
            <w:r>
              <w:rPr/>
              <w:t xml:space="preserve">$ 1.33 </w:t>
            </w:r>
          </w:p>
        </w:tc>
        <w:tc>
          <w:tcPr>
            <w:tcW w:w="1701" w:type="dxa"/>
            <w:tcBorders/>
            <w:shd w:fill="E7E7E2" w:val="clear"/>
            <w:vAlign w:val="center"/>
          </w:tcPr>
          <w:p>
            <w:pPr>
              <w:pStyle w:val="TableContents"/>
              <w:bidi w:val="0"/>
              <w:spacing w:before="0" w:after="283"/>
              <w:jc w:val="right"/>
              <w:rPr/>
            </w:pPr>
            <w:r>
              <w:rPr/>
              <w:t xml:space="preserve">$ 1,441,387.50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$ 199.06 </w:t>
            </w:r>
          </w:p>
        </w:tc>
      </w:tr>
      <w:tr>
        <w:trPr/>
        <w:tc>
          <w:tcPr>
            <w:tcW w:w="241" w:type="dxa"/>
            <w:tcBorders/>
            <w:shd w:fill="E7E7E2" w:val="clear"/>
            <w:vAlign w:val="center"/>
          </w:tcPr>
          <w:p>
            <w:pPr>
              <w:pStyle w:val="TableContents"/>
              <w:bidi w:val="0"/>
              <w:spacing w:before="0" w:after="283"/>
              <w:jc w:val="center"/>
              <w:rPr/>
            </w:pPr>
            <w:r>
              <w:rPr/>
              <w:t xml:space="preserve">6 </w:t>
            </w:r>
          </w:p>
        </w:tc>
        <w:tc>
          <w:tcPr>
            <w:tcW w:w="956" w:type="dxa"/>
            <w:tcBorders/>
            <w:shd w:fill="E7E7E2" w:val="clear"/>
            <w:vAlign w:val="center"/>
          </w:tcPr>
          <w:p>
            <w:pPr>
              <w:pStyle w:val="TableContents"/>
              <w:bidi w:val="0"/>
              <w:spacing w:before="0" w:after="283"/>
              <w:jc w:val="left"/>
              <w:rPr/>
            </w:pPr>
            <w:r>
              <w:rPr/>
              <w:t xml:space="preserve">Equity </w:t>
            </w:r>
          </w:p>
        </w:tc>
        <w:tc>
          <w:tcPr>
            <w:tcW w:w="1046" w:type="dxa"/>
            <w:tcBorders/>
            <w:shd w:fill="E7E7E2" w:val="clear"/>
            <w:vAlign w:val="center"/>
          </w:tcPr>
          <w:p>
            <w:pPr>
              <w:pStyle w:val="TableContents"/>
              <w:bidi w:val="0"/>
              <w:spacing w:before="0" w:after="283"/>
              <w:jc w:val="left"/>
              <w:rPr/>
            </w:pPr>
            <w:r>
              <w:rPr/>
              <w:t xml:space="preserve">Common Stock, $0.0001 par value per share </w:t>
            </w:r>
          </w:p>
        </w:tc>
        <w:tc>
          <w:tcPr>
            <w:tcW w:w="1292" w:type="dxa"/>
            <w:tcBorders/>
            <w:shd w:fill="E7E7E2" w:val="clear"/>
            <w:vAlign w:val="center"/>
          </w:tcPr>
          <w:p>
            <w:pPr>
              <w:pStyle w:val="TableContents"/>
              <w:bidi w:val="0"/>
              <w:spacing w:before="0" w:after="283"/>
              <w:jc w:val="center"/>
              <w:rPr/>
            </w:pPr>
            <w:r>
              <w:rPr/>
              <w:t xml:space="preserve">Other </w:t>
            </w:r>
          </w:p>
        </w:tc>
        <w:tc>
          <w:tcPr>
            <w:tcW w:w="1201" w:type="dxa"/>
            <w:tcBorders/>
            <w:shd w:fill="E7E7E2" w:val="clear"/>
            <w:vAlign w:val="center"/>
          </w:tcPr>
          <w:p>
            <w:pPr>
              <w:pStyle w:val="TableContents"/>
              <w:bidi w:val="0"/>
              <w:spacing w:before="0" w:after="283"/>
              <w:jc w:val="right"/>
              <w:rPr/>
            </w:pPr>
            <w:r>
              <w:rPr/>
              <w:t xml:space="preserve">731,000 </w:t>
            </w:r>
          </w:p>
        </w:tc>
        <w:tc>
          <w:tcPr>
            <w:tcW w:w="1213" w:type="dxa"/>
            <w:tcBorders/>
            <w:shd w:fill="E7E7E2" w:val="clear"/>
            <w:vAlign w:val="center"/>
          </w:tcPr>
          <w:p>
            <w:pPr>
              <w:pStyle w:val="TableContents"/>
              <w:bidi w:val="0"/>
              <w:spacing w:before="0" w:after="283"/>
              <w:jc w:val="right"/>
              <w:rPr/>
            </w:pPr>
            <w:r>
              <w:rPr/>
              <w:t xml:space="preserve">$ 1.52 </w:t>
            </w:r>
          </w:p>
        </w:tc>
        <w:tc>
          <w:tcPr>
            <w:tcW w:w="1701" w:type="dxa"/>
            <w:tcBorders/>
            <w:shd w:fill="E7E7E2" w:val="clear"/>
            <w:vAlign w:val="center"/>
          </w:tcPr>
          <w:p>
            <w:pPr>
              <w:pStyle w:val="TableContents"/>
              <w:bidi w:val="0"/>
              <w:spacing w:before="0" w:after="283"/>
              <w:jc w:val="right"/>
              <w:rPr/>
            </w:pPr>
            <w:r>
              <w:rPr/>
              <w:t xml:space="preserve">$ 1,111,120.00 </w:t>
            </w:r>
          </w:p>
        </w:tc>
        <w:tc>
          <w:tcPr>
            <w:tcW w:w="1126"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$ 153.45 </w:t>
            </w:r>
          </w:p>
        </w:tc>
      </w:tr>
      <w:tr>
        <w:trPr/>
        <w:tc>
          <w:tcPr>
            <w:tcW w:w="4736" w:type="dxa"/>
            <w:gridSpan w:val="5"/>
            <w:tcBorders/>
            <w:vAlign w:val="center"/>
          </w:tcPr>
          <w:p>
            <w:pPr>
              <w:pStyle w:val="TableContents"/>
              <w:bidi w:val="0"/>
              <w:spacing w:before="0" w:after="0"/>
              <w:ind w:left="0" w:right="0" w:hanging="0"/>
              <w:jc w:val="right"/>
              <w:rPr/>
            </w:pPr>
            <w:r>
              <w:rPr/>
              <w:t>Total Offering Amounts:</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0"/>
              <w:ind w:left="0" w:right="0" w:hanging="0"/>
              <w:jc w:val="right"/>
              <w:rPr/>
            </w:pPr>
            <w:bookmarkStart w:id="11" w:name="MaxAggtOfferingPrice"/>
            <w:bookmarkEnd w:id="11"/>
            <w:r>
              <w:rPr/>
              <w:t xml:space="preserve">$ 35,768,700.70 </w:t>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$ 4,939.67 </w:t>
            </w:r>
          </w:p>
        </w:tc>
      </w:tr>
      <w:tr>
        <w:trPr/>
        <w:tc>
          <w:tcPr>
            <w:tcW w:w="4736" w:type="dxa"/>
            <w:gridSpan w:val="5"/>
            <w:tcBorders/>
            <w:vAlign w:val="center"/>
          </w:tcPr>
          <w:p>
            <w:pPr>
              <w:pStyle w:val="TableContents"/>
              <w:bidi w:val="0"/>
              <w:spacing w:before="0" w:after="0"/>
              <w:ind w:left="0" w:right="0" w:hanging="0"/>
              <w:jc w:val="right"/>
              <w:rPr/>
            </w:pPr>
            <w:r>
              <w:rPr/>
              <w:t xml:space="preserve">Total Fee Offsets: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36" w:type="dxa"/>
            <w:gridSpan w:val="5"/>
            <w:tcBorders/>
            <w:vAlign w:val="center"/>
          </w:tcPr>
          <w:p>
            <w:pPr>
              <w:pStyle w:val="TableContents"/>
              <w:bidi w:val="0"/>
              <w:spacing w:before="0" w:after="0"/>
              <w:ind w:left="0" w:right="0" w:hanging="0"/>
              <w:jc w:val="right"/>
              <w:rPr/>
            </w:pPr>
            <w:r>
              <w:rPr/>
              <w:t xml:space="preserve">Net Fee Due: </w:t>
            </w:r>
          </w:p>
        </w:tc>
        <w:tc>
          <w:tcPr>
            <w:tcW w:w="1213"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$ 4,939.67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7"/>
        <w:gridCol w:w="8709"/>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(1) (a) Pursuant to Rule 416(a) of the Securities Act of 1933, as amended (the "Securities Act"), this Registration Statement shall also cover any additional shares of the Registrant's common stock, par value $0.0001 (the "Common Stock"), that become issuable under the Registrant's 2021 Equity Incentive Plan (the "2021 EIP") by reason of any stock dividend, stock split, recapitalization, or other similar transaction that results in an increase in the number of outstanding shares of Common Stock. (b) Represents shares of Common Stock reserved for issuance under the 2021 EIP that were added to the 2021 EIP effective as of January 1, 2026 pursuant to the evergreen provision thereof, which provides that the number of shares of Common Stock reserved for issuance under the 2021 EIP will automatically increase on the first day of each calendar year in an amount equal to 5% of the shares of Common Stock outstanding on the last day of the calendar year before the date of each automatic increase or a lesser number of shares of Common Stock determined by the Registrant's board of directors. (c) Estimated in accordance with Rule 457(c) and (h) of the Securities Act solely for purposes of calculating the registration fee. The proposed maximum offering price per share and maximum aggregate offering price are calculated on the basis of the average of the high and low sales prices of the Common Stock as reported on the Nasdaq Global Market on May 7, 2026, which date is a date within five business days of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6" w:type="dxa"/>
            <w:gridSpan w:val="2"/>
            <w:tcBorders/>
            <w:vAlign w:val="center"/>
          </w:tcPr>
          <w:p>
            <w:pPr>
              <w:pStyle w:val="TableContents"/>
              <w:bidi w:val="0"/>
              <w:spacing w:before="0" w:after="283"/>
              <w:jc w:val="left"/>
              <w:rPr/>
            </w:pPr>
            <w:r>
              <w:rPr/>
              <w:t xml:space="preserve">(2) (a) Pursuant to Rule 416(a) of the Securities Act, this Registration Statement shall also cover any additional shares of Common Stock that become issuable under the Registrant's 2021 Employee Stock Purchase Plan (the "2021 ESPP") by reason of any stock dividend, stock split, recapitalization, or other similar transaction that results in an increase in the number of outstanding shares of Common Stock. (b) Represents shares of Common Stock reserved for issuance under the 2021 ESPP that were added to the 2021 ESPP effective as of January 1, 2026 pursuant to the evergreen provision thereof, which provides that the number of shares of Common Stock reserved for issuance under the 2021 ESPP will automatically increase on the first day of each calendar year in an amount equal to the lesser of (i) 1% of the shares of Common Stock outstanding on the last day of the calendar year before the date of each automatic increase, and (ii) 2,685,546 shares of Common Stock; provided that the Registrant's board of directors may determine that such increase will be less than the amount set forth in clauses (i) and (ii). (c) Estimated in accordance with Rule 457(c) and (h) of the Securities Act solely for purposes of calculating the registration fee. The proposed maximum offering price per share and maximum aggregate offering price are calculated on the basis of the average of the high and low sales prices of the Common Stock as reported on the Nasdaq Global Market on May 7, 2026, which date is a date within five business days of the filing of this Registration Statement, multiplied by 85%, which is the percentage of the trading price per share of Common Stock applicable to purchasers under the 2021 ESPP.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6" w:type="dxa"/>
            <w:gridSpan w:val="2"/>
            <w:tcBorders/>
            <w:vAlign w:val="center"/>
          </w:tcPr>
          <w:p>
            <w:pPr>
              <w:pStyle w:val="TableContents"/>
              <w:bidi w:val="0"/>
              <w:spacing w:before="0" w:after="283"/>
              <w:jc w:val="left"/>
              <w:rPr/>
            </w:pPr>
            <w:r>
              <w:rPr/>
              <w:t xml:space="preserve">(3) (a) Pursuant to Rule 416(a) of the Securities Act, this Registration Statement shall also cover any additional shares of Common Stock that become issuable under the Registrant's 2026 Inducement Plan (the "2026 Inducement Plan") by reason of any stock dividend, stock split, recapitalization, or other similar transaction that results in an increase in the number of outstanding shares of Common Stock. (b) Represents shares of Common Stock reserved for issuance under the 2026 Inducement Plan. (c) Estimated in accordance with Rule 457(c) and (h) of the Securities Act solely for purposes of calculating the registration fee. The proposed maximum offering price per share and maximum aggregate offering price are calculated on the basis of the average of the high and low sales prices of the Common Stock as reported on the Nasdaq Global Market on May 7, 2026, which date is a date within five business days of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6" w:type="dxa"/>
            <w:gridSpan w:val="2"/>
            <w:tcBorders/>
            <w:vAlign w:val="center"/>
          </w:tcPr>
          <w:p>
            <w:pPr>
              <w:pStyle w:val="TableContents"/>
              <w:bidi w:val="0"/>
              <w:spacing w:before="0" w:after="283"/>
              <w:jc w:val="left"/>
              <w:rPr/>
            </w:pPr>
            <w:r>
              <w:rPr/>
              <w:t xml:space="preserve">(4) (a) Pursuant to Rule 416(a) of the Securities Act, this Registration Statement shall also cover any additional shares of Common Stock that become issuable under the 2026 Inducement Plan by reason of any stock dividend, stock split, recapitalization, or other similar transaction that results in an increase in the number of outstanding shares of Common Stock. (b) Represents shares of Common Stock issuable upon the exercise of stock options granted on March 1, 2026 pursuant to the 2026 Inducement Plan (the "March Inducement Awards"). (c) Estimated in accordance with Rule 457(h) of the Securities Act solely for the purpose of calculating the registration fee on the basis of the price at which the March Inducement Awards may be exercised.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6" w:type="dxa"/>
            <w:gridSpan w:val="2"/>
            <w:tcBorders/>
            <w:vAlign w:val="center"/>
          </w:tcPr>
          <w:p>
            <w:pPr>
              <w:pStyle w:val="TableContents"/>
              <w:bidi w:val="0"/>
              <w:spacing w:before="0" w:after="283"/>
              <w:jc w:val="left"/>
              <w:rPr/>
            </w:pPr>
            <w:r>
              <w:rPr/>
              <w:t xml:space="preserve">(5) (a) Pursuant to Rule 416(a) of the Securities Act, this Registration Statement shall also cover any additional shares of Common Stock that become issuable under the 2026 Inducement Plan by reason of any stock dividend, stock split, recapitalization, or other similar transaction that results in an increase in the number of outstanding shares of Common Stock. (b) Represents shares of Common Stock issuable upon the exercise of stock options granted on April 1, 2026 pursuant to the 2026 Inducement Plan (the "April Inducement Awards"). (c) Estimated in accordance with Rule 457(h) of the Securities Act solely for the purpose of calculating the registration fee on the basis of the price at which the April Inducement Awards may be exercised.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9"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6" w:type="dxa"/>
            <w:gridSpan w:val="2"/>
            <w:tcBorders/>
            <w:vAlign w:val="center"/>
          </w:tcPr>
          <w:p>
            <w:pPr>
              <w:pStyle w:val="TableContents"/>
              <w:bidi w:val="0"/>
              <w:spacing w:before="0" w:after="283"/>
              <w:jc w:val="left"/>
              <w:rPr/>
            </w:pPr>
            <w:r>
              <w:rPr/>
              <w:t xml:space="preserve">(6) (a) Pursuant to Rule 416(a) of the Securities Act, this Registration Statement shall also cover any additional shares of Common Stock that become issuable under the 2026 Inducement Plan by reason of any stock dividend, stock split, recapitalization, or other similar transaction that results in an increase in the number of outstanding shares of Common Stock. (b) Represents shares of Common Stock issuable upon the exercise of stock options granted on May 1, 2026 pursuant to the 2026 Inducement Plan (the "May Inducement Awards"). (c) Estimated in accordance with Rule 457(h) of the Securities Act solely for the purpose of calculating the registration fee on the basis of the price at which the May Inducement Awards may be exercised.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832038/000119312526092547/ivvd-20251231.htm" TargetMode="External"/><Relationship Id="rId3" Type="http://schemas.openxmlformats.org/officeDocument/2006/relationships/hyperlink" Target="https://www.sec.gov/ix?doc=/Archives/edgar/data/0001832038/000119312526143783/ivvd-20260406.htm" TargetMode="External"/><Relationship Id="rId4" Type="http://schemas.openxmlformats.org/officeDocument/2006/relationships/hyperlink" Target="https://www.sec.gov/ix?doc=/Archives/edgar/data/0001832038/000119312526222779/ivvd-20260331.htm" TargetMode="External"/><Relationship Id="rId5" Type="http://schemas.openxmlformats.org/officeDocument/2006/relationships/hyperlink" Target="https://www.sec.gov/ix?doc=/Archives/edgar/data/0001832038/000119312526006997/d93103d8k.htm" TargetMode="External"/><Relationship Id="rId6" Type="http://schemas.openxmlformats.org/officeDocument/2006/relationships/hyperlink" Target="https://www.sec.gov/ix?doc=/Archives/edgar/data/0001832038/000119312526092528/d118119d8k.htm" TargetMode="External"/><Relationship Id="rId7" Type="http://schemas.openxmlformats.org/officeDocument/2006/relationships/hyperlink" Target="https://www.sec.gov/ix?doc=/Archives/edgar/data/0001832038/000119312526148865/d147019d8k.htm" TargetMode="External"/><Relationship Id="rId8" Type="http://schemas.openxmlformats.org/officeDocument/2006/relationships/hyperlink" Target="https://www.sec.gov/ix?doc=/Archives/edgar/data/0001832038/000119312526222762/d120795d8k.htm" TargetMode="External"/><Relationship Id="rId9" Type="http://schemas.openxmlformats.org/officeDocument/2006/relationships/hyperlink" Target="https://www.sec.gov/Archives/edgar/data/1832038/000119312521233921/d109461d8a12b.htm" TargetMode="External"/><Relationship Id="rId10" Type="http://schemas.openxmlformats.org/officeDocument/2006/relationships/hyperlink" Target="https://www.sec.gov/Archives/edgar/data/1832038/000119312526092547/ivvd-ex4_2.htm" TargetMode="External"/><Relationship Id="rId11" Type="http://schemas.openxmlformats.org/officeDocument/2006/relationships/hyperlink" Target="https://www.sec.gov/Archives/edgar/data/1832038/000119312521242044/d211424dex31.htm" TargetMode="External"/><Relationship Id="rId12" Type="http://schemas.openxmlformats.org/officeDocument/2006/relationships/hyperlink" Target="https://www.sec.gov/Archives/edgar/data/1832038/000119312522243285/d388436dex31.htm" TargetMode="External"/><Relationship Id="rId13" Type="http://schemas.openxmlformats.org/officeDocument/2006/relationships/hyperlink" Target="https://www.sec.gov/Archives/edgar/data/1832038/000119312523154233/d473409dex31.htm" TargetMode="External"/><Relationship Id="rId14" Type="http://schemas.openxmlformats.org/officeDocument/2006/relationships/hyperlink" Target="https://www.sec.gov/Archives/edgar/data/1832038/000119312522253372/d392092dex33.htm" TargetMode="External"/><Relationship Id="rId15" Type="http://schemas.openxmlformats.org/officeDocument/2006/relationships/hyperlink" Target="https://www.sec.gov/Archives/edgar/data/1832038/000119312522243285/d388436dex32.htm" TargetMode="External"/><Relationship Id="rId16" Type="http://schemas.openxmlformats.org/officeDocument/2006/relationships/hyperlink" Target="https://www.sec.gov/Archives/edgar/data/1832038/000119312523154233/d473409dex32.htm" TargetMode="External"/><Relationship Id="rId17" Type="http://schemas.openxmlformats.org/officeDocument/2006/relationships/hyperlink" Target="https://www.sec.gov/Archives/edgar/data/1832038/000119312526092547/ivvd-ex10_2.htm" TargetMode="External"/><Relationship Id="rId18" Type="http://schemas.openxmlformats.org/officeDocument/2006/relationships/hyperlink" Target="https://www.sec.gov/Archives/edgar/data/1832038/000095017022024516/ivvd-ex10_6.htm" TargetMode="External"/><Relationship Id="rId19" Type="http://schemas.openxmlformats.org/officeDocument/2006/relationships/hyperlink" Target="https://www.sec.gov/Archives/edgar/data/1832038/000119312526092547/ivvd-ex10_4.htm" TargetMode="External"/><Relationship Id="rId20" Type="http://schemas.openxmlformats.org/officeDocument/2006/relationships/image" Target="media/image1.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5301</Words>
  <Characters>28089</Characters>
  <CharactersWithSpaces>33357</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