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left="780"/>
        <w:spacing w:after="0" w:line="295" w:lineRule="auto"/>
        <w:rPr>
          <w:sz w:val="20"/>
          <w:szCs w:val="20"/>
          <w:color w:val="auto"/>
        </w:rPr>
      </w:pPr>
      <w:r>
        <w:rPr>
          <w:rFonts w:ascii="Arial" w:cs="Arial" w:eastAsia="Arial" w:hAnsi="Arial"/>
          <w:sz w:val="16"/>
          <w:szCs w:val="16"/>
          <w:b w:val="1"/>
          <w:bCs w:val="1"/>
          <w:color w:val="auto"/>
        </w:rPr>
        <w:t>As confidentially submitted to the Securities and Exchange Commission on May 21, 2021. This draft registration statement has not been publicly filed with the Securities and Exchange Commission and all information herein remains strictly confidential.</w:t>
      </w:r>
    </w:p>
    <w:p>
      <w:pPr>
        <w:spacing w:after="0" w:line="163" w:lineRule="exact"/>
        <w:rPr>
          <w:sz w:val="24"/>
          <w:szCs w:val="24"/>
          <w:color w:val="auto"/>
        </w:rPr>
      </w:pPr>
    </w:p>
    <w:p>
      <w:pPr>
        <w:ind w:left="90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Adagio Therapeutics, Inc.</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40"/>
          </w:cols>
          <w:pgMar w:left="320" w:top="230" w:right="439" w:bottom="1440" w:gutter="0" w:footer="0" w:header="0"/>
        </w:sectPr>
      </w:pPr>
    </w:p>
    <w:p>
      <w:pPr>
        <w:spacing w:after="0" w:line="61"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2836</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85-1403134</w:t>
      </w:r>
    </w:p>
    <w:p>
      <w:pPr>
        <w:spacing w:after="0" w:line="47" w:lineRule="exact"/>
        <w:rPr>
          <w:sz w:val="24"/>
          <w:szCs w:val="24"/>
          <w:color w:val="auto"/>
        </w:rPr>
      </w:pPr>
    </w:p>
    <w:p>
      <w:pPr>
        <w:sectPr>
          <w:pgSz w:w="11900" w:h="16838" w:orient="portrait"/>
          <w:cols w:equalWidth="0" w:num="3">
            <w:col w:w="4860" w:space="720"/>
            <w:col w:w="2680" w:space="720"/>
            <w:col w:w="2160"/>
          </w:cols>
          <w:pgMar w:left="320" w:top="230" w:right="439"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(State or other jurisdiction of</w:t>
      </w:r>
    </w:p>
    <w:p>
      <w:pPr>
        <w:ind w:left="11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Arial" w:cs="Arial" w:eastAsia="Arial" w:hAnsi="Arial"/>
          <w:sz w:val="13"/>
          <w:szCs w:val="13"/>
          <w:color w:val="auto"/>
        </w:rPr>
        <w:t>(Primary Standard Industrial</w:t>
      </w:r>
    </w:p>
    <w:p>
      <w:pPr>
        <w:ind w:left="160"/>
        <w:spacing w:after="0"/>
        <w:rPr>
          <w:sz w:val="20"/>
          <w:szCs w:val="20"/>
          <w:color w:val="auto"/>
        </w:rPr>
      </w:pPr>
      <w:r>
        <w:rPr>
          <w:rFonts w:ascii="Arial" w:cs="Arial" w:eastAsia="Arial" w:hAnsi="Arial"/>
          <w:sz w:val="13"/>
          <w:szCs w:val="13"/>
          <w:color w:val="auto"/>
        </w:rPr>
        <w:t>Classification Code Number)</w:t>
      </w:r>
    </w:p>
    <w:p>
      <w:pPr>
        <w:spacing w:after="0"/>
        <w:rPr>
          <w:sz w:val="20"/>
          <w:szCs w:val="20"/>
          <w:color w:val="auto"/>
        </w:rPr>
      </w:pPr>
      <w:r>
        <w:rPr>
          <w:rFonts w:ascii="Arial" w:cs="Arial" w:eastAsia="Arial" w:hAnsi="Arial"/>
          <w:sz w:val="13"/>
          <w:szCs w:val="13"/>
          <w:b w:val="1"/>
          <w:bCs w:val="1"/>
          <w:color w:val="auto"/>
        </w:rPr>
        <w:t>303 Wyman Street, Suite 300</w:t>
      </w:r>
    </w:p>
    <w:p>
      <w:pPr>
        <w:ind w:left="240"/>
        <w:spacing w:after="0" w:line="221" w:lineRule="auto"/>
        <w:rPr>
          <w:sz w:val="20"/>
          <w:szCs w:val="20"/>
          <w:color w:val="auto"/>
        </w:rPr>
      </w:pPr>
      <w:r>
        <w:rPr>
          <w:rFonts w:ascii="Arial" w:cs="Arial" w:eastAsia="Arial" w:hAnsi="Arial"/>
          <w:sz w:val="14"/>
          <w:szCs w:val="14"/>
          <w:b w:val="1"/>
          <w:bCs w:val="1"/>
          <w:color w:val="auto"/>
        </w:rPr>
        <w:t>Waltham, MA 02451</w:t>
      </w:r>
    </w:p>
    <w:p>
      <w:pPr>
        <w:ind w:left="440"/>
        <w:spacing w:after="0"/>
        <w:rPr>
          <w:sz w:val="20"/>
          <w:szCs w:val="20"/>
          <w:color w:val="auto"/>
        </w:rPr>
      </w:pPr>
      <w:r>
        <w:rPr>
          <w:rFonts w:ascii="Arial" w:cs="Arial" w:eastAsia="Arial" w:hAnsi="Arial"/>
          <w:sz w:val="14"/>
          <w:szCs w:val="14"/>
          <w:b w:val="1"/>
          <w:bCs w:val="1"/>
          <w:color w:val="auto"/>
        </w:rPr>
        <w:t>(603) 252-2274</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457" w:lineRule="exact"/>
        <w:rPr>
          <w:sz w:val="24"/>
          <w:szCs w:val="24"/>
          <w:color w:val="auto"/>
        </w:rPr>
      </w:pPr>
    </w:p>
    <w:p>
      <w:pPr>
        <w:sectPr>
          <w:pgSz w:w="11900" w:h="16838" w:orient="portrait"/>
          <w:cols w:equalWidth="0" w:num="3">
            <w:col w:w="4020" w:space="720"/>
            <w:col w:w="3380" w:space="720"/>
            <w:col w:w="2300"/>
          </w:cols>
          <w:pgMar w:left="320" w:top="230" w:right="439" w:bottom="1440" w:gutter="0" w:footer="0" w:header="0"/>
          <w:type w:val="continuous"/>
        </w:sectPr>
      </w:pPr>
    </w:p>
    <w:p>
      <w:pPr>
        <w:jc w:val="center"/>
        <w:ind w:right="-119"/>
        <w:spacing w:after="0" w:line="235" w:lineRule="auto"/>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Tillman U. Gerngross</w:t>
      </w:r>
    </w:p>
    <w:p>
      <w:pPr>
        <w:jc w:val="center"/>
        <w:ind w:right="-1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Adagio Therapeutics, Inc.</w:t>
      </w:r>
    </w:p>
    <w:p>
      <w:pPr>
        <w:jc w:val="center"/>
        <w:ind w:right="-119"/>
        <w:spacing w:after="0" w:line="222" w:lineRule="auto"/>
        <w:rPr>
          <w:sz w:val="20"/>
          <w:szCs w:val="20"/>
          <w:color w:val="auto"/>
        </w:rPr>
      </w:pPr>
      <w:r>
        <w:rPr>
          <w:rFonts w:ascii="Arial" w:cs="Arial" w:eastAsia="Arial" w:hAnsi="Arial"/>
          <w:sz w:val="14"/>
          <w:szCs w:val="14"/>
          <w:b w:val="1"/>
          <w:bCs w:val="1"/>
          <w:color w:val="auto"/>
        </w:rPr>
        <w:t>303 Wyman Street, Suite 300</w:t>
      </w:r>
    </w:p>
    <w:p>
      <w:pPr>
        <w:jc w:val="center"/>
        <w:ind w:right="-119"/>
        <w:spacing w:after="0" w:line="221" w:lineRule="auto"/>
        <w:rPr>
          <w:sz w:val="20"/>
          <w:szCs w:val="20"/>
          <w:color w:val="auto"/>
        </w:rPr>
      </w:pPr>
      <w:r>
        <w:rPr>
          <w:rFonts w:ascii="Arial" w:cs="Arial" w:eastAsia="Arial" w:hAnsi="Arial"/>
          <w:sz w:val="14"/>
          <w:szCs w:val="14"/>
          <w:b w:val="1"/>
          <w:bCs w:val="1"/>
          <w:color w:val="auto"/>
        </w:rPr>
        <w:t>Waltham, MA 02451</w:t>
      </w:r>
    </w:p>
    <w:p>
      <w:pPr>
        <w:jc w:val="center"/>
        <w:ind w:right="-119"/>
        <w:spacing w:after="0" w:line="222" w:lineRule="auto"/>
        <w:rPr>
          <w:sz w:val="20"/>
          <w:szCs w:val="20"/>
          <w:color w:val="auto"/>
        </w:rPr>
      </w:pPr>
      <w:r>
        <w:rPr>
          <w:rFonts w:ascii="Arial" w:cs="Arial" w:eastAsia="Arial" w:hAnsi="Arial"/>
          <w:sz w:val="14"/>
          <w:szCs w:val="14"/>
          <w:b w:val="1"/>
          <w:bCs w:val="1"/>
          <w:color w:val="auto"/>
        </w:rPr>
        <w:t>(603) 252-2274</w:t>
      </w: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tbl>
      <w:tblPr>
        <w:tblLayout w:type="fixed"/>
        <w:tblInd w:w="206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00" w:type="dxa"/>
            <w:vAlign w:val="bottom"/>
          </w:tcPr>
          <w:p>
            <w:pPr>
              <w:ind w:left="780"/>
              <w:spacing w:after="0"/>
              <w:rPr>
                <w:sz w:val="20"/>
                <w:szCs w:val="20"/>
                <w:color w:val="auto"/>
              </w:rPr>
            </w:pPr>
            <w:r>
              <w:rPr>
                <w:rFonts w:ascii="Arial" w:cs="Arial" w:eastAsia="Arial" w:hAnsi="Arial"/>
                <w:sz w:val="14"/>
                <w:szCs w:val="14"/>
                <w:i w:val="1"/>
                <w:iCs w:val="1"/>
                <w:color w:val="auto"/>
              </w:rPr>
              <w:t>Copies to:</w:t>
            </w:r>
          </w:p>
        </w:tc>
      </w:tr>
      <w:tr>
        <w:trPr>
          <w:trHeight w:val="192"/>
        </w:trPr>
        <w:tc>
          <w:tcPr>
            <w:tcW w:w="2480" w:type="dxa"/>
            <w:vAlign w:val="bottom"/>
          </w:tcPr>
          <w:p>
            <w:pPr>
              <w:jc w:val="center"/>
              <w:ind w:right="728"/>
              <w:spacing w:after="0"/>
              <w:rPr>
                <w:sz w:val="20"/>
                <w:szCs w:val="20"/>
                <w:color w:val="auto"/>
              </w:rPr>
            </w:pPr>
            <w:r>
              <w:rPr>
                <w:rFonts w:ascii="Arial" w:cs="Arial" w:eastAsia="Arial" w:hAnsi="Arial"/>
                <w:sz w:val="14"/>
                <w:szCs w:val="14"/>
                <w:b w:val="1"/>
                <w:bCs w:val="1"/>
                <w:color w:val="auto"/>
                <w:w w:val="96"/>
              </w:rPr>
              <w:t>Divakar Gupta</w:t>
            </w:r>
          </w:p>
        </w:tc>
        <w:tc>
          <w:tcPr>
            <w:tcW w:w="4800" w:type="dxa"/>
            <w:vAlign w:val="bottom"/>
          </w:tcPr>
          <w:p>
            <w:pPr>
              <w:jc w:val="center"/>
              <w:ind w:left="2968"/>
              <w:spacing w:after="0"/>
              <w:rPr>
                <w:sz w:val="20"/>
                <w:szCs w:val="20"/>
                <w:color w:val="auto"/>
              </w:rPr>
            </w:pPr>
            <w:r>
              <w:rPr>
                <w:rFonts w:ascii="Arial" w:cs="Arial" w:eastAsia="Arial" w:hAnsi="Arial"/>
                <w:sz w:val="14"/>
                <w:szCs w:val="14"/>
                <w:b w:val="1"/>
                <w:bCs w:val="1"/>
                <w:color w:val="auto"/>
                <w:w w:val="94"/>
              </w:rPr>
              <w:t>Richard D. Truesdell, Jr.</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0"/>
              </w:rPr>
              <w:t>Ryan Sansom</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Roshni Banker Cariello</w:t>
            </w:r>
          </w:p>
        </w:tc>
      </w:tr>
      <w:tr>
        <w:trPr>
          <w:trHeight w:val="149"/>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8"/>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55 Hudson Yards</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9"/>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New York, New York 10001</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86"/>
        </w:trPr>
        <w:tc>
          <w:tcPr>
            <w:tcW w:w="248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(212) 479-6000</w:t>
            </w:r>
          </w:p>
        </w:tc>
        <w:tc>
          <w:tcPr>
            <w:tcW w:w="4800" w:type="dxa"/>
            <w:vAlign w:val="bottom"/>
          </w:tcPr>
          <w:p>
            <w:pPr>
              <w:jc w:val="center"/>
              <w:ind w:left="2948"/>
              <w:spacing w:after="0"/>
              <w:rPr>
                <w:sz w:val="20"/>
                <w:szCs w:val="20"/>
                <w:color w:val="auto"/>
              </w:rPr>
            </w:pPr>
            <w:r>
              <w:rPr>
                <w:rFonts w:ascii="Arial" w:cs="Arial" w:eastAsia="Arial" w:hAnsi="Arial"/>
                <w:sz w:val="14"/>
                <w:szCs w:val="14"/>
                <w:b w:val="1"/>
                <w:bCs w:val="1"/>
                <w:color w:val="auto"/>
                <w:w w:val="93"/>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9"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18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60" w:type="dxa"/>
            <w:vAlign w:val="bottom"/>
            <w:tcBorders>
              <w:right w:val="single" w:sz="8" w:color="auto"/>
            </w:tcBorders>
          </w:tcPr>
          <w:p>
            <w:pPr>
              <w:jc w:val="center"/>
              <w:ind w:left="11"/>
              <w:spacing w:after="0" w:line="106" w:lineRule="exact"/>
              <w:rPr>
                <w:sz w:val="20"/>
                <w:szCs w:val="20"/>
                <w:color w:val="auto"/>
              </w:rPr>
            </w:pPr>
            <w:r>
              <w:rPr>
                <w:rFonts w:ascii="Arial" w:cs="Arial" w:eastAsia="Arial" w:hAnsi="Arial"/>
                <w:sz w:val="12"/>
                <w:szCs w:val="12"/>
                <w:b w:val="1"/>
                <w:bCs w:val="1"/>
                <w:color w:val="auto"/>
              </w:rPr>
              <w:t>Proposed Maximum</w:t>
            </w:r>
          </w:p>
        </w:tc>
        <w:tc>
          <w:tcPr>
            <w:tcW w:w="186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3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86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Offering Price(1)</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176"/>
        </w:trPr>
        <w:tc>
          <w:tcPr>
            <w:tcW w:w="73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1860" w:type="dxa"/>
            <w:vAlign w:val="bottom"/>
            <w:tcBorders>
              <w:right w:val="single" w:sz="8" w:color="auto"/>
            </w:tcBorders>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424"/>
        <w:spacing w:after="0" w:line="226"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offering price of additional shares that the underwriters have the option to purchase.</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53" w:lineRule="exact"/>
        <w:rPr>
          <w:sz w:val="24"/>
          <w:szCs w:val="24"/>
          <w:color w:val="auto"/>
        </w:rPr>
      </w:pPr>
    </w:p>
    <w:p>
      <w:pPr>
        <w:jc w:val="both"/>
        <w:ind w:left="120" w:right="20" w:firstLine="44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2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SUBJECT TO COMPLETION</w:t>
      </w:r>
    </w:p>
    <w:p>
      <w:pPr>
        <w:spacing w:after="0" w:line="8"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22"/>
          <w:szCs w:val="22"/>
          <w:i w:val="1"/>
          <w:iCs w:val="1"/>
          <w:color w:val="DE1A1E"/>
        </w:rPr>
        <w:t>DATED</w:t>
        <w:tab/>
        <w:t>, 2021</w:t>
      </w:r>
    </w:p>
    <w:p>
      <w:pPr>
        <w:spacing w:after="0" w:line="257" w:lineRule="exact"/>
        <w:rPr>
          <w:sz w:val="20"/>
          <w:szCs w:val="20"/>
          <w:color w:val="auto"/>
        </w:rPr>
      </w:pPr>
    </w:p>
    <w:p>
      <w:pPr>
        <w:ind w:left="568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173355</wp:posOffset>
            </wp:positionV>
            <wp:extent cx="138874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43"/>
          <w:szCs w:val="43"/>
          <w:i w:val="1"/>
          <w:iCs w:val="1"/>
          <w:color w:val="auto"/>
        </w:rPr>
        <w:t>Adagio Therapeutics, Inc.</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20"/>
        <w:spacing w:after="0"/>
        <w:tabs>
          <w:tab w:leader="none" w:pos="3940" w:val="left"/>
        </w:tabs>
        <w:rPr>
          <w:sz w:val="20"/>
          <w:szCs w:val="20"/>
          <w:color w:val="auto"/>
        </w:rPr>
      </w:pPr>
      <w:r>
        <w:rPr>
          <w:rFonts w:ascii="Arial" w:cs="Arial" w:eastAsia="Arial" w:hAnsi="Arial"/>
          <w:sz w:val="18"/>
          <w:szCs w:val="18"/>
          <w:b w:val="1"/>
          <w:bCs w:val="1"/>
          <w:i w:val="1"/>
          <w:iCs w:val="1"/>
          <w:color w:val="auto"/>
        </w:rPr>
        <w:t>Adagio Therapeutics, Inc. is offering</w:t>
      </w:r>
      <w:r>
        <w:rPr>
          <w:sz w:val="20"/>
          <w:szCs w:val="20"/>
          <w:color w:val="auto"/>
        </w:rPr>
        <w:tab/>
      </w:r>
      <w:r>
        <w:rPr>
          <w:rFonts w:ascii="Arial" w:cs="Arial" w:eastAsia="Arial" w:hAnsi="Arial"/>
          <w:sz w:val="16"/>
          <w:szCs w:val="16"/>
          <w:b w:val="1"/>
          <w:bCs w:val="1"/>
          <w:i w:val="1"/>
          <w:iCs w:val="1"/>
          <w:color w:val="auto"/>
        </w:rPr>
        <w:t>shares of common stock. This is our initial public offering and no public market exists for our</w:t>
      </w:r>
    </w:p>
    <w:p>
      <w:pPr>
        <w:spacing w:after="0" w:line="23" w:lineRule="exact"/>
        <w:rPr>
          <w:sz w:val="20"/>
          <w:szCs w:val="20"/>
          <w:color w:val="auto"/>
        </w:rPr>
      </w:pPr>
    </w:p>
    <w:p>
      <w:pPr>
        <w:ind w:left="120"/>
        <w:spacing w:after="0"/>
        <w:tabs>
          <w:tab w:leader="none" w:pos="6980" w:val="left"/>
          <w:tab w:leader="none" w:pos="8120" w:val="left"/>
        </w:tabs>
        <w:rPr>
          <w:sz w:val="20"/>
          <w:szCs w:val="20"/>
          <w:color w:val="auto"/>
        </w:rPr>
      </w:pPr>
      <w:r>
        <w:rPr>
          <w:rFonts w:ascii="Arial" w:cs="Arial" w:eastAsia="Arial" w:hAnsi="Arial"/>
          <w:sz w:val="18"/>
          <w:szCs w:val="18"/>
          <w:b w:val="1"/>
          <w:bCs w:val="1"/>
          <w:i w:val="1"/>
          <w:iCs w:val="1"/>
          <w:color w:val="auto"/>
        </w:rPr>
        <w:t>common stock. We anticipate that the initial public offering price will be 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intend to apply to list our common stock on The Nasdaq Global Market under the trading symbol “ADGI.”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both"/>
        <w:ind w:left="120" w:right="20"/>
        <w:spacing w:after="0" w:line="287" w:lineRule="auto"/>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are an “emerging growth company” and a “smaller reporting company” as defined under U.S. federal securities laws and, as such, will be subject to reduced public company reporting requirements for this prospectus and future filings. See “Prospectus Summary—Implications of Being an Emerging Growth Company and a Smaller Reporting Company.” Investing in our common stock involves risks. See “</w:t>
      </w:r>
      <w:hyperlink w:anchor="page16">
        <w:r>
          <w:rPr>
            <w:rFonts w:ascii="Arial" w:cs="Arial" w:eastAsia="Arial" w:hAnsi="Arial"/>
            <w:sz w:val="19"/>
            <w:szCs w:val="19"/>
            <w:b w:val="1"/>
            <w:bCs w:val="1"/>
            <w:i w:val="1"/>
            <w:iCs w:val="1"/>
            <w:u w:val="single" w:color="auto"/>
            <w:color w:val="0000EE"/>
          </w:rPr>
          <w:t>Risk Factors</w:t>
        </w:r>
      </w:hyperlink>
      <w:r>
        <w:rPr>
          <w:rFonts w:ascii="Arial" w:cs="Arial" w:eastAsia="Arial" w:hAnsi="Arial"/>
          <w:sz w:val="19"/>
          <w:szCs w:val="19"/>
          <w:b w:val="1"/>
          <w:bCs w:val="1"/>
          <w:i w:val="1"/>
          <w:iCs w:val="1"/>
          <w:color w:val="auto"/>
        </w:rPr>
        <w:t>” beginning on page 13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04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8"/>
              </w:rPr>
              <w:t>Per Share</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95"/>
        </w:trPr>
        <w:tc>
          <w:tcPr>
            <w:tcW w:w="9040" w:type="dxa"/>
            <w:vAlign w:val="bottom"/>
            <w:vMerge w:val="continue"/>
          </w:tcPr>
          <w:p>
            <w:pPr>
              <w:spacing w:after="0"/>
              <w:rPr>
                <w:sz w:val="16"/>
                <w:szCs w:val="16"/>
                <w:color w:val="auto"/>
              </w:rPr>
            </w:pPr>
          </w:p>
        </w:tc>
        <w:tc>
          <w:tcPr>
            <w:tcW w:w="600" w:type="dxa"/>
            <w:vAlign w:val="bottom"/>
            <w:tcBorders>
              <w:top w:val="single" w:sz="8" w:color="auto"/>
            </w:tcBorders>
          </w:tcPr>
          <w:p>
            <w:pPr>
              <w:jc w:val="right"/>
              <w:ind w:right="235"/>
              <w:spacing w:after="0" w:line="195" w:lineRule="exact"/>
              <w:rPr>
                <w:sz w:val="20"/>
                <w:szCs w:val="20"/>
                <w:color w:val="auto"/>
              </w:rPr>
            </w:pPr>
            <w:r>
              <w:rPr>
                <w:rFonts w:ascii="Arial" w:cs="Arial" w:eastAsia="Arial" w:hAnsi="Arial"/>
                <w:sz w:val="18"/>
                <w:szCs w:val="18"/>
                <w:i w:val="1"/>
                <w:iCs w:val="1"/>
                <w:color w:val="auto"/>
              </w:rPr>
              <w:t>$</w:t>
            </w:r>
          </w:p>
        </w:tc>
        <w:tc>
          <w:tcPr>
            <w:tcW w:w="880" w:type="dxa"/>
            <w:vAlign w:val="bottom"/>
          </w:tcPr>
          <w:p>
            <w:pPr>
              <w:spacing w:after="0"/>
              <w:rPr>
                <w:sz w:val="16"/>
                <w:szCs w:val="16"/>
                <w:color w:val="auto"/>
              </w:rPr>
            </w:pPr>
          </w:p>
        </w:tc>
        <w:tc>
          <w:tcPr>
            <w:tcW w:w="300" w:type="dxa"/>
            <w:vAlign w:val="bottom"/>
            <w:tcBorders>
              <w:top w:val="single" w:sz="8" w:color="auto"/>
            </w:tcBorders>
          </w:tcPr>
          <w:p>
            <w:pPr>
              <w:jc w:val="right"/>
              <w:ind w:right="189"/>
              <w:spacing w:after="0"/>
              <w:rPr>
                <w:sz w:val="20"/>
                <w:szCs w:val="20"/>
                <w:color w:val="auto"/>
              </w:rPr>
            </w:pPr>
            <w:r>
              <w:rPr>
                <w:rFonts w:ascii="Arial" w:cs="Arial" w:eastAsia="Arial" w:hAnsi="Arial"/>
                <w:sz w:val="10"/>
                <w:szCs w:val="10"/>
                <w:i w:val="1"/>
                <w:iCs w:val="1"/>
                <w:color w:val="auto"/>
                <w:w w:val="71"/>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600" w:type="dxa"/>
            <w:vAlign w:val="bottom"/>
          </w:tcPr>
          <w:p>
            <w:pPr>
              <w:jc w:val="right"/>
              <w:ind w:right="235"/>
              <w:spacing w:after="0"/>
              <w:rPr>
                <w:sz w:val="20"/>
                <w:szCs w:val="20"/>
                <w:color w:val="auto"/>
              </w:rPr>
            </w:pPr>
            <w:r>
              <w:rPr>
                <w:rFonts w:ascii="Arial" w:cs="Arial" w:eastAsia="Arial" w:hAnsi="Arial"/>
                <w:sz w:val="18"/>
                <w:szCs w:val="18"/>
                <w:i w:val="1"/>
                <w:iCs w:val="1"/>
                <w:color w:val="auto"/>
              </w:rPr>
              <w:t>$</w:t>
            </w:r>
          </w:p>
        </w:tc>
        <w:tc>
          <w:tcPr>
            <w:tcW w:w="1180" w:type="dxa"/>
            <w:vAlign w:val="bottom"/>
            <w:gridSpan w:val="2"/>
          </w:tcPr>
          <w:p>
            <w:pPr>
              <w:jc w:val="right"/>
              <w:ind w:right="18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600" w:type="dxa"/>
            <w:vAlign w:val="bottom"/>
          </w:tcPr>
          <w:p>
            <w:pPr>
              <w:jc w:val="right"/>
              <w:ind w:right="235"/>
              <w:spacing w:after="0"/>
              <w:rPr>
                <w:sz w:val="20"/>
                <w:szCs w:val="20"/>
                <w:color w:val="auto"/>
              </w:rPr>
            </w:pPr>
            <w:r>
              <w:rPr>
                <w:rFonts w:ascii="Arial" w:cs="Arial" w:eastAsia="Arial" w:hAnsi="Arial"/>
                <w:sz w:val="18"/>
                <w:szCs w:val="18"/>
                <w:i w:val="1"/>
                <w:iCs w:val="1"/>
                <w:color w:val="auto"/>
              </w:rPr>
              <w:t>$</w:t>
            </w:r>
          </w:p>
        </w:tc>
        <w:tc>
          <w:tcPr>
            <w:tcW w:w="1180" w:type="dxa"/>
            <w:vAlign w:val="bottom"/>
            <w:gridSpan w:val="2"/>
          </w:tcPr>
          <w:p>
            <w:pPr>
              <w:jc w:val="right"/>
              <w:ind w:right="18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“Underwriters” for additional information regarding total underwriter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20"/>
        <w:spacing w:after="0"/>
        <w:tabs>
          <w:tab w:leader="none" w:pos="7980" w:val="left"/>
        </w:tabs>
        <w:rPr>
          <w:sz w:val="20"/>
          <w:szCs w:val="20"/>
          <w:color w:val="auto"/>
        </w:rPr>
      </w:pPr>
      <w:r>
        <w:rPr>
          <w:rFonts w:ascii="Arial" w:cs="Arial" w:eastAsia="Arial" w:hAnsi="Arial"/>
          <w:sz w:val="18"/>
          <w:szCs w:val="18"/>
          <w:i w:val="1"/>
          <w:iCs w:val="1"/>
          <w:color w:val="auto"/>
        </w:rPr>
        <w:t>We have granted the underwriters an option for a period of 30 days to purchase up to an additional</w:t>
      </w:r>
      <w:r>
        <w:rPr>
          <w:sz w:val="20"/>
          <w:szCs w:val="20"/>
          <w:color w:val="auto"/>
        </w:rPr>
        <w:tab/>
      </w:r>
      <w:r>
        <w:rPr>
          <w:rFonts w:ascii="Arial" w:cs="Arial" w:eastAsia="Arial" w:hAnsi="Arial"/>
          <w:sz w:val="16"/>
          <w:szCs w:val="16"/>
          <w:i w:val="1"/>
          <w:iCs w:val="1"/>
          <w:color w:val="auto"/>
        </w:rPr>
        <w:t>shares of our common stock.</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380" w:type="dxa"/>
            <w:vAlign w:val="bottom"/>
            <w:gridSpan w:val="5"/>
          </w:tcPr>
          <w:p>
            <w:pPr>
              <w:spacing w:after="0"/>
              <w:rPr>
                <w:sz w:val="20"/>
                <w:szCs w:val="20"/>
                <w:color w:val="auto"/>
              </w:rPr>
            </w:pPr>
            <w:r>
              <w:rPr>
                <w:rFonts w:ascii="Arial" w:cs="Arial" w:eastAsia="Arial" w:hAnsi="Arial"/>
                <w:sz w:val="18"/>
                <w:szCs w:val="18"/>
                <w:i w:val="1"/>
                <w:iCs w:val="1"/>
                <w:color w:val="auto"/>
                <w:w w:val="90"/>
              </w:rPr>
              <w:t>The underwriters expect to deliver the shares of common stock against payment in New York, New York on or about</w:t>
            </w:r>
          </w:p>
        </w:tc>
        <w:tc>
          <w:tcPr>
            <w:tcW w:w="2640" w:type="dxa"/>
            <w:vAlign w:val="bottom"/>
          </w:tcPr>
          <w:p>
            <w:pPr>
              <w:jc w:val="right"/>
              <w:ind w:right="1403"/>
              <w:spacing w:after="0"/>
              <w:rPr>
                <w:sz w:val="20"/>
                <w:szCs w:val="20"/>
                <w:color w:val="auto"/>
              </w:rPr>
            </w:pPr>
            <w:r>
              <w:rPr>
                <w:rFonts w:ascii="Arial" w:cs="Arial" w:eastAsia="Arial" w:hAnsi="Arial"/>
                <w:sz w:val="18"/>
                <w:szCs w:val="18"/>
                <w:i w:val="1"/>
                <w:iCs w:val="1"/>
                <w:color w:val="auto"/>
              </w:rPr>
              <w:t>, 2021.</w:t>
            </w:r>
          </w:p>
        </w:tc>
      </w:tr>
      <w:tr>
        <w:trPr>
          <w:trHeight w:val="351"/>
        </w:trPr>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25"/>
        </w:trPr>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40" w:type="dxa"/>
            <w:vAlign w:val="bottom"/>
            <w:gridSpan w:val="3"/>
          </w:tcPr>
          <w:p>
            <w:pPr>
              <w:jc w:val="right"/>
              <w:ind w:right="1760"/>
              <w:spacing w:after="0"/>
              <w:rPr>
                <w:sz w:val="20"/>
                <w:szCs w:val="20"/>
                <w:color w:val="auto"/>
              </w:rPr>
            </w:pPr>
            <w:r>
              <w:rPr>
                <w:rFonts w:ascii="Arial" w:cs="Arial" w:eastAsia="Arial" w:hAnsi="Arial"/>
                <w:sz w:val="18"/>
                <w:szCs w:val="18"/>
                <w:i w:val="1"/>
                <w:iCs w:val="1"/>
                <w:color w:val="auto"/>
                <w:w w:val="93"/>
              </w:rPr>
              <w:t>Joint Book-Running Managers</w:t>
            </w:r>
          </w:p>
        </w:tc>
        <w:tc>
          <w:tcPr>
            <w:tcW w:w="2640" w:type="dxa"/>
            <w:vAlign w:val="bottom"/>
          </w:tcPr>
          <w:p>
            <w:pPr>
              <w:spacing w:after="0"/>
              <w:rPr>
                <w:sz w:val="24"/>
                <w:szCs w:val="24"/>
                <w:color w:val="auto"/>
              </w:rPr>
            </w:pPr>
          </w:p>
        </w:tc>
      </w:tr>
      <w:tr>
        <w:trPr>
          <w:trHeight w:val="494"/>
        </w:trPr>
        <w:tc>
          <w:tcPr>
            <w:tcW w:w="2660" w:type="dxa"/>
            <w:vAlign w:val="bottom"/>
          </w:tcPr>
          <w:p>
            <w:pPr>
              <w:spacing w:after="0"/>
              <w:rPr>
                <w:sz w:val="20"/>
                <w:szCs w:val="20"/>
                <w:color w:val="auto"/>
              </w:rPr>
            </w:pPr>
            <w:r>
              <w:rPr>
                <w:rFonts w:ascii="Arial" w:cs="Arial" w:eastAsia="Arial" w:hAnsi="Arial"/>
                <w:sz w:val="21"/>
                <w:szCs w:val="21"/>
                <w:i w:val="1"/>
                <w:iCs w:val="1"/>
                <w:color w:val="auto"/>
              </w:rPr>
              <w:t>MORGAN STANLEY</w:t>
            </w:r>
          </w:p>
        </w:tc>
        <w:tc>
          <w:tcPr>
            <w:tcW w:w="2620" w:type="dxa"/>
            <w:vAlign w:val="bottom"/>
            <w:gridSpan w:val="2"/>
          </w:tcPr>
          <w:p>
            <w:pPr>
              <w:ind w:left="920"/>
              <w:spacing w:after="0"/>
              <w:rPr>
                <w:sz w:val="20"/>
                <w:szCs w:val="20"/>
                <w:color w:val="auto"/>
              </w:rPr>
            </w:pPr>
            <w:r>
              <w:rPr>
                <w:rFonts w:ascii="Arial" w:cs="Arial" w:eastAsia="Arial" w:hAnsi="Arial"/>
                <w:sz w:val="21"/>
                <w:szCs w:val="21"/>
                <w:i w:val="1"/>
                <w:iCs w:val="1"/>
                <w:color w:val="auto"/>
              </w:rPr>
              <w:t>JEFFERIES</w:t>
            </w:r>
          </w:p>
        </w:tc>
        <w:tc>
          <w:tcPr>
            <w:tcW w:w="3100" w:type="dxa"/>
            <w:vAlign w:val="bottom"/>
            <w:gridSpan w:val="2"/>
          </w:tcPr>
          <w:p>
            <w:pPr>
              <w:jc w:val="right"/>
              <w:ind w:right="1760"/>
              <w:spacing w:after="0"/>
              <w:rPr>
                <w:sz w:val="20"/>
                <w:szCs w:val="20"/>
                <w:color w:val="auto"/>
              </w:rPr>
            </w:pPr>
            <w:r>
              <w:rPr>
                <w:rFonts w:ascii="Arial" w:cs="Arial" w:eastAsia="Arial" w:hAnsi="Arial"/>
                <w:sz w:val="21"/>
                <w:szCs w:val="21"/>
                <w:i w:val="1"/>
                <w:iCs w:val="1"/>
                <w:color w:val="auto"/>
              </w:rPr>
              <w:t>STIFEL</w:t>
            </w:r>
          </w:p>
        </w:tc>
        <w:tc>
          <w:tcPr>
            <w:tcW w:w="2640" w:type="dxa"/>
            <w:vAlign w:val="bottom"/>
          </w:tcPr>
          <w:p>
            <w:pPr>
              <w:jc w:val="right"/>
              <w:spacing w:after="0"/>
              <w:rPr>
                <w:sz w:val="20"/>
                <w:szCs w:val="20"/>
                <w:color w:val="auto"/>
              </w:rPr>
            </w:pPr>
            <w:r>
              <w:rPr>
                <w:rFonts w:ascii="Arial" w:cs="Arial" w:eastAsia="Arial" w:hAnsi="Arial"/>
                <w:sz w:val="21"/>
                <w:szCs w:val="21"/>
                <w:i w:val="1"/>
                <w:iCs w:val="1"/>
                <w:color w:val="auto"/>
                <w:w w:val="94"/>
              </w:rPr>
              <w:t>GUGGENHEIM SECURITIES</w:t>
            </w:r>
          </w:p>
        </w:tc>
      </w:tr>
    </w:tbl>
    <w:p>
      <w:pPr>
        <w:spacing w:after="0" w:line="1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2960" w:val="left"/>
        </w:tabs>
        <w:rPr>
          <w:sz w:val="20"/>
          <w:szCs w:val="20"/>
          <w:color w:val="auto"/>
        </w:rPr>
      </w:pPr>
      <w:r>
        <w:rPr>
          <w:rFonts w:ascii="Arial" w:cs="Arial" w:eastAsia="Arial" w:hAnsi="Arial"/>
          <w:sz w:val="18"/>
          <w:szCs w:val="18"/>
          <w:i w:val="1"/>
          <w:iCs w:val="1"/>
          <w:color w:val="auto"/>
        </w:rPr>
        <w:t>The date of this prospectus is</w:t>
      </w:r>
      <w:r>
        <w:rPr>
          <w:sz w:val="20"/>
          <w:szCs w:val="20"/>
          <w:color w:val="auto"/>
        </w:rPr>
        <w:tab/>
      </w:r>
      <w:r>
        <w:rPr>
          <w:rFonts w:ascii="Arial" w:cs="Arial" w:eastAsia="Arial" w:hAnsi="Arial"/>
          <w:sz w:val="15"/>
          <w:szCs w:val="15"/>
          <w:i w:val="1"/>
          <w:iCs w:val="1"/>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gridSpan w:val="13"/>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Page</w:t>
            </w:r>
          </w:p>
        </w:tc>
        <w:tc>
          <w:tcPr>
            <w:tcW w:w="5000" w:type="dxa"/>
            <w:vAlign w:val="bottom"/>
            <w:gridSpan w:val="14"/>
            <w:vMerge w:val="restart"/>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88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4"/>
                <w:szCs w:val="14"/>
                <w:color w:val="auto"/>
              </w:rPr>
            </w:pPr>
          </w:p>
        </w:tc>
        <w:tc>
          <w:tcPr>
            <w:tcW w:w="500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3360" w:type="dxa"/>
            <w:vAlign w:val="bottom"/>
            <w:gridSpan w:val="5"/>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13</w:t>
            </w:r>
          </w:p>
        </w:tc>
        <w:tc>
          <w:tcPr>
            <w:tcW w:w="5000" w:type="dxa"/>
            <w:vAlign w:val="bottom"/>
            <w:gridSpan w:val="14"/>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85">
              <w:r>
                <w:rPr>
                  <w:rFonts w:ascii="Arial" w:cs="Arial" w:eastAsia="Arial" w:hAnsi="Arial"/>
                  <w:sz w:val="18"/>
                  <w:szCs w:val="18"/>
                  <w:color w:val="0000EE"/>
                  <w:w w:val="90"/>
                </w:rPr>
                <w:t>Special Note Regarding Forward-Looking Statements</w:t>
              </w:r>
            </w:hyperlink>
          </w:p>
        </w:tc>
        <w:tc>
          <w:tcPr>
            <w:tcW w:w="1000" w:type="dxa"/>
            <w:vAlign w:val="bottom"/>
            <w:gridSpan w:val="2"/>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82</w:t>
            </w: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84">
              <w:r>
                <w:rPr>
                  <w:rFonts w:ascii="Arial" w:cs="Arial" w:eastAsia="Arial" w:hAnsi="Arial"/>
                  <w:sz w:val="18"/>
                  <w:szCs w:val="18"/>
                  <w:color w:val="0000EE"/>
                  <w:w w:val="90"/>
                </w:rPr>
                <w:t>Principal Stockholders</w:t>
              </w:r>
            </w:hyperlink>
          </w:p>
        </w:tc>
        <w:tc>
          <w:tcPr>
            <w:tcW w:w="33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Market and Industry Data</w:t>
              </w:r>
            </w:hyperlink>
          </w:p>
        </w:tc>
        <w:tc>
          <w:tcPr>
            <w:tcW w:w="3020" w:type="dxa"/>
            <w:vAlign w:val="bottom"/>
            <w:gridSpan w:val="4"/>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84</w:t>
            </w: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89">
              <w:r>
                <w:rPr>
                  <w:rFonts w:ascii="Arial" w:cs="Arial" w:eastAsia="Arial" w:hAnsi="Arial"/>
                  <w:sz w:val="18"/>
                  <w:szCs w:val="18"/>
                  <w:color w:val="0000EE"/>
                  <w:w w:val="92"/>
                </w:rPr>
                <w:t>Description of Capital Stock</w:t>
              </w:r>
            </w:hyperlink>
          </w:p>
        </w:tc>
        <w:tc>
          <w:tcPr>
            <w:tcW w:w="29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186</w:t>
            </w:r>
          </w:p>
        </w:tc>
        <w:tc>
          <w:tcPr>
            <w:tcW w:w="0" w:type="dxa"/>
            <w:vAlign w:val="bottom"/>
          </w:tcPr>
          <w:p>
            <w:pPr>
              <w:spacing w:after="0"/>
              <w:rPr>
                <w:sz w:val="1"/>
                <w:szCs w:val="1"/>
                <w:color w:val="auto"/>
              </w:rPr>
            </w:pPr>
          </w:p>
        </w:tc>
      </w:tr>
      <w:tr>
        <w:trPr>
          <w:trHeight w:val="196"/>
        </w:trPr>
        <w:tc>
          <w:tcPr>
            <w:tcW w:w="4880" w:type="dxa"/>
            <w:vAlign w:val="bottom"/>
            <w:gridSpan w:val="1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Use of Proceeds</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85</w:t>
            </w:r>
          </w:p>
        </w:tc>
        <w:tc>
          <w:tcPr>
            <w:tcW w:w="5000" w:type="dxa"/>
            <w:vAlign w:val="bottom"/>
            <w:gridSpan w:val="1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7"/>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Dividend Policy</w:t>
              </w:r>
            </w:hyperlink>
          </w:p>
        </w:tc>
        <w:tc>
          <w:tcPr>
            <w:tcW w:w="3700" w:type="dxa"/>
            <w:vAlign w:val="bottom"/>
            <w:gridSpan w:val="6"/>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86</w:t>
            </w:r>
          </w:p>
        </w:tc>
        <w:tc>
          <w:tcPr>
            <w:tcW w:w="5000" w:type="dxa"/>
            <w:vAlign w:val="bottom"/>
            <w:gridSpan w:val="14"/>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Capitalization</w:t>
              </w:r>
            </w:hyperlink>
          </w:p>
        </w:tc>
        <w:tc>
          <w:tcPr>
            <w:tcW w:w="3700" w:type="dxa"/>
            <w:vAlign w:val="bottom"/>
            <w:gridSpan w:val="6"/>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87</w:t>
            </w:r>
          </w:p>
        </w:tc>
        <w:tc>
          <w:tcPr>
            <w:tcW w:w="18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Holders</w:t>
              </w:r>
            </w:hyperlink>
          </w:p>
        </w:tc>
        <w:tc>
          <w:tcPr>
            <w:tcW w:w="5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Dilution</w:t>
              </w:r>
            </w:hyperlink>
          </w:p>
        </w:tc>
        <w:tc>
          <w:tcPr>
            <w:tcW w:w="3880" w:type="dxa"/>
            <w:vAlign w:val="bottom"/>
            <w:gridSpan w:val="8"/>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89</w:t>
            </w:r>
          </w:p>
        </w:tc>
        <w:tc>
          <w:tcPr>
            <w:tcW w:w="5000" w:type="dxa"/>
            <w:vAlign w:val="bottom"/>
            <w:gridSpan w:val="14"/>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3"/>
          </w:tcPr>
          <w:p>
            <w:pPr>
              <w:spacing w:after="0" w:line="196" w:lineRule="exact"/>
              <w:rPr>
                <w:rFonts w:ascii="Arial" w:cs="Arial" w:eastAsia="Arial" w:hAnsi="Arial"/>
                <w:sz w:val="18"/>
                <w:szCs w:val="18"/>
                <w:color w:val="0000EE"/>
                <w:w w:val="98"/>
              </w:rPr>
            </w:pPr>
            <w:hyperlink w:anchor="page97">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gridSpan w:val="14"/>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208</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43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and Results of Operations</w:t>
              </w:r>
            </w:hyperlink>
          </w:p>
        </w:tc>
        <w:tc>
          <w:tcPr>
            <w:tcW w:w="340" w:type="dxa"/>
            <w:vAlign w:val="bottom"/>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94</w:t>
            </w:r>
          </w:p>
        </w:tc>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Experts</w:t>
              </w:r>
            </w:hyperlink>
          </w:p>
        </w:tc>
        <w:tc>
          <w:tcPr>
            <w:tcW w:w="40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gridSpan w:val="13"/>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Business</w:t>
              </w:r>
            </w:hyperlink>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112</w:t>
            </w:r>
          </w:p>
        </w:tc>
        <w:tc>
          <w:tcPr>
            <w:tcW w:w="5000" w:type="dxa"/>
            <w:vAlign w:val="bottom"/>
            <w:gridSpan w:val="14"/>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Where You Can Find 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208</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80" w:type="dxa"/>
            <w:vAlign w:val="bottom"/>
            <w:gridSpan w:val="8"/>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58">
              <w:r>
                <w:rPr>
                  <w:rFonts w:ascii="Arial" w:cs="Arial" w:eastAsia="Arial" w:hAnsi="Arial"/>
                  <w:sz w:val="18"/>
                  <w:szCs w:val="18"/>
                  <w:color w:val="0000EE"/>
                  <w:w w:val="91"/>
                </w:rPr>
                <w:t>Management</w:t>
              </w:r>
            </w:hyperlink>
          </w:p>
        </w:tc>
        <w:tc>
          <w:tcPr>
            <w:tcW w:w="3880" w:type="dxa"/>
            <w:vAlign w:val="bottom"/>
            <w:gridSpan w:val="8"/>
          </w:tcPr>
          <w:p>
            <w:pPr>
              <w:spacing w:after="0"/>
              <w:rPr>
                <w:sz w:val="17"/>
                <w:szCs w:val="17"/>
                <w:color w:val="auto"/>
              </w:rPr>
            </w:pPr>
          </w:p>
        </w:tc>
        <w:tc>
          <w:tcPr>
            <w:tcW w:w="74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155</w:t>
            </w:r>
          </w:p>
        </w:tc>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12">
              <w:r>
                <w:rPr>
                  <w:rFonts w:ascii="Arial" w:cs="Arial" w:eastAsia="Arial" w:hAnsi="Arial"/>
                  <w:sz w:val="18"/>
                  <w:szCs w:val="18"/>
                  <w:color w:val="0000EE"/>
                  <w:w w:val="89"/>
                </w:rPr>
                <w:t>Index to Consolidated Financial Statements</w:t>
              </w:r>
            </w:hyperlink>
          </w:p>
        </w:tc>
        <w:tc>
          <w:tcPr>
            <w:tcW w:w="18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334010</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and “Management’s Discussion and Analysis of Financial Condition and Results of Operations” and our consolidated financial statements and the related notes appearing elsewhere in this prospectus, before making an investment decision. As used in this prospectus, unless the context otherwise requires, references to “we,” “us,” “our,” “the company,” “Adagio” and “Adagio Therapeutics” refer to Adagio Therapeutics, Inc.</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Arial" w:cs="Arial" w:eastAsia="Arial" w:hAnsi="Arial"/>
          <w:sz w:val="16"/>
          <w:szCs w:val="16"/>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66"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ADG20 is designed to be a potent, long-acting and broadly neutralizing antibody for both the treatment and prevention of COVID-19 as either a single or combination agent. Unlike other antibody-based therapies targeting SARS-CoV-2, ADG20 has demonstrated an ability to potently neutralize SARS-CoV-2, including variants of concern, as well as a broad range of SARS-like viruses. Potent neutralization has translated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has demonstrated safety, tolerability and a pharmacokinetic profile supportive of continued development. In addition, the serum virus neutralizing antibody titers measured following administration of ADG20 were within the range of peak serum neutralizing antibody titers reported for mRNA COVID-19 vaccine recipients.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79" w:lineRule="exact"/>
        <w:rPr>
          <w:sz w:val="20"/>
          <w:szCs w:val="20"/>
          <w:color w:val="auto"/>
        </w:rPr>
      </w:pPr>
    </w:p>
    <w:p>
      <w:pPr>
        <w:jc w:val="both"/>
        <w:ind w:left="300" w:firstLine="426"/>
        <w:spacing w:after="0" w:line="284" w:lineRule="auto"/>
        <w:rPr>
          <w:sz w:val="20"/>
          <w:szCs w:val="20"/>
          <w:color w:val="auto"/>
        </w:rPr>
      </w:pPr>
      <w:r>
        <w:rPr>
          <w:rFonts w:ascii="Arial" w:cs="Arial" w:eastAsia="Arial" w:hAnsi="Arial"/>
          <w:sz w:val="16"/>
          <w:szCs w:val="16"/>
          <w:color w:val="auto"/>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w:t>
      </w:r>
    </w:p>
    <w:p>
      <w:pPr>
        <w:spacing w:after="0" w:line="2" w:lineRule="exact"/>
        <w:rPr>
          <w:sz w:val="20"/>
          <w:szCs w:val="20"/>
          <w:color w:val="auto"/>
        </w:rPr>
      </w:pPr>
    </w:p>
    <w:p>
      <w:pPr>
        <w:ind w:left="560" w:hanging="26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implementation of virus mitigation efforts, such as wearing masks and social distancing. As a result, our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21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84"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6"/>
          <w:szCs w:val="16"/>
          <w:color w:val="auto"/>
        </w:rPr>
        <w:t xml:space="preserve">In response to the ongoing pandemic, multiple agents have been discovered, developed and authorized at an unprecedented speed to address COVID-19. Several vaccines have been authorized for the prevention of COVID-19 under public health emergency guidelines both in the United States and abroad. In addition, some monoclonal antibody, or mAb, therapies, either as a monotherapy or a combination cocktail, have been granted emergency use authorization in the United States and India and are available for use as unauthorized products in certain EU member states for the treatment of mild to moderate COVID-19 in patients at high risk of disease progression. However, we believe additional solutions are required. The recent emergence of SARS-CoV-2 variants has attenuated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of certain currently available mAbs. For example, the U.S. Food and Drug Administration, or the FDA, recently revoked the EUA for one of these mAbs due to its lack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against key variants of concern as a single agent.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Approach to COVID-19 and Development of Coronavirus mAbs</w:t>
      </w:r>
    </w:p>
    <w:p>
      <w:pPr>
        <w:spacing w:after="0" w:line="121"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240" w:hanging="523"/>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potency and broad neutralizing activity to address SARS-CoV-2, including variants of concern, and additional SARS-like viruses, or sarbecoviruses;</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mechanisms of action, including direct virus neutralization by blocking viral entry into the host cell and elimination of infected host cells through innate immune effector activity to clear infection;</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Convenient outpatient administration as a single-dose IM injection;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provide both rapid and durable protection with potential protection against COVID-19 for up to one year.</w:t>
      </w:r>
    </w:p>
    <w:p>
      <w:pPr>
        <w:spacing w:after="0" w:line="225" w:lineRule="exact"/>
        <w:rPr>
          <w:sz w:val="20"/>
          <w:szCs w:val="20"/>
          <w:color w:val="auto"/>
        </w:rPr>
      </w:pPr>
    </w:p>
    <w:p>
      <w:pPr>
        <w:jc w:val="both"/>
        <w:ind w:left="300" w:firstLine="426"/>
        <w:spacing w:after="0" w:line="279" w:lineRule="auto"/>
        <w:rPr>
          <w:sz w:val="20"/>
          <w:szCs w:val="20"/>
          <w:color w:val="auto"/>
        </w:rPr>
      </w:pPr>
      <w:r>
        <w:rPr>
          <w:rFonts w:ascii="Arial" w:cs="Arial" w:eastAsia="Arial" w:hAnsi="Arial"/>
          <w:sz w:val="17"/>
          <w:szCs w:val="17"/>
          <w:color w:val="auto"/>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 Fc portion binds to host cell receptors to activate the innate immune system to eliminate infected host cells and is a key determinant of serum half-life. Key elements that differentiate our approach include:</w:t>
      </w:r>
    </w:p>
    <w:p>
      <w:pPr>
        <w:spacing w:after="0" w:line="73" w:lineRule="exact"/>
        <w:rPr>
          <w:sz w:val="20"/>
          <w:szCs w:val="20"/>
          <w:color w:val="auto"/>
        </w:rPr>
      </w:pPr>
    </w:p>
    <w:p>
      <w:pPr>
        <w:jc w:val="both"/>
        <w:ind w:left="1240" w:hanging="523"/>
        <w:spacing w:after="0" w:line="266"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the importance of broadly neutralizing antibodies: </w:t>
      </w:r>
      <w:r>
        <w:rPr>
          <w:rFonts w:ascii="Arial" w:cs="Arial" w:eastAsia="Arial" w:hAnsi="Arial"/>
          <w:sz w:val="18"/>
          <w:szCs w:val="18"/>
          <w:color w:val="auto"/>
        </w:rPr>
        <w:t>From the outset, we chose to focus on mAbs capable of broadly</w:t>
      </w:r>
      <w:r>
        <w:rPr>
          <w:rFonts w:ascii="Arial" w:cs="Arial" w:eastAsia="Arial" w:hAnsi="Arial"/>
          <w:sz w:val="18"/>
          <w:szCs w:val="18"/>
          <w:b w:val="1"/>
          <w:bCs w:val="1"/>
          <w:color w:val="auto"/>
        </w:rPr>
        <w:t xml:space="preserve"> </w:t>
      </w:r>
      <w:r>
        <w:rPr>
          <w:rFonts w:ascii="Arial" w:cs="Arial" w:eastAsia="Arial" w:hAnsi="Arial"/>
          <w:sz w:val="18"/>
          <w:szCs w:val="18"/>
          <w:color w:val="auto"/>
        </w:rPr>
        <w:t>neutralizing not only SARS-CoV-2 and its variants, but also the entire viral class of sarbecoviruses that target the human angiotensin-converting enzyme 2, or hACE2, receptor.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1240" w:hanging="523"/>
        <w:spacing w:after="0" w:line="255"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Industry-leading B-cell mining, protein engineering and developability screening capabilities through our partnership with Adimab: </w:t>
      </w:r>
      <w:r>
        <w:rPr>
          <w:rFonts w:ascii="Arial" w:cs="Arial" w:eastAsia="Arial" w:hAnsi="Arial"/>
          <w:sz w:val="18"/>
          <w:szCs w:val="18"/>
          <w:color w:val="auto"/>
        </w:rPr>
        <w:t>We leverage nature’s solutions using Adimab’s deep B-cell mining capabilities to isolate broadly neutralizing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from a 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94" w:lineRule="exact"/>
        <w:rPr>
          <w:rFonts w:ascii="Arial" w:cs="Arial" w:eastAsia="Arial" w:hAnsi="Arial"/>
          <w:sz w:val="18"/>
          <w:szCs w:val="18"/>
          <w:color w:val="auto"/>
        </w:rPr>
      </w:pPr>
    </w:p>
    <w:p>
      <w:pPr>
        <w:jc w:val="both"/>
        <w:ind w:left="1240" w:hanging="523"/>
        <w:spacing w:after="0" w:line="298"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Reduced risk of clinical resistance: </w:t>
      </w:r>
      <w:r>
        <w:rPr>
          <w:rFonts w:ascii="Arial" w:cs="Arial" w:eastAsia="Arial" w:hAnsi="Arial"/>
          <w:sz w:val="16"/>
          <w:szCs w:val="16"/>
          <w:color w:val="auto"/>
        </w:rPr>
        <w:t>We are developing antibodies that target conserved residues in the receptor-binding domain, or</w:t>
      </w:r>
      <w:r>
        <w:rPr>
          <w:rFonts w:ascii="Arial" w:cs="Arial" w:eastAsia="Arial" w:hAnsi="Arial"/>
          <w:sz w:val="16"/>
          <w:szCs w:val="16"/>
          <w:b w:val="1"/>
          <w:bCs w:val="1"/>
          <w:color w:val="auto"/>
        </w:rPr>
        <w:t xml:space="preserve"> </w:t>
      </w:r>
      <w:r>
        <w:rPr>
          <w:rFonts w:ascii="Arial" w:cs="Arial" w:eastAsia="Arial" w:hAnsi="Arial"/>
          <w:sz w:val="16"/>
          <w:szCs w:val="16"/>
          <w:color w:val="auto"/>
        </w:rPr>
        <w:t>RBD, of the viral S protein. Importantly, these residues are distinct from those recognized by other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ADG20: Our Solution for the Treatment and Prevention of COVID-19</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ADG20, our lead product candidate, is designed to be a potent, broadly neutralizing antibody for both the treatment and prevention of COVID-19, including disease caused by variants, as either a single or combination agent. We believe ADG20 will have the following key clinical and commercial attributes:</w:t>
      </w:r>
    </w:p>
    <w:p>
      <w:pPr>
        <w:spacing w:after="0" w:line="89" w:lineRule="exact"/>
        <w:rPr>
          <w:sz w:val="20"/>
          <w:szCs w:val="20"/>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Broadly neutralizing activity across sarbecoviruses;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Rapid onset of protection;</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Differentiated durability;</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Convenient, single-dose IM injection for use in the outpatient setting;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Ability to both complement and supplement currently available COVID-19 vaccines, including for immunocompromised individuals;</w:t>
      </w:r>
    </w:p>
    <w:p>
      <w:pPr>
        <w:spacing w:after="0" w:line="153" w:lineRule="exact"/>
        <w:rPr>
          <w:rFonts w:ascii="Arial" w:cs="Arial" w:eastAsia="Arial" w:hAnsi="Arial"/>
          <w:sz w:val="16"/>
          <w:szCs w:val="16"/>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titer, high yield manufacturing process;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Standard refrigeration requirements to facilitate worldwide distribution and storage;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 shelf life to enable stockpiling.</w:t>
      </w:r>
    </w:p>
    <w:p>
      <w:pPr>
        <w:spacing w:after="0" w:line="225" w:lineRule="exact"/>
        <w:rPr>
          <w:sz w:val="20"/>
          <w:szCs w:val="20"/>
          <w:color w:val="auto"/>
        </w:rPr>
      </w:pPr>
    </w:p>
    <w:p>
      <w:pPr>
        <w:jc w:val="both"/>
        <w:ind w:left="300" w:firstLine="426"/>
        <w:spacing w:after="0" w:line="273" w:lineRule="auto"/>
        <w:rPr>
          <w:sz w:val="20"/>
          <w:szCs w:val="20"/>
          <w:color w:val="auto"/>
        </w:rPr>
      </w:pPr>
      <w:r>
        <w:rPr>
          <w:rFonts w:ascii="Arial" w:cs="Arial" w:eastAsia="Arial" w:hAnsi="Arial"/>
          <w:sz w:val="17"/>
          <w:szCs w:val="17"/>
          <w:color w:val="auto"/>
        </w:rPr>
        <w:t xml:space="preserve">ADG20 has been evaluated in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to demonstrate its potency and breadth as well as safety and efficacy in various animal models.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binding studies have demonstrated that ADG20 binds with high affinity to a diverse set of RBD subdomain 1, or RBD SD1, molecules from naturally circulating SARS-CoV-2 variants and related sarbecoviruses.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ADG20 has demonstrated potent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ADG20 demonstrated an ability to prevent and treat SARS-CoV-2 infection and associated disease as well as a prolonged serum half-life.</w:t>
      </w:r>
    </w:p>
    <w:p>
      <w:pPr>
        <w:spacing w:after="0" w:line="178"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We have completed enrollment in our first-in-human Phase 1 clinical trial in healthy volunteers, which demonstrated safety, tolerability and a pharmacokinetic profile supportive of continued development. In addition, the serum virus neutralizing antibody titers measured following administration of ADG20 were within the range of peak serum neutralizing antibody titers reported for mRNA COVID-19 vaccine recipients. For the treatment of</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mild to moderate COVID-19 in patients at high risk of disease progression, we are conducting our STAMP trial, a combined Phase 2/3 global clinical trial designed to provide a rapid path to authorization, marketing approval and commercial launch. For the prevention of COVID-19, we are conducting our EVADE trial, a combined Phase 2/3 global clinical trial, in both post-exposure and pre-exposure populations. As shown in the graphic below, we believe that intervention with an antiviral neutralizing antibody before exposure to SARS-CoV-2, post-exposure but prior to the onset of symptoms or early in the course of symptomatic disease when viral replication is high but prior to the onset of significant immune pathology is likely to provide the greatest benefit to patients.</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ADG20 for Treatment and Prevention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auto"/>
        </w:rPr>
        <w:t>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Broadly Neutralizing Antibodies Beyond ADG20</w:t>
      </w:r>
    </w:p>
    <w:p>
      <w:pPr>
        <w:spacing w:after="0" w:line="121" w:lineRule="exact"/>
        <w:rPr>
          <w:sz w:val="20"/>
          <w:szCs w:val="20"/>
          <w:color w:val="auto"/>
        </w:rPr>
      </w:pPr>
    </w:p>
    <w:p>
      <w:pPr>
        <w:jc w:val="both"/>
        <w:ind w:left="300" w:firstLine="426"/>
        <w:spacing w:after="0" w:line="273" w:lineRule="auto"/>
        <w:rPr>
          <w:sz w:val="20"/>
          <w:szCs w:val="20"/>
          <w:color w:val="auto"/>
        </w:rPr>
      </w:pPr>
      <w:r>
        <w:rPr>
          <w:rFonts w:ascii="Arial" w:cs="Arial" w:eastAsia="Arial" w:hAnsi="Arial"/>
          <w:sz w:val="17"/>
          <w:szCs w:val="17"/>
          <w:color w:val="auto"/>
        </w:rPr>
        <w:t>We are currently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neutralizing activity against COVID-19 as new variants of SARS-CoV-2 emerge, as well as against future potential outbreaks of disease that may arise from additional SARS-like viruses with pandemic potential. In addition, we plan to leverage the rapid antibody discovery and development capabilities that have enabled our expedited advancement of ADG20 into clinical trials to develop therapeutic or preventative options for other respiratory viral infections, such as seasonal and pandemic influenza.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9" w:lineRule="exact"/>
        <w:rPr>
          <w:sz w:val="20"/>
          <w:szCs w:val="20"/>
          <w:color w:val="auto"/>
        </w:rPr>
      </w:pPr>
    </w:p>
    <w:p>
      <w:pPr>
        <w:ind w:left="12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our team’s collective expertise in development, manufacturing and commercialization to efficiently bring ADG20 to patients.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Rapidly complete development and obtain global approval for our lead product candidate, ADG20, for both the treatment and prevention of COVID-19.</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commercialize ADG20, if approved, through our own organization in the United States and Europe, and partners in the rest of the world.</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secure additional manufacturing capacity with trusted contract development and manufacturing organization, or CDMO, partners to enable a rapid worldwide commercial launch.</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additional antibodies for use in potential combination with ADG20 to address future potential variants of SARS-CoV-2 and other sarbecovirus outbreaks.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relationships with Adimab and academic institutions to discover additional antibody-based solutions to address coronavirus and influenza infections.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History and Team</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Arial" w:cs="Arial" w:eastAsia="Arial" w:hAnsi="Arial"/>
          <w:sz w:val="16"/>
          <w:szCs w:val="16"/>
          <w:color w:val="auto"/>
        </w:rPr>
        <w:t>We were founded in June 2020 to develop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on a rapid timeframe with appropriate infectious disease resources and development expertise, we 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Since our inception, we have raised approximately $470 million of capital from leading institutional healthcare investors and our partners.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titled “Risk Factors” and include, among others:</w:t>
      </w:r>
    </w:p>
    <w:p>
      <w:pPr>
        <w:spacing w:after="0" w:line="76" w:lineRule="exact"/>
        <w:rPr>
          <w:sz w:val="20"/>
          <w:szCs w:val="20"/>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recurring losses from operations and financial condition raise substantial doubt about our ability to continue as a going concern.</w:t>
      </w:r>
    </w:p>
    <w:p>
      <w:pPr>
        <w:spacing w:after="0" w:line="153" w:lineRule="exact"/>
        <w:rPr>
          <w:rFonts w:ascii="Arial" w:cs="Arial" w:eastAsia="Arial" w:hAnsi="Arial"/>
          <w:sz w:val="16"/>
          <w:szCs w:val="16"/>
          <w:color w:val="auto"/>
        </w:rPr>
      </w:pPr>
    </w:p>
    <w:p>
      <w:pPr>
        <w:jc w:val="both"/>
        <w:ind w:left="1240" w:right="20" w:hanging="523"/>
        <w:spacing w:after="0" w:line="286"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70" w:lineRule="exact"/>
        <w:rPr>
          <w:rFonts w:ascii="Arial" w:cs="Arial" w:eastAsia="Arial" w:hAnsi="Arial"/>
          <w:sz w:val="17"/>
          <w:szCs w:val="17"/>
          <w:color w:val="auto"/>
        </w:rPr>
      </w:pPr>
    </w:p>
    <w:p>
      <w:pPr>
        <w:jc w:val="both"/>
        <w:ind w:left="1240" w:hanging="523"/>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89" w:lineRule="exact"/>
        <w:rPr>
          <w:rFonts w:ascii="Arial" w:cs="Arial" w:eastAsia="Arial" w:hAnsi="Arial"/>
          <w:sz w:val="18"/>
          <w:szCs w:val="18"/>
          <w:color w:val="auto"/>
        </w:rPr>
      </w:pPr>
    </w:p>
    <w:p>
      <w:pPr>
        <w:jc w:val="both"/>
        <w:ind w:left="1240" w:hanging="523"/>
        <w:spacing w:after="0" w:line="273"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83" w:lineRule="exact"/>
        <w:rPr>
          <w:rFonts w:ascii="Arial" w:cs="Arial" w:eastAsia="Arial" w:hAnsi="Arial"/>
          <w:sz w:val="17"/>
          <w:szCs w:val="17"/>
          <w:color w:val="auto"/>
        </w:rPr>
      </w:pPr>
    </w:p>
    <w:p>
      <w:pPr>
        <w:ind w:left="124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75" w:lineRule="exact"/>
        <w:rPr>
          <w:rFonts w:ascii="Arial" w:cs="Arial" w:eastAsia="Arial" w:hAnsi="Arial"/>
          <w:sz w:val="18"/>
          <w:szCs w:val="18"/>
          <w:color w:val="auto"/>
        </w:rPr>
      </w:pPr>
    </w:p>
    <w:p>
      <w:pPr>
        <w:jc w:val="both"/>
        <w:ind w:left="1240" w:right="20" w:hanging="523"/>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successful in our efforts to build a pipeline of additional product candidates.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30"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Monoclonal antibody therapies are complex and difficult to manufacture. We could experience manufacturing problems that result in delays in the development or commercialization of our product candidates or otherwise harm our business.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ADG20 and our other monoclonal antibody product candidates may face significant competition from vaccines and other treatments for COVID-19 that are currently available or in development.</w:t>
      </w:r>
    </w:p>
    <w:p>
      <w:pPr>
        <w:spacing w:after="0" w:line="75"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92"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478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6478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89"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As such, we may take advantage of certain exemptions from various reporting requirements that are otherwise applicable to public companies. These exemptions include, but are not limited to:</w:t>
      </w:r>
    </w:p>
    <w:p>
      <w:pPr>
        <w:spacing w:after="0" w:line="89" w:lineRule="exact"/>
        <w:rPr>
          <w:sz w:val="20"/>
          <w:szCs w:val="20"/>
          <w:color w:val="auto"/>
        </w:rPr>
      </w:pPr>
    </w:p>
    <w:p>
      <w:pPr>
        <w:jc w:val="both"/>
        <w:ind w:left="1240" w:hanging="523"/>
        <w:spacing w:after="0" w:line="263"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in the assessment of our internal control over financial reporting;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30"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300" w:firstLine="426"/>
        <w:spacing w:after="0" w:line="254"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completion of this offering. However, if prior to the end of such five-year period, (i) our annual gross revenue exceeds $1.07 billion, (ii) we issue more than $1.0 billion of non-convertible debt in the previous three-year period or (iii) we become a “large accelerated filer” (as defined in Rule 12b-2 under the Securities Exchange Act of 1934, as amended, or the Exchange Act), we will cease to be an emerging growth company prior to the end of such five-year period. We will be deemed to be a “large accelerated filer” at such time that we (a) have an aggregate worldwide market value of our common stock held by non-affiliates of $700.0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192" w:lineRule="exact"/>
        <w:rPr>
          <w:sz w:val="20"/>
          <w:szCs w:val="20"/>
          <w:color w:val="auto"/>
        </w:rPr>
      </w:pPr>
    </w:p>
    <w:p>
      <w:pPr>
        <w:jc w:val="both"/>
        <w:ind w:left="300" w:firstLine="426"/>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9"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We have elected not to “opt out” of the exemption for the delayed adoption of certain accounting standards, and, therefore, we will adopt new or revised accounting standards at the time private companies adopt the new or revised accounting standards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755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2755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We are also a “smaller reporting company” as defined under the Securities Exchange Act. We may continue to be a smaller reporting company for so long as either (i) the market value of our common stock held by non-affiliates is less than $250 million as of the last business day of our most recently completed second fiscal quarter or (ii) our annual revenue was less than $100 million during the most recently completed fiscal year and the market value of our common stock held by non-affiliates is less than $700 million as of the last business day of our most recently completed second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auto"/>
        </w:rPr>
        <w:t>We were incorporated under the laws of the State of Delaware in June of 2020. Our principal executive offices are located at 303 Wyman Street, Suite 300, Waltham, MA 02451 and our telephone number is (781) 819-0080. Our website address is adagiotx.com.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 We have included our website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84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b w:val="1"/>
                <w:bCs w:val="1"/>
                <w:color w:val="auto"/>
              </w:rPr>
              <w:t>THE OFFERING</w:t>
            </w:r>
          </w:p>
        </w:tc>
        <w:tc>
          <w:tcPr>
            <w:tcW w:w="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2000" w:type="dxa"/>
            <w:vAlign w:val="bottom"/>
          </w:tcPr>
          <w:p>
            <w:pPr>
              <w:ind w:left="144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w w:val="91"/>
              </w:rPr>
              <w:t>Common stock to be outstanding immediately after this offering</w:t>
            </w:r>
          </w:p>
        </w:tc>
        <w:tc>
          <w:tcPr>
            <w:tcW w:w="2420" w:type="dxa"/>
            <w:vAlign w:val="bottom"/>
            <w:gridSpan w:val="2"/>
            <w:vMerge w:val="restart"/>
          </w:tcPr>
          <w:p>
            <w:pPr>
              <w:ind w:left="1560"/>
              <w:spacing w:after="0"/>
              <w:rPr>
                <w:sz w:val="20"/>
                <w:szCs w:val="20"/>
                <w:color w:val="auto"/>
              </w:rPr>
            </w:pPr>
            <w:r>
              <w:rPr>
                <w:rFonts w:ascii="Arial" w:cs="Arial" w:eastAsia="Arial" w:hAnsi="Arial"/>
                <w:sz w:val="18"/>
                <w:szCs w:val="18"/>
                <w:color w:val="auto"/>
              </w:rPr>
              <w:t>shares (or</w:t>
            </w:r>
          </w:p>
        </w:tc>
        <w:tc>
          <w:tcPr>
            <w:tcW w:w="3580" w:type="dxa"/>
            <w:vAlign w:val="bottom"/>
            <w:gridSpan w:val="3"/>
            <w:vMerge w:val="restart"/>
          </w:tcPr>
          <w:p>
            <w:pPr>
              <w:jc w:val="right"/>
              <w:spacing w:after="0"/>
              <w:rPr>
                <w:sz w:val="20"/>
                <w:szCs w:val="20"/>
                <w:color w:val="auto"/>
              </w:rPr>
            </w:pPr>
            <w:r>
              <w:rPr>
                <w:rFonts w:ascii="Arial" w:cs="Arial" w:eastAsia="Arial" w:hAnsi="Arial"/>
                <w:sz w:val="18"/>
                <w:szCs w:val="18"/>
                <w:color w:val="auto"/>
              </w:rPr>
              <w:t>shares if the underwriters exercise in full</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3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3680" w:type="dxa"/>
            <w:vAlign w:val="bottom"/>
            <w:gridSpan w:val="3"/>
          </w:tcPr>
          <w:p>
            <w:pPr>
              <w:ind w:left="900"/>
              <w:spacing w:after="0"/>
              <w:rPr>
                <w:sz w:val="20"/>
                <w:szCs w:val="20"/>
                <w:color w:val="auto"/>
              </w:rPr>
            </w:pPr>
            <w:r>
              <w:rPr>
                <w:rFonts w:ascii="Arial" w:cs="Arial" w:eastAsia="Arial" w:hAnsi="Arial"/>
                <w:sz w:val="18"/>
                <w:szCs w:val="18"/>
                <w:color w:val="auto"/>
              </w:rPr>
              <w:t>their option to purchase additional</w:t>
            </w:r>
          </w:p>
        </w:tc>
        <w:tc>
          <w:tcPr>
            <w:tcW w:w="1120" w:type="dxa"/>
            <w:vAlign w:val="bottom"/>
          </w:tcPr>
          <w:p>
            <w:pPr>
              <w:ind w:left="320"/>
              <w:spacing w:after="0"/>
              <w:rPr>
                <w:sz w:val="20"/>
                <w:szCs w:val="20"/>
                <w:color w:val="auto"/>
              </w:rPr>
            </w:pPr>
            <w:r>
              <w:rPr>
                <w:rFonts w:ascii="Arial" w:cs="Arial" w:eastAsia="Arial" w:hAnsi="Arial"/>
                <w:sz w:val="18"/>
                <w:szCs w:val="18"/>
                <w:color w:val="auto"/>
              </w:rPr>
              <w:t>shares).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auto"/>
              </w:rPr>
              <w:t>Option to purchase additional shares offered by us</w:t>
            </w: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1"/>
              </w:rPr>
              <w:t>We have granted the underwriters an option for a period of 30 days to</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w w:val="90"/>
              </w:rPr>
              <w:t>purchase up to</w:t>
            </w:r>
          </w:p>
        </w:tc>
        <w:tc>
          <w:tcPr>
            <w:tcW w:w="420" w:type="dxa"/>
            <w:vAlign w:val="bottom"/>
          </w:tcPr>
          <w:p>
            <w:pPr>
              <w:spacing w:after="0"/>
              <w:rPr>
                <w:sz w:val="20"/>
                <w:szCs w:val="20"/>
                <w:color w:val="auto"/>
              </w:rPr>
            </w:pPr>
          </w:p>
        </w:tc>
        <w:tc>
          <w:tcPr>
            <w:tcW w:w="3580" w:type="dxa"/>
            <w:vAlign w:val="bottom"/>
            <w:gridSpan w:val="3"/>
          </w:tcPr>
          <w:p>
            <w:pPr>
              <w:jc w:val="right"/>
              <w:ind w:right="770"/>
              <w:spacing w:after="0"/>
              <w:rPr>
                <w:sz w:val="20"/>
                <w:szCs w:val="20"/>
                <w:color w:val="auto"/>
              </w:rPr>
            </w:pPr>
            <w:r>
              <w:rPr>
                <w:rFonts w:ascii="Arial" w:cs="Arial" w:eastAsia="Arial" w:hAnsi="Arial"/>
                <w:sz w:val="18"/>
                <w:szCs w:val="18"/>
                <w:color w:val="auto"/>
                <w:w w:val="95"/>
              </w:rPr>
              <w:t>additional shares of common stock.</w:t>
            </w: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auto"/>
              </w:rPr>
              <w:t>Use of proceeds</w:t>
            </w: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8"/>
              </w:rPr>
              <w:t>We  estimate  that  the  net  proceeds  from  this  offering  will  be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420" w:type="dxa"/>
            <w:vAlign w:val="bottom"/>
            <w:gridSpan w:val="2"/>
          </w:tcPr>
          <w:p>
            <w:pPr>
              <w:ind w:left="900"/>
              <w:spacing w:after="0"/>
              <w:rPr>
                <w:sz w:val="20"/>
                <w:szCs w:val="20"/>
                <w:color w:val="auto"/>
              </w:rPr>
            </w:pPr>
            <w:r>
              <w:rPr>
                <w:rFonts w:ascii="Arial" w:cs="Arial" w:eastAsia="Arial" w:hAnsi="Arial"/>
                <w:sz w:val="18"/>
                <w:szCs w:val="18"/>
                <w:color w:val="auto"/>
              </w:rPr>
              <w:t>approximately $</w:t>
            </w:r>
          </w:p>
        </w:tc>
        <w:tc>
          <w:tcPr>
            <w:tcW w:w="2380" w:type="dxa"/>
            <w:vAlign w:val="bottom"/>
            <w:gridSpan w:val="2"/>
          </w:tcPr>
          <w:p>
            <w:pPr>
              <w:ind w:left="120"/>
              <w:spacing w:after="0"/>
              <w:rPr>
                <w:sz w:val="20"/>
                <w:szCs w:val="20"/>
                <w:color w:val="auto"/>
              </w:rPr>
            </w:pPr>
            <w:r>
              <w:rPr>
                <w:rFonts w:ascii="Arial" w:cs="Arial" w:eastAsia="Arial" w:hAnsi="Arial"/>
                <w:sz w:val="18"/>
                <w:szCs w:val="18"/>
                <w:color w:val="auto"/>
              </w:rPr>
              <w:t>million, or approximately $</w:t>
            </w:r>
          </w:p>
        </w:tc>
        <w:tc>
          <w:tcPr>
            <w:tcW w:w="1200" w:type="dxa"/>
            <w:vAlign w:val="bottom"/>
          </w:tcPr>
          <w:p>
            <w:pPr>
              <w:jc w:val="right"/>
              <w:spacing w:after="0"/>
              <w:rPr>
                <w:sz w:val="20"/>
                <w:szCs w:val="20"/>
                <w:color w:val="auto"/>
              </w:rPr>
            </w:pPr>
            <w:r>
              <w:rPr>
                <w:rFonts w:ascii="Arial" w:cs="Arial" w:eastAsia="Arial" w:hAnsi="Arial"/>
                <w:sz w:val="18"/>
                <w:szCs w:val="18"/>
                <w:color w:val="auto"/>
              </w:rPr>
              <w:t>million if the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rPr>
              <w:t>underwriters exercise in full their option to purchase up to</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1"/>
              </w:rPr>
              <w:t>additional shares of common stock, assuming an initial public offering</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rPr>
              <w:t>price of $</w:t>
            </w:r>
          </w:p>
        </w:tc>
        <w:tc>
          <w:tcPr>
            <w:tcW w:w="4000" w:type="dxa"/>
            <w:vAlign w:val="bottom"/>
            <w:gridSpan w:val="4"/>
          </w:tcPr>
          <w:p>
            <w:pPr>
              <w:jc w:val="right"/>
              <w:spacing w:after="0"/>
              <w:rPr>
                <w:sz w:val="20"/>
                <w:szCs w:val="20"/>
                <w:color w:val="auto"/>
              </w:rPr>
            </w:pPr>
            <w:r>
              <w:rPr>
                <w:rFonts w:ascii="Arial" w:cs="Arial" w:eastAsia="Arial" w:hAnsi="Arial"/>
                <w:sz w:val="18"/>
                <w:szCs w:val="18"/>
                <w:color w:val="auto"/>
                <w:w w:val="92"/>
              </w:rPr>
              <w:t>per share, which is the midpoint of the estimated price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4"/>
              </w:rPr>
              <w:t>range set forth on the cover page of this prospectus, after deducting</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6"/>
              </w:rPr>
              <w:t>estimated underwriting discounts and commissions and estimated</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3680" w:type="dxa"/>
            <w:vAlign w:val="bottom"/>
            <w:gridSpan w:val="3"/>
          </w:tcPr>
          <w:p>
            <w:pPr>
              <w:ind w:left="900"/>
              <w:spacing w:after="0"/>
              <w:rPr>
                <w:sz w:val="20"/>
                <w:szCs w:val="20"/>
                <w:color w:val="auto"/>
              </w:rPr>
            </w:pPr>
            <w:r>
              <w:rPr>
                <w:rFonts w:ascii="Arial" w:cs="Arial" w:eastAsia="Arial" w:hAnsi="Arial"/>
                <w:sz w:val="18"/>
                <w:szCs w:val="18"/>
                <w:color w:val="auto"/>
              </w:rPr>
              <w:t>offering expenses payable by us.</w:t>
            </w: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4"/>
                <w:szCs w:val="24"/>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1"/>
              </w:rPr>
              <w:t>We intend to use the net proceeds from this offering, together with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8"/>
              </w:rPr>
              <w:t>existing cash and cash equivalents, to fund clinical development,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3"/>
              </w:rPr>
              <w:t>manufacturing supply and initial commercialization costs for ADG20,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7"/>
              </w:rPr>
              <w:t>and the remainder for working capital and other general corporate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5"/>
              </w:rPr>
              <w:t>purposes,  including  development  of  additional  programs  in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rPr>
              <w:t>pipeline. See the section titled “Use of Proceeds” beginning for</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3680" w:type="dxa"/>
            <w:vAlign w:val="bottom"/>
            <w:gridSpan w:val="3"/>
          </w:tcPr>
          <w:p>
            <w:pPr>
              <w:ind w:left="900"/>
              <w:spacing w:after="0"/>
              <w:rPr>
                <w:sz w:val="20"/>
                <w:szCs w:val="20"/>
                <w:color w:val="auto"/>
              </w:rPr>
            </w:pPr>
            <w:r>
              <w:rPr>
                <w:rFonts w:ascii="Arial" w:cs="Arial" w:eastAsia="Arial" w:hAnsi="Arial"/>
                <w:sz w:val="18"/>
                <w:szCs w:val="18"/>
                <w:color w:val="auto"/>
              </w:rPr>
              <w:t>additional information.</w:t>
            </w: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0"/>
                <w:szCs w:val="20"/>
                <w:color w:val="auto"/>
              </w:rPr>
            </w:pPr>
            <w:r>
              <w:rPr>
                <w:rFonts w:ascii="Arial" w:cs="Arial" w:eastAsia="Arial" w:hAnsi="Arial"/>
                <w:sz w:val="18"/>
                <w:szCs w:val="18"/>
                <w:color w:val="auto"/>
              </w:rPr>
              <w:t>Risk factors</w:t>
            </w: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5"/>
              </w:rPr>
              <w:t>You should read the section titled “Risk Factors” for a discussion of</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rPr>
              <w:t>factors you should consider carefully, together with all the other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5"/>
              </w:rPr>
              <w:t>information included in this prospectus, before deciding to invest in</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420" w:type="dxa"/>
            <w:vAlign w:val="bottom"/>
            <w:gridSpan w:val="2"/>
          </w:tcPr>
          <w:p>
            <w:pPr>
              <w:ind w:left="900"/>
              <w:spacing w:after="0"/>
              <w:rPr>
                <w:sz w:val="20"/>
                <w:szCs w:val="20"/>
                <w:color w:val="auto"/>
              </w:rPr>
            </w:pPr>
            <w:r>
              <w:rPr>
                <w:rFonts w:ascii="Arial" w:cs="Arial" w:eastAsia="Arial" w:hAnsi="Arial"/>
                <w:sz w:val="18"/>
                <w:szCs w:val="18"/>
                <w:color w:val="auto"/>
                <w:w w:val="98"/>
              </w:rPr>
              <w:t>our common stock.</w:t>
            </w: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2000" w:type="dxa"/>
            <w:vAlign w:val="bottom"/>
          </w:tcPr>
          <w:p>
            <w:pPr>
              <w:ind w:left="900"/>
              <w:spacing w:after="0"/>
              <w:rPr>
                <w:sz w:val="20"/>
                <w:szCs w:val="20"/>
                <w:color w:val="auto"/>
              </w:rPr>
            </w:pPr>
            <w:r>
              <w:rPr>
                <w:rFonts w:ascii="Arial" w:cs="Arial" w:eastAsia="Arial" w:hAnsi="Arial"/>
                <w:sz w:val="18"/>
                <w:szCs w:val="18"/>
                <w:color w:val="auto"/>
              </w:rPr>
              <w:t>“ADGI”</w:t>
            </w: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is based on 18,063,132 shares of our common stock outstanding as of March 31, 2021, assuming the automatic conversion of all outstanding shares of our preferred stock, including 4,296,550 shares of Series C preferred stock issued in April 2021, into an aggregate of 16,944,484 shares of common stock upon the closing of this offering, and excludes:</w:t>
      </w:r>
    </w:p>
    <w:p>
      <w:pPr>
        <w:spacing w:after="0" w:line="92" w:lineRule="exact"/>
        <w:rPr>
          <w:sz w:val="20"/>
          <w:szCs w:val="20"/>
          <w:color w:val="auto"/>
        </w:rPr>
      </w:pPr>
    </w:p>
    <w:p>
      <w:pPr>
        <w:jc w:val="both"/>
        <w:ind w:left="1240" w:hanging="523"/>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1,073,214 shares of our common stock issuable upon the exercise of options outstanding as of March 31, 2021 under our 2020 Equity Incentive Plan, or the 2020 Plan, at a weighted-average exercise price of $12.45 per share (which does not include options to purchase an aggregate of 1,508,098 shares of our common stock, at a weighted-average exercise price of $49.27 per share, that were granted subsequent to March 31,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569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35699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2,372,199 shares of our common stock available for future issuance as of March 31, 2021 under the 2020 Plan, which such shares will cease to be available for issuance under the 2020 Plan at the time our 2021 Equity Incentive Plan, or the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240" w:right="20" w:hanging="523"/>
        <w:spacing w:after="0" w:line="286" w:lineRule="auto"/>
        <w:tabs>
          <w:tab w:leader="none" w:pos="18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of our common stock that will become available for future issuance under the 2021 Plan, which will become effective one day prior to the effectiveness of the registration statement of which this prospectus forms a part, as well as any automatic increases in the number of shares of common stock reserved for future issuance under the 2021 Plan; and</w:t>
      </w:r>
    </w:p>
    <w:p>
      <w:pPr>
        <w:spacing w:after="0" w:line="70" w:lineRule="exact"/>
        <w:rPr>
          <w:rFonts w:ascii="Arial" w:cs="Arial" w:eastAsia="Arial" w:hAnsi="Arial"/>
          <w:sz w:val="17"/>
          <w:szCs w:val="17"/>
          <w:color w:val="auto"/>
        </w:rPr>
      </w:pPr>
    </w:p>
    <w:p>
      <w:pPr>
        <w:jc w:val="both"/>
        <w:ind w:left="1240" w:right="20" w:hanging="523"/>
        <w:spacing w:after="0" w:line="259" w:lineRule="auto"/>
        <w:tabs>
          <w:tab w:leader="none" w:pos="18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2021 Employee Stock Purchase Plan, or the 2021 ESPP, which will become effective one day prior to the effectiveness of the registration statement of which this prospectus forms a part, as well as any automatic increases in the number of shares of common stock reserved for future issuance under the 2021 ESPP.</w:t>
      </w:r>
    </w:p>
    <w:p>
      <w:pPr>
        <w:spacing w:after="0" w:line="18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pacing w:after="0" w:line="76" w:lineRule="exact"/>
        <w:rPr>
          <w:sz w:val="20"/>
          <w:szCs w:val="20"/>
          <w:color w:val="auto"/>
        </w:rPr>
      </w:pPr>
    </w:p>
    <w:p>
      <w:pPr>
        <w:ind w:left="1240" w:right="20" w:hanging="523"/>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16,944,484 shares of our common stock, which will occur upon the closing of this offering;</w:t>
      </w:r>
    </w:p>
    <w:p>
      <w:pPr>
        <w:spacing w:after="0" w:line="76" w:lineRule="exact"/>
        <w:rPr>
          <w:sz w:val="20"/>
          <w:szCs w:val="20"/>
          <w:color w:val="auto"/>
        </w:rPr>
      </w:pPr>
    </w:p>
    <w:p>
      <w:pPr>
        <w:ind w:left="720"/>
        <w:spacing w:after="0"/>
        <w:tabs>
          <w:tab w:leader="none" w:pos="1220" w:val="left"/>
          <w:tab w:leader="none" w:pos="1880" w:val="left"/>
          <w:tab w:leader="none" w:pos="2740" w:val="left"/>
          <w:tab w:leader="none" w:pos="6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split of our common stock effected on</w:t>
      </w:r>
      <w:r>
        <w:rPr>
          <w:sz w:val="20"/>
          <w:szCs w:val="20"/>
          <w:color w:val="auto"/>
        </w:rPr>
        <w:tab/>
      </w:r>
      <w:r>
        <w:rPr>
          <w:rFonts w:ascii="Arial" w:cs="Arial" w:eastAsia="Arial" w:hAnsi="Arial"/>
          <w:sz w:val="16"/>
          <w:szCs w:val="16"/>
          <w:color w:val="auto"/>
        </w:rPr>
        <w:t>, 2021;</w:t>
      </w:r>
    </w:p>
    <w:p>
      <w:pPr>
        <w:spacing w:after="0" w:line="131" w:lineRule="exact"/>
        <w:rPr>
          <w:sz w:val="20"/>
          <w:szCs w:val="20"/>
          <w:color w:val="auto"/>
        </w:rPr>
      </w:pPr>
    </w:p>
    <w:p>
      <w:pPr>
        <w:ind w:left="1240" w:hanging="523"/>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after March 31, 2021;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jc w:val="both"/>
        <w:ind w:left="300" w:firstLine="426"/>
        <w:spacing w:after="0" w:line="270"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period from June 3, 2020 (inception) to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34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40,125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tcPr>
          <w:p>
            <w:pPr>
              <w:ind w:left="70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(65,327)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23"/>
        </w:trPr>
        <w:tc>
          <w:tcPr>
            <w:tcW w:w="72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tcPr>
          <w:p>
            <w:pPr>
              <w:ind w:left="700"/>
              <w:spacing w:after="0"/>
              <w:rPr>
                <w:sz w:val="20"/>
                <w:szCs w:val="20"/>
                <w:color w:val="auto"/>
              </w:rPr>
            </w:pPr>
            <w:r>
              <w:rPr>
                <w:rFonts w:ascii="Arial" w:cs="Arial" w:eastAsia="Arial" w:hAnsi="Arial"/>
                <w:sz w:val="18"/>
                <w:szCs w:val="18"/>
                <w:color w:val="auto"/>
              </w:rPr>
              <w:t>Total other income</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(65,319)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(3)</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color w:val="auto"/>
                <w:w w:val="94"/>
              </w:rPr>
              <w:t>Pro forma net loss per share attributable to common stockholders, basic and diluted (unaudited)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3"/>
            <w:vMerge w:val="continue"/>
          </w:tcPr>
          <w:p>
            <w:pPr>
              <w:spacing w:after="0"/>
              <w:rPr>
                <w:sz w:val="17"/>
                <w:szCs w:val="1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(6.26)</w:t>
            </w:r>
          </w:p>
        </w:tc>
        <w:tc>
          <w:tcPr>
            <w:tcW w:w="54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5"/>
        </w:trPr>
        <w:tc>
          <w:tcPr>
            <w:tcW w:w="1160" w:type="dxa"/>
            <w:vAlign w:val="bottom"/>
            <w:gridSpan w:val="2"/>
          </w:tcPr>
          <w:p>
            <w:pPr>
              <w:ind w:left="180"/>
              <w:spacing w:after="0"/>
              <w:rPr>
                <w:sz w:val="20"/>
                <w:szCs w:val="20"/>
                <w:color w:val="auto"/>
              </w:rPr>
            </w:pPr>
            <w:r>
              <w:rPr>
                <w:rFonts w:ascii="Arial" w:cs="Arial" w:eastAsia="Arial" w:hAnsi="Arial"/>
                <w:sz w:val="15"/>
                <w:szCs w:val="15"/>
                <w:color w:val="auto"/>
              </w:rPr>
              <w:t>(3)</w:t>
            </w:r>
          </w:p>
        </w:tc>
        <w:tc>
          <w:tcPr>
            <w:tcW w:w="6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Pro forma weighted-average common shares outstanding, basic and diluted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(3)</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0" w:hanging="422"/>
        <w:spacing w:after="0" w:line="274"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720" w:hanging="422"/>
        <w:spacing w:after="0" w:line="265"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jc w:val="both"/>
        <w:ind w:left="720" w:hanging="422"/>
        <w:spacing w:after="0" w:line="302"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13 to our consolidated financial statements appearing at the end of this prospectus for details on the calculation of basic and diluted net loss per share attributable to common stockholders and the “Selected Consolidated Financial Data” section of this prospectus for details on the calculation of unaudited basic and diluted pro forma net loss per share attributable to common stockholders.</w:t>
      </w:r>
    </w:p>
    <w:p>
      <w:pPr>
        <w:spacing w:after="0" w:line="200" w:lineRule="exact"/>
        <w:rPr>
          <w:sz w:val="20"/>
          <w:szCs w:val="20"/>
          <w:color w:val="auto"/>
        </w:rPr>
      </w:pPr>
    </w:p>
    <w:p>
      <w:pPr>
        <w:spacing w:after="0" w:line="38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30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2303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Actual</w:t>
            </w:r>
          </w:p>
        </w:tc>
        <w:tc>
          <w:tcPr>
            <w:tcW w:w="15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96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2"/>
          </w:tcPr>
          <w:p>
            <w:pPr>
              <w:jc w:val="right"/>
              <w:ind w:right="108"/>
              <w:spacing w:after="0"/>
              <w:rPr>
                <w:sz w:val="20"/>
                <w:szCs w:val="20"/>
                <w:color w:val="auto"/>
              </w:rPr>
            </w:pPr>
            <w:r>
              <w:rPr>
                <w:rFonts w:ascii="Arial" w:cs="Arial" w:eastAsia="Arial" w:hAnsi="Arial"/>
                <w:sz w:val="18"/>
                <w:szCs w:val="18"/>
                <w:color w:val="auto"/>
              </w:rPr>
              <w:t>$  91,247</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  426,746</w:t>
            </w:r>
          </w:p>
        </w:tc>
        <w:tc>
          <w:tcPr>
            <w:tcW w:w="96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66,197</w:t>
            </w:r>
          </w:p>
        </w:tc>
        <w:tc>
          <w:tcPr>
            <w:tcW w:w="15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401,696</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3200" w:type="dxa"/>
            <w:vAlign w:val="bottom"/>
            <w:gridSpan w:val="2"/>
          </w:tcPr>
          <w:p>
            <w:pPr>
              <w:jc w:val="right"/>
              <w:ind w:right="108"/>
              <w:spacing w:after="0"/>
              <w:rPr>
                <w:sz w:val="20"/>
                <w:szCs w:val="20"/>
                <w:color w:val="auto"/>
              </w:rPr>
            </w:pPr>
            <w:r>
              <w:rPr>
                <w:rFonts w:ascii="Arial" w:cs="Arial" w:eastAsia="Arial" w:hAnsi="Arial"/>
                <w:sz w:val="18"/>
                <w:szCs w:val="18"/>
                <w:color w:val="auto"/>
              </w:rPr>
              <w:t>94,874</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430,373</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169,548</w:t>
            </w:r>
          </w:p>
        </w:tc>
        <w:tc>
          <w:tcPr>
            <w:tcW w:w="15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200" w:type="dxa"/>
            <w:vAlign w:val="bottom"/>
            <w:gridSpan w:val="2"/>
          </w:tcPr>
          <w:p>
            <w:pPr>
              <w:jc w:val="right"/>
              <w:ind w:right="48"/>
              <w:spacing w:after="0"/>
              <w:rPr>
                <w:sz w:val="20"/>
                <w:szCs w:val="20"/>
                <w:color w:val="auto"/>
              </w:rPr>
            </w:pPr>
            <w:r>
              <w:rPr>
                <w:rFonts w:ascii="Arial" w:cs="Arial" w:eastAsia="Arial" w:hAnsi="Arial"/>
                <w:sz w:val="18"/>
                <w:szCs w:val="18"/>
                <w:color w:val="auto"/>
              </w:rPr>
              <w:t>(103,362)</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401,685</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hanging="42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ind w:left="720" w:hanging="422"/>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 forma consolidated balance sheet data give effect to (i) our issuance and sale in April 2021 of 4,296,550 shares of our Series C</w:t>
      </w:r>
    </w:p>
    <w:p>
      <w:pPr>
        <w:spacing w:after="0" w:line="21" w:lineRule="exact"/>
        <w:rPr>
          <w:sz w:val="20"/>
          <w:szCs w:val="20"/>
          <w:color w:val="auto"/>
        </w:rPr>
      </w:pPr>
    </w:p>
    <w:p>
      <w:pPr>
        <w:jc w:val="both"/>
        <w:ind w:left="720"/>
        <w:spacing w:after="0" w:line="265" w:lineRule="auto"/>
        <w:rPr>
          <w:sz w:val="20"/>
          <w:szCs w:val="20"/>
          <w:color w:val="auto"/>
        </w:rPr>
      </w:pPr>
      <w:r>
        <w:rPr>
          <w:rFonts w:ascii="Arial" w:cs="Arial" w:eastAsia="Arial" w:hAnsi="Arial"/>
          <w:sz w:val="17"/>
          <w:szCs w:val="17"/>
          <w:color w:val="auto"/>
        </w:rPr>
        <w:t>preferred stock for gross proceeds of $335.5 million and (ii) the automatic conversion of all outstanding shares of our preferred stock, including our Series C preferred stock, into an aggregate of 16,944,484 shares of common stock upon the closing of this offering.</w:t>
      </w:r>
    </w:p>
    <w:p>
      <w:pPr>
        <w:ind w:left="300"/>
        <w:spacing w:after="0"/>
        <w:tabs>
          <w:tab w:leader="none" w:pos="700" w:val="left"/>
          <w:tab w:leader="none" w:pos="8860" w:val="left"/>
        </w:tabs>
        <w:rPr>
          <w:sz w:val="20"/>
          <w:szCs w:val="20"/>
          <w:color w:val="auto"/>
        </w:rPr>
      </w:pPr>
      <w:r>
        <w:rPr>
          <w:rFonts w:ascii="Arial" w:cs="Arial" w:eastAsia="Arial" w:hAnsi="Arial"/>
          <w:sz w:val="18"/>
          <w:szCs w:val="18"/>
          <w:color w:val="auto"/>
        </w:rPr>
        <w:t>(3)</w:t>
        <w:tab/>
        <w:t>The pro forma as adjusted consolidated balance sheet data give further effect to our issuance and sale of</w:t>
      </w:r>
      <w:r>
        <w:rPr>
          <w:sz w:val="20"/>
          <w:szCs w:val="20"/>
          <w:color w:val="auto"/>
        </w:rPr>
        <w:tab/>
      </w:r>
      <w:r>
        <w:rPr>
          <w:rFonts w:ascii="Arial" w:cs="Arial" w:eastAsia="Arial" w:hAnsi="Arial"/>
          <w:sz w:val="16"/>
          <w:szCs w:val="16"/>
          <w:color w:val="auto"/>
        </w:rPr>
        <w:t>shares of our common stock</w:t>
      </w:r>
    </w:p>
    <w:p>
      <w:pPr>
        <w:spacing w:after="0" w:line="9" w:lineRule="exact"/>
        <w:rPr>
          <w:sz w:val="20"/>
          <w:szCs w:val="20"/>
          <w:color w:val="auto"/>
        </w:rPr>
      </w:pPr>
    </w:p>
    <w:p>
      <w:pPr>
        <w:jc w:val="both"/>
        <w:ind w:left="720"/>
        <w:spacing w:after="0" w:line="255" w:lineRule="auto"/>
        <w:rPr>
          <w:sz w:val="20"/>
          <w:szCs w:val="20"/>
          <w:color w:val="auto"/>
        </w:rPr>
      </w:pPr>
      <w:r>
        <w:rPr>
          <w:rFonts w:ascii="Arial" w:cs="Arial" w:eastAsia="Arial" w:hAnsi="Arial"/>
          <w:sz w:val="18"/>
          <w:szCs w:val="18"/>
          <w:color w:val="auto"/>
        </w:rPr>
        <w:t>in this offering at an assumed initial public offering price of $ per share, which is the midpoint of the estimated price range set forth on the cover page of this prospectus, after deducting estimated underwriting discounts and commissions and estimated offering expenses payable by us.</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pro forma as adjusted information discussed above is illustrative only and will change based on the actual initial public offering price and</w:t>
      </w:r>
    </w:p>
    <w:p>
      <w:pPr>
        <w:spacing w:after="0" w:line="46" w:lineRule="exact"/>
        <w:rPr>
          <w:sz w:val="20"/>
          <w:szCs w:val="20"/>
          <w:color w:val="auto"/>
        </w:rPr>
      </w:pPr>
    </w:p>
    <w:p>
      <w:pPr>
        <w:jc w:val="both"/>
        <w:ind w:left="720"/>
        <w:spacing w:after="0" w:line="281" w:lineRule="auto"/>
        <w:rPr>
          <w:sz w:val="20"/>
          <w:szCs w:val="20"/>
          <w:color w:val="auto"/>
        </w:rPr>
      </w:pPr>
      <w:r>
        <w:rPr>
          <w:rFonts w:ascii="Arial" w:cs="Arial" w:eastAsia="Arial" w:hAnsi="Arial"/>
          <w:sz w:val="16"/>
          <w:szCs w:val="16"/>
          <w:color w:val="auto"/>
        </w:rPr>
        <w:t>other terms of this offering determined at pricing. Each $1.00 increase (decrease) in the assumed initial public offering price of $ per share, which is the midpoint of the estimated price range set forth on the cover page of this prospectus, would increase (decrease) the pro</w:t>
      </w:r>
    </w:p>
    <w:p>
      <w:pPr>
        <w:spacing w:after="0" w:line="1" w:lineRule="exact"/>
        <w:rPr>
          <w:sz w:val="20"/>
          <w:szCs w:val="20"/>
          <w:color w:val="auto"/>
        </w:rPr>
      </w:pPr>
    </w:p>
    <w:p>
      <w:pPr>
        <w:jc w:val="both"/>
        <w:ind w:left="720"/>
        <w:spacing w:after="0" w:line="281" w:lineRule="auto"/>
        <w:rPr>
          <w:sz w:val="20"/>
          <w:szCs w:val="20"/>
          <w:color w:val="auto"/>
        </w:rPr>
      </w:pPr>
      <w:r>
        <w:rPr>
          <w:rFonts w:ascii="Arial" w:cs="Arial" w:eastAsia="Arial" w:hAnsi="Arial"/>
          <w:sz w:val="16"/>
          <w:szCs w:val="16"/>
          <w:color w:val="auto"/>
        </w:rPr>
        <w:t>forma as adjusted amount of each of cash and cash equivalents, 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w:t>
      </w:r>
    </w:p>
    <w:p>
      <w:pPr>
        <w:spacing w:after="0" w:line="2" w:lineRule="exact"/>
        <w:rPr>
          <w:sz w:val="20"/>
          <w:szCs w:val="20"/>
          <w:color w:val="auto"/>
        </w:rPr>
      </w:pPr>
    </w:p>
    <w:p>
      <w:pPr>
        <w:jc w:val="both"/>
        <w:ind w:left="720"/>
        <w:spacing w:after="0" w:line="255" w:lineRule="auto"/>
        <w:rPr>
          <w:sz w:val="20"/>
          <w:szCs w:val="20"/>
          <w:color w:val="auto"/>
        </w:rPr>
      </w:pPr>
      <w:r>
        <w:rPr>
          <w:rFonts w:ascii="Arial" w:cs="Arial" w:eastAsia="Arial" w:hAnsi="Arial"/>
          <w:sz w:val="18"/>
          <w:szCs w:val="18"/>
          <w:color w:val="auto"/>
        </w:rPr>
        <w:t>adjusted amount of each of cash and cash equivalents, working capital, total assets and total stockholders’ equity by $ 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Since our inception, we have incurred significant losses, and we expect to continue to incur significant expenses and operating losses for the foreseeable future. Our net losses were $65.3 million for the period from June 3, 2020 (inception) to December 31, 2020 and $38.7 million for the three months ended March 31, 2021. As of March 31, 2021, we had an accumulated deficit of $104.0 million. Since our inception, we have financed our operations with gross proceeds of $465.4 million raised in our private placements of preferred stock, including the sale of our Series C preferred stock in April 2021. We have no products approved for commercialization and have never generated any revenue from product sales.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All of our product candidates are still in clinical and preclinical testing.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9" w:lineRule="exact"/>
        <w:rPr>
          <w:sz w:val="20"/>
          <w:szCs w:val="20"/>
          <w:color w:val="auto"/>
        </w:rPr>
      </w:pPr>
    </w:p>
    <w:p>
      <w:pPr>
        <w:ind w:left="1080" w:hanging="532"/>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marketing approvals or Emergency Use Authorization, or EUA,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16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95"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developing our manufacturing capabilities and developing our clinical and preclinical product candidates, including undertaking preclinical studies and conducting clinical trials. To date, we have not yet demonstrated our ability to successfully complete pivotal clinical trials, obtain regulatory approvals or EUA, manufacture a product on a commercial scale, or conduct sales and marketing activities necessary for successful commercialization, and we may not be successful in doing so. Consequently, any predictions you make about our future success or viability may not be as accurate as they could be if we had a longer operating history or a history of successfully developing and commercializing products.</w:t>
      </w:r>
    </w:p>
    <w:p>
      <w:pPr>
        <w:spacing w:after="0" w:line="16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273"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operations have consumed substantial amounts of cash since inception, and we expect to continue to incur significant expenses and operating losses over the next several years as we continue to develop our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candidate pipeline and build out our manufacturing capabilities for our product candidates, which, if approved, may not achieve commercial success. Our revenue, if any, will be derived from sales of products that may not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161"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As of March 31, 2021, we had cash and cash equivalents of $91.2 million. In addition, in April 2021, we received gross proceeds of $335.5 million from sales of our Series C preferred stock. We believe that the anticipated net proceeds from this offering, together with our existing cash and</w:t>
      </w:r>
    </w:p>
    <w:p>
      <w:pPr>
        <w:jc w:val="both"/>
        <w:ind w:left="120"/>
        <w:spacing w:after="0" w:line="251" w:lineRule="auto"/>
        <w:rPr>
          <w:sz w:val="20"/>
          <w:szCs w:val="20"/>
          <w:color w:val="auto"/>
        </w:rPr>
      </w:pPr>
      <w:r>
        <w:rPr>
          <w:rFonts w:ascii="Arial" w:cs="Arial" w:eastAsia="Arial" w:hAnsi="Arial"/>
          <w:sz w:val="18"/>
          <w:szCs w:val="18"/>
          <w:color w:val="auto"/>
        </w:rPr>
        <w:t>cash equivalents, will be sufficient to fund our operating expenses and capital expenditure requirements through . This estimate is based on assumptions that may prove to be wrong, and we could exhaust our available capital resources sooner than we expect. We plan to use the net proceeds from this offering to fund clinical development, manufacturing supply and initial commercialization costs for ADG20, and the remainder for working capital and other general corporate purposes, including development of additional programs in our pipeline. The net proceeds from this offering, together with our existing cash and cash equivalents, may not be sufficient to fund any of our product candidates through regulatory approval.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10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progress in the development of AGD20 and our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303"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recurring losses from operations and financial condition raise substantial doubt about our ability to continue as a going concern.</w:t>
      </w:r>
    </w:p>
    <w:p>
      <w:pPr>
        <w:spacing w:after="0" w:line="14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recurring losses from operations and financial condition raise substantial doubt about our ability to continue as a going concern. In our financial statements for the period from June 3, 2020 (inception) to December 31, 2020, we concluded that our recurring losses from operations and need for additional financing to fund future operations raise substantial doubt about our ability to continue as a going concern. Similarly, our independent registered public accounting firm included an explanatory paragraph in its report on our financial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statements for the period from June 3, 2020 (inception) to December 31, 2020 with respect to this uncertainty. Our ability to continue as a going concern will require us to obtain additional funding. If we are unable to obtain sufficient funding, our business, prospects, financial condition and results of operations will be materially and adversely affected, and we may be unable to continue as a going concern. If we are unable to raise capital when needed or on acceptable terms, we would be forced to delay, limit, reduce or terminate our product development or future commercialization efforts of one or more of our product candidates, or may be forced to reduce or terminate our operations. If we are unable to continue as a going concern, we may have to liquidate our assets and may receive less than the value at which those assets are carried on our audited financial statements, and it is likely that investors will lose all or a part of their investment. After this offering, in our own required quarterly assessments, we may again conclude that there is substantial doubt about our ability to continue as a going concern, and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if at all.</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b w:val="1"/>
          <w:bCs w:val="1"/>
          <w:i w:val="1"/>
          <w:iCs w:val="1"/>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5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currently have no products approved for commercial sale, and all of our product candidates are currently in clinical and preclinical development. In February 2021, we initiated a Phase 1 clinical trial evaluating ADG20, our lead monoclonal antibody product candidate. We have also advanced ADG20 into global pivotal trials for the treatment and prevention of COVID-19, including in countries with high rates of resistant variants. We have initiated conduct of our first prospective, randomized, multi-center clinical trials, have not previously conducted any later stage or pivotal clinical trials, have limited experience in preparing, submitting and prosecuting regulatory filings and have not previously submitted a biologics license application, or BLA, for any product candidate.</w:t>
      </w:r>
    </w:p>
    <w:p>
      <w:pPr>
        <w:spacing w:after="0" w:line="19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Our ability to generate revenue from our product candidates, which may not occur for several years, if ever, will depend heavily on the successful development, regulatory approval or granting of EUA, obtaining of manufacturing supply, capacity and expertise and eventual commercialization of our product candidates. In the absence of a public health emergency, we will not be able to receive an EUA. The success of ADG20 or any other product candidates that we develop or otherwise may acquire will depend on several factors, including:</w:t>
      </w:r>
    </w:p>
    <w:p>
      <w:pPr>
        <w:spacing w:after="0" w:line="77"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30"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filing acceptable investigational new drug applications, or INDs, with the U.S. Food and Drug Administration, or the FDA, or comparable foreign applications that allow commencement of our planned clinical trials or future clinical trials for our product candidates;</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89" w:lineRule="exact"/>
        <w:rPr>
          <w:rFonts w:ascii="Arial" w:cs="Arial" w:eastAsia="Arial" w:hAnsi="Arial"/>
          <w:sz w:val="18"/>
          <w:szCs w:val="18"/>
          <w:color w:val="auto"/>
        </w:rPr>
      </w:pPr>
    </w:p>
    <w:p>
      <w:pPr>
        <w:ind w:left="5540" w:right="180" w:hanging="4992"/>
        <w:spacing w:after="0" w:line="449" w:lineRule="auto"/>
        <w:tabs>
          <w:tab w:leader="none" w:pos="10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enrollment and timely completion of clinical trials, including our ability to generate positive data from any such clinical trials; 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and expanding sales, marketing and distribution capabilities and launching commercial sales of products, if approved, whether alone or in collaboration with others;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ADG20 or any other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perceived advantages, cost, safety and efficacy of alternative therapies for any product candidate that we develop;</w:t>
      </w:r>
    </w:p>
    <w:p>
      <w:pPr>
        <w:spacing w:after="0" w:line="142" w:lineRule="exact"/>
        <w:rPr>
          <w:rFonts w:ascii="Arial" w:cs="Arial" w:eastAsia="Arial" w:hAnsi="Arial"/>
          <w:sz w:val="17"/>
          <w:szCs w:val="17"/>
          <w:color w:val="auto"/>
        </w:rPr>
      </w:pPr>
    </w:p>
    <w:p>
      <w:pPr>
        <w:ind w:left="1080" w:right="20" w:hanging="532"/>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continuing need for therapies for the treatment and prevention of COVID-19, including due to the continuation of the pandemic, the development of SARS-CoV-2 into an endemic disease or the inability of other available therapies to address COVID-19;</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significant and changing government regulation, regulatory guidance and requirements and evolving treatment guidelines;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 continued acceptable safety, tolerability and efficacy profile of the products following approval;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92" w:lineRule="exact"/>
        <w:rPr>
          <w:sz w:val="20"/>
          <w:szCs w:val="20"/>
          <w:color w:val="auto"/>
        </w:rPr>
      </w:pPr>
    </w:p>
    <w:p>
      <w:pPr>
        <w:jc w:val="both"/>
        <w:ind w:left="560" w:right="440"/>
        <w:spacing w:after="0" w:line="375" w:lineRule="auto"/>
        <w:rPr>
          <w:sz w:val="20"/>
          <w:szCs w:val="20"/>
          <w:color w:val="auto"/>
        </w:rPr>
      </w:pPr>
      <w:r>
        <w:rPr>
          <w:rFonts w:ascii="Arial" w:cs="Arial" w:eastAsia="Arial" w:hAnsi="Arial"/>
          <w:sz w:val="15"/>
          <w:szCs w:val="15"/>
          <w:b w:val="1"/>
          <w:bCs w:val="1"/>
          <w:i w:val="1"/>
          <w:iCs w:val="1"/>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COVID-19 is a new disease, the treatment and prevention of which is not yet well understood. Although monoclonal antibody products have been used in the treatment of many indications, to date, the FDA has not yet approved the use of any monoclonal antibodies to treat COVID-19, although the FDA has issued an EUA for several monoclonal antibody products for the treatment of COVID-19 in patients at high risk of disease progression, including bamlanivimab, casirivimab/imdevimab, and bamlanvimab/etesevimab. Because this is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relatively new and expanding area of novel therapeutic interventions, there are many uncertainties related to development, marketing, reimbursement and the commercial potential for our product candidates. There can be no assurance as to the length of the clinical trials, the number of patients the FDA will require to be enrolled in the trials in order to establish the safety, efficacy, purity and potency of antibody products or that the design of or data generated in these trials will be acceptable to the FDA to support marketing approval.</w:t>
      </w:r>
    </w:p>
    <w:p>
      <w:pPr>
        <w:spacing w:after="0" w:line="18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In addition, the FDA may take longer than usual to come to a decision on any BLA that we submit and may ultimately determine that there is insufficient data, information or experience with our product candidates to support an approval decision. The FDA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treatment or prevention of symptomatic COVID-19. Even if we are able to identify and develop such antibodies, we cannot ensure that such product candidates will achieve marketing approval to safely and effectively treat or prevent symptomatic COVID-19 or other future coronavirus diseases.</w:t>
      </w:r>
    </w:p>
    <w:p>
      <w:pPr>
        <w:spacing w:after="0" w:line="15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292"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 we will not be able to commercialize our product candidates, and our ability to generate product revenue will be adversely affected.</w:t>
      </w:r>
    </w:p>
    <w:p>
      <w:pPr>
        <w:spacing w:after="0" w:line="7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All of our product candidates are in clinical and preclinical development and their risk of failure is high. The clinical trials and manufacturing of our product candidates are, and the manufacturing and marketing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9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addition, even if such trials are successfully completed, we cannot guarantee that the FDA, the European Medicines Agency, or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or NDA,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19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295" w:lineRule="exact"/>
        <w:rPr>
          <w:sz w:val="20"/>
          <w:szCs w:val="20"/>
          <w:color w:val="auto"/>
        </w:rPr>
      </w:pPr>
    </w:p>
    <w:p>
      <w:pPr>
        <w:jc w:val="both"/>
        <w:ind w:left="560" w:right="240"/>
        <w:spacing w:after="0" w:line="375" w:lineRule="auto"/>
        <w:rPr>
          <w:sz w:val="20"/>
          <w:szCs w:val="20"/>
          <w:color w:val="auto"/>
        </w:rPr>
      </w:pPr>
      <w:r>
        <w:rPr>
          <w:rFonts w:ascii="Arial" w:cs="Arial" w:eastAsia="Arial" w:hAnsi="Arial"/>
          <w:sz w:val="15"/>
          <w:szCs w:val="15"/>
          <w:b w:val="1"/>
          <w:bCs w:val="1"/>
          <w:i w:val="1"/>
          <w:iCs w:val="1"/>
          <w:color w:val="auto"/>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experience delays in conducting any clinical trials, and we do not know whether our clinical trials will begin on time, need to be redesigned, recruit and enroll patients on time or be completed on schedule, or 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all. We may experience numerous unforeseen events before, during or as a result of clinical trials that could delay or prevent our ability to complete such trials or receive marketing approval for or commercialize our product candidates, or that could significantly increase the cost of such trials, including:</w:t>
      </w:r>
    </w:p>
    <w:p>
      <w:pPr>
        <w:spacing w:after="0" w:line="2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in reaching agreement with the FDA, EMA or other regulatory authorities as to the design or implementation of our clinical trials;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regulatory authorization to commence a clinical trial;</w:t>
      </w:r>
    </w:p>
    <w:p>
      <w:pPr>
        <w:spacing w:after="0" w:line="130"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challenges in 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institutional review board, or IRB, approval at each trial site;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clinical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inspections of clinical trial sites or operations by applicable regulatory authorities, or the imposition of a clinical hold;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perform in accordance with the applicable regulatory requirements, including the FDA’s regulations and GCP requirements, or applicable regulatory requirements in other countries;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an insufficient number of clinical trial sites;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manufacturing sufficient quantities of product candidate for use in clinical trials;</w:t>
      </w:r>
    </w:p>
    <w:p>
      <w:pPr>
        <w:spacing w:after="0" w:line="130"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suspensions or terminations by IRBs of the institutions at which such trials are being conducted, by the independent Data Monitoring Committee for such trial or by the FDA or other regulatory authorities due to a number of factors, including those described above;</w:t>
      </w:r>
    </w:p>
    <w:p>
      <w:pPr>
        <w:spacing w:after="0" w:line="51" w:lineRule="exact"/>
        <w:rPr>
          <w:rFonts w:ascii="Arial" w:cs="Arial" w:eastAsia="Arial" w:hAnsi="Arial"/>
          <w:sz w:val="17"/>
          <w:szCs w:val="17"/>
          <w:color w:val="auto"/>
        </w:rPr>
      </w:pPr>
    </w:p>
    <w:p>
      <w:pPr>
        <w:jc w:val="both"/>
        <w:ind w:left="1080" w:right="2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or guidance, or feedback from regulatory authorities that requires us to modify the design or conduct of our clinical trials; for example, in April 2021, the FDA informed us that it had changed its view on allowing high risk patients to be randomized to placebo in the United States in our STAMP treatment trial, which has resulted in modification of the design and conduct of this trial exclusively outside of the United States;</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especially if regulatory bodies require the completion of non-inferiority trials, enrollment in these clinical trials may be slower than we anticipate or participants may drop out of these clinical trials at a higher rate than we anticipate;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75" w:lineRule="exact"/>
        <w:rPr>
          <w:rFonts w:ascii="Arial" w:cs="Arial" w:eastAsia="Arial" w:hAnsi="Arial"/>
          <w:sz w:val="18"/>
          <w:szCs w:val="18"/>
          <w:color w:val="auto"/>
        </w:rPr>
      </w:pPr>
    </w:p>
    <w:p>
      <w:pPr>
        <w:jc w:val="both"/>
        <w:ind w:left="1080" w:right="20" w:hanging="532"/>
        <w:spacing w:after="0" w:line="254"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intend to conduct our STAMP treatment trial at sites outside of the United States, and the applicable foreign regulatory authorities may determine that a placebo-controlled trial would expose patients to unacceptable health risks (for example, if alternative effective therapies become available in these regions during the conduct of the trial), which could delay enrollment of our trial and the authorization or approval of ADG20;</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8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 or</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to impose restrictions on its distribution after obtaining marketing approval.</w:t>
      </w:r>
    </w:p>
    <w:p>
      <w:pPr>
        <w:spacing w:after="0" w:line="170"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72"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b w:val="1"/>
          <w:bCs w:val="1"/>
          <w:i w:val="1"/>
          <w:iCs w:val="1"/>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0"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7"/>
          <w:szCs w:val="17"/>
          <w:color w:val="auto"/>
        </w:rPr>
        <w:t>We may seek an EUA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 There is no guarantee that we will apply for an EUA or other similar authorization or, if we do apply, that we will be able to obtain such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or HHS. The FDA may also terminate an EUA if safety issues or other concerns about our product arise or if we fail to comply with the conditions of authorization. 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and the Medicines and Healthcare products Regulatory Agency regarding clinical development programs or regulatory approval for any product candidate within the United States and United Kingdom, respectively. In addition, we have had no discussions with other comparable foreign authorities regarding clinical development programs or regulatory approval for any product candidate outside of those jurisdictions.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collect sufficient data from clinical trials of our product candidates to support the submission and filing of a BLA with the FDA, MAA with the EMA or other submission;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and testing laboratories with which we contract for clinical and commercial supplies;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authorities may significantly change in a manner rendering our clinical data insufficient for approval.</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95"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17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57" w:lineRule="exact"/>
        <w:rPr>
          <w:sz w:val="20"/>
          <w:szCs w:val="20"/>
          <w:color w:val="auto"/>
        </w:rPr>
      </w:pPr>
    </w:p>
    <w:p>
      <w:pPr>
        <w:ind w:left="560" w:right="2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1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96"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304"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63"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may fail to demonstrate with substantial evidence from adequate and well-controlled trials, and to the satisfaction of the FDA or comparable foreign regulatory authorities, that our product candidates are safe and potent for their intended uses. In addition, the FDA may determine that antibody monotherapy products are not sufficient and that combination antibody therapies should become the standard of care.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These side effects may not be appropriately recognized or managed by the treating medical staff, as toxicities resulting from monoclonal antibody therapy, as with our ADG20 product candidate, are not normally encountered in the general patient population and by medical personnel.</w:t>
      </w:r>
    </w:p>
    <w:p>
      <w:pPr>
        <w:spacing w:after="0" w:line="16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76" w:lineRule="exact"/>
        <w:rPr>
          <w:sz w:val="20"/>
          <w:szCs w:val="20"/>
          <w:color w:val="auto"/>
        </w:rPr>
      </w:pPr>
    </w:p>
    <w:p>
      <w:pPr>
        <w:ind w:left="1080" w:right="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suspend, withdraw or limit approvals of such product, or seek an injunction against its manufacture or distribution;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73" w:lineRule="exact"/>
        <w:rPr>
          <w:sz w:val="20"/>
          <w:szCs w:val="20"/>
          <w:color w:val="auto"/>
        </w:rPr>
      </w:pPr>
    </w:p>
    <w:p>
      <w:pPr>
        <w:jc w:val="both"/>
        <w:ind w:left="560" w:right="340"/>
        <w:spacing w:after="0" w:line="263" w:lineRule="auto"/>
        <w:rPr>
          <w:sz w:val="20"/>
          <w:szCs w:val="20"/>
          <w:color w:val="auto"/>
        </w:rPr>
      </w:pPr>
      <w:r>
        <w:rPr>
          <w:rFonts w:ascii="Arial" w:cs="Arial" w:eastAsia="Arial" w:hAnsi="Arial"/>
          <w:sz w:val="18"/>
          <w:szCs w:val="18"/>
          <w:b w:val="1"/>
          <w:bCs w:val="1"/>
          <w:i w:val="1"/>
          <w:iCs w:val="1"/>
          <w:color w:val="auto"/>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clinical and commercial success of our monoclonal antibody therapies will depend in part on public acceptance of the use of monoclonal antibody therapies to treat symptomatic COVID-19. To date, the FDA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not yet approved any monoclonal antibodies to treat or prevent COVID-19, although the FDA has issued an EUA for several monoclonal antibody products for the treatment of COVID-19 in patients at high risk of disease progression, including bamlanivimab, casirivimab/imdevimab, and bamlanvimab/etesevimab.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300"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We may experience delays or difficulties in the enrollment and/or retention of patients in clinical trials, which could delay or prevent our receipt of necessary regulatory approvals.</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92"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severity and difficulty of diagnosing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contraction of the public health crisis caused by COVID-19;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 in question;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the trial protocol, including but not limited to the use of a placebo control or active comparator;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 including relating to monoclonal antibody approaches;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 for the disease or condition under investigation;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our ability to import and export clinical trial supplies, raw materials and commercial supply and other factors;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inability to enroll, or maintain the enrollment of,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96" w:lineRule="exact"/>
        <w:rPr>
          <w:sz w:val="20"/>
          <w:szCs w:val="20"/>
          <w:color w:val="auto"/>
        </w:rPr>
      </w:pPr>
    </w:p>
    <w:p>
      <w:pPr>
        <w:ind w:left="560" w:right="660"/>
        <w:spacing w:after="0" w:line="342" w:lineRule="auto"/>
        <w:rPr>
          <w:sz w:val="20"/>
          <w:szCs w:val="20"/>
          <w:color w:val="auto"/>
        </w:rPr>
      </w:pPr>
      <w:r>
        <w:rPr>
          <w:rFonts w:ascii="Arial" w:cs="Arial" w:eastAsia="Arial" w:hAnsi="Arial"/>
          <w:sz w:val="16"/>
          <w:szCs w:val="16"/>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16"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7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Because we have limited financial and management resources, we must focus on development programs and product candidates that we identify for specific indications. As such, we are currently primarily focused on the development of ADG20 for the treatment and prevention of symptomatic COVID-19.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1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intend to conduct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evolving and constantly changing impact of COVID-19, which was declared a global pandemic by the World Health Organization, or WHO, will directly affect the potential commercial prospects of our lead product candidate for the treatment and prevention of COVID-19. The severity of the global pandemic,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7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Although our planned clinical trials have not been materially delayed by the COVID-19 pandemic to date, in December 2020 shipment of ADG20 clinical supply by WuXi Biologics (Hong Kong) Limited, or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93" w:lineRule="exact"/>
        <w:rPr>
          <w:sz w:val="20"/>
          <w:szCs w:val="20"/>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interruptions in our ability to manufacture and deliver drug supply for trials due to capacity constraints or lack of raw materials;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2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278" w:lineRule="exact"/>
        <w:rPr>
          <w:sz w:val="20"/>
          <w:szCs w:val="20"/>
          <w:color w:val="auto"/>
        </w:rPr>
      </w:pPr>
    </w:p>
    <w:p>
      <w:pPr>
        <w:ind w:left="560" w:right="620"/>
        <w:spacing w:after="0" w:line="308" w:lineRule="auto"/>
        <w:rPr>
          <w:sz w:val="20"/>
          <w:szCs w:val="20"/>
          <w:color w:val="auto"/>
        </w:rPr>
      </w:pPr>
      <w:r>
        <w:rPr>
          <w:rFonts w:ascii="Arial" w:cs="Arial" w:eastAsia="Arial" w:hAnsi="Arial"/>
          <w:sz w:val="17"/>
          <w:szCs w:val="17"/>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revenue we are able to generate in the future from product sales will be dependent, in part, upon the size of the market in the United States and any other jurisdiction for which we gain regulatory approval and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commercial rights. If the markets or patient subsets that we are targeting are not as significant as we estimate, we may not generate significant revenues from sales of such products, even if approved.</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first-or second-line therapy.</w:t>
      </w:r>
    </w:p>
    <w:p>
      <w:pPr>
        <w:spacing w:after="0" w:line="29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Newly emerging SARS-CoV-2 variants could reduce the activity and effectiveness of ADG20 as a potential treatment for or prevention of symptomatic COVID-19.</w:t>
      </w:r>
    </w:p>
    <w:p>
      <w:pPr>
        <w:spacing w:after="0" w:line="62"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Multiple variants of the virus that causes COVID-19 have been documented in the United States and globally during this pandemic. Although we have shown in pre-clinical studies that ADG20 has the potential to broadly neutralize SARS-CoV-2 and the predominantly circulating variants, new SARS-CoV-2 variants could be less impacted by ADG20 and its mechanism of action, or the results shown in pre-clinical studies may not be replicated in clinical studies. This would significantly and adversely affect our ability to obtain authorization or approval of and to commercialize ADG20.</w:t>
      </w:r>
    </w:p>
    <w:p>
      <w:pPr>
        <w:spacing w:after="0" w:line="265"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develop ADG20 and future product candidates for use in combination with other therapies or third-party product candidates, which exposes us to additional regulatory risks.</w:t>
      </w:r>
    </w:p>
    <w:p>
      <w:pPr>
        <w:spacing w:after="0" w:line="6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may develop ADG20 and future product candidates for use in combination with one or more currently authorized or approved therapies to treat symptomatic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ADG20 as a monotherapy treatment.</w:t>
      </w:r>
    </w:p>
    <w:p>
      <w:pPr>
        <w:spacing w:after="0" w:line="17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may also evaluate ADG20 or any future product candidate in combination with one or more other third-party product candidates that have not yet been approved for marketing by the FDA, EMA or comparable foreign regulatory authorities. If so, we will not be able to market and sell ADG20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ADG20 or any product candidate we develop, we may be unable to obtain approval of or market any such product candidate.</w:t>
      </w:r>
    </w:p>
    <w:p>
      <w:pPr>
        <w:spacing w:after="0" w:line="28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or the Transition Period, during which European Union rules continued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Since a significant proportion of the regulatory framework in the United Kingdom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121"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b w:val="1"/>
          <w:bCs w:val="1"/>
          <w:i w:val="1"/>
          <w:iCs w:val="1"/>
          <w:color w:val="auto"/>
        </w:rPr>
        <w:t>Monoclonal antibody therapies are complex and difficult to manufacture. We could experience manufacturing problems that result in delays in the development or commercialization of our product candidates or otherwise harm our business.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manufacture of monoclonal antibody therapies is technically complex and necessitates substantial expertise and capital investment.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Production difficulties caused by unforeseen events may delay the availability of material for our clinical studies or commercialization efforts.</w:t>
      </w:r>
    </w:p>
    <w:p>
      <w:pPr>
        <w:spacing w:after="0" w:line="22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18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Biological products are inherently difficult and time-consuming to manufacture. Our program materials are manufactured using technically complex processes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manufacturing, may lead to an inability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manufacture our product candidate, resulting in delays in clinical development or commercialization plans. Any changes in the manufacturing of components of the raw materials we use could result in unanticipated or unfavorable effects in our manufacturing processes or product quality, resulting in delays.</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Any delay, failure or inability to manufacture on a timely basis can impact the timelines for our clinical trials or our commercialization plans. Such delay, failure or inability to manufacture can result from:</w:t>
      </w:r>
    </w:p>
    <w:p>
      <w:pPr>
        <w:spacing w:after="0" w:line="76" w:lineRule="exact"/>
        <w:rPr>
          <w:sz w:val="20"/>
          <w:szCs w:val="20"/>
          <w:color w:val="auto"/>
        </w:rPr>
      </w:pPr>
    </w:p>
    <w:p>
      <w:pPr>
        <w:jc w:val="both"/>
        <w:ind w:left="1080" w:right="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92" w:lineRule="exact"/>
        <w:rPr>
          <w:rFonts w:ascii="Arial" w:cs="Arial" w:eastAsia="Arial" w:hAnsi="Arial"/>
          <w:sz w:val="18"/>
          <w:szCs w:val="18"/>
          <w:color w:val="auto"/>
        </w:rPr>
      </w:pPr>
    </w:p>
    <w:p>
      <w:pPr>
        <w:jc w:val="both"/>
        <w:ind w:left="1080" w:right="20" w:hanging="532"/>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70" w:lineRule="exact"/>
        <w:rPr>
          <w:rFonts w:ascii="Arial" w:cs="Arial" w:eastAsia="Arial" w:hAnsi="Arial"/>
          <w:sz w:val="17"/>
          <w:szCs w:val="17"/>
          <w:color w:val="auto"/>
        </w:rPr>
      </w:pPr>
    </w:p>
    <w:p>
      <w:pPr>
        <w:jc w:val="both"/>
        <w:ind w:left="1080" w:right="2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obtain manufacturing slots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procure raw materials and reagents;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depletion or performance degradation of the cell line starting material;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or close-down of any manufacturing facility used in the manufacture of our product candidates, or the inability to find alternative manufacturing capability in a timely fashion.</w:t>
      </w:r>
    </w:p>
    <w:p>
      <w:pPr>
        <w:spacing w:after="0" w:line="278"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7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our existing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any of our CDMOs do not pass such audit or inspections. Certain of our CDMO’s facilities are or may be under construction and have not completed installation of equipment for and establishment of routine manufacturing and testing operations and have not yet been inspected by regulatory authorities. If any of our CDMO’s facilities do not pass a pre-approval plant inspection, FDA or EMA approval of the products will not be granted.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The regulatory authorities also may, at any time following approval of a product for sale, inspect or audit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17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intend to rely on third parties to produce clinical and commercial supplies of our product candidates.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are currently manufacturing material for our product candidates in partnership with a CDMO. We do not own or operate any facilities for product manufacturing, storage and distribution or testing. We are dependent on third parties to manufacture the clinical and commercial supplies of our current and any future product candidates. We have established a relationship with WuXi to produce material to support our clinical development program and our initial commercial supply for our products, if approved. We have not yet fully manufactured our product candidates on a commercial scale, and we do not yet have sufficient information to reliably estimate the cost of the commercial manufacturing of our product candidates.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 facilities used by our contract manufacturers and contract testing labs to manufacture and test our product candidates must be approved by the FDA pursuant to inspections that will be conducted after we submit our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also intend to rely on third-party manufacturers to supply us with sufficient quantities of our product candidates to be used, if approved, for commercialization. If we are not able to meet market demand for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engaged WuXi for development and generation of the production cell line starting material for ADG20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18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In addition, we currently rely on WuXi, a CDMO in China for clinical supply of ADG20 and will rely on WuXi for commercial supply of ADG20.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Further, our reliance on third-party manufacturers entails risks to which we would not be subject if we manufactured product candidates ourselves, including:</w:t>
      </w:r>
    </w:p>
    <w:p>
      <w:pPr>
        <w:spacing w:after="0" w:line="76"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access sufficient manufacturing capacity;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inability of our third-party manufacturers to execute our manufacturing procedures and other logistical support requirements appropriately;</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negotiate additional manufacturing agreements with third parties under commercially reasonable terms, if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breach, termination or nonrenewal of manufacturing agreements with third parties in a manner or at a time that is costly or damaging to us;</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lack of ownership of the intellectual property rights in any improvements made by our third-party manufacturers in the manufacturing process for our product candidates;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to operations of our third-party manufacturers or suppliers by conditions unrelated to our business or operations, including the bankruptcy of the manufacturer or supplier.</w:t>
      </w:r>
    </w:p>
    <w:p>
      <w:pPr>
        <w:spacing w:after="0" w:line="17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cannot be sure that single-source suppliers for our manufacturing raw materials will remain in business or that they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adversely impact our business, financial condition and results of operations.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our current or any future product candidates, if approved. Some of these events could be the basis for FDA action, including injunction, request for recall, seizure or total or partial suspension of production.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311" w:lineRule="auto"/>
        <w:rPr>
          <w:sz w:val="20"/>
          <w:szCs w:val="20"/>
          <w:color w:val="auto"/>
        </w:rPr>
      </w:pPr>
      <w:r>
        <w:rPr>
          <w:rFonts w:ascii="Arial" w:cs="Arial" w:eastAsia="Arial" w:hAnsi="Arial"/>
          <w:sz w:val="16"/>
          <w:szCs w:val="16"/>
          <w:b w:val="1"/>
          <w:bCs w:val="1"/>
          <w:i w:val="1"/>
          <w:iCs w:val="1"/>
          <w:color w:val="auto"/>
        </w:rPr>
        <w:t>We depend on sole-source third-party suppliers for materials that are necessary for the conduct of preclinical studies and manufacture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4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Manufacturing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For example, there is only one supplier of certain purification resins and cell culture media used in the manufacture of our product candidates, which increases the risk of delays in production. In addition, to date we have relied on a single CDMO that is based in China. The loss of this CDMO or its failure to supply us with material to support our clinical development program on a timely basis could impair our ability to develop our product candidates or otherwise delay the development process, which could adversely affect our business, financial condition and results of operations.</w:t>
      </w:r>
    </w:p>
    <w:p>
      <w:pPr>
        <w:spacing w:after="0" w:line="17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Some of our CDMO’s raw material suppliers may not have the capacity to support clinical trials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17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80" w:lineRule="exact"/>
        <w:rPr>
          <w:sz w:val="20"/>
          <w:szCs w:val="20"/>
          <w:color w:val="auto"/>
        </w:rPr>
      </w:pPr>
    </w:p>
    <w:p>
      <w:pPr>
        <w:ind w:left="560" w:right="500"/>
        <w:spacing w:after="0" w:line="308" w:lineRule="auto"/>
        <w:rPr>
          <w:sz w:val="20"/>
          <w:szCs w:val="20"/>
          <w:color w:val="auto"/>
        </w:rPr>
      </w:pPr>
      <w:r>
        <w:rPr>
          <w:rFonts w:ascii="Arial" w:cs="Arial" w:eastAsia="Arial" w:hAnsi="Arial"/>
          <w:sz w:val="17"/>
          <w:szCs w:val="17"/>
          <w:b w:val="1"/>
          <w:bCs w:val="1"/>
          <w:i w:val="1"/>
          <w:iCs w:val="1"/>
          <w:color w:val="auto"/>
        </w:rPr>
        <w:t>The third parties upon whom we depend may be adversely affected by earthquakes, wildfires or other natural disasters, and our business continuity and disaster recovery plans may not adequately protect us from a serious disaster.</w:t>
      </w:r>
    </w:p>
    <w:p>
      <w:pPr>
        <w:spacing w:after="0" w:line="3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Any unplanned event, such as flood, fire, explosion, earthquake, extreme weather condition, medical epidemics or pandemics, power shortage, telecommunication failure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9"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3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Given the nature of monoclonal antibody manufacturing, there is a risk of contamination, including in the manufacture of raw materials and in the manufacturing of our product candidates, or in the manufacturing facility itself.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92" w:lineRule="exact"/>
        <w:rPr>
          <w:sz w:val="20"/>
          <w:szCs w:val="20"/>
          <w:color w:val="auto"/>
        </w:rPr>
      </w:pPr>
    </w:p>
    <w:p>
      <w:pPr>
        <w:ind w:left="5540" w:right="2620" w:hanging="4992"/>
        <w:spacing w:after="0" w:line="449" w:lineRule="auto"/>
        <w:tabs>
          <w:tab w:leader="none" w:pos="10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 including oral options; 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 for ADG20 and any other product candidates, once approved;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or requirements that our products be used in combination with other products;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be effective against emerging variants as a monotherapy.</w:t>
      </w:r>
    </w:p>
    <w:p>
      <w:pPr>
        <w:spacing w:after="0" w:line="333" w:lineRule="exact"/>
        <w:rPr>
          <w:sz w:val="20"/>
          <w:szCs w:val="20"/>
          <w:color w:val="auto"/>
        </w:rPr>
      </w:pPr>
    </w:p>
    <w:p>
      <w:pPr>
        <w:ind w:left="560" w:right="660"/>
        <w:spacing w:after="0" w:line="375"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for ADG20 or any other product candidate that may receive regulatory approval, we may not be successful in commercializing those product candidates if and when they are approved.</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are currently establishing our commercial infrastructure to support the anticipated marketing and distribution of our product candidates, which we will need to achieve commercial success for ADG20 or any other product candidate for which we may obtain marketing approval. We are currently in the process of building a sales, marketing and market access infrastructure to market our product candidates in the United States and Europe,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3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in order to educate physicians about our product candidates, once approved;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independent sales, marketing and market access organizations.</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Our projections of the number of people who are candidates to receive COVID-19 treatments and preventatives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19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A decline, or a widespread perception of a decline, in the spread or severity of the ongoing COVID-19 pandemic, including disease due to variants with relative or absolute resistance to other products, or an increase in available alternative treatments for or widespread immunity to COVID-19, could reduce the total addressable market for our lead product candidate for the treatment and prevention of COVID-19. Similarly, if new SARS-CoV-2 variants are less impacted by ADG20 and its mechanism of action than expected and such variants become more prevalent in the ongoing pandemic, the number of patients that we will be able to successfully treat with ADG20, if approved, will be decreased.</w:t>
      </w:r>
    </w:p>
    <w:p>
      <w:pPr>
        <w:spacing w:after="0" w:line="176"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third-party to model the future populations susceptible to and immune from SARS-CoV-2, based on assumptions such as vaccine adoption, efficacy, duration of effect, viral infectiousness and other factors we cannot control. Accordingly, these estimates included in this prospectus may turn out to be inaccurate. Further, the data and statistical information used in this prospectus, including estimates derived from them, may differ from information and estimates made by our competitors or from current or future studies conducted by independent sources.</w:t>
      </w:r>
    </w:p>
    <w:p>
      <w:pPr>
        <w:spacing w:after="0" w:line="289" w:lineRule="exact"/>
        <w:rPr>
          <w:sz w:val="20"/>
          <w:szCs w:val="20"/>
          <w:color w:val="auto"/>
        </w:rPr>
      </w:pPr>
    </w:p>
    <w:p>
      <w:pPr>
        <w:ind w:left="560" w:right="20"/>
        <w:spacing w:after="0" w:line="375" w:lineRule="auto"/>
        <w:rPr>
          <w:sz w:val="20"/>
          <w:szCs w:val="20"/>
          <w:color w:val="auto"/>
        </w:rPr>
      </w:pPr>
      <w:r>
        <w:rPr>
          <w:rFonts w:ascii="Arial" w:cs="Arial" w:eastAsia="Arial" w:hAnsi="Arial"/>
          <w:sz w:val="15"/>
          <w:szCs w:val="15"/>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that might require significant financial and management resources and that could harm our reputation.</w:t>
      </w:r>
    </w:p>
    <w:p>
      <w:pPr>
        <w:spacing w:after="0" w:line="16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HHS, state attorneys general, members of the U.S. Congress, and the public. Additionally, advertising and promotion of any product candidate that obtains approval outside of the United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295"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b w:val="1"/>
          <w:bCs w:val="1"/>
          <w:i w:val="1"/>
          <w:iCs w:val="1"/>
          <w:color w:val="auto"/>
        </w:rPr>
        <w:t>ADG20 and our other monoclonal antibody product candidates may face significant competition from vaccines and other treatments for COVID-19 that are currently available or in development.</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therapeutics and vaccines for the treatment or prevention of COVID-19 developed or marketed by other companies, many of which are large, established biotechnology and pharmaceutical companies. Additional vaccines and therapeutics are in development by other pharmaceutical and biopharmaceutical companies. Given the products currently approved or authorized for use as well as those in development by others, any treatment we may develop could face significant competition. If any other company develops treatments more rapidly or effectively than we do, develops a treatment that becomes the standard of care, develops a treatment at a lower cost or is more successful at commercializing an approved therapeutic, we may not be able to successfully commercialize ADG20 for the treatment and prevention of symptomatic COVID-19, even if approved, or compete with other treatments or vaccines, which could adversely impact our business and operations.</w:t>
      </w:r>
    </w:p>
    <w:p>
      <w:pPr>
        <w:spacing w:after="0" w:line="18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Mergers and acquisitions in the pharmaceutical and biotechnology industries could result in even more resources being concentrated among a small number of our competitors.</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76"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 and commercialize drugs that are differentiated from products in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placement in COVID-19 treatment and prevention guidelines from organizations such as the CDC, WHO and the Infectious Diseases Society of America, or IDSA, and equivalent European guidelines;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medicines.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Government entities, such as the Centers for Disease Control and Prevention, or CDC, the WHO and non-government professional societies, such as the IDSA and the European Society of Clinical Microbiology and Infectious Diseases, or ESCMID, may produce treatment and/or prevention guidelines for COVID-19, including the use of monoclonal antibodies for these indications. If ADG20 fails to be added to these guidelines, or if it receives poor positioning within those guidelines, payors and other customers may be less inclined to add ADG20 to their formularies, significantly reducing demand for ADG20, if approved.</w:t>
      </w:r>
    </w:p>
    <w:p>
      <w:pPr>
        <w:spacing w:after="0" w:line="18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Any product candidates for which we intend to seek approval as biologic products may face biosimilar competition sooner than anticipated.</w:t>
      </w:r>
    </w:p>
    <w:p>
      <w:pPr>
        <w:spacing w:after="0" w:line="15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86"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9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6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believe our success depends on obtaining and maintaining coverage and adequate reimbursement for our product candidates, including ADG20 for the treatment and prevention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6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IDSA and ESCMID, may produce treatment and/or prevention guidelines for the treatment and prevention of COVID-19, including guidance regarding the use of monoclonal antibodies in these indications. If ADG20 fails to be added to these guidelines, or if it receives poor positioning within these guidelines, payors and other customers may be less inclined to add ADG20 to their formularies, significantly reducing demand for ADG20, if approved.</w:t>
      </w:r>
    </w:p>
    <w:p>
      <w:pPr>
        <w:spacing w:after="0" w:line="19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There can be no assurance that ADG20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79"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7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among other things, computer viruses, malware, natural disasters, terrorism, war, telecommunication and electrical failures, system malfunctions, cyberattacks or cyber-intrusions over the Internet, attachments to emails, phishing attacks,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w:t>
      </w:r>
    </w:p>
    <w:p>
      <w:pPr>
        <w:spacing w:after="0" w:line="18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16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192"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or dissemination of, our data, including personal data, or other information that is processed or maintained on our behalf, we could be exposed to litigation and governmental investigations and inquiries, the further development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commercialization of our product candidates could be delayed and we could be subject to significant fines or penalties for any noncompliance with applicable state, federal and foreign privacy and security laws, rules, regulations and standards.</w:t>
      </w:r>
    </w:p>
    <w:p>
      <w:pPr>
        <w:spacing w:after="0" w:line="278"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6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or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Europe, the General Data Protection Regulation, or the GDPR, took effect in May 2018. The GDPR governs the collection, use, disclosure, transfer or other processing of personal data of individuals within the European Economic Area, or the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consolidated annual worldwide gross revenue), and confers a private right of action on data subjects and consumer associations to lodge complaints with supervisory authorities, seek judicial remedies and obtain compensation for damages resulting from violations of the GDPR.</w:t>
      </w:r>
    </w:p>
    <w:p>
      <w:pPr>
        <w:spacing w:after="0" w:line="17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 which exposes us to further compliance risk. Pursuant to the EU-UK Trade and Cooperation Agreement of December 24, 2020, transfers of personal data from the European Union to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United Kingdom may continue to take place without a need for additional safeguards during a further transition period, which expires on the earlier of</w:t>
      </w:r>
    </w:p>
    <w:p>
      <w:pPr>
        <w:spacing w:after="0" w:line="46" w:lineRule="exact"/>
        <w:rPr>
          <w:sz w:val="20"/>
          <w:szCs w:val="20"/>
          <w:color w:val="auto"/>
        </w:rPr>
      </w:pPr>
    </w:p>
    <w:p>
      <w:pPr>
        <w:jc w:val="both"/>
        <w:ind w:left="120" w:right="20" w:hanging="4"/>
        <w:spacing w:after="0" w:line="270" w:lineRule="auto"/>
        <w:tabs>
          <w:tab w:leader="none" w:pos="3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on which an adequacy decision with respect to the United Kingdom is adopted by the European Commission; or (ii) the expiry of four months, which shall be extended by a further two months unless either the European Union or the United Kingdom objects. On February 19, 2021 the European Commission published its draft decision finding the United Kingdom to be adequate under the GDPR, though it remains unclear whether the European Commission will formally adopt an adequacy decision with respect to the United Kingdom. In the absence of such decision, after the expiry of the additional transition period we may need to put in place additional safeguards for transfers of personal data from the European Union to the United Kingdom, such as standard contractual clauses approved by the European Commission.</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the California Privacy Rights Act, or the CPRA, recently passed in California and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w:t>
      </w:r>
    </w:p>
    <w:p>
      <w:pPr>
        <w:spacing w:after="0" w:line="17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With the GDPR, CCPA, CPRA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273"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66"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left="560" w:right="160"/>
        <w:spacing w:after="0" w:line="301" w:lineRule="auto"/>
        <w:rPr>
          <w:sz w:val="20"/>
          <w:szCs w:val="20"/>
          <w:color w:val="auto"/>
        </w:rPr>
      </w:pPr>
      <w:r>
        <w:rPr>
          <w:rFonts w:ascii="Arial" w:cs="Arial" w:eastAsia="Arial" w:hAnsi="Arial"/>
          <w:sz w:val="16"/>
          <w:szCs w:val="16"/>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4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engaged CROs and other third parties to conduct our planned preclinical studies or clinical trials, including our ongoing clinical trials of ADG20,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16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82"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2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ADG20 or any other product candidates.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92"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3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0"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75"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4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Although we own a number of pending patent applications that have not yet issued as patents, we do not own or license any issued patents with claims directed to our product candidates, including ADG20, and we may not be successful in prosecuting our filed patent applications. Accordingly, there can be no assurance that we will be able to obtain patent protection for any of our product candidates, including ADG20. Our pending Patent Cooperation Treaty, or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or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We cannot offer any assurances about which of our patent applications will issue,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17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19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165"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181"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16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18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Monitoring unauthorized uses and disclosures is difficult, and we do not know whether the steps we have taken to protect our proprietary technologies will be effective.</w:t>
      </w:r>
    </w:p>
    <w:p>
      <w:pPr>
        <w:spacing w:after="0" w:line="170"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7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284" w:lineRule="exact"/>
        <w:rPr>
          <w:sz w:val="20"/>
          <w:szCs w:val="20"/>
          <w:color w:val="auto"/>
        </w:rPr>
      </w:pPr>
    </w:p>
    <w:p>
      <w:pPr>
        <w:ind w:left="560" w:right="40"/>
        <w:spacing w:after="0" w:line="375" w:lineRule="auto"/>
        <w:rPr>
          <w:sz w:val="20"/>
          <w:szCs w:val="20"/>
          <w:color w:val="auto"/>
        </w:rPr>
      </w:pPr>
      <w:r>
        <w:rPr>
          <w:rFonts w:ascii="Arial" w:cs="Arial" w:eastAsia="Arial" w:hAnsi="Arial"/>
          <w:sz w:val="15"/>
          <w:szCs w:val="15"/>
          <w:b w:val="1"/>
          <w:bCs w:val="1"/>
          <w:i w:val="1"/>
          <w:iCs w:val="1"/>
          <w:color w:val="auto"/>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are party to an assignment and license agreement, or the Adimab Assignment Agreement, with Adimab, LLC, or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grants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 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materially and adversely affected. For more information on the Adimab Assignment Agreement, see the section titled “Business—Licensing, Collaborations and Partnerships—Assignment and License Agreement with Adimab.” For more information regarding our relationship with Adimab, see the section titled “Certain Relationships and Related Party Transactions.”</w:t>
      </w:r>
    </w:p>
    <w:p>
      <w:pPr>
        <w:spacing w:after="0" w:line="292"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and future collaborations and licenses could subject us to a number of risks, including:</w:t>
      </w:r>
    </w:p>
    <w:p>
      <w:pPr>
        <w:spacing w:after="0" w:line="131"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jc w:val="both"/>
        <w:ind w:left="1080" w:right="20" w:hanging="532"/>
        <w:spacing w:after="0" w:line="25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stockholders’ percentage ownership of our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jc w:val="both"/>
        <w:ind w:left="1080" w:hanging="532"/>
        <w:spacing w:after="0" w:line="25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strategic collaborators may select indications or design clinical trials in a way that may be less successful than if we were doing so;</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 from these products;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5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284"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factual issues. Changes in either patent laws or interpretations of patent laws in the United States and other countries may diminish the value of our intellectual property or narrow the scope of our patent protection.</w:t>
      </w:r>
    </w:p>
    <w:p>
      <w:pPr>
        <w:spacing w:after="0" w:line="170"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 xml:space="preserve">For example, on September 16, 2011, the Leahy-Smith America Invents Act, or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derivation proceedings. Finally, the Leahy-Smith Act contained new statutory provisions that require the USPTO to issue new</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9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74"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licensed or future owned patents at risk of being invalidated, held unenforceable or interpreted narrowly, and could put any of our owned or licensed patent applications at risk of not yielding an issued patent.</w:t>
      </w:r>
    </w:p>
    <w:p>
      <w:pPr>
        <w:spacing w:after="0" w:line="170"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equivalent proceedings in foreign jurisdictions (for example, opposition proceedings, nullity proceedings or litigation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An unfavorable outcome could result in the loss of our exclusive rights in our technology,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174"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ADG20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ADG20, and a third party may claim that our development or commercialization of ADG20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ADG20, which may not be feasible on a technical or commercial basis in a timely manner, and we may have to delay or abandon development of ADG20, which could have a material adverse effect on our business.</w:t>
      </w:r>
    </w:p>
    <w:p>
      <w:pPr>
        <w:spacing w:after="0" w:line="17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27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2" w:lineRule="exact"/>
        <w:rPr>
          <w:sz w:val="20"/>
          <w:szCs w:val="20"/>
          <w:color w:val="auto"/>
        </w:rPr>
      </w:pPr>
    </w:p>
    <w:p>
      <w:pPr>
        <w:jc w:val="both"/>
        <w:ind w:left="120" w:right="20" w:firstLine="440"/>
        <w:spacing w:after="0" w:line="268"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misappropriating or otherwise violating the patents and proprietary rights of third parties. As our current and future product candidates progress toward commercialization, the possibility of a patent infringement claim against us increases. There is a substantial amount of litigation involving patents and other intellectual property rights in the biotechnology and pharmaceutical industries, including patent infringement lawsuits, interferences, derivation proceedings, post grant reviews,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or other intellectual property rights.</w:t>
      </w:r>
    </w:p>
    <w:p>
      <w:pPr>
        <w:spacing w:after="0" w:line="18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We cannot provide any assurance that our current and future product candidates do not infringe, misappropriate or otherwise violate other parties’ patents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ADG20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7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7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300"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future patents and other intellectual property.</w:t>
      </w:r>
    </w:p>
    <w:p>
      <w:pPr>
        <w:spacing w:after="0" w:line="1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9"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6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290"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5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19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7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We expect to rely on trademarks as one means to distinguish our product candidates, if approved for marketing, from the drugs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2" w:lineRule="exact"/>
        <w:rPr>
          <w:sz w:val="20"/>
          <w:szCs w:val="20"/>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any of our patents, should they issue;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make the inventions covered by our future issued patents or our pending patent applications;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issued patents that we own or in-license may be held invalid or unenforceable as a result of legal challenges by our competitors;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121"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7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97" w:lineRule="exact"/>
        <w:rPr>
          <w:sz w:val="20"/>
          <w:szCs w:val="20"/>
          <w:color w:val="auto"/>
        </w:rPr>
      </w:pPr>
    </w:p>
    <w:p>
      <w:pPr>
        <w:jc w:val="both"/>
        <w:ind w:left="1080" w:hanging="532"/>
        <w:spacing w:after="0" w:line="25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76" w:lineRule="exact"/>
        <w:rPr>
          <w:sz w:val="20"/>
          <w:szCs w:val="20"/>
          <w:color w:val="auto"/>
        </w:rPr>
      </w:pPr>
    </w:p>
    <w:p>
      <w:pPr>
        <w:jc w:val="both"/>
        <w:ind w:left="1080" w:hanging="532"/>
        <w:spacing w:after="0" w:line="287"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77"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 and</w:t>
      </w:r>
    </w:p>
    <w:p>
      <w:pPr>
        <w:spacing w:after="0" w:line="71" w:lineRule="exact"/>
        <w:rPr>
          <w:rFonts w:ascii="Arial" w:cs="Arial" w:eastAsia="Arial" w:hAnsi="Arial"/>
          <w:sz w:val="16"/>
          <w:szCs w:val="16"/>
          <w:color w:val="auto"/>
        </w:rPr>
      </w:pPr>
    </w:p>
    <w:p>
      <w:pPr>
        <w:jc w:val="both"/>
        <w:ind w:left="1080" w:hanging="532"/>
        <w:spacing w:after="0" w:line="275"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303"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ADG20 or any future product candidates, they will remain subject to ongoing regulatory oversight, which may result in significant additional expense.</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Even if we obtain any regulatory approval for ADG20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ADG20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7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we fail to comply with applicable regulatory requirements following approval of ADG20 or any future product candidates, a regulatory authority may:</w:t>
      </w:r>
    </w:p>
    <w:p>
      <w:pPr>
        <w:spacing w:after="0" w:line="76"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 product candidates;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ADG20 or any future product candidates and harm our business, financial condition, results of operations and prospects.</w:t>
      </w:r>
    </w:p>
    <w:p>
      <w:pPr>
        <w:spacing w:after="0" w:line="292" w:lineRule="exact"/>
        <w:rPr>
          <w:sz w:val="20"/>
          <w:szCs w:val="20"/>
          <w:color w:val="auto"/>
        </w:rPr>
      </w:pPr>
    </w:p>
    <w:p>
      <w:pPr>
        <w:jc w:val="both"/>
        <w:ind w:left="560" w:right="640"/>
        <w:spacing w:after="0" w:line="375" w:lineRule="auto"/>
        <w:rPr>
          <w:sz w:val="20"/>
          <w:szCs w:val="20"/>
          <w:color w:val="auto"/>
        </w:rPr>
      </w:pPr>
      <w:r>
        <w:rPr>
          <w:rFonts w:ascii="Arial" w:cs="Arial" w:eastAsia="Arial" w:hAnsi="Arial"/>
          <w:sz w:val="15"/>
          <w:szCs w:val="15"/>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Healthcare legislative or regulatory reform measures may have a negative impact on our business and results of operations.</w:t>
      </w:r>
    </w:p>
    <w:p>
      <w:pPr>
        <w:spacing w:after="0" w:line="1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judge for the United States District Court for the Northern District of Texas ruled that the ACA is unconstitutional in its entirety because the “individual mandate” was repealed by Congress as part of the Tax Act. Additionally, on December 18, 2019, the United States Court of Appeals for the Fifth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On February 10, 2021, the Biden administration withdrew the federal government’s support for overturning the ACA. Although the U.S. Supreme Court has not yet ruled on the constitutionality of the ACA,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However, COVID-19 relief legislation suspended the 2% Medicare sequester from May 1, 2020 through December 31, 2021.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was also delayed pending review by the Biden administration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On December 28, 2020, the United States District Court for the Northern District of California issued a nationwide preliminary injunction against implementation of the interim final rule. The likelihood of implementation of any of the other Trump administration reform initiatives is uncertain, particularly in light of the recent U.S. presidential election.</w:t>
      </w:r>
    </w:p>
    <w:p>
      <w:pPr>
        <w:spacing w:after="0" w:line="17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FDA regulations and guidance may be revised or reinterpreted by the FDA in ways that may significantly affect our business and our products. For example, the results of the 2020 U.S. Presidential election may impact our business and industry.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requirements will be interpreted and implemented, or whether they will be rescinded and replaced under the Biden administration. The policies and priorities of the new administration are unknown and could materially impact the regulations governing our product candidates. Any new regulations or guidance, or revisions or reinterpretations of existing regulations or guidance, may impose additional costs or lengthen FDA review times for ADG20 or any future product candidates. We cannot determine how changes in regulations, statutes, policies or interpretations when and if issued, enacted or adopted, may affect our business in the future. Such changes could, among other things, require:</w:t>
      </w:r>
    </w:p>
    <w:p>
      <w:pPr>
        <w:spacing w:after="0" w:line="9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if approved;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ADG20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7"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76"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Tillman U. Gerngross, Ph.D., our co-founder, Chief Executive Officer and a member of our board of directors, is a co-founder, the currently serving Chief Executive Officer and a member of the board of directors of Adimab, and also serves as an officer and/or Chairman of three additional private companies, Venture Partner at one additional private company and Chairman of one public company. Laura Walker, Ph.D., our co-founder and Chief Scientific Officer, serves as Senior Director of Antibody Sciences at Adimab. Philip Chase, a member of our board of directors, serves as General Counsel and as a director of Adimab and Terrance McGuire and Ajay Royan, members of our board of directors, serve as directors of Adimab. As a result, these directors and executive officers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In addition, certain of these individuals own equity interests in Adimab, which represent a significant portion of these individuals’ net worth. These individuals’ respective positions at Adimab and the ownership of any Adimab equity or equity awards creates, or may create the appearance of, conflicts of interest, including when these individuals make decisions that could have different implications for Adimab than for us.</w:t>
      </w:r>
    </w:p>
    <w:p>
      <w:pPr>
        <w:spacing w:after="0" w:line="292"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executive officers, directors, five percent stockholders and their affiliates beneficially own approximately 81.2% of our voting stock as of May 21, 2021. Therefore, these stockholders, and in particular,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largest stockholder, Adimab,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265"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6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Adimab is currently our largest stockholder and beneficially owns approximately 30.8% of the voting power of our outstanding common stock as of May 21, 2021 on an as-converted basis.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16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Furthermore, certain of our directors and officers may have actual or potential conflicts of interest with us because of their positions or affiliations with Adimab or their equity ownership in Adimab. Tillman Gerngross, co-founder and Chief Executive Officer and member of the board of directors of Adimab, Laura Walker, Senior Director of Antibody Sciences at Adimab, Philip Chase, General Counsel a member of the board of directors of Adimab, and Terrance McGuire and Ajay Royan, members of the board of directors of Adimab, serve as our executive officers and/or on our board of directors and retain their positions and affiliations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290" w:lineRule="exact"/>
        <w:rPr>
          <w:sz w:val="20"/>
          <w:szCs w:val="20"/>
          <w:color w:val="auto"/>
        </w:rPr>
      </w:pPr>
    </w:p>
    <w:p>
      <w:pPr>
        <w:ind w:left="560" w:right="720"/>
        <w:spacing w:after="0" w:line="375" w:lineRule="auto"/>
        <w:rPr>
          <w:sz w:val="20"/>
          <w:szCs w:val="20"/>
          <w:color w:val="auto"/>
        </w:rPr>
      </w:pPr>
      <w:r>
        <w:rPr>
          <w:rFonts w:ascii="Arial" w:cs="Arial" w:eastAsia="Arial" w:hAnsi="Arial"/>
          <w:sz w:val="15"/>
          <w:szCs w:val="15"/>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As of May 1, 2021, we had 51 employees. As our development progresses, we expect to experience significant growth in the number of our employees and the scope of our operations, particularly in the areas of clinical product development, regulatory affairs, manufacturing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8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1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Ownership of Our Common Stock and Our Status as a Public Company</w:t>
      </w:r>
    </w:p>
    <w:p>
      <w:pPr>
        <w:spacing w:after="0" w:line="121"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for our common stock will be determined through negotiations with the underwriters and may not be indicative of the price at which our common stock will trade after the closing of this offering. Although we intend to apply to have our common stock approved for listing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The trading price of the shares of our common stock may be volatile, and purchasers of our common stock could incur substantial losses.</w:t>
      </w:r>
    </w:p>
    <w:p>
      <w:pPr>
        <w:spacing w:after="0" w:line="14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progress and results of our ongoing clinical trials of ADG20 or the commencement, enrollment or results of any future clinical trials we may conduct, or changes in the development status of our product candidates;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 in our regulatory filings for ADG20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in or termination of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ADG20 or any other product candidate;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announcements by our competitors of new product candidates or technologies, or the results of clinical trials or regulatory decisions;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common stock after this offering. Therefore, if you purchase shares of our common stock in this offering, you will pay a price per share that substantially exceeds our pro forma as adjusted net tangible book value per share after this offering. Based on an assumed initial public offering price of</w:t>
      </w:r>
    </w:p>
    <w:p>
      <w:pPr>
        <w:spacing w:after="0" w:line="2" w:lineRule="exact"/>
        <w:rPr>
          <w:sz w:val="20"/>
          <w:szCs w:val="20"/>
          <w:color w:val="auto"/>
        </w:rPr>
      </w:pPr>
    </w:p>
    <w:p>
      <w:pPr>
        <w:ind w:left="560" w:hanging="444"/>
        <w:spacing w:after="0"/>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per share, which is the midpoint of the estimated price range set forth on the cover page of this prospectus, you will experience immediate dilution</w:t>
      </w:r>
    </w:p>
    <w:p>
      <w:pPr>
        <w:spacing w:after="0" w:line="32" w:lineRule="exact"/>
        <w:rPr>
          <w:rFonts w:ascii="Arial" w:cs="Arial" w:eastAsia="Arial" w:hAnsi="Arial"/>
          <w:sz w:val="16"/>
          <w:szCs w:val="16"/>
          <w:color w:val="auto"/>
        </w:rPr>
      </w:pPr>
    </w:p>
    <w:p>
      <w:pPr>
        <w:ind w:left="120" w:right="20"/>
        <w:spacing w:after="0" w:line="260" w:lineRule="auto"/>
        <w:rPr>
          <w:rFonts w:ascii="Arial" w:cs="Arial" w:eastAsia="Arial" w:hAnsi="Arial"/>
          <w:sz w:val="16"/>
          <w:szCs w:val="16"/>
          <w:color w:val="auto"/>
        </w:rPr>
      </w:pPr>
      <w:r>
        <w:rPr>
          <w:rFonts w:ascii="Arial" w:cs="Arial" w:eastAsia="Arial" w:hAnsi="Arial"/>
          <w:sz w:val="18"/>
          <w:szCs w:val="18"/>
          <w:color w:val="auto"/>
        </w:rPr>
        <w:t>of $ per share, representing the difference between our pro forma as adjusted net tangible book value per share as of March 31, 2021, after giving effect to this offering, and the assumed initial public offering price.</w:t>
      </w:r>
    </w:p>
    <w:p>
      <w:pPr>
        <w:sectPr>
          <w:pgSz w:w="11900" w:h="16838" w:orient="portrait"/>
          <w:cols w:equalWidth="0" w:num="1">
            <w:col w:w="11140"/>
          </w:cols>
          <w:pgMar w:left="320" w:top="459" w:right="439" w:bottom="1440" w:gutter="0" w:footer="0" w:header="0"/>
        </w:sectPr>
      </w:pP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as of average exercise price of $ offering. See “Dilution.”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 2021, we had outstanding stock options to purchase an aggregate of         shares of common stock at a weighted-per share. To the extent any of these outstanding options are exercised, there will be further dilution to investors in this</w:t>
      </w:r>
    </w:p>
    <w:p>
      <w:pPr>
        <w:spacing w:after="0" w:line="374" w:lineRule="exact"/>
        <w:rPr>
          <w:sz w:val="20"/>
          <w:szCs w:val="20"/>
          <w:color w:val="auto"/>
        </w:rPr>
      </w:pPr>
    </w:p>
    <w:p>
      <w:pPr>
        <w:sectPr>
          <w:pgSz w:w="11900" w:h="16838" w:orient="portrait"/>
          <w:cols w:equalWidth="0" w:num="2">
            <w:col w:w="2060" w:space="320"/>
            <w:col w:w="8760"/>
          </w:cols>
          <w:pgMar w:left="320" w:top="459" w:right="439" w:bottom="1440" w:gutter="0" w:footer="0" w:header="0"/>
          <w:type w:val="continuous"/>
        </w:sectPr>
      </w:pPr>
    </w:p>
    <w:p>
      <w:pPr>
        <w:spacing w:after="0" w:line="73" w:lineRule="exact"/>
        <w:rPr>
          <w:sz w:val="20"/>
          <w:szCs w:val="20"/>
          <w:color w:val="auto"/>
        </w:rPr>
      </w:pPr>
    </w:p>
    <w:p>
      <w:pPr>
        <w:jc w:val="both"/>
        <w:ind w:left="560" w:right="120"/>
        <w:spacing w:after="0" w:line="340" w:lineRule="auto"/>
        <w:rPr>
          <w:sz w:val="20"/>
          <w:szCs w:val="20"/>
          <w:color w:val="auto"/>
        </w:rPr>
      </w:pPr>
      <w:r>
        <w:rPr>
          <w:rFonts w:ascii="Arial" w:cs="Arial" w:eastAsia="Arial" w:hAnsi="Arial"/>
          <w:sz w:val="15"/>
          <w:szCs w:val="15"/>
          <w:b w:val="1"/>
          <w:bCs w:val="1"/>
          <w:i w:val="1"/>
          <w:iCs w:val="1"/>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3"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identified a material weakness in our internal control over financial reporting that existed as of March 31, 2021.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consolidated financial statements. Additionally, this material weakness could result in misstatements of the aforementioned account balances or disclosures that would result in a material misstatement of our annual or interim consolidated financial statements that would not be prevented or detected.</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order to remediate this material weakness, we intend to design and implement a control during interim periods related to the completeness and accuracy of the contract manufacturing accrual process.</w:t>
      </w:r>
    </w:p>
    <w:p>
      <w:pPr>
        <w:spacing w:after="0" w:line="170"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cannot assure that the measures we have taken to date, and actions we may take in the future, will be sufficient to remediate the control deficiency that led to this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 any future material weaknesses in our internal control over financial reporting, or we identify any additional material weaknesses, the accuracy and timing of our financial reporting may be adversely affected, potentially resulting in restatements of our consolidated financial statements; we may be unable to maintain compliance with securities law requirements regarding timely filing of periodic reports and applicable Nasdaq listing requirements; investors may lose confidence in our financial reporting; and our stock price may decline as a result.</w:t>
      </w:r>
    </w:p>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spacing w:after="0" w:line="308" w:lineRule="auto"/>
        <w:rPr>
          <w:sz w:val="20"/>
          <w:szCs w:val="20"/>
          <w:color w:val="auto"/>
        </w:rPr>
      </w:pPr>
      <w:r>
        <w:rPr>
          <w:rFonts w:ascii="Arial" w:cs="Arial" w:eastAsia="Arial" w:hAnsi="Arial"/>
          <w:sz w:val="17"/>
          <w:szCs w:val="17"/>
          <w:b w:val="1"/>
          <w:bCs w:val="1"/>
          <w:i w:val="1"/>
          <w:iCs w:val="1"/>
          <w:color w:val="auto"/>
        </w:rPr>
        <w:t>If we are unable to design and maintain effective internal control over financial reporting in the future, investors may lose confidence in the accuracy and completeness of our financial reports and the market price of our common stock may decline.</w:t>
      </w:r>
    </w:p>
    <w:p>
      <w:pPr>
        <w:spacing w:after="0" w:line="3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 over financial reporting for compliance with Section 404 of the Sarbanes-Oxley Act, which will require annual management assessment of the effectiveness of our internal control over financial reporting.</w:t>
      </w:r>
    </w:p>
    <w:p>
      <w:pPr>
        <w:spacing w:after="0" w:line="70"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 If we fail to remediate our identified material weakness, or identify additional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Securities and Exchange Commission, or SEC, or other regulatory authorities, which could require additional financial and management resources.</w:t>
      </w:r>
    </w:p>
    <w:p>
      <w:pPr>
        <w:spacing w:after="0" w:line="274"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 significant portion of our total outstanding shares are restricted from immediate resale but may be sold into the market in the near future.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This could cause the market price of our common stock to drop significantly, even if our business is doing well.</w:t>
      </w:r>
    </w:p>
    <w:p>
      <w:pPr>
        <w:spacing w:after="0" w:line="103"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4"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Upon the closing of this offering, we will have outstanding shares of common stock, after giving effect to the automatic conversion of our outstanding preferred stock into shares of our common stock, and assuming no exercise of outstanding options to purchase shares of our preferred stock. Of these shares, the shares sold in this offering will be freely tradable and substantially all of the additional shares of common</w:t>
      </w:r>
    </w:p>
    <w:p>
      <w:pPr>
        <w:jc w:val="both"/>
        <w:ind w:left="120"/>
        <w:spacing w:after="0" w:line="302" w:lineRule="auto"/>
        <w:rPr>
          <w:sz w:val="20"/>
          <w:szCs w:val="20"/>
          <w:color w:val="auto"/>
        </w:rPr>
      </w:pPr>
      <w:r>
        <w:rPr>
          <w:rFonts w:ascii="Arial" w:cs="Arial" w:eastAsia="Arial" w:hAnsi="Arial"/>
          <w:sz w:val="16"/>
          <w:szCs w:val="16"/>
          <w:color w:val="auto"/>
        </w:rPr>
        <w:t>stock will be available for sale in the public market beginning 180 days after the date of this prospectus following the expiration of lock-up agreements between some of our stockholders and the underwriters. Morgan Stanley &amp; Co. LLC and Jefferies LLC may release these stockholders from their lock-up agreements with the underwriters at any time and without notice, which would allow for earlier sales of shares in the public market.</w:t>
      </w:r>
    </w:p>
    <w:p>
      <w:pPr>
        <w:spacing w:after="0" w:line="3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promptly following the closing of this offering, we intend to file one or more registration statements on Form S-8 under the Securities</w:t>
      </w:r>
    </w:p>
    <w:p>
      <w:pPr>
        <w:spacing w:after="0" w:line="4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Act of 1933, as amended, or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93"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Additionally, after this offering, the holders of an aggregate of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65" w:lineRule="exact"/>
        <w:rPr>
          <w:sz w:val="20"/>
          <w:szCs w:val="20"/>
          <w:color w:val="auto"/>
        </w:rPr>
      </w:pPr>
    </w:p>
    <w:p>
      <w:pPr>
        <w:ind w:left="560" w:right="18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There are provisions in our certificate of incorporation and bylaws to be in effect upon the closing of this offering that may make it difficult for a third party to acquire, or attempt to acquire, control of our company, even if a change of control was considered favorable by you and other stockholders.</w:t>
      </w:r>
    </w:p>
    <w:p>
      <w:pPr>
        <w:jc w:val="both"/>
        <w:ind w:left="120" w:right="20"/>
        <w:spacing w:after="0" w:line="295" w:lineRule="auto"/>
        <w:rPr>
          <w:sz w:val="20"/>
          <w:szCs w:val="20"/>
          <w:color w:val="auto"/>
        </w:rPr>
      </w:pPr>
      <w:r>
        <w:rPr>
          <w:rFonts w:ascii="Arial" w:cs="Arial" w:eastAsia="Arial" w:hAnsi="Arial"/>
          <w:sz w:val="16"/>
          <w:szCs w:val="16"/>
          <w:color w:val="auto"/>
        </w:rPr>
        <w:t>For example, our board of directors will have the authority to issue up to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31"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will not be entitled to remove directors other than by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will not be permitted to take actions by written consent;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84"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81.2% of our outstanding common stock as of May 21, 2021.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57"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00" w:lineRule="exact"/>
        <w:rPr>
          <w:sz w:val="20"/>
          <w:szCs w:val="20"/>
          <w:color w:val="auto"/>
        </w:rPr>
      </w:pPr>
    </w:p>
    <w:p>
      <w:pPr>
        <w:jc w:val="both"/>
        <w:ind w:left="1080" w:right="20" w:hanging="532"/>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in the assessment of our internal control over financial reporting;</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have taken advantage of the reduced reporting burdens in this prospectus. In particular, in this prospectus, we have provided only two years of audited financial statements and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303"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are a “smaller reporting company.” We are therefore entitled to rely on certain reduced disclosure requirements for as long as we remain a smaller reporting company, such as an exemption from providing selected financial data and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295"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fund clinical development, manufacturing supply and initial commercialization costs for ADG20, and the remainder for working capital and other general corporate purposes, including development of additional programs in our pipeline. See “Use of Proceeds.” In addition, we may use a portion of the proceeds from this offering to pursue our strategy to in-license or acquire additional product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74"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95"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becoming a public company, which could lower our profits or make it more difficult to run our business.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the Nasdaq Stock Market.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8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In particular, pursuant to Section 404 of the Sarbanes-Oxley Act of 2002, or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3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2020, we had U.S. federal net operating loss, or NOL,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$3.41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Under the Tax Act, as modified by the Coronavirus Aid, Relief and Economic Security Act, or the CARES Act, federal NOLs incurred in taxable years beginning after December 31, 2017 and in future taxable years may carry forward indefinitely, but the deductibility of such federal NOLs incurred in taxable years beginning after December 31, 2020 are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this offering, together with private placements and other transactions that have occurred since our inception, may trigger such an ownership change pursuant to Section 382. We have not conducted a study to assess whether any such ownership changes have occurred. We may experience ownership changes as a result of subsequent shifts in our stock ownership, some of which may be outside of our control. If an ownership change occurs and our ability to use our NOL carryforwards is materially limited, it would harm our financial condition and results of operations by effectively increasing our future tax obligations.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business activities will be subject to the Foreign Corrupt Practices Act, or FCPA, and similar anti-bribery and anti-corruption laws.</w:t>
      </w:r>
    </w:p>
    <w:p>
      <w:pPr>
        <w:spacing w:after="0" w:line="140"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2"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00" w:lineRule="exact"/>
        <w:rPr>
          <w:sz w:val="20"/>
          <w:szCs w:val="20"/>
          <w:color w:val="auto"/>
        </w:rPr>
      </w:pPr>
    </w:p>
    <w:p>
      <w:pPr>
        <w:jc w:val="both"/>
        <w:ind w:left="1080" w:right="20" w:hanging="532"/>
        <w:spacing w:after="0" w:line="286" w:lineRule="auto"/>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timing, progress and results of our preclinical studies and clinical trials of ADG20 and any future product candidates, including statements regarding the timing of our planned IND submissions, initiation and completion of studies or trials and related preparatory work, the period during which the results of the trials will become available and our research and development programs;</w:t>
      </w:r>
    </w:p>
    <w:p>
      <w:pPr>
        <w:spacing w:after="0" w:line="70"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and our ability to obtain and maintain regulatory approvals for, our current and future product candidates;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scalability and commercial viability of our manufacturing methods and processes;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our ability to identify patients with the diseases treated by our product candidates and to enroll these patients in our clinical trials;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ADG20 or any other product candidate;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leverage our platform to identify and develop future product candidates;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 for or ability to obtain additional funding before we can expect to generate any revenue from product sales and the period over which we expect the net proceeds from this offering, together with our existing cash and cash equivalents, to be sufficient to fund our operations;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business disruptions affecting our preclinical studies or the initiation, patient enrollment, development and operation of our clinical trials, including a public health crisis, such as the outbreak of COVID-19.</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foregoing list of forward-looking statements is not exhaustive. You should refer to the “Risk Factors” section of this prospectus for a discussion of important factors that may cause our actual results to differ materially from those expressed or implied by our forward-looking statements. Other sections of this prospectus may include additional factors that could harm our business and financial performance. Moreover, we operate in an evolving environment. New risk factors and uncertainties may emerge from time to time, and it is not possible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obtained the industry, statistical and market data included in this prospectus from our own internal estimates and research as well as from industry and general publications and research, surveys and studies conducted by third parties. All of the market data used in this prospectus involve a number of assumptions and limitations, and the sources of such data cannot guarantee the accuracy or completeness of such information. While we are not aware of any misstatements regarding the third-party information and we believe that each of these studies and publications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534"/>
        </w:trPr>
        <w:tc>
          <w:tcPr>
            <w:tcW w:w="3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gridSpan w:val="2"/>
          </w:tcPr>
          <w:p>
            <w:pPr>
              <w:jc w:val="center"/>
              <w:ind w:left="1870"/>
              <w:spacing w:after="0"/>
              <w:rPr>
                <w:sz w:val="20"/>
                <w:szCs w:val="20"/>
                <w:color w:val="auto"/>
              </w:rPr>
            </w:pPr>
            <w:r>
              <w:rPr>
                <w:rFonts w:ascii="Arial" w:cs="Arial" w:eastAsia="Arial" w:hAnsi="Arial"/>
                <w:sz w:val="18"/>
                <w:szCs w:val="18"/>
                <w:b w:val="1"/>
                <w:bCs w:val="1"/>
                <w:color w:val="auto"/>
                <w:w w:val="97"/>
              </w:rPr>
              <w:t>USE OF PROCEEDS</w:t>
            </w: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8"/>
        </w:trPr>
        <w:tc>
          <w:tcPr>
            <w:tcW w:w="380" w:type="dxa"/>
            <w:vAlign w:val="bottom"/>
          </w:tcPr>
          <w:p>
            <w:pPr>
              <w:spacing w:after="0"/>
              <w:rPr>
                <w:sz w:val="24"/>
                <w:szCs w:val="24"/>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w w:val="96"/>
              </w:rPr>
              <w:t>We estimate that the net proceeds to us from our issuance and sale of</w:t>
            </w:r>
          </w:p>
        </w:tc>
        <w:tc>
          <w:tcPr>
            <w:tcW w:w="5180" w:type="dxa"/>
            <w:vAlign w:val="bottom"/>
            <w:gridSpan w:val="4"/>
          </w:tcPr>
          <w:p>
            <w:pPr>
              <w:jc w:val="right"/>
              <w:spacing w:after="0"/>
              <w:rPr>
                <w:sz w:val="20"/>
                <w:szCs w:val="20"/>
                <w:color w:val="auto"/>
              </w:rPr>
            </w:pPr>
            <w:r>
              <w:rPr>
                <w:rFonts w:ascii="Arial" w:cs="Arial" w:eastAsia="Arial" w:hAnsi="Arial"/>
                <w:sz w:val="18"/>
                <w:szCs w:val="18"/>
                <w:color w:val="auto"/>
              </w:rPr>
              <w:t>shares of our common stock in this offering will be approximately</w:t>
            </w:r>
          </w:p>
        </w:tc>
      </w:tr>
      <w:tr>
        <w:trPr>
          <w:trHeight w:val="216"/>
        </w:trPr>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w w:val="98"/>
              </w:rPr>
              <w:t>million (or approximately $</w:t>
            </w:r>
          </w:p>
        </w:tc>
        <w:tc>
          <w:tcPr>
            <w:tcW w:w="5880" w:type="dxa"/>
            <w:vAlign w:val="bottom"/>
            <w:gridSpan w:val="3"/>
          </w:tcPr>
          <w:p>
            <w:pPr>
              <w:jc w:val="center"/>
              <w:spacing w:after="0"/>
              <w:rPr>
                <w:sz w:val="20"/>
                <w:szCs w:val="20"/>
                <w:color w:val="auto"/>
              </w:rPr>
            </w:pPr>
            <w:r>
              <w:rPr>
                <w:rFonts w:ascii="Arial" w:cs="Arial" w:eastAsia="Arial" w:hAnsi="Arial"/>
                <w:sz w:val="18"/>
                <w:szCs w:val="18"/>
                <w:color w:val="auto"/>
                <w:w w:val="94"/>
              </w:rPr>
              <w:t>million if the underwriters exercise in full their option to purchase up to</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w w:val="99"/>
              </w:rPr>
              <w:t>additional shares), assuming an</w:t>
            </w:r>
          </w:p>
        </w:tc>
      </w:tr>
      <w:tr>
        <w:trPr>
          <w:trHeight w:val="216"/>
        </w:trPr>
        <w:tc>
          <w:tcPr>
            <w:tcW w:w="2680" w:type="dxa"/>
            <w:vAlign w:val="bottom"/>
            <w:gridSpan w:val="3"/>
          </w:tcPr>
          <w:p>
            <w:pPr>
              <w:ind w:left="120"/>
              <w:spacing w:after="0"/>
              <w:rPr>
                <w:sz w:val="20"/>
                <w:szCs w:val="20"/>
                <w:color w:val="auto"/>
              </w:rPr>
            </w:pPr>
            <w:r>
              <w:rPr>
                <w:rFonts w:ascii="Arial" w:cs="Arial" w:eastAsia="Arial" w:hAnsi="Arial"/>
                <w:sz w:val="18"/>
                <w:szCs w:val="18"/>
                <w:color w:val="auto"/>
              </w:rPr>
              <w:t>initial public offering price of $</w:t>
            </w:r>
          </w:p>
        </w:tc>
        <w:tc>
          <w:tcPr>
            <w:tcW w:w="8460" w:type="dxa"/>
            <w:vAlign w:val="bottom"/>
            <w:gridSpan w:val="5"/>
          </w:tcPr>
          <w:p>
            <w:pPr>
              <w:jc w:val="right"/>
              <w:spacing w:after="0"/>
              <w:rPr>
                <w:sz w:val="20"/>
                <w:szCs w:val="20"/>
                <w:color w:val="auto"/>
              </w:rPr>
            </w:pPr>
            <w:r>
              <w:rPr>
                <w:rFonts w:ascii="Arial" w:cs="Arial" w:eastAsia="Arial" w:hAnsi="Arial"/>
                <w:sz w:val="18"/>
                <w:szCs w:val="18"/>
                <w:color w:val="auto"/>
                <w:w w:val="90"/>
              </w:rPr>
              <w:t>per share, which is the midpoint of the estimated price range set forth on the cover page of this prospectus, and after</w:t>
            </w:r>
          </w:p>
        </w:tc>
      </w:tr>
      <w:tr>
        <w:trPr>
          <w:trHeight w:val="230"/>
        </w:trPr>
        <w:tc>
          <w:tcPr>
            <w:tcW w:w="8560" w:type="dxa"/>
            <w:vAlign w:val="bottom"/>
            <w:gridSpan w:val="6"/>
          </w:tcPr>
          <w:p>
            <w:pPr>
              <w:ind w:left="120"/>
              <w:spacing w:after="0"/>
              <w:rPr>
                <w:sz w:val="20"/>
                <w:szCs w:val="20"/>
                <w:color w:val="auto"/>
              </w:rPr>
            </w:pPr>
            <w:r>
              <w:rPr>
                <w:rFonts w:ascii="Arial" w:cs="Arial" w:eastAsia="Arial" w:hAnsi="Arial"/>
                <w:sz w:val="18"/>
                <w:szCs w:val="18"/>
                <w:color w:val="auto"/>
                <w:w w:val="96"/>
              </w:rPr>
              <w:t>deducting estimated underwriting discounts and commissions and estimated offering expenses payable by us.</w:t>
            </w:r>
          </w:p>
        </w:tc>
        <w:tc>
          <w:tcPr>
            <w:tcW w:w="7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8"/>
        </w:trPr>
        <w:tc>
          <w:tcPr>
            <w:tcW w:w="380" w:type="dxa"/>
            <w:vAlign w:val="bottom"/>
          </w:tcPr>
          <w:p>
            <w:pPr>
              <w:spacing w:after="0"/>
              <w:rPr>
                <w:sz w:val="24"/>
                <w:szCs w:val="24"/>
                <w:color w:val="auto"/>
              </w:rPr>
            </w:pPr>
          </w:p>
        </w:tc>
        <w:tc>
          <w:tcPr>
            <w:tcW w:w="6220" w:type="dxa"/>
            <w:vAlign w:val="bottom"/>
            <w:gridSpan w:val="4"/>
          </w:tcPr>
          <w:p>
            <w:pPr>
              <w:ind w:left="18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w w:val="93"/>
              </w:rPr>
              <w:t>per share, which is the midpoint of the estimated price range</w:t>
            </w:r>
          </w:p>
        </w:tc>
      </w:tr>
      <w:tr>
        <w:trPr>
          <w:trHeight w:val="230"/>
        </w:trPr>
        <w:tc>
          <w:tcPr>
            <w:tcW w:w="9300" w:type="dxa"/>
            <w:vAlign w:val="bottom"/>
            <w:gridSpan w:val="7"/>
          </w:tcPr>
          <w:p>
            <w:pPr>
              <w:ind w:left="120"/>
              <w:spacing w:after="0"/>
              <w:rPr>
                <w:sz w:val="20"/>
                <w:szCs w:val="20"/>
                <w:color w:val="auto"/>
              </w:rPr>
            </w:pPr>
            <w:r>
              <w:rPr>
                <w:rFonts w:ascii="Arial" w:cs="Arial" w:eastAsia="Arial" w:hAnsi="Arial"/>
                <w:sz w:val="18"/>
                <w:szCs w:val="18"/>
                <w:color w:val="auto"/>
                <w:w w:val="96"/>
              </w:rPr>
              <w:t>set forth on the cover page of this prospectus, would increase or decrease the net proceeds to us from this offering by $</w:t>
            </w:r>
          </w:p>
        </w:tc>
        <w:tc>
          <w:tcPr>
            <w:tcW w:w="1840" w:type="dxa"/>
            <w:vAlign w:val="bottom"/>
          </w:tcPr>
          <w:p>
            <w:pPr>
              <w:jc w:val="right"/>
              <w:spacing w:after="0"/>
              <w:rPr>
                <w:sz w:val="20"/>
                <w:szCs w:val="20"/>
                <w:color w:val="auto"/>
              </w:rPr>
            </w:pPr>
            <w:r>
              <w:rPr>
                <w:rFonts w:ascii="Arial" w:cs="Arial" w:eastAsia="Arial" w:hAnsi="Arial"/>
                <w:sz w:val="18"/>
                <w:szCs w:val="18"/>
                <w:color w:val="auto"/>
              </w:rPr>
              <w:t>million, assuming the</w:t>
            </w:r>
          </w:p>
        </w:tc>
      </w:tr>
    </w:tbl>
    <w:p>
      <w:pPr>
        <w:jc w:val="both"/>
        <w:ind w:left="1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offered by us, as set forth on the cover page of this prospectus, remains the same and after deducting estimated underwriting discounts and commissions and estimated offering expenses payable by us. Each increase or decrease of 1,000,000 shares in the number of shares offered by us, as set forth on the cover page of this prospectus, would increase or decrease the net proceeds to us from this offering by $ million, assuming no change in the assumed initial public offering price per share and after deducting estimated underwriting discounts and commissions and estimated offering expenses payable by us. We do not expect that a change in the initial public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March 31, 2021, we had cash and cash equivalents of $91.2 million. In April 2021, we received gross proceeds of $335.5 million from the issuance and sale of our Series C preferred stock. We intend to use the net proceeds from this offering, together with our existing cash and cash equivalents, as follows:</w:t>
      </w:r>
    </w:p>
    <w:p>
      <w:pPr>
        <w:spacing w:after="0" w:line="89" w:lineRule="exact"/>
        <w:rPr>
          <w:sz w:val="20"/>
          <w:szCs w:val="20"/>
          <w:color w:val="auto"/>
        </w:rPr>
      </w:pPr>
    </w:p>
    <w:p>
      <w:pPr>
        <w:ind w:left="540"/>
        <w:spacing w:after="0"/>
        <w:tabs>
          <w:tab w:leader="none" w:pos="1060" w:val="left"/>
          <w:tab w:leader="none" w:pos="2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to fund clinical development, manufacturing supply and initial commercialization costs for ADG20; and</w:t>
      </w:r>
    </w:p>
    <w:p>
      <w:pPr>
        <w:spacing w:after="0" w:line="131"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remainder for working capital and other general corporate purposes, including development of additional programs in our pipeline.</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may also use a portion of the net proceeds from this offering to in-license, acquire or invest in complementary businesses, technologies, products or assets, although we have no current agreements, commitments or understandings to do so.</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believe that the net proceeds from this offering, together with our existing cash and cash equivalents, which includes the proceeds from the issuance and sale of our Series C preferred stock in April 2021, will enable us to fund our operating expenses and capital expenditure requirements</w:t>
      </w:r>
    </w:p>
    <w:p>
      <w:pPr>
        <w:ind w:left="120" w:right="20"/>
        <w:spacing w:after="0" w:line="255" w:lineRule="auto"/>
        <w:rPr>
          <w:sz w:val="20"/>
          <w:szCs w:val="20"/>
          <w:color w:val="auto"/>
        </w:rPr>
      </w:pPr>
      <w:r>
        <w:rPr>
          <w:rFonts w:ascii="Arial" w:cs="Arial" w:eastAsia="Arial" w:hAnsi="Arial"/>
          <w:sz w:val="18"/>
          <w:szCs w:val="18"/>
          <w:color w:val="auto"/>
        </w:rPr>
        <w:t>through . Based on our current operational plans and assumptions, we expect the net proceeds from this offering, together with our existing cash and cash equivalents, will be sufficient to . We have based this estimate on assumptions that may prove to be wrong, and we could exhaust our available capital resources sooner than we expect.</w:t>
      </w:r>
    </w:p>
    <w:p>
      <w:pPr>
        <w:spacing w:after="0" w:line="19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development, the status of and results from preclinical studies or clinical trials we have ongoing or may commence in the future, any collaborations that we may enter into with third parties for our product candidates or strategic opportunities that become available to us, as well as any unforeseen cash needs.</w:t>
      </w:r>
    </w:p>
    <w:p>
      <w:pPr>
        <w:spacing w:after="0" w:line="195"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their use, we plan to invest the net proceeds from this offering in short-term, interest bearing obligations, investment-grade instruments, certificates of deposit or direct or guaranteed obligations of the United States.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46"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2021:</w:t>
      </w:r>
    </w:p>
    <w:p>
      <w:pPr>
        <w:spacing w:after="0" w:line="13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1080" w:right="20" w:hanging="532"/>
        <w:spacing w:after="0" w:line="279"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on a pro forma basis to give effect to (i) our issuance and sale in April 2021 of 4,296,550 shares of our Series C preferred stock for gross proceeds of $335.5 million, (ii) the automatic conversion of all outstanding shares of our preferred stock, including our Series C preferred stock, into an aggregate of 16,944,484 shares of common stock upon the closing of this offering and (iii) the filing and effectiveness of our amended and restated certificate of incorporation immediately prior to the completion of this offering; and</w:t>
      </w:r>
    </w:p>
    <w:p>
      <w:pPr>
        <w:sectPr>
          <w:pgSz w:w="11900" w:h="16838" w:orient="portrait"/>
          <w:cols w:equalWidth="0" w:num="1">
            <w:col w:w="11140"/>
          </w:cols>
          <w:pgMar w:left="320" w:top="459" w:right="439" w:bottom="1440" w:gutter="0" w:footer="0" w:header="0"/>
        </w:sectPr>
      </w:pP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 pro forma as adjusted basis to give further effect to our issuance and sale of shares of our common stock in this offering at an assumed initial public offering price of $ per share, which is the midpoint of the estimated price range set forth on the cover page of this prospectus, after deducting estimated underwriting discounts and commissions and estimated offering expenses payable by us.</w:t>
      </w:r>
    </w:p>
    <w:p>
      <w:pPr>
        <w:spacing w:after="0" w:line="165" w:lineRule="exact"/>
        <w:rPr>
          <w:sz w:val="20"/>
          <w:szCs w:val="20"/>
          <w:color w:val="auto"/>
        </w:rPr>
      </w:pPr>
    </w:p>
    <w:p>
      <w:pPr>
        <w:sectPr>
          <w:pgSz w:w="11900" w:h="16838" w:orient="portrait"/>
          <w:cols w:equalWidth="0" w:num="2">
            <w:col w:w="620" w:space="460"/>
            <w:col w:w="10060"/>
          </w:cols>
          <w:pgMar w:left="320" w:top="459" w:right="439" w:bottom="1440" w:gutter="0" w:footer="0" w:header="0"/>
          <w:type w:val="continuous"/>
        </w:sectPr>
      </w:pPr>
    </w:p>
    <w:p>
      <w:pPr>
        <w:jc w:val="both"/>
        <w:ind w:left="120" w:firstLine="440"/>
        <w:spacing w:after="0" w:line="263" w:lineRule="auto"/>
        <w:rPr>
          <w:sz w:val="20"/>
          <w:szCs w:val="20"/>
          <w:color w:val="auto"/>
        </w:rPr>
      </w:pPr>
      <w:r>
        <w:rPr>
          <w:rFonts w:ascii="Arial" w:cs="Arial" w:eastAsia="Arial" w:hAnsi="Arial"/>
          <w:sz w:val="18"/>
          <w:szCs w:val="18"/>
          <w:color w:val="auto"/>
        </w:rPr>
        <w:t>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As of March 31, 2021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0"/>
                <w:szCs w:val="10"/>
                <w:color w:val="auto"/>
              </w:rPr>
            </w:pPr>
          </w:p>
        </w:tc>
        <w:tc>
          <w:tcPr>
            <w:tcW w:w="12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Pro Forma</w:t>
            </w:r>
          </w:p>
        </w:tc>
        <w:tc>
          <w:tcPr>
            <w:tcW w:w="7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0" w:type="dxa"/>
            <w:vAlign w:val="bottom"/>
            <w:tcBorders>
              <w:top w:val="single" w:sz="8" w:color="auto"/>
            </w:tcBorders>
            <w:gridSpan w:val="8"/>
          </w:tcPr>
          <w:p>
            <w:pPr>
              <w:jc w:val="center"/>
              <w:ind w:right="18"/>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share data)</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426,746</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60" w:type="dxa"/>
            <w:vAlign w:val="bottom"/>
            <w:gridSpan w:val="5"/>
          </w:tcPr>
          <w:p>
            <w:pPr>
              <w:spacing w:after="0"/>
              <w:rPr>
                <w:sz w:val="20"/>
                <w:szCs w:val="20"/>
                <w:color w:val="auto"/>
              </w:rPr>
            </w:pPr>
            <w:r>
              <w:rPr>
                <w:rFonts w:ascii="Arial" w:cs="Arial" w:eastAsia="Arial" w:hAnsi="Arial"/>
                <w:sz w:val="18"/>
                <w:szCs w:val="18"/>
                <w:color w:val="auto"/>
              </w:rPr>
              <w:t>Convertible preferred stock, $0.0001 par value; 12,647,934 shares authorized, issued and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outstanding, actual; no shares authorized, issued or outstanding, pro forma and pro forma as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Arial" w:cs="Arial" w:eastAsia="Arial" w:hAnsi="Arial"/>
                <w:sz w:val="18"/>
                <w:szCs w:val="18"/>
                <w:color w:val="auto"/>
              </w:rPr>
              <w:t>adjusted</w:t>
            </w:r>
          </w:p>
        </w:tc>
        <w:tc>
          <w:tcPr>
            <w:tcW w:w="2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169,548</w:t>
            </w:r>
          </w:p>
        </w:tc>
        <w:tc>
          <w:tcPr>
            <w:tcW w:w="1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6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5"/>
          </w:tcPr>
          <w:p>
            <w:pPr>
              <w:jc w:val="right"/>
              <w:ind w:right="670"/>
              <w:spacing w:after="0"/>
              <w:rPr>
                <w:sz w:val="20"/>
                <w:szCs w:val="20"/>
                <w:color w:val="auto"/>
              </w:rPr>
            </w:pPr>
            <w:r>
              <w:rPr>
                <w:rFonts w:ascii="Arial" w:cs="Arial" w:eastAsia="Arial" w:hAnsi="Arial"/>
                <w:sz w:val="18"/>
                <w:szCs w:val="18"/>
                <w:color w:val="auto"/>
              </w:rPr>
              <w:t>shares authorized and no shares issued or outstanding, pro forma and pro forma as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540"/>
              <w:spacing w:after="0"/>
              <w:rPr>
                <w:sz w:val="20"/>
                <w:szCs w:val="20"/>
                <w:color w:val="auto"/>
              </w:rPr>
            </w:pPr>
            <w:r>
              <w:rPr>
                <w:rFonts w:ascii="Arial" w:cs="Arial" w:eastAsia="Arial" w:hAnsi="Arial"/>
                <w:sz w:val="18"/>
                <w:szCs w:val="18"/>
                <w:color w:val="auto"/>
              </w:rPr>
              <w:t>adjusted</w:t>
            </w:r>
          </w:p>
        </w:tc>
        <w:tc>
          <w:tcPr>
            <w:tcW w:w="2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6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$0.0001 par value; 19,000,000 shares authorized, 5,638,648 shares issued and</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1,118,648 shares outstanding, actual;</w:t>
            </w:r>
          </w:p>
        </w:tc>
        <w:tc>
          <w:tcPr>
            <w:tcW w:w="408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w w:val="89"/>
              </w:rPr>
              <w:t>shares authorized, 22,583,132 shares issued and</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1"/>
              </w:rPr>
              <w:t>18,063,132 shares outstanding, pro forma;</w:t>
            </w:r>
          </w:p>
        </w:tc>
        <w:tc>
          <w:tcPr>
            <w:tcW w:w="2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shares authorized,</w:t>
            </w:r>
          </w:p>
        </w:tc>
        <w:tc>
          <w:tcPr>
            <w:tcW w:w="20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shares issued</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pro forma as adjusted</w:t>
            </w: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w w:val="99"/>
              </w:rPr>
              <w:t>Treasury stock, at cost; 4,520,000 shares</w:t>
            </w:r>
          </w:p>
        </w:tc>
        <w:tc>
          <w:tcPr>
            <w:tcW w:w="2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505,787</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(104,019)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(104,019)</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(103,362)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401,685</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w w:val="91"/>
              </w:rPr>
              <w:t>Total capitalization</w:t>
            </w:r>
          </w:p>
        </w:tc>
        <w:tc>
          <w:tcPr>
            <w:tcW w:w="2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66,186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401,685</w:t>
            </w: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pro forma as adjusted information above is illustrative only, and our capitalization following the completion of this offering will depend on the actual initial public offering price and other terms of this offering determined at pricing. Each $1.00 increase or decrease in the assumed initial public</w:t>
      </w:r>
    </w:p>
    <w:p>
      <w:pPr>
        <w:jc w:val="both"/>
        <w:ind w:left="120"/>
        <w:spacing w:after="0" w:line="260" w:lineRule="auto"/>
        <w:rPr>
          <w:sz w:val="20"/>
          <w:szCs w:val="20"/>
          <w:color w:val="auto"/>
        </w:rPr>
      </w:pPr>
      <w:r>
        <w:rPr>
          <w:rFonts w:ascii="Arial" w:cs="Arial" w:eastAsia="Arial" w:hAnsi="Arial"/>
          <w:sz w:val="18"/>
          <w:szCs w:val="18"/>
          <w:color w:val="auto"/>
        </w:rPr>
        <w:t>offering price of $ per share, which is the midpoint of the estimated price range set forth on the cover page of this prospectus, would increase or decrease the pro forma as adjusted amount of each of cash and cash equivalents, additional paid-in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capital, total stockholders’ equity and total capitalization by $ million, assuming the number of shares offered by us, as set forth on the cover page of this prospectus, remains the same and after deducting estimated underwriting discounts and commissions and estimated offering expenses payable by us. Each increase or decrease of 1,000,000 shares in the number of shares offered by us in this offering, as set forth on the cover page of this prospectus, would increase or decrease the pro forma as adjusted amount of each of cash and cash equivalents, additional paid-in capital, total stockholders’ equity</w:t>
      </w:r>
    </w:p>
    <w:p>
      <w:pPr>
        <w:spacing w:after="0" w:line="1"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and total capitalization by $ million, assuming no change in the assumed initial public offering price per share and after deducting estimated underwriting discounts and commissions and estimated offering expenses payable by us.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number of shares of our common stock to be outstanding after this offering is based on 18,063,132 shares of our common stock outstanding as of March 31, 2021, assuming the conversion of all outstanding shares of our preferred stock, including 4,296,550 shares of Series C preferred stock issued in April 2021, into an aggregate of 16,944,484 shares of common stock upon the closing of this offering, and excludes:</w:t>
      </w:r>
    </w:p>
    <w:p>
      <w:pPr>
        <w:spacing w:after="0" w:line="71" w:lineRule="exact"/>
        <w:rPr>
          <w:sz w:val="20"/>
          <w:szCs w:val="20"/>
          <w:color w:val="auto"/>
        </w:rPr>
      </w:pPr>
    </w:p>
    <w:p>
      <w:pPr>
        <w:jc w:val="both"/>
        <w:ind w:left="1080" w:hanging="532"/>
        <w:spacing w:after="0" w:line="259"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1,073,214 shares of our common stock issuable upon the exercise of options outstanding as of March 31, 2021 under our 2020 Equity Incentive Plan, or the 2020 Plan, at a weighted-average exercise price of $12.45 per share (which does not include options to purchase an aggregate of 1,508,098 shares of our common stock, at a weighted-average exercise price of $49.27 per share, that were granted subsequent to March 31, 2021);</w:t>
      </w:r>
    </w:p>
    <w:p>
      <w:pPr>
        <w:spacing w:after="0" w:line="92"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2,372,199 shares of our common stock available for future issuance as of March 31, 2021 under the 2020 Plan, which such shares will cease to be available for issuance under the 2020 Plan at the time our 2021 Equity Incentive Plan, or the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7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the 2021 Plan, which will become effective one day prior to the effectiveness of the registration statement of which this prospectus forms a part, as well as any automatic increases in the number of shares of common stock reserved for future issuance under the 2021 Plan; and</w:t>
      </w:r>
    </w:p>
    <w:p>
      <w:pPr>
        <w:spacing w:after="0" w:line="89" w:lineRule="exact"/>
        <w:rPr>
          <w:rFonts w:ascii="Arial" w:cs="Arial" w:eastAsia="Arial" w:hAnsi="Arial"/>
          <w:sz w:val="18"/>
          <w:szCs w:val="18"/>
          <w:color w:val="auto"/>
        </w:rPr>
      </w:pPr>
    </w:p>
    <w:p>
      <w:pPr>
        <w:jc w:val="both"/>
        <w:ind w:left="1080" w:right="20" w:hanging="532"/>
        <w:spacing w:after="0" w:line="311" w:lineRule="auto"/>
        <w:tabs>
          <w:tab w:leader="none" w:pos="16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shares of our common stock that will become available for future issuance under our 2021 Employee Stock Purchase Plan, or the 2021 ESPP, which will become effective one day prior to the effectiveness of the registration statement of which this prospectus forms a part, as well as any automatic increases in the number of shares of common stock reserved for future issuance under the 2021 ESPP.</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historical net tangible book value (deficit) as of March 31, 2021 was $(103.5) million, or $(92.49) per share of common stock. Our historical net tangible book value (deficit) is the amount of our total tangible assets less our total liabilities and the carrying value of our preferred stock, which is not included within stockholders’ equity (deficit). Historical net tangible book value (deficit) per share represents historical net tangible book value (deficit) divided by the 1,118,648 shares of our common stock outstanding as of March 31, 2021.</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pro forma net tangible book value as of March 31, 2021 was $401.6 million, or $22.23 per share of common stock. Pro forma net tangible book value represents the amount of our total tangible assets less our total liabilities, after giving effect to (i) our issuance and sale in April 2021 of 4,296,550 shares of our Series C preferred stock for gross proceeds of $335.5 million and (ii) the automatic conversion of all outstanding shares of our preferred stock, including our Series C preferred stock, into an aggregate of 16,944,484 shares of common stock upon the closing of this offering. Pro forma net tangible book value per share represents pro forma net tangible book value divided by the number of shares outstanding as of March 31, 2021, after giving effect to the pro forma adjustments described above.</w:t>
      </w:r>
    </w:p>
    <w:p>
      <w:pPr>
        <w:spacing w:after="0" w:line="192"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After giving further effect to our issuance and sale of shares of our common stock in this offering at an assumed initial public offering price of $ per share, which is the midpoint of the estimated price range set forth on the cover page of this prospectus, and after deducting estimated</w:t>
      </w:r>
    </w:p>
    <w:p>
      <w:pPr>
        <w:ind w:left="120"/>
        <w:spacing w:after="0"/>
        <w:rPr>
          <w:sz w:val="20"/>
          <w:szCs w:val="20"/>
          <w:color w:val="auto"/>
        </w:rPr>
      </w:pPr>
      <w:r>
        <w:rPr>
          <w:rFonts w:ascii="Arial" w:cs="Arial" w:eastAsia="Arial" w:hAnsi="Arial"/>
          <w:sz w:val="17"/>
          <w:szCs w:val="17"/>
          <w:color w:val="auto"/>
        </w:rPr>
        <w:t>underwriting discounts and commissions and estimated offering expenses payable by us, our pro forma as adjusted net tangible book value as of</w:t>
      </w:r>
    </w:p>
    <w:p>
      <w:pPr>
        <w:spacing w:after="0" w:line="397"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March 31, 2021 would have been $ million, or $ per share. This represents an immediate increase in pro forma as adjusted net tangible book value per share of $ to existing stockholders and immediate dilution of $ in pro forma as adjusted net tangible book value per share to new</w:t>
      </w:r>
    </w:p>
    <w:p>
      <w:pPr>
        <w:jc w:val="both"/>
        <w:ind w:left="120"/>
        <w:spacing w:after="0" w:line="255" w:lineRule="auto"/>
        <w:rPr>
          <w:sz w:val="20"/>
          <w:szCs w:val="20"/>
          <w:color w:val="auto"/>
        </w:rPr>
      </w:pPr>
      <w:r>
        <w:rPr>
          <w:rFonts w:ascii="Arial" w:cs="Arial" w:eastAsia="Arial" w:hAnsi="Arial"/>
          <w:sz w:val="18"/>
          <w:szCs w:val="18"/>
          <w:color w:val="auto"/>
        </w:rPr>
        <w:t>investors participating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9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March 31, 2021</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 (92.49)</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114.72</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9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Increase in pro forma as adjusted net tangible book value per share attributable to new investors participating in this</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3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9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dilution information discussed above is illustrative only and will depend on the actual initial public offering price and other terms of this</w:t>
      </w:r>
    </w:p>
    <w:p>
      <w:pPr>
        <w:spacing w:after="0" w:line="3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offering determined at pricing. Each $1.00 increase or decrease in the assumed initial public offering price of $ per share, which is the midpoint of the estimated price range set forth on the cover page of this prospectus, would increase or decrease our pro forma as adjusted net tangible book value per</w:t>
      </w:r>
    </w:p>
    <w:p>
      <w:pPr>
        <w:spacing w:after="0" w:line="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share after this offering by $ and dilution per share to investors participating in this offering by $ , assuming that the number of shares offered by us, as set forth on the cover page of this prospectus, remains the same and after deducting estimated underwriting discounts and commissions and estimated offering expenses payable by us. Each increase of 1,000,000 shares in the number of shares offered by us, as set forth on the cover page of this prospectus, would increase our pro forma as adjusted net tangible book value per share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2240" w:val="left"/>
          <w:tab w:leader="none" w:pos="9040" w:val="left"/>
        </w:tabs>
        <w:rPr>
          <w:sz w:val="20"/>
          <w:szCs w:val="20"/>
          <w:color w:val="auto"/>
        </w:rPr>
      </w:pPr>
      <w:r>
        <w:rPr>
          <w:rFonts w:ascii="Arial" w:cs="Arial" w:eastAsia="Arial" w:hAnsi="Arial"/>
          <w:sz w:val="18"/>
          <w:szCs w:val="18"/>
          <w:color w:val="auto"/>
        </w:rPr>
        <w:t>after this offering by $</w:t>
      </w:r>
      <w:r>
        <w:rPr>
          <w:sz w:val="20"/>
          <w:szCs w:val="20"/>
          <w:color w:val="auto"/>
        </w:rPr>
        <w:tab/>
      </w:r>
      <w:r>
        <w:rPr>
          <w:rFonts w:ascii="Arial" w:cs="Arial" w:eastAsia="Arial" w:hAnsi="Arial"/>
          <w:sz w:val="18"/>
          <w:szCs w:val="18"/>
          <w:color w:val="auto"/>
        </w:rPr>
        <w:t>and decrease the dilution per share to new investors participating in this offering by $</w:t>
      </w:r>
      <w:r>
        <w:rPr>
          <w:sz w:val="20"/>
          <w:szCs w:val="20"/>
          <w:color w:val="auto"/>
        </w:rPr>
        <w:tab/>
      </w:r>
      <w:r>
        <w:rPr>
          <w:rFonts w:ascii="Arial" w:cs="Arial" w:eastAsia="Arial" w:hAnsi="Arial"/>
          <w:sz w:val="16"/>
          <w:szCs w:val="16"/>
          <w:color w:val="auto"/>
        </w:rPr>
        <w:t>, assuming no change in the</w:t>
      </w:r>
    </w:p>
    <w:p>
      <w:pPr>
        <w:spacing w:after="0" w:line="23" w:lineRule="exact"/>
        <w:rPr>
          <w:sz w:val="20"/>
          <w:szCs w:val="20"/>
          <w:color w:val="auto"/>
        </w:rPr>
      </w:pPr>
    </w:p>
    <w:p>
      <w:pPr>
        <w:ind w:left="120" w:right="20"/>
        <w:spacing w:after="0" w:line="186" w:lineRule="auto"/>
        <w:rPr>
          <w:sz w:val="20"/>
          <w:szCs w:val="20"/>
          <w:color w:val="auto"/>
        </w:rPr>
      </w:pPr>
      <w:r>
        <w:rPr>
          <w:rFonts w:ascii="Arial" w:cs="Arial" w:eastAsia="Arial" w:hAnsi="Arial"/>
          <w:sz w:val="12"/>
          <w:szCs w:val="12"/>
          <w:color w:val="auto"/>
        </w:rPr>
        <w:t>assumed initial public offering price per share and after deducting estimated underwriting discounts and commissions and estimated offering expenses payable by us. Each decrease of 1,000,000 shares in the number of shares offered by us, as set forth on the cover page of this prospectus, would decrease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pro forma as adjusted net tangible book value per share after this offering by $ and increase the dilution per share to new investors participating in this offering by $ , assuming no change in the assumed initial public offering price after deducting estimated underwriting discounts and commissions and estimated offering expenses payable by 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underwriters exercise in full their option to purchase additional shares of common stock, our pro forma as adjusted net tangible book value</w:t>
      </w:r>
    </w:p>
    <w:p>
      <w:pPr>
        <w:spacing w:after="0" w:line="4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per share after this offering would be $ , representing an immediate increase in pro forma as adjusted net tangible book value per share of $ to existing stockholders and immediate dilution in pro forma as adjusted net tangible book value per share of $ to new investors participating in this offering, assuming an initial public offering price of $ per share, which is the midpoint of the estimated price range set forth on the cover page of this prospectus, and after deducting estimated underwriting discounts and commissions and estimated offering expenses payable by us.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following table summarizes, as of March 31, 2021, the total number of shares of common stock purchased from us on an as converted to common stock basis, the total consideration and the average price per share (1) paid by existing stockholders and (2) to be paid by new investors participating in this offering at the assumed initial public offering price of $ per share, which is the midpoint of the estimated price range set forth on the cover page of this prospectus, before deducting estimated underwriting discounts and commissions and estimated offering expenses payable by us. As the table shows, new investors participating in this offering will pay an average price per share substantially higher than our existing stockholders paid.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640" w:type="dxa"/>
            <w:vAlign w:val="bottom"/>
            <w:gridSpan w:val="3"/>
            <w:vMerge w:val="restart"/>
          </w:tcPr>
          <w:p>
            <w:pPr>
              <w:jc w:val="right"/>
              <w:ind w:right="199"/>
              <w:spacing w:after="0"/>
              <w:rPr>
                <w:sz w:val="20"/>
                <w:szCs w:val="20"/>
                <w:color w:val="auto"/>
              </w:rPr>
            </w:pPr>
            <w:r>
              <w:rPr>
                <w:rFonts w:ascii="Arial" w:cs="Arial" w:eastAsia="Arial" w:hAnsi="Arial"/>
                <w:sz w:val="14"/>
                <w:szCs w:val="14"/>
                <w:b w:val="1"/>
                <w:bCs w:val="1"/>
                <w:color w:val="auto"/>
              </w:rPr>
              <w:t>Shares Purchased</w:t>
            </w:r>
          </w:p>
        </w:tc>
        <w:tc>
          <w:tcPr>
            <w:tcW w:w="36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Total Consideration</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596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tcBorders>
              <w:bottom w:val="single" w:sz="8" w:color="auto"/>
            </w:tcBorders>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596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4"/>
                <w:szCs w:val="4"/>
                <w:color w:val="auto"/>
              </w:rPr>
            </w:pPr>
          </w:p>
        </w:tc>
        <w:tc>
          <w:tcPr>
            <w:tcW w:w="106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4"/>
                <w:szCs w:val="4"/>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5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80" w:type="dxa"/>
            <w:vAlign w:val="bottom"/>
            <w:gridSpan w:val="2"/>
          </w:tcPr>
          <w:p>
            <w:pPr>
              <w:ind w:left="44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540" w:type="dxa"/>
            <w:vAlign w:val="bottom"/>
            <w:gridSpan w:val="11"/>
          </w:tcPr>
          <w:p>
            <w:pPr>
              <w:ind w:left="140"/>
              <w:spacing w:after="0"/>
              <w:rPr>
                <w:sz w:val="20"/>
                <w:szCs w:val="20"/>
                <w:color w:val="auto"/>
              </w:rPr>
            </w:pPr>
            <w:r>
              <w:rPr>
                <w:rFonts w:ascii="Arial" w:cs="Arial" w:eastAsia="Arial" w:hAnsi="Arial"/>
                <w:sz w:val="18"/>
                <w:szCs w:val="18"/>
                <w:color w:val="auto"/>
                <w:w w:val="91"/>
              </w:rPr>
              <w:t>per share, which is the midpoint of the estimated price range</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set forth on the cover page of this prospectus, would increase or decrease the total consideration paid by new investors participating in this offering by</w:t>
      </w:r>
    </w:p>
    <w:p>
      <w:pPr>
        <w:spacing w:after="0" w:line="32" w:lineRule="exact"/>
        <w:rPr>
          <w:sz w:val="20"/>
          <w:szCs w:val="20"/>
          <w:color w:val="auto"/>
        </w:rPr>
      </w:pPr>
    </w:p>
    <w:p>
      <w:pPr>
        <w:ind w:left="660" w:hanging="544"/>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million and, in the case of an increase, would increase the percentage of total consideration paid by new investors participating in this offering</w:t>
      </w:r>
    </w:p>
    <w:p>
      <w:pPr>
        <w:spacing w:after="0" w:line="386"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color w:val="auto"/>
        </w:rPr>
        <w:t>by percentage points and, in the case of a decrease, would decrease the percentage of total consideration paid by new investors by percentage points, assuming that the number of shares offered by us, as set forth on the cover page of this prospectus, remains the same. Each</w:t>
      </w:r>
    </w:p>
    <w:p>
      <w:pPr>
        <w:ind w:left="120"/>
        <w:spacing w:after="0"/>
        <w:rPr>
          <w:sz w:val="20"/>
          <w:szCs w:val="20"/>
          <w:color w:val="auto"/>
        </w:rPr>
      </w:pPr>
      <w:r>
        <w:rPr>
          <w:rFonts w:ascii="Arial" w:cs="Arial" w:eastAsia="Arial" w:hAnsi="Arial"/>
          <w:sz w:val="16"/>
          <w:szCs w:val="16"/>
          <w:color w:val="auto"/>
        </w:rPr>
        <w:t>increase or decrease of 1,000,000 shares in the number of shares offered by us, as set forth on the cover page of this prospectus, would increase or</w:t>
      </w:r>
    </w:p>
    <w:p>
      <w:pPr>
        <w:spacing w:after="0" w:line="386"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decrease the total consideration paid by new investors participating in this offering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 per share.</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table assumes no exercise of the underwriters’ option to purchase additional shares in this offering. If the underwriters exercise in full their option to purchase additional shares of our common stock, the number of shares of our common stock held by existing stockholders would be reduced</w:t>
      </w:r>
    </w:p>
    <w:p>
      <w:pPr>
        <w:ind w:left="120" w:right="20"/>
        <w:spacing w:after="0" w:line="290" w:lineRule="auto"/>
        <w:rPr>
          <w:sz w:val="20"/>
          <w:szCs w:val="20"/>
          <w:color w:val="auto"/>
        </w:rPr>
      </w:pPr>
      <w:r>
        <w:rPr>
          <w:rFonts w:ascii="Arial" w:cs="Arial" w:eastAsia="Arial" w:hAnsi="Arial"/>
          <w:sz w:val="17"/>
          <w:szCs w:val="17"/>
          <w:color w:val="auto"/>
        </w:rPr>
        <w:t>to % of the total number of shares of our common stock outstanding after this offering, and the number of shares of common stock held by new investors participating in this offering would be increased to % of the total number of shares of our common stock outstanding after this offering.</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number of shares of our common stock to be outstanding after this offering is based on 18,063,132 shares of our common stock outstanding as of March 31, 2021, assuming the conversion of all outstanding shares of our preferred stock, including 4,296,550 shares of Series C preferred stock issued in April 2021, into an aggregate of 16,944,484 shares of common stock upon the closing of this offering, and excludes:</w:t>
      </w:r>
    </w:p>
    <w:p>
      <w:pPr>
        <w:spacing w:after="0" w:line="71" w:lineRule="exact"/>
        <w:rPr>
          <w:sz w:val="20"/>
          <w:szCs w:val="20"/>
          <w:color w:val="auto"/>
        </w:rPr>
      </w:pPr>
    </w:p>
    <w:p>
      <w:pPr>
        <w:jc w:val="both"/>
        <w:ind w:left="1080" w:right="20" w:hanging="532"/>
        <w:spacing w:after="0" w:line="311"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1,073,214 shares of our common stock issuable upon the exercise of options outstanding as of March 31, 2021 under the 2020 Plan, at a weighted-average exercise price of $12.45 per share (which does not include options to purchase an aggregate of 1,508,098 shares of our common stock, at a weighted-average exercise price of $49.27 per share, that were granted subsequent to March 31, 2021);</w:t>
      </w:r>
    </w:p>
    <w:p>
      <w:pPr>
        <w:spacing w:after="0" w:line="54" w:lineRule="exact"/>
        <w:rPr>
          <w:rFonts w:ascii="Arial" w:cs="Arial" w:eastAsia="Arial" w:hAnsi="Arial"/>
          <w:sz w:val="16"/>
          <w:szCs w:val="16"/>
          <w:color w:val="auto"/>
        </w:rPr>
      </w:pPr>
    </w:p>
    <w:p>
      <w:pPr>
        <w:jc w:val="both"/>
        <w:ind w:left="1080" w:hanging="532"/>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2,372,199 shares of our common stock available for future issuance as of March 31, 2021 under the 2020 Plan, which such shares will cease to be available for issuance under the 2020 Plan at the time our 2021 Equity Incentive Plan, or the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701"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the 2021 Plan, which will become effective one day prior to the effectiveness of the registration statement of which this prospectus forms a part, as well as any automatic increases in the number of shares of common stock reserved for future issuance under the 2021 Plan; and</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7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the 2021 ESPP, which will become effective one day prior to the effectiveness of the registration statement of which this prospectus forms a part, as well as any automatic increases in the number of shares of common stock reserved for future issuance under the 2021 ESPP.</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To the extent that outstanding stock options are exercised, new stock options or warrants are issued, or we issue additional shares of common stock, other equity securities or convertible debt securities in the future, there will be further dilution to our stockholders, including new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including new investors participating in this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i w:val="1"/>
          <w:iCs w:val="1"/>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period from June 3, 2020 (inception) to December 31, 2020 and the consolidated balance sheet data as of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5"/>
          </w:tcPr>
          <w:p>
            <w:pPr>
              <w:jc w:val="right"/>
              <w:ind w:right="251"/>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21,992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40,125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auto"/>
              </w:rPr>
              <w:t>Total other income</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(65,319)</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(3)</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r>
              <w:rPr>
                <w:rFonts w:ascii="Arial" w:cs="Arial" w:eastAsia="Arial" w:hAnsi="Arial"/>
                <w:sz w:val="15"/>
                <w:szCs w:val="15"/>
                <w:color w:val="auto"/>
              </w:rPr>
              <w:t>(3)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w w:val="96"/>
              </w:rPr>
              <w:t>Pro forma net loss per share attributable to common stockholders, basic and diluted (unaudited)</w:t>
            </w:r>
            <w:r>
              <w:rPr>
                <w:rFonts w:ascii="Arial" w:cs="Arial" w:eastAsia="Arial" w:hAnsi="Arial"/>
                <w:sz w:val="15"/>
                <w:szCs w:val="15"/>
                <w:color w:val="auto"/>
                <w:w w:val="96"/>
              </w:rPr>
              <w:t>(4)</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 basic and diluted (unaudited)</w:t>
            </w:r>
            <w:r>
              <w:rPr>
                <w:rFonts w:ascii="Arial" w:cs="Arial" w:eastAsia="Arial" w:hAnsi="Arial"/>
                <w:sz w:val="15"/>
                <w:szCs w:val="15"/>
                <w:color w:val="auto"/>
              </w:rPr>
              <w:t>(4)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10,433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74"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540" w:hanging="424"/>
        <w:spacing w:after="0" w:line="265" w:lineRule="auto"/>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ind w:left="540" w:right="20" w:hanging="424"/>
        <w:spacing w:after="0" w:line="250"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See Note 13 to our consolidated financial statements appearing at the end of this prospectus for details on the calculation of basic and diluted net loss per share attributable to common stockholders.</w:t>
      </w:r>
    </w:p>
    <w:p>
      <w:pPr>
        <w:jc w:val="both"/>
        <w:ind w:left="540" w:right="20" w:hanging="424"/>
        <w:spacing w:after="0" w:line="255"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54" w:lineRule="auto"/>
        <w:rPr>
          <w:sz w:val="20"/>
          <w:szCs w:val="20"/>
          <w:color w:val="auto"/>
        </w:rPr>
      </w:pPr>
      <w:r>
        <w:rPr>
          <w:rFonts w:ascii="Arial" w:cs="Arial" w:eastAsia="Arial" w:hAnsi="Arial"/>
          <w:sz w:val="18"/>
          <w:szCs w:val="18"/>
          <w:color w:val="auto"/>
        </w:rPr>
        <w:t>weighted-average common shares outstanding for the period. Pro forma net loss attributable to common stockholders is the same as the amount of net loss attributable to common stockholders for each period presented. Pro forma weighted-average common shares outstanding is computed by adjusting the weighted-average common shares outstanding to give pro forma effect to the automatic conversion of all shares of our preferred stock outstanding as of December 31, 2020 and March 31, 2021 into shares of common stock as if this offering had occurred on the later of June 3, 2020 (inception) or the issuance date of the preferred stock. Pro forma basic and diluted net loss per share attributable to common stockholders does not include the effect of the shares of Series C preferred stock we issued and sold in April 2021 and the shares expected to be sold in this offering.</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ind w:right="1175"/>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71"/>
        </w:trPr>
        <w:tc>
          <w:tcPr>
            <w:tcW w:w="78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142"/>
        </w:trPr>
        <w:tc>
          <w:tcPr>
            <w:tcW w:w="78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55"/>
              <w:spacing w:after="0"/>
              <w:rPr>
                <w:sz w:val="20"/>
                <w:szCs w:val="20"/>
                <w:color w:val="auto"/>
              </w:rPr>
            </w:pPr>
            <w:r>
              <w:rPr>
                <w:rFonts w:ascii="Arial" w:cs="Arial" w:eastAsia="Arial" w:hAnsi="Arial"/>
                <w:sz w:val="18"/>
                <w:szCs w:val="18"/>
                <w:color w:val="auto"/>
              </w:rPr>
              <w:t>114,988</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91,247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104,310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66,197</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740" w:type="dxa"/>
            <w:vAlign w:val="bottom"/>
          </w:tcPr>
          <w:p>
            <w:pPr>
              <w:jc w:val="right"/>
              <w:ind w:right="755"/>
              <w:spacing w:after="0"/>
              <w:rPr>
                <w:sz w:val="20"/>
                <w:szCs w:val="20"/>
                <w:color w:val="auto"/>
              </w:rPr>
            </w:pPr>
            <w:r>
              <w:rPr>
                <w:rFonts w:ascii="Arial" w:cs="Arial" w:eastAsia="Arial" w:hAnsi="Arial"/>
                <w:sz w:val="18"/>
                <w:szCs w:val="18"/>
                <w:color w:val="auto"/>
              </w:rPr>
              <w:t>117,382</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94,874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169,548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169,548</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60" w:type="dxa"/>
            <w:vAlign w:val="bottom"/>
          </w:tcPr>
          <w:p>
            <w:pPr>
              <w:spacing w:after="0"/>
              <w:rPr>
                <w:sz w:val="20"/>
                <w:szCs w:val="20"/>
                <w:color w:val="auto"/>
              </w:rPr>
            </w:pPr>
          </w:p>
        </w:tc>
        <w:tc>
          <w:tcPr>
            <w:tcW w:w="1740" w:type="dxa"/>
            <w:vAlign w:val="bottom"/>
          </w:tcPr>
          <w:p>
            <w:pPr>
              <w:jc w:val="right"/>
              <w:ind w:right="695"/>
              <w:spacing w:after="0"/>
              <w:rPr>
                <w:sz w:val="20"/>
                <w:szCs w:val="20"/>
                <w:color w:val="auto"/>
              </w:rPr>
            </w:pPr>
            <w:r>
              <w:rPr>
                <w:rFonts w:ascii="Arial" w:cs="Arial" w:eastAsia="Arial" w:hAnsi="Arial"/>
                <w:sz w:val="18"/>
                <w:szCs w:val="18"/>
                <w:color w:val="auto"/>
              </w:rPr>
              <w:t>(65,249)</w:t>
            </w:r>
          </w:p>
        </w:tc>
        <w:tc>
          <w:tcPr>
            <w:tcW w:w="2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w:t>
      </w:r>
    </w:p>
    <w:p>
      <w:pPr>
        <w:spacing w:after="0" w:line="18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ADG20 is designed to be a potent, long-acting and broadly neutralizing antibody for both the treatment and prevention of COVID-19 as either a single or combination agent. Unlike other antibody-based therapies targeting SARS-CoV-2, ADG20 has demonstrated an ability to potently neutralize SARS-CoV-2, including variants of concern, as well as a broad range of SARS-like viruses. Potent neutralization has translated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has demonstrated safety, tolerability and a pharmacokinetic profile supportive of continued development. In addition, the serum virus neutralizing antibody titers measured following administration of ADG20 were within the range of peak serum neutralizing antibody titers reported for mRNA COVID-19 vaccine recipients.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7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We were formed in June 2020. In July 2020, we entered into an assignment and license agreement, or the Adimab Assignment Agreement, with Adimab, LLC, or Adimab, pursuant to which we acquired certain rights to Adimab’s antibodies relating to COVID-19 and severe acute respiratory syndrome, or SARS, as well as related provisional patent applications, know-how and data generated with respect to the associated antibodies. In addition, Adimab granted to us a non-exclusive, worldwide license to certain of Adimab’s platform patents and technology for use in research and development. In connection with the rights and license acquired, we issued 5,000,000 shares of our Series A preferred stock to Adimab.</w:t>
      </w:r>
    </w:p>
    <w:p>
      <w:pPr>
        <w:spacing w:after="0" w:line="16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Since our inception, we have devoted substantially all of our resources to organizing and staffing, building an intellectual property portfolio, business planning, conducting research and development, establishing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arrangements with third parties for the manufacture of our product candidates and raising capital. We rely heavily on external consultants and contract research organizations, or CROs, to conduct our non-clinical, preclinical and clinical activities. Additionally, we are currently dependent on a sole contract manufacturing organization, or CMO, for the manufacture of our product candidates for clinical and commercial use. We expect to continue to rely on third parties for clinical trials and the manufacture of our product candidates. Since our inception, we have financed our operations with proceeds from sales of our preferred stock. Through March 31, 2021, we had received net proceeds of $129.5 million from the sales of our preferred stock. In addition, in April 2021, we received gross proceeds of $335.5 million from sales of our Series C preferred stock. To date, we have not generated any revenue from any sources, including product sales. In February 2021, we advanced ADG20 into a Phase 1 clinical trial. We have not yet commenced significant development activities with respect to other product candidates. Our ability to generate product revenue sufficient to achieve profitability will depend heavily on the successful development and eventual commercialization of one or more of our product candidates, if approved.</w:t>
      </w:r>
    </w:p>
    <w:p>
      <w:pPr>
        <w:spacing w:after="0" w:line="166"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Since our inception, we have incurred significant losses, including net losses of $65.3 million for the period from June 3, 2020 (inception) to December 31, 2020 and of $38.7 million for the three months ended March 31, 2021. As of March 31, 2021, we had an accumulated deficit of $104.0 million. We expect to continue to incur significant expenses and recognize substantial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We anticipate that our expenses will increase significantly in connection with our ongoing activities, as we:</w:t>
      </w:r>
    </w:p>
    <w:p>
      <w:pPr>
        <w:spacing w:after="0" w:line="83" w:lineRule="exact"/>
        <w:rPr>
          <w:sz w:val="20"/>
          <w:szCs w:val="20"/>
          <w:color w:val="auto"/>
        </w:rPr>
      </w:pPr>
    </w:p>
    <w:p>
      <w:pPr>
        <w:ind w:left="1080" w:hanging="532"/>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pursue marketing approvals or EUA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the net proceeds from this offering, together with our existing cash and cash equivalents, will be sufficient to fund our operating</w:t>
      </w:r>
    </w:p>
    <w:p>
      <w:pPr>
        <w:spacing w:after="0" w:line="46"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expenses and capital expenditure requirements through . We have based this estimate on assumptions that may prove to be wrong, and we could exhaust our available capital resources sooner than we expect. See “—Liquidity and Capital Resources.”</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Without giving effect to the anticipated net proceeds from this offering, as of May 21, 2021, we expect that our existing cash and cash equivalents, including the $335.5 million of gross proceeds we received from sales of our Series C preferred stock in April 2021, will be sufficient to fund our operating expenses and capital expenditure requirements through March 31, 2022. Beyond that point, we will need to raise additional capital to finance our operations, which cannot be assured. We concluded as of May 21, 2021, the issuance date of our consolidated financial statements for the period from June 3, 2020 (inception) to December 31, 2020 and of our interim consolidated financial statements for the three months ended March 31, 2021, that this circumstance raised substantial doubt about our ability to continue as a going concern within one year of the issuance date of those consolidated financial statements. See Note 1 to our consolidated financial statements appearing at the end of this prospectus for additional information on our assessment.</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Similarly, in its report on our consolidated financial statements for the period from June 3, 2020 (inception) to December 31, 2020, our independent registered public accounting firm included an explanatory paragraph stating that our recurring losses from operations since inception, expectation of generating operating losses in the foreseeable future and need for additional capital to finance our future operations raise substantial doubt about our ability to continue as a going concern.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continued emergence of variants of concern,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the outbreak and its impact on our clinical trial design and enrollment, trial sites, CROs, CMOs and other third parties with which we do business, as well as its impact on regulatory authorities and our key scientific and management personnel. To date, we have not experienced significant delays or disruptions in our development activities as a result of the COVID-19 pandemic but may in the future as the outbreak progresses and some of our CROs, CMOs and other service providers continue to be impacted. We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 Research and development expenses represent costs incurred by us for:</w:t>
      </w:r>
    </w:p>
    <w:p>
      <w:pPr>
        <w:spacing w:after="0" w:line="76"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non-clinical and preclinical development of our product candidates, including our discovery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procurement of our product candidates from third-party manufacturers;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global clinical development of our product candidates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costs consist of:</w:t>
      </w:r>
    </w:p>
    <w:p>
      <w:pPr>
        <w:spacing w:after="0" w:line="131" w:lineRule="exact"/>
        <w:rPr>
          <w:sz w:val="20"/>
          <w:szCs w:val="20"/>
          <w:color w:val="auto"/>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contractors and CROs, that conduct the non-clinical and preclinical studies and clinical trials of our product candidates and research programs;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procuring manufactured product candidates for use in non-clinical studies, preclinical studies and clinical trials from third-party CMOs;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costs of outside consultants and advisors, including their fees and stock-based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expenses incurred as a result of research and development activities.</w:t>
      </w:r>
    </w:p>
    <w:p>
      <w:pPr>
        <w:spacing w:after="0" w:line="22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4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primary focus since inception has been the development of ADG20. Our research and development costs consist primarily of external costs, such as fees paid to CMOs,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19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ADG20 through clinical development on a global basis, pursue regulatory approval of ADG20, continue to discover and develop additional product candidates and incur expenses associated with hiring additional personnel to support our research and development efforts, including the associated manufacturing activities.</w:t>
      </w:r>
    </w:p>
    <w:p>
      <w:pPr>
        <w:spacing w:after="0" w:line="16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54"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filing acceptable investigational new drug applications with the U.S. Food and Drug Administration or comparable foreign applications that allow commencement of our planned clinical trials or future clinical trials for our product candidates;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ADG20 or any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potential significant and changing government regulation, regulatory guidance and requirements and evolving treatment guidelines; and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In addition, we may never succeed in obtaining regulatory approval or EUA for any of our product candidates.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Acquired in-process research and development, or IPR&amp;D, expenses consist primarily of the upfront costs we incurred in July 2020, as well as any costs of contingent milestone payments and royalties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we become obligated to make contingent milestone and royalty payments to Adimab under the terms of the agreement by which we acquired the IPR&amp;D assets.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17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anticipate that our selling, general and administrative expenses will increase significantly in the future as our business expands and we increase our headcount to support the expected growth in our research and development activities and the potential commercialization of our product candidates. In particular, we expect to incur additional commercialization expenses prior to any regulatory approval or EUA of our product candidates as we continue to expand our commercial function to support potential future product launches. We also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anticipate that we will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Through March 31, 2021, we have operated as a virtual company. Therefore, we do not incur material operating expenses for the rent, maintenance and insurance of facilities or for depreciation of fixed assets. We plan to enter into a lease for office space in the near term, which would increase our operating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Interest income consists of interest earned from our cash and cash equivalents. We expect our interest income will increase slightly as we invest the cash received from our sales of Series C preferred stock in April 2021 and the net proceeds from this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losses we have incurred or for the research and development tax credits generated in each period as we believe, based upon the weight of available evidence, that it is more likely than not that all of our net operating loss, or NOL, carryforwards and tax credit carryforwards will not be realized.</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As of December 31, 2020, we had U.S. federal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 We have recorded a full valuation allowance against our net deferred tax assets at each balance sheet date.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summarizes our results of operations for the period from June 3, 2020 (inception) to December 31, 2020 and for the three months ended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321"/>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21,992</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40,125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Loss from operations</w:t>
            </w:r>
          </w:p>
        </w:tc>
        <w:tc>
          <w:tcPr>
            <w:tcW w:w="3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3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(65,319)</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420" w:type="dxa"/>
            <w:vAlign w:val="bottom"/>
            <w:vMerge w:val="restart"/>
          </w:tcPr>
          <w:p>
            <w:pPr>
              <w:jc w:val="right"/>
              <w:ind w:right="225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description of material changes from period to period required by Item 303 of Regulation S-K cannot be presented as no company-related activities were performed by any party before our company was formed on June 3, 2020 and there are no comparative earlier periods for purposes of this analysis. Accordingly, the following discussion presents the components of our expenses for the periods presented.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4"/>
              </w:rPr>
              <w:t>Period from</w:t>
            </w:r>
          </w:p>
        </w:tc>
        <w:tc>
          <w:tcPr>
            <w:tcW w:w="4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June 3, 2020</w:t>
            </w:r>
          </w:p>
        </w:tc>
        <w:tc>
          <w:tcPr>
            <w:tcW w:w="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19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research and development expenses by program:</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ADG20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18,523</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30,652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External discovery-related costs and other</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3"/>
        </w:trPr>
        <w:tc>
          <w:tcPr>
            <w:tcW w:w="798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21,992</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Research and development expenses were $22.0 million for the period from June 3, 2020 (inception) to December 31, 2020 and consisted primarily of the following:</w:t>
      </w:r>
    </w:p>
    <w:p>
      <w:pPr>
        <w:spacing w:after="0" w:line="76" w:lineRule="exact"/>
        <w:rPr>
          <w:sz w:val="20"/>
          <w:szCs w:val="20"/>
          <w:color w:val="auto"/>
        </w:rPr>
      </w:pPr>
    </w:p>
    <w:p>
      <w:pPr>
        <w:jc w:val="both"/>
        <w:ind w:left="1080" w:right="20" w:hanging="532"/>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$14.8 million of contract manufacturing expenses related to the production of materials for use in our preclinical studies and clinical trials for the ADG20 program, procured primarily from WuXi Biologics (Hong Kong) Limited, or WuXi, our sole-source supplier of drug substance;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$1.4 million of clinical trial expenses related to start-up activities for our clinical trials for the ADG20 program;</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$1.3 million of non-clinical studies expenses associated with the ADG20 program;</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$1.7 million of personnel-related costs, including salaries, bonuses and other compensation-related costs, including stock-based compensation of $0.1 million;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$1.7 million of external discovery-related and other costs.</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contract manufacturing, clinical and other external research and development costs for our ADG20 program were incurred in connection with our first-in-human Phase 1 clinical trial to evaluate ADG20 and our Phase 2/3 STAMP trial of ADG20 for the treatment of COVID-19.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were $34.0 million for the three months ended March 31, 2021 and consisted primarily of the following:</w:t>
      </w:r>
    </w:p>
    <w:p>
      <w:pPr>
        <w:spacing w:after="0" w:line="154" w:lineRule="exact"/>
        <w:rPr>
          <w:sz w:val="20"/>
          <w:szCs w:val="20"/>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$20.4 million of contract manufacturing expenses related to the production of materials for use in our preclinical studies and clinical trials for the ADG20 program, procured primarily from WuXi, our sole-source supplier of drug substance;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$7.5 million of clinical trial expenses related to start-up activities for our clinical trials for the ADG20 program, including site initiation and patient enrollment;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$1.8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$0.9 million of non-clinical studies expenses associated with the ADG20 program;</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$2.3 million of personnel-related costs, including salaries, bonuses and other compensation-related costs, including stock-based compensation of $0.3 million;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$1.1 million of external discovery-related and other costs.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contract manufacturing, clinical and other external research and development costs for our ADG20 program were incurred in connection with our first-in-human Phase 1 clinical trial to evaluate ADG20, which was initiated in February 2021, and our Phase 2/3 STAMP trial of ADG20 for the treatment of COVID-19, which was initiated in March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Acquired IPR&amp;D expenses of $40.1 million for the period from June 3, 2020 (inception) to December 31, 2020 consisted primarily of the $39.9 million of costs we incurred in July 2020 to acquire rights to Adimab’s antibodies relating to COVID-19 and SARS and related intellectual property and a license to certain of Adimab’s platform patents and technology for use in the research and development of our product candidates. We expensed the cost of the IPR&amp;D assets acquired because they had no alternative future use as of the acquisition date. The $39.9 million of costs to acquire the IPR&amp;D assets was determined as a result of our allocation of the $40.0 million aggregate fair value of the 5,000,000 shares of the Series A preferred stock that we issued to Adimab on the acquisition date in exchange for (i) the IPR&amp;D assets acquired from Adimab and (ii) 4,250,000 shares of our common stock that we repurchased from Adimab on that same date. We allocated the $40.0 million fair value of the 5,000,000 shares of Series A preferred to the IPR&amp;D assets and to the repurchased common stock based on their relative fair values on the acquisition date. We determined the fair value of the 5,000,000 shares of Series A preferred stock based on the $8.00 price per share paid for the stock by new investors in our Series A preferred stock financing, which closed on the same date as the date on which we acquired the intellectual property rights and license from Adimab.</w:t>
      </w:r>
    </w:p>
    <w:p>
      <w:pPr>
        <w:spacing w:after="0" w:line="16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Acquired IPR&amp;D expenses of $1.0 million for the three months ended March 31, 2021 consisted of the cost we incurred in the period under the Adimab Assignment Agreement for a milestone payment that became due to Adimab in February 2021 upon the dosing of the first patient in a Phase 1 clinical trial evaluating ADG20. The amount of this contingent payment was recognized as an IPR&amp;D expense based on the nature of the associated assets acquired from Adimab on the date of the milestone achievement.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20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9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(including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1,239</w:t>
            </w: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Professional and consultant fees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1,849</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Selling, general and administrative expenses were $3.2 million for the period from June 3, 2020 (inception) to December 31, 2020 and consisted primarily of:</w:t>
      </w:r>
    </w:p>
    <w:p>
      <w:pPr>
        <w:spacing w:after="0" w:line="76" w:lineRule="exact"/>
        <w:rPr>
          <w:sz w:val="20"/>
          <w:szCs w:val="20"/>
          <w:color w:val="auto"/>
        </w:rPr>
      </w:pPr>
    </w:p>
    <w:p>
      <w:pPr>
        <w:ind w:left="108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$1.2 million of personnel-related costs, including salaries, bonuses and other compensation-related costs, including stock-based compensation of $30,000;</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$1.2 million of professional service fees, including corporate legal costs as well as costs related to intellectual property, legal and compliance costs;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$0.6 million of market research costs relating to developing our potential commercialization plans and brand-related matters;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$0.1 million related to non-capital software and hardware and other office-related expenses.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Selling, general and administrative expenses were $3.7 million for the three months ended March 31, 2021 and consisted primarily of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$1.5 million of personnel-related costs, including salaries, bonuses and other compensation-related costs, including stock-based compensation of $0.3 million;</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$1.1 million of professional service fees, including corporate legal costs as well as costs related to intellectual property, legal and compliance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$0.9 million of market research costs relating to developing our potential commercialization plans and consumer brand-related matters;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$0.2 million related to non-capital software and hardware and other office-related expenses.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Interest income for the period from June 3, 2020 (inception) to December 31, 2020 and for the three months ended March 31, 2021 was $8,000 and $9,000, respectively, consisting of interest earned on our cash and cash equivalents.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Since our inception in June 2020, we have not generated any revenue from any sources, including from product sales, and have incurred significant operating losses and negative cash flows from operations. We expect to incur significant expenses and operating losses for the foreseeable future as we advance the clinical development of our product candidates. To date, we have funded our operations with proceeds from sales of our preferred stock. Through March 31, 2021, we had received net proceeds of $129.5 million from sales of our preferred stock. As of March 31, 2021, we had cash and cash equivalents of $91.2 million. In addition, in April 2021, we received gross proceeds of $335.5 million from sales of our Series C preferred stock.</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(14,571)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129,559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114,988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During the period from June 3, 2020 (inception) to December 31, 2020, operating activities used $14.6 million of cash, primarily due to our net loss of $65.3 million, partially offset by non-cash charges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$40.1 million and net cash provided by changes in our operating assets and liabilities of $10.7 million. Net cash provided by changes in our operating assets and liabilities consisted of an $8.2 million increase in accounts payable and a $4.9 million increase in accrued expenses, both partially offset by a $2.4 million increase in prepaid expenses and other 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was primarily due to prepayments for external research and development activities.</w:t>
      </w:r>
    </w:p>
    <w:p>
      <w:pPr>
        <w:spacing w:after="0" w:line="178"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During the three months ended March 31, 2021, operating activities used $23.7 million of cash, primarily resulting from our net loss of $38.7 million, partially offset by non-cash charges of $0.6 million and net cash provided by changes in our operating assets and liabilities of $14.4 million. Net cash provided by changes in our operating assets and liabilities for the three months ended March 31, 2021 consisted primarily of a $12.4 million increase in accrued expenses and a $3.2 million increase in accounts payable, both partially offset by a $1.2 million increase in prepaid expenses and other current assets. The increases in accounts payable, accrued expenses and prepaid expenses were primarily due to increased external costs associated with our research and development activities, including clinical trials and manufacturing.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had no cash used in or provided by investing activities for the period from June 3, 2020 (inception) to December 31, 2020 or for the three months ended March 31,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During the period from June 3, 2020 (inception) to December 31, 2020, net cash provided by financing activities was $129.6 million, primarily related to net proceeds of $49.7 million from the issuance of our Series A preferred stock in July 2020 and net proceeds of $79.8 million from the issuance of our Series B preferred stock in October and November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had no cash used in or provided by financing activities for the three months ended March 31, 2021.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non-clinical and preclinical studies and the current and future clinical trials of our product candidates. Our funding requirements and timing and amount of our operating expenditures will depend on many factors, including:</w:t>
      </w:r>
    </w:p>
    <w:p>
      <w:pPr>
        <w:spacing w:after="0" w:line="8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rate of progress in the development of AGD20 and our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that the net proceeds from this offering, together with our existing cash and cash equivalents, will enable us to fund our operating</w:t>
      </w:r>
    </w:p>
    <w:p>
      <w:pPr>
        <w:spacing w:after="0" w:line="35"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expenses and capital expenditure requirements through . We have based this estimate on assumptions that may prove to be wrong, and we could exhaust our available capital resources sooner than we expect.</w:t>
      </w:r>
    </w:p>
    <w:p>
      <w:pPr>
        <w:spacing w:after="0" w:line="185"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2020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Payments Due by Period</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Less than</w:t>
            </w:r>
          </w:p>
        </w:tc>
        <w:tc>
          <w:tcPr>
            <w:tcW w:w="560" w:type="dxa"/>
            <w:vAlign w:val="bottom"/>
          </w:tcPr>
          <w:p>
            <w:pPr>
              <w:spacing w:after="0"/>
              <w:rPr>
                <w:sz w:val="10"/>
                <w:szCs w:val="10"/>
                <w:color w:val="auto"/>
              </w:rPr>
            </w:pPr>
          </w:p>
        </w:tc>
        <w:tc>
          <w:tcPr>
            <w:tcW w:w="11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1 to 3</w:t>
            </w:r>
          </w:p>
        </w:tc>
        <w:tc>
          <w:tcPr>
            <w:tcW w:w="14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4 to 5</w:t>
            </w:r>
          </w:p>
        </w:tc>
        <w:tc>
          <w:tcPr>
            <w:tcW w:w="2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00" w:type="dxa"/>
            <w:vAlign w:val="bottom"/>
          </w:tcPr>
          <w:p>
            <w:pPr>
              <w:jc w:val="right"/>
              <w:ind w:right="18"/>
              <w:spacing w:after="0"/>
              <w:rPr>
                <w:sz w:val="20"/>
                <w:szCs w:val="20"/>
                <w:color w:val="auto"/>
              </w:rPr>
            </w:pPr>
            <w:r>
              <w:rPr>
                <w:rFonts w:ascii="Arial" w:cs="Arial" w:eastAsia="Arial" w:hAnsi="Arial"/>
                <w:sz w:val="14"/>
                <w:szCs w:val="14"/>
                <w:b w:val="1"/>
                <w:bCs w:val="1"/>
                <w:color w:val="auto"/>
              </w:rPr>
              <w:t>1 Year</w:t>
            </w:r>
          </w:p>
        </w:tc>
        <w:tc>
          <w:tcPr>
            <w:tcW w:w="5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Manufacturing agreement</w:t>
            </w:r>
            <w:r>
              <w:rPr>
                <w:rFonts w:ascii="Arial" w:cs="Arial" w:eastAsia="Arial" w:hAnsi="Arial"/>
                <w:sz w:val="15"/>
                <w:szCs w:val="15"/>
                <w:color w:val="auto"/>
              </w:rPr>
              <w:t>(1)</w:t>
            </w:r>
          </w:p>
        </w:tc>
        <w:tc>
          <w:tcPr>
            <w:tcW w:w="1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$142,865</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$21,799</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$121,066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License agreement</w:t>
            </w:r>
          </w:p>
        </w:tc>
        <w:tc>
          <w:tcPr>
            <w:tcW w:w="1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(2)</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143,015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21,949</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121,066</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8"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represent minimum purchase commitments under an arrangement with our CMO for commercial supply. The table reflects obligations that are non-cancelable as of December 31, 2020, based on the expected due dates for such purchases.</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Through December 31, 2020, we have operated as a virtual company. Therefore, we do not maintain a corporate headquarters or have material leasing arrangements.</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a manufacturing agreement with WuXi, which outlines the terms and conditions under which it will manufacture ADG20 drug substance for commercial use. Our requirements for manufacture of ADG20 for the years ending December 31, 2021 and 2022, the payments for which will extend into 2023, are governed by a binding, forecasted schedule and are presented in the preceding table.</w:t>
      </w:r>
    </w:p>
    <w:p>
      <w:pPr>
        <w:spacing w:after="0" w:line="18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Under a separate cell line license agreement with WuXi, as of December 31, 2020, we were obligated to pay a license fee of $0.2 million to WuXi, which was an accrued expense as of December 31, 2020 and March 31, 2021. Under the agreement, we are obligated to pay royalties of a low single-digit percentage to WuXi based on our net sales of any products covered by the license. However, if we use WuXi to manufacture all of our commercial supplies, no royalties would be owed by us to WuXi for net sales of licensed products. We have an option to buy out our royalty obligations by making a specified payment to WuXi of a low eight-digit amount. These royalty payments are not included in the preceding table as the amount and timing of such payments are not fixed and estimable.</w:t>
      </w:r>
    </w:p>
    <w:p>
      <w:pPr>
        <w:spacing w:after="0" w:line="19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Under the Adimab Assignment Agreement, we are obligated to pay Adimab up to $16.5 million upon the achievement of specified development and regulatory milestones for the first product licensed under the agreement that achieves specified development and regulatory events and up to $8.1 million upon the achievement of specified development and regulatory milestones for the second product licensed under the agreement that achieves such development and regulatory events. 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 the agreement upon dosing of the first patient in a Phase 2 clinical trial evaluating ADG20 for the prevention of COVID-19, which obligated us to make a $2.5 million payment to Adimab. The next potential milestone payment that we may be obligated to make is a $4.0 million milestone payment for the first dosing of the first subject in the first Phase 3 clinical trial of a product licensed under the agreement. In addition, we are obligated to pay Adimab royalties of a mid single-digit percentage based on our net sales of any products covered by the rights assigned. Further, we are obligated to pay Adimab royalties of a specified percentage in the range of 45% to 55% of any compulsory sublicense consideration received by us in lieu of certain royalty payments. These milestone and royalty payments are not included in the preceding table as the amount and timing of such payments are not fixed and estimable. For</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additional information, see “Business—Licensing, Collaborations and Partnerships—Assignment and License Agreement with Adimab” and “Certain Relationships and Related Party Transactions” appearing elsewhere in this prospectus.</w:t>
      </w:r>
    </w:p>
    <w:p>
      <w:pPr>
        <w:spacing w:after="0" w:line="170"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We enter into other contracts in the normal course of business with CROs, CMOs and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 Accordingly, these payments are not included in the preceding table as the amount and timing of such payments are not fixed and estimable.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at the end of this prospectus, we believe the following accounting policies used in the preparation of our consolidated financial statements require the most significant judgments and estimates.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83"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CROs in connection with performing non-clinical studies, preclinical studies and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CMOs related to the production of our product candidates for non-clinical studies, preclinical studies and clinical trials;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other providers and vendors in connection with research and development activities.</w:t>
      </w:r>
    </w:p>
    <w:p>
      <w:pPr>
        <w:spacing w:after="0" w:line="225"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CMOs, and other companies of any actual costs incurred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 Acquisitions and Acquired In-Process 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measure and recognize asset acquisitions that are not deemed to be business combinations based on the cost to acquire the asset or group of assets, which includes transaction costs. Goodwill is not recognized in asset acquisitions. In an asset acquisition, the cost allocated to acquire IPR&amp;D with no alternative future use is recognized as expense on the acquisition date.</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concluded that the agreement under which we acquired rights to Adimab’s antibodies relating to COVID-19 and SARS and related intellectual property and a license to certain of Adimab’s platform patents and technology in June 2020 represented an asset acquisition of IPR&amp;D assets with no alternative future use. We further concluded that the arrangement did not qualify as a business combination because substantially all of the fair value of the assets acquired was concentrated in a single asset.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 option-pricing model. We have issued awards with only service-based vesting conditions.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We have issued awards with only service-based vesting conditions through March 31, 2021.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18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In future periods, we expect stock-based compensation expense to increase due to our existing unrecognized stock-based compensation expense and to additional stock-based awards we expect to grant to continue to attract new hires and retain our existing employees.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there has been no public market for our common stock prior to this offering, the estimated fair value of our common stock underlying our stock-based awards has been determined by our board of directors as of each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prepared in accordance with the guidance outlined in the American Institute of Certified Public Accountants’ Accounting and Valuation Guide</w:t>
      </w:r>
      <w:r>
        <w:rPr>
          <w:rFonts w:ascii="Arial" w:cs="Arial" w:eastAsia="Arial" w:hAnsi="Arial"/>
          <w:sz w:val="16"/>
          <w:szCs w:val="16"/>
          <w:i w:val="1"/>
          <w:iCs w:val="1"/>
          <w:color w:val="auto"/>
        </w:rPr>
        <w:t>, Valuation of Privately-Held Company Equity Securities Issued as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Our common stock valuations were prepared using either a current value method, or CVM, an option pricing method, or OPM, or a</w:t>
      </w:r>
      <w:r>
        <w:rPr>
          <w:rFonts w:ascii="Arial" w:cs="Arial" w:eastAsia="Arial" w:hAnsi="Arial"/>
          <w:sz w:val="16"/>
          <w:szCs w:val="16"/>
          <w:i w:val="1"/>
          <w:iCs w:val="1"/>
          <w:color w:val="auto"/>
        </w:rPr>
        <w:t xml:space="preserve"> </w:t>
      </w:r>
      <w:r>
        <w:rPr>
          <w:rFonts w:ascii="Arial" w:cs="Arial" w:eastAsia="Arial" w:hAnsi="Arial"/>
          <w:sz w:val="16"/>
          <w:szCs w:val="16"/>
          <w:color w:val="auto"/>
        </w:rPr>
        <w:t>hybrid method. To estimate our enterprise value, the CVM used an asset approach and the OPM and hybrid methods used a market approach. Under the CVM, once the fair value of the enterprise is established based on the balance sheet, the value is allocated to the various series of preferred and common stock based on their respective liquidation preferences or conversion values, whichever is greater.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7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These third-party valuations were performed at various dates, which resulted in valuations of our common stock of $0.00 per share as of June 19, 2020, $3.90 per share as of July 9, 2020, $23.04 per share as of October 31, 2020, $41.80 as of March 15, 2021 and $50.68 as of May 1, 2021. In addition to considering the results of these third-party valuations, our board of directors considered various objective and subjective factors to determine the fair value of common stock as of each grant date,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prices at which we sold our preferred stock and the superior rights and preferences of our preferred stock relative to those of our common stock at the time of each grant;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clinical trials for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stage of development and our business strategy;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competitive landscape for similar products for the treatment and prevention of COVID-19;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based on the quoted market price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Option Grants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following table summarizes by grant date the number of shares subject to options granted since June 3, 2020 (inception), the per share exercise price of the options, the per share fair value of our common stock on each grant date and the per share estimated fair value of the options: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1"/>
              </w:rPr>
              <w:t>Per Share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3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300" w:type="dxa"/>
            <w:vAlign w:val="bottom"/>
          </w:tcPr>
          <w:p>
            <w:pPr>
              <w:spacing w:after="0"/>
              <w:rPr>
                <w:sz w:val="12"/>
                <w:szCs w:val="12"/>
                <w:color w:val="auto"/>
              </w:rPr>
            </w:pPr>
          </w:p>
        </w:tc>
        <w:tc>
          <w:tcPr>
            <w:tcW w:w="1440" w:type="dxa"/>
            <w:vAlign w:val="bottom"/>
            <w:gridSpan w:val="3"/>
          </w:tcPr>
          <w:p>
            <w:pPr>
              <w:jc w:val="center"/>
              <w:ind w:right="404"/>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2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40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to Options</w:t>
            </w:r>
          </w:p>
        </w:tc>
        <w:tc>
          <w:tcPr>
            <w:tcW w:w="30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3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Granted</w:t>
            </w:r>
          </w:p>
        </w:tc>
        <w:tc>
          <w:tcPr>
            <w:tcW w:w="300" w:type="dxa"/>
            <w:vAlign w:val="bottom"/>
          </w:tcPr>
          <w:p>
            <w:pPr>
              <w:spacing w:after="0"/>
              <w:rPr>
                <w:sz w:val="15"/>
                <w:szCs w:val="15"/>
                <w:color w:val="auto"/>
              </w:rPr>
            </w:pPr>
          </w:p>
        </w:tc>
        <w:tc>
          <w:tcPr>
            <w:tcW w:w="9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1440" w:type="dxa"/>
            <w:vAlign w:val="bottom"/>
            <w:gridSpan w:val="3"/>
          </w:tcPr>
          <w:p>
            <w:pPr>
              <w:jc w:val="center"/>
              <w:ind w:right="404"/>
              <w:spacing w:after="0" w:line="158" w:lineRule="exact"/>
              <w:rPr>
                <w:sz w:val="20"/>
                <w:szCs w:val="20"/>
                <w:color w:val="auto"/>
              </w:rPr>
            </w:pPr>
            <w:r>
              <w:rPr>
                <w:rFonts w:ascii="Arial" w:cs="Arial" w:eastAsia="Arial" w:hAnsi="Arial"/>
                <w:sz w:val="14"/>
                <w:szCs w:val="14"/>
                <w:b w:val="1"/>
                <w:bCs w:val="1"/>
                <w:color w:val="auto"/>
                <w:w w:val="95"/>
              </w:rPr>
              <w:t>on Grant Date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June 19, 2020</w:t>
            </w:r>
          </w:p>
        </w:tc>
        <w:tc>
          <w:tcPr>
            <w:tcW w:w="4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1,388,648</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4"/>
              </w:rPr>
              <w:t>$0.02</w:t>
            </w:r>
          </w:p>
        </w:tc>
        <w:tc>
          <w:tcPr>
            <w:tcW w:w="48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87"/>
              </w:rPr>
              <w:t>(1)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4"/>
              </w:rPr>
              <w:t>September 28, 2020</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593,614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$5.00</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January 13,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502,600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23.04</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April 13, 2021</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239,750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41.80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41.80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May 7,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1,268,348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50.68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9"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the time of the option grants on June 19, 2020 and September 28, 2020, our board of directors determined that the fair value of our common stock of $0.01 per share and $3.90 per share reasonably reflected the fair value of our common stock as of each grant date, based on the contemporaneous valuations obtained. However, as described below, the fair value of our common stock at the date of these grants was adjusted in connection with retrospective fair value assessments for accounting purposes.</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the course of preparing for this offering, in April 2021, we performed a retrospective fair value assessment and concluded that the fair value of our common stock underlying stock options that we granted on June 19, 2020 and September 28, 2020 was $0.02 per share as of June 19, 2020 and $5.00 per share as of September 28, 2020 for accounting purposes. These reassessed values were based, in part, upon third-party valuations of our common stock prepared on a retrospective basis as of July 8, 2020 and September 28, 2020. The third-party retrospective valuations were prepared using the CVM or the OPM, which used an asset approach or a market approach to determine our enterprise value. We applied the fair values of our common stock from our retrospective fair value assessments to determine the fair value of these awards and calculate stock-based compensation expense for accounting purposes.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and cash flows is disclosed in Note 2 to our consolidated financial statements appearing at the end of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identified a material weakness in our internal control over financial reporting that existed as of March 31, 2021. See “Risk Factors—We have identified a material weakness in our internal control over financial reporting. If we are unable to remediate this material weakness, or if we identify additional material</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of December 31, 2020, we had cash and cash equivalents of $115.0 million, which consisted of cash and a money market fund. As of March 31, 2021, we had cash and cash equivalents of $91.2 million, which consisted of cash and a money market fund. Interest income is sensitive to changes in the general level of interest rates; however, due to the nature of these investments, an immediate 10% change in interest rates would not have a material impact on the fair value of our investment portfolio. As of December 31, 2020 and March 31, 2021, we had no debt outstanding. Therefore, we are not exposed to interest rate risk with respect to debt.</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Our operations may be subject to fluctuations in foreign currency exchange rates in the future.</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8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ADG20 is designed to be a potent, long-acting and broadly neutralizing antibody for both the treatment and prevention of COVID-19 as either a single or combination agent. Unlike other antibody-based therapies targeting SARS-CoV-2, ADG20 has demonstrated an ability to potently neutralize SARS-CoV-2, including variants of concern, as well as a broad range of SARS-like viruses. Potent neutralization has translated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has demonstrated safety, tolerability and a pharmacokinetic profile supportive of continued development. In addition, the serum virus neutralizing antibody titers measured following administration of ADG20 were within the range of peak serum neutralizing antibody titers reported for mRNA COVID-19 vaccine recipients.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72"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w:t>
      </w:r>
    </w:p>
    <w:p>
      <w:pPr>
        <w:spacing w:after="0" w:line="2" w:lineRule="exact"/>
        <w:rPr>
          <w:sz w:val="20"/>
          <w:szCs w:val="20"/>
          <w:color w:val="auto"/>
        </w:rPr>
      </w:pPr>
    </w:p>
    <w:p>
      <w:pPr>
        <w:jc w:val="both"/>
        <w:ind w:left="120" w:hanging="4"/>
        <w:spacing w:after="0" w:line="252" w:lineRule="auto"/>
        <w:tabs>
          <w:tab w:leader="none" w:pos="376"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 As a result, our 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9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optimize our candidate molecules to improve breadth, potency, half-life and developability. Key elements that differentiate our approach include: (1) recognition of the importance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broadly neutralizing antibodies; (2) industry-leading B-cell mining, protein engineering and developability screening capabilities through our partnership with Adimab; and (3) development of antibodies with reduced risk of clinical resistance. We believe that a monoclonal antibody, or mAb, therapy that provides potent and broad neutralizing activity, convenient outpatient administration and both rapid and durable protection will have the potential to address the limitations of currently available treatment and prevention options for COVID-19 as well as future diseases that may arise from SARS-like viruses with pandemic potential.</w:t>
      </w:r>
    </w:p>
    <w:p>
      <w:pPr>
        <w:spacing w:after="0" w:line="18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Our lead clinical-stage product candidate, ADG20, was discovered and engineered by our founding scientists to be a highly potent and broad mAb-based therapeutic candidate for both the treatment and prevention of COVID-19. They focused on isolating an antibody capable of broadly neutralizing the entire viral class of SARS-like viruses, known as sarbecoviruses, as opposed to only neutralizing SARS-CoV-2.</w:t>
      </w:r>
    </w:p>
    <w:p>
      <w:pPr>
        <w:spacing w:after="0" w:line="165"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have completed enrollment in our first-in-human Phase 1 clinical trial in healthy volunteers, which demonstrated safety, tolerability and a pharmacokinetic profile supportive of continued development. In addition, the serum virus neutralizing antibody titers measured following administration of ADG20 were within the range of peak serum neutralizing antibody titers reported for mRNA COVID-19 vaccine recipients. For the treatment of mild to moderate COVID-19 in patients at high risk of disease progression, we are conducting our STAMP trial, a combined Phase 2/3 global clinical trial designed to provide a rapid path to authorization, marketing approval and commercial launch. For the prevention of COVID-19, we are conducting our EVADE trial, a combined Phase 2/3 clinical trial in both post-exposure and pre-exposure populations. If these clinical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as well. In addition, we are developing a clinical plan to support the use of ADG20 in the pediatric population for both the treatment and prevention of COVID-19.</w:t>
      </w:r>
    </w:p>
    <w:p>
      <w:pPr>
        <w:spacing w:after="0" w:line="185"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are also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neutralizing activity against COVID-19 as new variants of SARS-CoV-2 emerge, as well as against future potential outbreaks of disease that may arise from additional SARS-like viruses with pandemic potential. In addition, we plan to leverage the rapid antibody discovery and development capabilities that have enabled our expedited advancement of ADG20 into clinical trials to develop therapeutic or preventative options for other respiratory viral infections, such as seasonal and pandemic influenza.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 and Team</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were founded in June 2020 to develop of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on a rapid timeframe with appropriate infectious disease resources and development expertise, we 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w:t>
      </w:r>
    </w:p>
    <w:p>
      <w:pPr>
        <w:spacing w:after="0" w:line="181" w:lineRule="exact"/>
        <w:rPr>
          <w:sz w:val="20"/>
          <w:szCs w:val="20"/>
          <w:color w:val="auto"/>
        </w:rPr>
      </w:pPr>
    </w:p>
    <w:p>
      <w:pPr>
        <w:jc w:val="center"/>
        <w:ind w:right="80"/>
        <w:spacing w:after="0" w:line="449" w:lineRule="auto"/>
        <w:rPr>
          <w:sz w:val="20"/>
          <w:szCs w:val="20"/>
          <w:color w:val="auto"/>
        </w:rPr>
      </w:pPr>
      <w:r>
        <w:rPr>
          <w:rFonts w:ascii="Arial" w:cs="Arial" w:eastAsia="Arial" w:hAnsi="Arial"/>
          <w:sz w:val="18"/>
          <w:szCs w:val="18"/>
          <w:color w:val="auto"/>
        </w:rPr>
        <w:t>Since our inception, we have raised approximately $470 million of capital from leading institutional healthcare investors and our partners. 113</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5" w:lineRule="exact"/>
        <w:rPr>
          <w:sz w:val="20"/>
          <w:szCs w:val="20"/>
          <w:color w:val="auto"/>
        </w:rPr>
      </w:pPr>
    </w:p>
    <w:p>
      <w:pPr>
        <w:jc w:val="both"/>
        <w:ind w:left="1080" w:hanging="532"/>
        <w:spacing w:after="0" w:line="277"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team’s collective expertise in development, manufacturing and commercialization to efficiently bring ADG20 to patients. </w:t>
      </w:r>
      <w:r>
        <w:rPr>
          <w:rFonts w:ascii="Arial" w:cs="Arial" w:eastAsia="Arial" w:hAnsi="Arial"/>
          <w:sz w:val="17"/>
          <w:szCs w:val="17"/>
          <w:color w:val="auto"/>
        </w:rPr>
        <w:t>Since our inception, we have assembled a team with deep and specific expertise in discovering, developing, manufacturing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commercializing novel treatments for infectious diseases, including extensive experience with developing mAb therapies. Based on our team’s successful track record, collectively, we believe we will be able to execute on the clinical, regulatory, manufacturing and commercialization plan for ADG20, as well as any future programs, in an efficient manner.</w:t>
      </w:r>
    </w:p>
    <w:p>
      <w:pPr>
        <w:spacing w:after="0" w:line="73" w:lineRule="exact"/>
        <w:rPr>
          <w:rFonts w:ascii="Arial" w:cs="Arial" w:eastAsia="Arial" w:hAnsi="Arial"/>
          <w:sz w:val="17"/>
          <w:szCs w:val="17"/>
          <w:color w:val="auto"/>
        </w:rPr>
      </w:pPr>
    </w:p>
    <w:p>
      <w:pPr>
        <w:jc w:val="both"/>
        <w:ind w:left="1080" w:hanging="532"/>
        <w:spacing w:after="0" w:line="268"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Rapidly complete development and obtain global approval for our lead product candidate, ADG20, for both the treatment and prevention of COVID-19</w:t>
      </w:r>
      <w:r>
        <w:rPr>
          <w:rFonts w:ascii="Arial" w:cs="Arial" w:eastAsia="Arial" w:hAnsi="Arial"/>
          <w:sz w:val="17"/>
          <w:szCs w:val="17"/>
          <w:color w:val="auto"/>
        </w:rPr>
        <w:t>. Our clinical development plan for ADG20 includes two global clinical trials to demonstrate the efficacy and</w:t>
      </w:r>
      <w:r>
        <w:rPr>
          <w:rFonts w:ascii="Arial" w:cs="Arial" w:eastAsia="Arial" w:hAnsi="Arial"/>
          <w:sz w:val="17"/>
          <w:szCs w:val="17"/>
          <w:b w:val="1"/>
          <w:bCs w:val="1"/>
          <w:color w:val="auto"/>
        </w:rPr>
        <w:t xml:space="preserve"> </w:t>
      </w:r>
      <w:r>
        <w:rPr>
          <w:rFonts w:ascii="Arial" w:cs="Arial" w:eastAsia="Arial" w:hAnsi="Arial"/>
          <w:sz w:val="17"/>
          <w:szCs w:val="17"/>
          <w:color w:val="auto"/>
        </w:rPr>
        <w:t>safety of ADG20 for both treatment and prevention of COVID-19. We have completed enrollment in our first-in-human Phase 1 clinical trial in healthy volunteers, which demonstrated safety, tolerability and a pharmacokinetic profile supportive of continued development. In addition, the serum virus neutralizing antibody titers measured following administration of ADG20 were within the range of peak serum neutralizing antibody titers reported for mRNA COVID-19 vaccine recipients. We are conducting our Phase 2/3 STAMP trial, which is designed to provide a rapid path to authorization, marketing approval and commercial launch for the treatment of mild to moderate COVID-19 in patients at high risk of disease progression. This clinical trial includes two interim analyses, either of which has the potential to support an EUA. The clinical data from the interim analyses will be further supplemented with nonclinical virological data demonstrating broad neutralizing activity against a comprehensive panel of known SARS-CoV-2 variants, including variants that are partially or fully resistant to certain currently available mAb therapies and vaccines. Similarly, we are conducting our Phase 2/3 EVADE clinical trial to evaluate ADG20 in the prevention of symptomatic COVID-19 in two separate populations: (1) individuals with known exposure to a person with laboratory-confirmed SARS-CoV-2 infection, also known as post-exposure prophylaxis, and (2) individuals who are at increased risk for SARS-CoV-2 infection, also known as pre-exposure prophylaxis, including those at increased risk of poor vaccine response.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w:t>
      </w:r>
    </w:p>
    <w:p>
      <w:pPr>
        <w:spacing w:after="0" w:line="80" w:lineRule="exact"/>
        <w:rPr>
          <w:rFonts w:ascii="Arial" w:cs="Arial" w:eastAsia="Arial" w:hAnsi="Arial"/>
          <w:sz w:val="17"/>
          <w:szCs w:val="17"/>
          <w:color w:val="auto"/>
        </w:rPr>
      </w:pPr>
    </w:p>
    <w:p>
      <w:pPr>
        <w:jc w:val="both"/>
        <w:ind w:left="1080" w:hanging="532"/>
        <w:spacing w:after="0" w:line="289" w:lineRule="auto"/>
        <w:tabs>
          <w:tab w:leader="none" w:pos="108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auto"/>
        </w:rPr>
        <w:t xml:space="preserve">Successfully commercialize ADG20, if approved. </w:t>
      </w:r>
      <w:r>
        <w:rPr>
          <w:rFonts w:ascii="Arial" w:cs="Arial" w:eastAsia="Arial" w:hAnsi="Arial"/>
          <w:sz w:val="16"/>
          <w:szCs w:val="16"/>
          <w:color w:val="auto"/>
        </w:rPr>
        <w:t>We believe ADG20 will have several attractive clinical and commercial attributes,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(1) potent and broad neutralizing activity across sarbecoviruses, including against SARS-CoV-2 and known, circulating variants of concern; (2) rapid onset of protection; (3) differentiated durability; (4) convenient, single-dose IM injection for use in the outpatient setting; (5) ability to both complement and supplement currently available COVID-19 vaccines, including for immunocompromised individuals; (6) high titer, high yield manufacturing process; (7) standard refrigeration requirements to facilitate worldwide distribution and storage; and (8) long shelf life to enable stockpiling. Our plan for the commercialization of ADG20 involves direct 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In other markets, such as Latin America, Asia-Pacific, including China, and Middle Eastern and African countries, we intend to commercialize ADG20 through partnerships.</w:t>
      </w:r>
    </w:p>
    <w:p>
      <w:pPr>
        <w:spacing w:after="0" w:line="66" w:lineRule="exact"/>
        <w:rPr>
          <w:rFonts w:ascii="Arial" w:cs="Arial" w:eastAsia="Arial" w:hAnsi="Arial"/>
          <w:sz w:val="16"/>
          <w:szCs w:val="16"/>
          <w:color w:val="auto"/>
        </w:rPr>
      </w:pPr>
    </w:p>
    <w:p>
      <w:pPr>
        <w:jc w:val="both"/>
        <w:ind w:left="1080" w:right="20" w:hanging="532"/>
        <w:spacing w:after="0" w:line="266"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Continue to secure additional manufacturing capacity with trusted CDMO partners to enable a rapid worldwide commercial launch. </w:t>
      </w:r>
      <w:r>
        <w:rPr>
          <w:rFonts w:ascii="Arial" w:cs="Arial" w:eastAsia="Arial" w:hAnsi="Arial"/>
          <w:sz w:val="18"/>
          <w:szCs w:val="18"/>
          <w:color w:val="auto"/>
        </w:rPr>
        <w:t>Due to ongoing worldwide supply chain disruptions relating to COVID-19 and the anticipated upfront and future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ADG20, we have invested significant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5" w:lineRule="auto"/>
        <w:rPr>
          <w:sz w:val="20"/>
          <w:szCs w:val="20"/>
          <w:color w:val="auto"/>
        </w:rPr>
      </w:pPr>
      <w:r>
        <w:rPr>
          <w:rFonts w:ascii="Arial" w:cs="Arial" w:eastAsia="Arial" w:hAnsi="Arial"/>
          <w:sz w:val="18"/>
          <w:szCs w:val="18"/>
          <w:color w:val="auto"/>
        </w:rPr>
        <w:t>resources to identify and procure the necessary manufacturing capabilities and capacity to enable the rapid development and commercialization of ADG20. In partnership with WuXi Biologics (Hong Kong) Limited, or WuXi, we have developed a high titer, high yield manufacturing process that enables IM delivery and have manufactured all the required doses for our STAMP and EVADE clinical trials. We have also selected WuXi as our initial commercial manufacturing partner and believe we have secured sufficient capacity for our initial commercial launch, if ADG20 is approved. We are continuing to evaluate access to additional capacity at both WuXi and other CDMOs to ensure we can meet expected long-term commercial demand.</w:t>
      </w:r>
    </w:p>
    <w:p>
      <w:pPr>
        <w:spacing w:after="0" w:line="94" w:lineRule="exact"/>
        <w:rPr>
          <w:sz w:val="20"/>
          <w:szCs w:val="20"/>
          <w:color w:val="auto"/>
        </w:rPr>
      </w:pPr>
    </w:p>
    <w:p>
      <w:pPr>
        <w:jc w:val="both"/>
        <w:ind w:left="1080" w:right="20" w:hanging="532"/>
        <w:spacing w:after="0" w:line="274"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Develop additional antibodies for use in potential combination with ADG20 to address future potential variants of SARS-CoV-2 and other sarbecovirus outbreaks. </w:t>
      </w:r>
      <w:r>
        <w:rPr>
          <w:rFonts w:ascii="Arial" w:cs="Arial" w:eastAsia="Arial" w:hAnsi="Arial"/>
          <w:sz w:val="17"/>
          <w:szCs w:val="17"/>
          <w:color w:val="auto"/>
        </w:rPr>
        <w:t>The current COVID-19 pandemic has been exacerbated by the global emergence and spread of</w:t>
      </w:r>
      <w:r>
        <w:rPr>
          <w:rFonts w:ascii="Arial" w:cs="Arial" w:eastAsia="Arial" w:hAnsi="Arial"/>
          <w:sz w:val="17"/>
          <w:szCs w:val="17"/>
          <w:b w:val="1"/>
          <w:bCs w:val="1"/>
          <w:color w:val="auto"/>
        </w:rPr>
        <w:t xml:space="preserve"> </w:t>
      </w:r>
      <w:r>
        <w:rPr>
          <w:rFonts w:ascii="Arial" w:cs="Arial" w:eastAsia="Arial" w:hAnsi="Arial"/>
          <w:sz w:val="17"/>
          <w:szCs w:val="17"/>
          <w:color w:val="auto"/>
        </w:rPr>
        <w:t>SARS-CoV-2 variants with varying levels of resistance to existing therapies, highlighting the need for proactive planning to allow for a rapid and effective response against future coronavirus outbreaks. We are building a portfolio of broadly neutralizing antibodies that target viral epitopes distinct from that targeted by ADG20. We believe combinations of these antibodies, including with ADG20, have the potential to further enhance the breadth and effectiveness of our products.</w:t>
      </w:r>
    </w:p>
    <w:p>
      <w:pPr>
        <w:spacing w:after="0" w:line="78" w:lineRule="exact"/>
        <w:rPr>
          <w:rFonts w:ascii="Arial" w:cs="Arial" w:eastAsia="Arial" w:hAnsi="Arial"/>
          <w:sz w:val="17"/>
          <w:szCs w:val="17"/>
          <w:color w:val="auto"/>
        </w:rPr>
      </w:pPr>
    </w:p>
    <w:p>
      <w:pPr>
        <w:jc w:val="both"/>
        <w:ind w:left="1080" w:hanging="532"/>
        <w:spacing w:after="0" w:line="277" w:lineRule="auto"/>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b w:val="1"/>
          <w:bCs w:val="1"/>
          <w:color w:val="auto"/>
        </w:rPr>
        <w:t xml:space="preserve">Leverage relationships with Adimab and academic institutions to discover additional antibody-based solutions to address coronaviruses and influenza infections. </w:t>
      </w:r>
      <w:r>
        <w:rPr>
          <w:rFonts w:ascii="Arial" w:cs="Arial" w:eastAsia="Arial" w:hAnsi="Arial"/>
          <w:sz w:val="17"/>
          <w:szCs w:val="17"/>
          <w:color w:val="auto"/>
        </w:rPr>
        <w:t>Our ongoing relationship with Adimab provides us with access to Adimab’s unique B-cell</w:t>
      </w:r>
      <w:r>
        <w:rPr>
          <w:rFonts w:ascii="Arial" w:cs="Arial" w:eastAsia="Arial" w:hAnsi="Arial"/>
          <w:sz w:val="17"/>
          <w:szCs w:val="17"/>
          <w:b w:val="1"/>
          <w:bCs w:val="1"/>
          <w:color w:val="auto"/>
        </w:rPr>
        <w:t xml:space="preserve"> </w:t>
      </w:r>
      <w:r>
        <w:rPr>
          <w:rFonts w:ascii="Arial" w:cs="Arial" w:eastAsia="Arial" w:hAnsi="Arial"/>
          <w:sz w:val="17"/>
          <w:szCs w:val="17"/>
          <w:color w:val="auto"/>
        </w:rPr>
        <w:t>mining and protein engineering capabilities. We believe this relationship will allow us to further expand our portfolio with additional uniquely differentiated antibodies for coronaviruses as well as influenza. In addition, we collaborate with academic institutions for the discovery of vaccine immunogens that elicit broadly protective immune responses against influenza and coronaviruses.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on Coronaviruses</w:t>
      </w:r>
    </w:p>
    <w:p>
      <w:pPr>
        <w:spacing w:after="0" w:line="12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Coronaviruses comprise a large family of viruses that are grouped into four genera: alphacoronavirus, betacoronavirus, gammacoronavirus and deltacoronavirus. Over the past 20 years, three pathogenic novel betacoronaviruses have spilled over into the human population from animal reservoirs to cause outbreaks of deadly pneumonia, including COVID-19, SARS and MERS. In many parts of the world, humans live in close proximity to animal species harboring sarbecoviruses, a lineage of betacoronaviruses that are capable of using human angiotensin-converting enzyme 2, or hACE2, receptors, and enabling infection in humans. In particular, bats are known to host such viruses, and large bat populations exist alongside humans in certain regions across the world, including eastern Europe, East Africa and southern China. Furthermore, bats are capable of carrying multiple sarbecoviruses, allowing for genetic recombination and the emergence of viral variants with higher propensity for transmission to humans. Current estimates suggest that between 6% and 23% of bats harbor viruses with such transmission potential. Not surprisingly, humans living in close proximity to bat populations have been infected by SARS-like coronaviruses. For example, approximately 0.5% to 3% of the rural population in southern China have antibody responses to these viruses, demonstrating past infection. This highlights the zoonotic nature of the sarbecovirus lineage, which includes both SARS-CoV-1 and SARS-CoV-2. Continued human intrusion into previously undeveloped habitats and increased exposure to these viral reservoirs are likely to result in more frequent occurrences of viral spillover, with potentially catastrophic consequences.</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the disease caused by SARS-CoV-2 and its variants, has given rise to a global pandemic that swept rapidly throughout the world in 2020. The genome of SARS-CoV-2 encodes a spike, or S, protein, which is the surface protein common to all members of the coronavirus family and mediates attachment and entry into host cells. The S protein is the major antigen target for the host immune response, and neutralizing antibodies to this protein are associated with protection from infection and disease. For this reason, S protein is the primary target for currently available vaccines and therapeutic mAbs.</w:t>
      </w:r>
    </w:p>
    <w:p>
      <w:pPr>
        <w:spacing w:after="0" w:line="18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COVID-19 remains a significant global health crisis and case numbers continue to rise. According to estimates as of May 20, 2021 from the Johns Hopkins University, there have been approximately 165 million cases of laboratory-confirmed COVID-19 and 3.4 million COVID-19-related deaths worldwide, with over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33 million laboratory-confirmed cases of COVID-19 and more than 587,000 COVID-19-related deaths in the United States. Disease modeling conducted by several different organizations have further suggested that these estimates significantly undercount the true number of infections and deaths related to COVID-19.</w:t>
      </w:r>
    </w:p>
    <w:p>
      <w:pPr>
        <w:spacing w:after="0" w:line="184"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Of significant current concern is the emergence of a number of SARS-CoV-2 variants with increased transmissibility and/or the ability to evade neutralizing antibodies. These variants include B.1.1.7, which was first detected in the United Kingdom; B.1.351, which was first detected in South Africa; and P.1, which was first detected in Brazil and is closely related to B.1.351. Since their initial detection, all of these variants have spread rapidly worldwide, with confirmed cases in the United States, Canada and several European countries, indicating that these variants may be more contagious than the original SARS-CoV-2. As of April 24, 2021, the B.1.1.7 variant accounted for approximately 66% of all new COVID-19 cases in the United States and was rapidly increasing. In addition to these well-known variants, additional novel variants continue to emerge, including B.1.429/427 and B.1.526, which were first detected in California and New York, respectively, as well as B.1.617, which was recently first detected in India.</w:t>
      </w:r>
    </w:p>
    <w:p>
      <w:pPr>
        <w:spacing w:after="0" w:line="16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 subset of these variants, notably P.1 and B.1.351, have caused reinfections in individuals with pre-existing antibody responses due to prior infection or vaccination, indicating that pre-existing antibodies do not necessarily protect against these variants. For example, in the Brazilian city of Manaus, despite a high rate of prior infection as indicated by an estimated seroprevalence of 76% in October 2020, a second wave of COVID-19 cases began in November 2020, which resulted in a significant increase in hospitalizations and deaths. As illustrated in the timeline below, this second COVID-19 wave closely coincided with the emergence of the P.1 variant in the city.</w:t>
      </w: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Infection Rates in Manaus, Brazil Demonstrate a Surge in Infections Following the Emergence of the P.1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171450</wp:posOffset>
            </wp:positionV>
            <wp:extent cx="4723130" cy="39001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2313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Current Approaches for Treatment and Prevention of COVID-19 and Their Limitations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response to the ongoing pandemic, multiple agents have been discovered, developed and authorized at an unprecedented speed to address COVID-19.</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Vaccines for Prevention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Several vaccines have been authorized for the prevention of COVID-19 under public health emergency guidelines both in the United States and abroad. These include mRNA-based vaccines, such as Moderna’s mRNA-1273 and Pfizer/BioNTech’s BNT162b2, and adenovirus-based vaccines, such as AstraZeneca’s Vaxzevria/Covishield, or AZD1222, and Janssen’s JNJ-78436735. While available COVID-19 vaccines have demonstrated meaningful efficacy in preventing COVID-19, we believe additional solutions for the prevention of COVID-19 are required given considerable uncertainty related to multiple factors, including:</w:t>
      </w:r>
    </w:p>
    <w:p>
      <w:pPr>
        <w:spacing w:after="0" w:line="93" w:lineRule="exact"/>
        <w:rPr>
          <w:sz w:val="20"/>
          <w:szCs w:val="20"/>
          <w:color w:val="auto"/>
        </w:rPr>
      </w:pPr>
    </w:p>
    <w:p>
      <w:pPr>
        <w:jc w:val="both"/>
        <w:ind w:left="1080" w:hanging="532"/>
        <w:spacing w:after="0" w:line="275"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Efficacy against viral variants. </w:t>
      </w:r>
      <w:r>
        <w:rPr>
          <w:rFonts w:ascii="Arial" w:cs="Arial" w:eastAsia="Arial" w:hAnsi="Arial"/>
          <w:sz w:val="17"/>
          <w:szCs w:val="17"/>
          <w:color w:val="auto"/>
        </w:rPr>
        <w:t>While COVID-19 vaccines have demonstrated meaningful efficacy in preventing infection by the original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strain of COVID-19, emerging evidence shows lower levels of protection against certain variants. A recent Israeli study demonstrated that a disproportionate number of breakthrough infections in Pfizer/BioNTech vaccine recipients are caused by the B.1.351 variant. Clinical trials have also shown reduced efficacy against viral variants. For example, a trial conducted in South Africa showed 10.4% efficacy for the AstraZeneca vaccine Vaxzevria against mild to moderate infections caused by the B.1.351 variant.</w:t>
      </w:r>
    </w:p>
    <w:p>
      <w:pPr>
        <w:spacing w:after="0" w:line="81" w:lineRule="exact"/>
        <w:rPr>
          <w:rFonts w:ascii="Arial" w:cs="Arial" w:eastAsia="Arial" w:hAnsi="Arial"/>
          <w:sz w:val="17"/>
          <w:szCs w:val="17"/>
          <w:color w:val="auto"/>
        </w:rPr>
      </w:pPr>
    </w:p>
    <w:p>
      <w:pPr>
        <w:jc w:val="both"/>
        <w:ind w:left="1080" w:right="2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Delayed onset of protection. </w:t>
      </w:r>
      <w:r>
        <w:rPr>
          <w:rFonts w:ascii="Arial" w:cs="Arial" w:eastAsia="Arial" w:hAnsi="Arial"/>
          <w:sz w:val="18"/>
          <w:szCs w:val="18"/>
          <w:color w:val="auto"/>
        </w:rPr>
        <w:t>The peak neutralizing antibody response conferred by currently available vaccines is usually 10 to 14 days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final dose of the vaccine, resulting in a period of time during which an individual can be infected with COVID-19, despite having received the vaccine. Furthermore, given that certain vaccines require two doses, three to four weeks apart, the total time from the first vaccine dose to peak neutralizing antibody response can be several weeks.</w:t>
      </w:r>
    </w:p>
    <w:p>
      <w:pPr>
        <w:spacing w:after="0" w:line="9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of protection in immunocompromised individuals. </w:t>
      </w:r>
      <w:r>
        <w:rPr>
          <w:rFonts w:ascii="Arial" w:cs="Arial" w:eastAsia="Arial" w:hAnsi="Arial"/>
          <w:sz w:val="18"/>
          <w:szCs w:val="18"/>
          <w:color w:val="auto"/>
        </w:rPr>
        <w:t>Since vaccines leverage an individual’s existing immune system to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vaccines may have little to no effectiveness against infection and disease in those who have compromised immune systems. Preliminary data shows that these individuals mount poor antibody responses to mRNA vaccines, demonstrating the unmet medical need for effective preventative options for immunocompromised populations.</w:t>
      </w:r>
    </w:p>
    <w:p>
      <w:pPr>
        <w:spacing w:after="0" w:line="92"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Perceived tolerability and safety. </w:t>
      </w:r>
      <w:r>
        <w:rPr>
          <w:rFonts w:ascii="Arial" w:cs="Arial" w:eastAsia="Arial" w:hAnsi="Arial"/>
          <w:sz w:val="18"/>
          <w:szCs w:val="18"/>
          <w:color w:val="auto"/>
        </w:rPr>
        <w:t>While currently available vaccines have demonstrated acceptable safety and tolerability profiles,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be negative perceptions of vaccine safety that have been exacerbated by government holds on certain vaccines, as well as widespread publicity regarding rare, but potentially severe, side effects.</w:t>
      </w:r>
    </w:p>
    <w:p>
      <w:pPr>
        <w:spacing w:after="0" w:line="89" w:lineRule="exact"/>
        <w:rPr>
          <w:rFonts w:ascii="Arial" w:cs="Arial" w:eastAsia="Arial" w:hAnsi="Arial"/>
          <w:sz w:val="18"/>
          <w:szCs w:val="18"/>
          <w:color w:val="auto"/>
        </w:rPr>
      </w:pPr>
    </w:p>
    <w:p>
      <w:pPr>
        <w:jc w:val="both"/>
        <w:ind w:left="1080" w:hanging="532"/>
        <w:spacing w:after="0" w:line="25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Vaccine hesitancy. </w:t>
      </w:r>
      <w:r>
        <w:rPr>
          <w:rFonts w:ascii="Arial" w:cs="Arial" w:eastAsia="Arial" w:hAnsi="Arial"/>
          <w:sz w:val="18"/>
          <w:szCs w:val="18"/>
          <w:color w:val="auto"/>
        </w:rPr>
        <w:t>Due to a constellation of perceived safety, side effect and quality concerns, according to an April 2021 survey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by CBS News, approximately 40% of Americans are reluctant to receive a COVID vaccine, including 22% who outright refuse to receive a vaccine. As a result, as of May 19, 2021, less than 40% of the U.S. population had been fully vaccinated. Globally, vaccine hesitancy is consistent with the U.S. figures. In a Gallup poll conducted in April 2021, in 79 out of 117 countries surveyed, the number of people who said they were willing to be vaccinated was below 70%.</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hanging="532"/>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Durability of response, including the potential need for booster shots. </w:t>
      </w:r>
      <w:r>
        <w:rPr>
          <w:rFonts w:ascii="Arial" w:cs="Arial" w:eastAsia="Arial" w:hAnsi="Arial"/>
          <w:sz w:val="18"/>
          <w:szCs w:val="18"/>
          <w:color w:val="auto"/>
        </w:rPr>
        <w:t>The length of protection conferred by currently available vaccines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uncertain, and recent announcements from the makers of some of these vaccines indicate that periodic administration of booster vaccines will likely be required, similar to the influenza vaccine.</w:t>
      </w:r>
    </w:p>
    <w:p>
      <w:pPr>
        <w:spacing w:after="0" w:line="8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achieve herd immunity. </w:t>
      </w:r>
      <w:r>
        <w:rPr>
          <w:rFonts w:ascii="Arial" w:cs="Arial" w:eastAsia="Arial" w:hAnsi="Arial"/>
          <w:sz w:val="18"/>
          <w:szCs w:val="18"/>
          <w:color w:val="auto"/>
        </w:rPr>
        <w:t>Many countries, including developed nations, have low vaccination rates due to multiple factors,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vaccine availability as well as vaccine hesitancy. For example, only 33% of available vaccine doses had been purchased by low-and middle-income countries, which constitute over 80% of the global population. As of May 19, 2021, less than 5% of the world’s population had been fully vaccinated. As long as significant numbers of people globally are not vaccinated, COVID-19 and disease caused by SARS-CoV-2 variants can continue to circulate. In addition, vaccination of the pediatric population is believed to be critical to achieving herd immunity.</w:t>
      </w:r>
    </w:p>
    <w:p>
      <w:pPr>
        <w:spacing w:after="0" w:line="97" w:lineRule="exact"/>
        <w:rPr>
          <w:rFonts w:ascii="Arial" w:cs="Arial" w:eastAsia="Arial" w:hAnsi="Arial"/>
          <w:sz w:val="18"/>
          <w:szCs w:val="18"/>
          <w:color w:val="auto"/>
        </w:rPr>
      </w:pPr>
    </w:p>
    <w:p>
      <w:pPr>
        <w:jc w:val="both"/>
        <w:ind w:left="1080" w:hanging="532"/>
        <w:spacing w:after="0" w:line="271"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Availability and adoption in children. </w:t>
      </w:r>
      <w:r>
        <w:rPr>
          <w:rFonts w:ascii="Arial" w:cs="Arial" w:eastAsia="Arial" w:hAnsi="Arial"/>
          <w:sz w:val="17"/>
          <w:szCs w:val="17"/>
          <w:color w:val="auto"/>
        </w:rPr>
        <w:t>While children generally do not develop the severe consequences of COVID-19 seen in adults,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studies have shown that they are still capable of transmitting SARS-CoV-2. Given that approximately 25% of the global population is under the age of 15, herd immunity is unlikely to be achieved until effective options for prevention are widely adopted in this population. Although an EUA was recently granted for use of the Pfizer/BioNTech vaccine in adolescents aged 12 to 15 years, the timing of vaccine availability for younger school-age children remains fluid. Further, data collected in April 2021 by the Kaiser Family Foundation suggest that only about a third of parents plan to vaccinate their children when vaccines first become available to them. The anticipated delay in widespread childhood vaccination, coupled with the rise in new variants relatively resistant to vaccine-induced immunity, have the potential to further impact the achievement of herd immunity.</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mAbs for Treatment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Recent approvals of mAbs for the treatment of Ebola Virus Disease and multi-drug resistant human immunodeficiency virus, or HIV, infection demonstrate their promise for the treatment of viral infections. Some SARS-CoV-2 mAb therapies, either as a monotherapy or a combination cocktail, have been granted emergency use authorization in the United States and India and are available for use as unauthorized products in certain EU member states for the treatment of mild to moderate COVID-19 in patients at high risk of disease progression. These available mAbs include bamlanivimab, bamlanivimab/etesevimab, casirivimab/imdevimab and regdanvimab.</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Currently Available mAbs</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 xml:space="preserve">The recent emergence of SARS-CoV-2 variants has attenuated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of certain currently available mAbs. For example, the U.S. Food and Drug Administration, or the FDA, recently revoked the EUA for bamlanivimab due to its lack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against key variants of concern as a single agent.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In Europe, IV administration in outpatient settings by community nurses or general practitioners remains very limited due to lack of appropriate infrastructure and sites of care.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to COVID-19 and Development of Coronavirus mAbs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High potency and broad neutralizing activity to address SARS-CoV-2, including variants of concern, and additional SARS-like viruses;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Multiple mechanisms of action, including direct virus neutralization by blocking viral entry into the host cell and elimination of infected host cells through innate immune effector activity to clear infection;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Convenient outpatient administration as a single-dose IM injection;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Ability to provide both rapid and durable protection with potential protection against COVID-19 for up to one year.</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 Fc portion binds to host cell receptors to activate the innate immune system to eliminate infected host cells and is a key determinant of serum half-life. Key elements that differentiate our approach include:</w:t>
      </w:r>
    </w:p>
    <w:p>
      <w:pPr>
        <w:spacing w:after="0" w:line="88" w:lineRule="exact"/>
        <w:rPr>
          <w:sz w:val="20"/>
          <w:szCs w:val="20"/>
          <w:color w:val="auto"/>
        </w:rPr>
      </w:pPr>
    </w:p>
    <w:p>
      <w:pPr>
        <w:jc w:val="both"/>
        <w:ind w:left="1080" w:right="20" w:hanging="532"/>
        <w:spacing w:after="0" w:line="281"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Recognition of the importance of broadly neutralizing antibodies: </w:t>
      </w:r>
      <w:r>
        <w:rPr>
          <w:rFonts w:ascii="Arial" w:cs="Arial" w:eastAsia="Arial" w:hAnsi="Arial"/>
          <w:sz w:val="17"/>
          <w:szCs w:val="17"/>
          <w:color w:val="auto"/>
        </w:rPr>
        <w:t>From the outset, we chose to focus on mAbs capable of broadly</w:t>
      </w:r>
      <w:r>
        <w:rPr>
          <w:rFonts w:ascii="Arial" w:cs="Arial" w:eastAsia="Arial" w:hAnsi="Arial"/>
          <w:sz w:val="17"/>
          <w:szCs w:val="17"/>
          <w:b w:val="1"/>
          <w:bCs w:val="1"/>
          <w:color w:val="auto"/>
        </w:rPr>
        <w:t xml:space="preserve"> </w:t>
      </w:r>
      <w:r>
        <w:rPr>
          <w:rFonts w:ascii="Arial" w:cs="Arial" w:eastAsia="Arial" w:hAnsi="Arial"/>
          <w:sz w:val="17"/>
          <w:szCs w:val="17"/>
          <w:color w:val="auto"/>
        </w:rPr>
        <w:t>neutralizing not only SARS-CoV-2 and its variants, but also the entire viral class of sarbecoviruses that target the hACE2 receptor. Our rationale was driven by the recognition that COVID-19 is a continuation of previous human coronavirus outbreaks, including SARS and MERS, and the likelihood that future variants and other viral outbreaks will continue to emerge.</w:t>
      </w:r>
    </w:p>
    <w:p>
      <w:pPr>
        <w:spacing w:after="0" w:line="70" w:lineRule="exact"/>
        <w:rPr>
          <w:rFonts w:ascii="Arial" w:cs="Arial" w:eastAsia="Arial" w:hAnsi="Arial"/>
          <w:sz w:val="17"/>
          <w:szCs w:val="17"/>
          <w:color w:val="auto"/>
        </w:rPr>
      </w:pPr>
    </w:p>
    <w:p>
      <w:pPr>
        <w:jc w:val="both"/>
        <w:ind w:left="1080" w:hanging="532"/>
        <w:spacing w:after="0" w:line="294"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Industry-leading B-cell mining, protein engineering and developability screening capabilities through our partnership with Adimab: </w:t>
      </w:r>
      <w:r>
        <w:rPr>
          <w:rFonts w:ascii="Arial" w:cs="Arial" w:eastAsia="Arial" w:hAnsi="Arial"/>
          <w:sz w:val="16"/>
          <w:szCs w:val="16"/>
          <w:color w:val="auto"/>
        </w:rPr>
        <w:t>We leverage nature’s solutions using Adimab’s deep B-cell mining capabilities to isolate broadly neutralizing antibodies from a</w:t>
      </w:r>
      <w:r>
        <w:rPr>
          <w:rFonts w:ascii="Arial" w:cs="Arial" w:eastAsia="Arial" w:hAnsi="Arial"/>
          <w:sz w:val="16"/>
          <w:szCs w:val="16"/>
          <w:b w:val="1"/>
          <w:bCs w:val="1"/>
          <w:color w:val="auto"/>
        </w:rPr>
        <w:t xml:space="preserve"> </w:t>
      </w:r>
      <w:r>
        <w:rPr>
          <w:rFonts w:ascii="Arial" w:cs="Arial" w:eastAsia="Arial" w:hAnsi="Arial"/>
          <w:sz w:val="16"/>
          <w:szCs w:val="16"/>
          <w:color w:val="auto"/>
        </w:rPr>
        <w:t>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65" w:lineRule="exact"/>
        <w:rPr>
          <w:rFonts w:ascii="Arial" w:cs="Arial" w:eastAsia="Arial" w:hAnsi="Arial"/>
          <w:sz w:val="16"/>
          <w:szCs w:val="16"/>
          <w:color w:val="auto"/>
        </w:rPr>
      </w:pPr>
    </w:p>
    <w:p>
      <w:pPr>
        <w:jc w:val="both"/>
        <w:ind w:left="1080" w:hanging="532"/>
        <w:spacing w:after="0" w:line="269"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color w:val="auto"/>
        </w:rPr>
        <w:t xml:space="preserve">Reduced risk of clinical resistance: </w:t>
      </w:r>
      <w:r>
        <w:rPr>
          <w:rFonts w:ascii="Arial" w:cs="Arial" w:eastAsia="Arial" w:hAnsi="Arial"/>
          <w:sz w:val="17"/>
          <w:szCs w:val="17"/>
          <w:color w:val="auto"/>
        </w:rPr>
        <w:t>We are developing antibodies that target conserved residues in the receptor-binding domain, or RBD,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viral S protein. Importantly, these residues are distinct from those recognized by more narrowly targeted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 In contrast, many of the SARS-CoV-2-specific antibodies that are currently available or in development target residues that are both variable and commonly recognized by public antibodies. The combination of variable residues and immune selection pressure exerted by antibodies elicited by vaccination and natural infection has led to the emergence of SARS-CoV-2 variants with reduced susceptibility to many of the mAbs currently available under EUA. In contrast, our broadly neutralizing antibodies, including ADG20, have maintained potent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against these known and emerging variants. Furthermore, the frequency of circulating variants with mutations in the residues targeted by our antibodies has been extremely low.</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Discovery of ADG20</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founding scientists discovered and engineered a highly potent and broad mAb-based therapeutic candidate for both the treatment and prevention of COVID-19. They focused on isolating an antibody capable of broadly neutralizing the entire viral class of SARS-like viruses from the sarbecovirus lineage, including diverse family members such as SARS-CoV-1, WIV1, SHC014 and SARS-CoV-2, as opposed to only neutralizing SARS-CoV-2.</w:t>
      </w:r>
    </w:p>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To achieve this objective, a blood sample was obtained from a survivor of the 2003 SARS outbreak who had never been exposed to SARS-CoV-2. After purification, the B-cells were sorted based on reactivity to SARS-CoV-2, enabling us to isolate and identify 200 antibodies that bound to the SARS-CoV-2 S protein. These antibodies were then evaluated for their breadth of neutralization against SARS-CoV-1, SARS-CoV-2 and WIV1. Out of the 200 antibodies, seven demonstrated broad neutralization potency, as shown in the graphic below.</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Seven Antibodies Isolated from a SARS Survivor Demonstrated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Breadth of Viral Neutralization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77435" cy="33686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7743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Rather than immediately advancing one of these seven candidates into clinical development, we opted to improve the binding affinities, and thus neutralizing activities, of three of these antibodies using the Adimab protein engineering platform. Affinity maturation allowed us to increase the SARS-CoV-2 S protein binding affinity and neutralization potency of ADI-55688 by as much as 500- and 77-fold, respectively, as shown in the graphic below. Based on this enhanced profile, we selected to evaluate ADG2, the ADI-55688 progeny with the most improved binding affinity and neutralization potency, in additional preclinical studies.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Protein Engineering Substantially Improved Binding to and Neutralization of SARS-CoV-2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171450</wp:posOffset>
            </wp:positionV>
            <wp:extent cx="4783455" cy="22028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8345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 xml:space="preserve">To determine whether ADG2 retained its broad neutralization capability, we evaluated its activity against additional members of the sarbecovirus lineage. Clade 1 of this lineage is of particular concern as it includes members that can infect human cells using the hACE2 receptor. Of the Clade 1 viruses, authentic virus neutralization assays, which represent the relevant assays to evaluate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are only available for SARS-CoV-1, SARS-CoV-2, WIV1 and SHC014. Among the Clade 1 viruses, SHC014 is the most genetically divergent from SARS-CoV-2, and therefore, the ability to neutralize both SARS-CoV-2 and SHC014 suggests an ability to neutralize the majority of viruses in the clade.</w:t>
      </w:r>
    </w:p>
    <w:p>
      <w:pPr>
        <w:spacing w:after="0" w:line="16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compared the activity of ADG2 with other currently available or clinical-stage mAbs against a subset of Clade 1 sarbecoviruses in authentic virus neutralization assays using transfected HeLa cells that express the hACE2 receptor and non-human primate Vero cells. ADG2 demonstrated high potency, as defined as an IC</w:t>
      </w:r>
      <w:r>
        <w:rPr>
          <w:rFonts w:ascii="Arial" w:cs="Arial" w:eastAsia="Arial" w:hAnsi="Arial"/>
          <w:sz w:val="15"/>
          <w:szCs w:val="15"/>
          <w:color w:val="auto"/>
        </w:rPr>
        <w:t>50</w:t>
      </w:r>
      <w:r>
        <w:rPr>
          <w:rFonts w:ascii="Arial" w:cs="Arial" w:eastAsia="Arial" w:hAnsi="Arial"/>
          <w:sz w:val="18"/>
          <w:szCs w:val="18"/>
          <w:color w:val="auto"/>
        </w:rPr>
        <w:t xml:space="preserve"> value of less than 10 ng/mL, against SARS-CoV-2 in the two different assays, whereas the potency of certain other antibodies was observed to vary. Importantly, ADG2 exhibited highly potent activity against the other Clade 1 viruses tested, including SARS-CoV-1, WIV1 and SHC014, whereas the other antibodies demonstrated either limited potency or were non-neutralizing, or N.N., at the highest concentration tested, as shown in the graphic below.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 Shows Broad and Potent Neutralizing Activity Across Diverse SARS-Related Coronaviruses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7857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9458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further engineered ADG2 with an Fc region modification designed to extend the half-life to enable the potential for a single-dose administration to provide durable protection against COVID-19 for up to 12 months, which resulted in our lead product candidate, ADG20.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ADG20: Our Solution for the Treatment and Prevention of COVID-19</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ADG20, our lead product candidate, is designed to be a potent, broadly neutralizing antibody for both the treatment and prevention of COVID-19, including disease caused by variants, as either a single or combination agent. Unlike other antibody-based therapies targeting SARS-CoV-2, ADG20 has demonstrated an ability to potently neutralize SARS-CoV-2, including variants of concern, as well as a broad range of sarbecoviruses. In addition, ADG20 can be conveniently administered as a single-dose IM injection. We believe these and other attributes of ADG20 differentiate it from other antibodies that are either available under EUA or in development to address COVID-19.</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Our clinical development plan for ADG20 includes two global clinical trials to demonstrate the safety and efficacy of ADG20 for both the treatment and prevention of COVID-19. We have completed enrollment in our first-in-human Phase 1 clinical trial in healthy volunteers, which demonstrated that a single-dose of ADG20 is well tolerated at doses up to 500 mg IV and 600 mg IM and that the initial pharmacokinetic profile supports a prolonged serum half-life. In addition, the serum virus neutralizing antibody titers measured following administration of ADG20 were within the range of peak serum neutralizing antibody titers reported for mRNA COVID-19 vaccine recipients. We are conducting two separate Phase 2/3 clinical trials to evaluate ADG20 for the treatment of COVID-19, which we refer to as our STAMP trial, and for the prevention of symptomatic COVID-19, which we refer to as our EVADE trial. Our STAMP trial is designed to provide a rapid path to authorization, marketing approval and commercial launch of ADG20 for the treatment of mild to moderate COVID-19 in patients at high risk of disease progression. Our EVADE trial is designed to evaluate the prevention of COVID-19 in both post-exposure and pre-exposure populations. We are also developing a clinical development strategy for the use of ADG20 in the pediatric population.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Key Advantages of ADG20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ADG20 will have the following key clinical and commercial advantages:</w:t>
      </w:r>
    </w:p>
    <w:p>
      <w:pPr>
        <w:spacing w:after="0" w:line="131" w:lineRule="exact"/>
        <w:rPr>
          <w:sz w:val="20"/>
          <w:szCs w:val="20"/>
          <w:color w:val="auto"/>
        </w:rPr>
      </w:pPr>
    </w:p>
    <w:p>
      <w:pPr>
        <w:jc w:val="both"/>
        <w:ind w:left="1080" w:right="2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Broadly neutralizing activity across sarbecoviruses. </w:t>
      </w:r>
      <w:r>
        <w:rPr>
          <w:rFonts w:ascii="Arial" w:cs="Arial" w:eastAsia="Arial" w:hAnsi="Arial"/>
          <w:sz w:val="18"/>
          <w:szCs w:val="18"/>
          <w:color w:val="auto"/>
        </w:rPr>
        <w:t>From the outset, we selected and engineered the mAb that became ADG20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specifically for its ability to broadly neutralize not only SARS-CoV-2 and its variants, but also additional members of the sarbecovirus lineage.</w:t>
      </w:r>
    </w:p>
    <w:p>
      <w:pPr>
        <w:spacing w:after="0" w:line="89"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Rapid onset of protection. </w:t>
      </w:r>
      <w:r>
        <w:rPr>
          <w:rFonts w:ascii="Arial" w:cs="Arial" w:eastAsia="Arial" w:hAnsi="Arial"/>
          <w:sz w:val="17"/>
          <w:szCs w:val="17"/>
          <w:color w:val="auto"/>
        </w:rPr>
        <w:t>Currently available COVID-19 vaccines can take several weeks, and often require multiple doses, to induce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peak neutralizing antibody response. As a mAb, ADG20 has the potential to confer rapid protection against COVID-19.</w:t>
      </w:r>
    </w:p>
    <w:p>
      <w:pPr>
        <w:spacing w:after="0" w:line="51" w:lineRule="exact"/>
        <w:rPr>
          <w:rFonts w:ascii="Arial" w:cs="Arial" w:eastAsia="Arial" w:hAnsi="Arial"/>
          <w:sz w:val="17"/>
          <w:szCs w:val="17"/>
          <w:color w:val="auto"/>
        </w:rPr>
      </w:pPr>
    </w:p>
    <w:p>
      <w:pPr>
        <w:jc w:val="both"/>
        <w:ind w:left="1080" w:right="2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durability. </w:t>
      </w:r>
      <w:r>
        <w:rPr>
          <w:rFonts w:ascii="Arial" w:cs="Arial" w:eastAsia="Arial" w:hAnsi="Arial"/>
          <w:sz w:val="18"/>
          <w:szCs w:val="18"/>
          <w:color w:val="auto"/>
        </w:rPr>
        <w:t>ADG20 has the potential to provide durable protection by virtue of its potency and half-life extension.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Physiologically based pharmacokinetic modeling has suggested that a single-dose 300 mg IM injection of ADG20 may result in durable serum levels that we believe may provide protection for up to 12 months.</w:t>
      </w:r>
    </w:p>
    <w:p>
      <w:pPr>
        <w:spacing w:after="0" w:line="89" w:lineRule="exact"/>
        <w:rPr>
          <w:rFonts w:ascii="Arial" w:cs="Arial" w:eastAsia="Arial" w:hAnsi="Arial"/>
          <w:sz w:val="18"/>
          <w:szCs w:val="18"/>
          <w:color w:val="auto"/>
        </w:rPr>
      </w:pPr>
    </w:p>
    <w:p>
      <w:pPr>
        <w:jc w:val="both"/>
        <w:ind w:left="1080" w:hanging="532"/>
        <w:spacing w:after="0" w:line="279"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Convenient, single-dose IM injection for use in the outpatient setting. </w:t>
      </w:r>
      <w:r>
        <w:rPr>
          <w:rFonts w:ascii="Arial" w:cs="Arial" w:eastAsia="Arial" w:hAnsi="Arial"/>
          <w:sz w:val="17"/>
          <w:szCs w:val="17"/>
          <w:color w:val="auto"/>
        </w:rPr>
        <w:t>Currently available COVID-19 mAbs are administered via IV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infusions that require specialized facilities that are properly equipped to accommodate IV infusions in actively infected patients, which may lead to a delay in administration. In contrast, the low viscosity, high concentration formulation and high potency of ADG20 allow it to be delivered as a convenient, single-dose IM injection in traditional outpatient settings.</w:t>
      </w:r>
    </w:p>
    <w:p>
      <w:pPr>
        <w:spacing w:after="0" w:line="76" w:lineRule="exact"/>
        <w:rPr>
          <w:rFonts w:ascii="Arial" w:cs="Arial" w:eastAsia="Arial" w:hAnsi="Arial"/>
          <w:sz w:val="17"/>
          <w:szCs w:val="17"/>
          <w:color w:val="auto"/>
        </w:rPr>
      </w:pPr>
    </w:p>
    <w:p>
      <w:pPr>
        <w:jc w:val="both"/>
        <w:ind w:left="1080" w:right="20" w:hanging="532"/>
        <w:spacing w:after="0" w:line="275"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both complement and supplement currently available COVID-19 vaccines, including for immunocompromised individuals. </w:t>
      </w:r>
      <w:r>
        <w:rPr>
          <w:rFonts w:ascii="Arial" w:cs="Arial" w:eastAsia="Arial" w:hAnsi="Arial"/>
          <w:sz w:val="17"/>
          <w:szCs w:val="17"/>
          <w:color w:val="auto"/>
        </w:rPr>
        <w:t>ADG20 is designed to provide convenient, rapid and durable protection against COVID-19, including for vulnerable populations unlikely to mount a protective immune response to vaccines, such as the immunocompromised population. ADG20 has the potential to be used as either a complement (i.e., an alternative) or supplement (i.e., add-on) to vaccines, as well as a means to ensure protection following an exposure to an individual with laboratory-confirmed COVID-19.</w:t>
      </w:r>
    </w:p>
    <w:p>
      <w:pPr>
        <w:spacing w:after="0" w:line="8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titer, high yield manufacturing process. </w:t>
      </w:r>
      <w:r>
        <w:rPr>
          <w:rFonts w:ascii="Arial" w:cs="Arial" w:eastAsia="Arial" w:hAnsi="Arial"/>
          <w:sz w:val="18"/>
          <w:szCs w:val="18"/>
          <w:color w:val="auto"/>
        </w:rPr>
        <w:t>We have developed a proprietary process to manufacture ADG20 at a large scale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suitable for broad commercialization and enables a relatively low cost of goods.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 refrigeration requirements to facilitate worldwide distribution and storage. </w:t>
      </w:r>
      <w:r>
        <w:rPr>
          <w:rFonts w:ascii="Arial" w:cs="Arial" w:eastAsia="Arial" w:hAnsi="Arial"/>
          <w:sz w:val="18"/>
          <w:szCs w:val="18"/>
          <w:color w:val="auto"/>
        </w:rPr>
        <w:t>ADG20 may be conveniently stored under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refrigerated conditions during distribution and prior to administration. We are in the process of confirming the long-term stability of ADG20 in sterile liquid form under refrigerated conditions.</w:t>
      </w:r>
    </w:p>
    <w:p>
      <w:pPr>
        <w:spacing w:after="0" w:line="89"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Long shelf life to enable stockpiling. </w:t>
      </w:r>
      <w:r>
        <w:rPr>
          <w:rFonts w:ascii="Arial" w:cs="Arial" w:eastAsia="Arial" w:hAnsi="Arial"/>
          <w:sz w:val="18"/>
          <w:szCs w:val="18"/>
          <w:color w:val="auto"/>
        </w:rPr>
        <w:t>ADG20 has the potential to be developed as a lyophilized formulation to further extend the shelf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drug product under refrigerated conditions. Through a combination of the lyophilized form and the long-term frozen storage of the drug substance intermediate, we believe the shelf life of ADG20 can be further extended to enable stockpiling initiatives to address future potential coronavirus pandemics.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ADG20 has the potential to impact viral replication and subsequent disease through multiple mechanisms of action, including direct blocking of viral entry into the host cell, or neutralization, and elimination of infected host cells through Fc-mediated innate immune effector activity. The majority of antibodies, including ADG20, that neutralize SARS-CoV-2 target the S protein, and more specifically, target the surface that overlaps with the hACE2 receptor binding site.</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Public antibodies that are commonly elicited by natural SARS-CoV-2 infection have been categorized into three classes based on their shared epitopes and escape mutations. These public antibodies target variable amino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acid residues that are likely not important for viral fitness, and thus are susceptible to mutation. A subset of the mutations, including those at the E484K, L452R and K417N/T residues that are present in multiple variants of concern, confers resistance to class 1 and class 2 antibodies, which likely emerged in response to immune pressure exerted on these amino acid residues by the commonly induced public antibodies.</w:t>
      </w:r>
    </w:p>
    <w:p>
      <w:pPr>
        <w:spacing w:after="0" w:line="165"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Class 1 antibodies, such as etesevimab, or LY-CoV016, and casirivimab, or REGN10933, are impacted by escape mutations at amino acid residue K417N/T, which are found in the B1.351 and P.1 variants. Class 2 antibodies, such as bamlanivimab, or LY-CoV555, and tixagevimab, or COV2-2196, are impacted by escape mutations at amino acid residue E484, which are found in B.1.351, P.1, B.1.526 and B.1.617 variants. Class 3 antibodies, such as imdevimab, or REGN10987, bind largely to variable residues and are thus associated with multiple potential routes of escape. As of May 5, 2021, variants containing mutations at key Class 3 residues have been detected in global sequence databases at frequencies exceeding 5.5%.</w:t>
      </w:r>
    </w:p>
    <w:p>
      <w:pPr>
        <w:spacing w:after="0" w:line="16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graphic below shows the amino acid sequences for RBDs of Clade 1 sarbecoviruses with SARS-CoV-2 in the top row. The graphic also shows the specific amino acid residues targeted by Class 1-3 antibodies and ADG20. When the amino acid residue at a certain position is the same or biochemically similar across viruses, it is considered to be conserved. These conserved residues are highlighted in the graphic below in green and yellow. When the amino acid residue at a certain position changes across viruses, it is considered variable. These variable residues are highlighted in the graphic below in red. Antibodies targeting residues that are conserved are more likely to be broadly neutralizing whereas those that target variable residues are more likely to lose effectiveness against viruses that have a different residue at that position.</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1-3 Antibodies Target Variable Residues Associated with Viral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7399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8604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 xml:space="preserve">In contrast to Class 1-3 antibodies, ADG20 employs a unique binding strategy. The amino acid residues that ADG20 engages are conserved, as highlighted in green and yellow above, which provides it with broadly neutralizing capabilities and suggests that these residues may be important to viral fitness, and thus less likely to mutate in the context of an infection. </w:t>
      </w:r>
      <w:r>
        <w:rPr>
          <w:rFonts w:ascii="Arial" w:cs="Arial" w:eastAsia="Arial" w:hAnsi="Arial"/>
          <w:sz w:val="16"/>
          <w:szCs w:val="16"/>
          <w:i w:val="1"/>
          <w:iCs w:val="1"/>
          <w:color w:val="auto"/>
        </w:rPr>
        <w:t>In vitro</w:t>
      </w:r>
      <w:r>
        <w:rPr>
          <w:rFonts w:ascii="Arial" w:cs="Arial" w:eastAsia="Arial" w:hAnsi="Arial"/>
          <w:sz w:val="16"/>
          <w:szCs w:val="16"/>
          <w:color w:val="auto"/>
        </w:rPr>
        <w:t>, serial viral passaging of virus in the presence of ADG20 leads to the emergence of mutations at position G504. As of May 5, 2021, mutations at this position were present at extremely low frequency (0.004%) among circulating SARS-CoV-2 isolates. In contrast, Class 1-3 antibodies that lack neutralization breadth typically select for multiple mutations in serial viral passage experiments, many of which are present at high frequency among circulating SARS-CoV-2 isolates, such as E484K and K417N. In addition, the binding site engaged by ADG20 is not readily targeted by public antibodies, which significantly limits immune pressure at these residues. A comparison of ADG20’s binding to the RBD of the SARS-CoV-2 S protein with that of Class 1-3 antibodies is illustrated in the molecular model presented below.</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Targets a Unique Site on the RBD of the SARS-CoV-2 S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41573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32020"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 xml:space="preserve">In addition to potent neutralization, ADG20 displays Fc-mediated innate immune effector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including antibody-dependent cellular cytotoxicity, or ADCC, antibody-dependent cellular phagocytosis, or ADCP, and antibody-dependent complement deposition, or ADCD. We believe this mechanism of action may help to clear infected host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contribute to the control of SARS-CoV-2 infection.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 xml:space="preserve">ADG20 has been evaluated in a series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to demonstrate its potency and breadth as well as safety and efficacy in various animal models.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binding studies have demonstrated that ADG20 binds with high affinity to a diverse set of RBD subdomain 1, or RBD SD1, molecules from naturally circulating SARS-CoV-2 variants and related sarbecoviruses. Additional binding studies have indicated that the Fc modifications of ADG20 confer enhanced affinity to non-human primate and human neonatal Fc receptors, or FcRn, at low pH, which has translated into a prolonged serum half-life in non-human primates due to enhanced recycling via FcRn.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ADG20 has demonstrated potent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ADG20 demonstrated an ability to prevent and treat SARS-CoV-2 infection and associated disease as well as a prolonged serum half-life. Prophylactic administration of ADG2 or ADG20 provided protection against SARS-CoV-2 infection in three different animal models, and treatment with ADG2 reduced disease burden in animals infected with SARS-CoV-2.</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Vitro Studies Demonstrated Potency and Broad Neutralization of SARS-CoV-2 and All Known Variants</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 xml:space="preserve">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analysis conducted by an independent laboratory using authentic SARS-CoV-2 assays, we evaluated the potency and neutralizing activity of ADG20 against the Victoria virus strain, which is similar to the original Wuhan-Hu-1 virus strain, and the B.1.1.7, B.1.351 and P.1 variants. ADG20 demonstrated robust viral neutralization activity against the original Victoria virus as well as all three variants. As shown in the table below, ADG20 displayed potent activity, as determined by low half-maximal inhibitory concentration, or IC</w:t>
      </w:r>
      <w:r>
        <w:rPr>
          <w:rFonts w:ascii="Arial" w:cs="Arial" w:eastAsia="Arial" w:hAnsi="Arial"/>
          <w:sz w:val="14"/>
          <w:szCs w:val="14"/>
          <w:color w:val="auto"/>
        </w:rPr>
        <w:t>50</w:t>
      </w:r>
      <w:r>
        <w:rPr>
          <w:rFonts w:ascii="Arial" w:cs="Arial" w:eastAsia="Arial" w:hAnsi="Arial"/>
          <w:sz w:val="17"/>
          <w:szCs w:val="17"/>
          <w:color w:val="auto"/>
        </w:rPr>
        <w:t>, values and 99-100% maximum neutralization plateaus, demonstrating near complete neutralization of the total viral population for all four virus strains.</w:t>
      </w:r>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ADG20 Displays Potent and Complete Neutralizing Activity Against SARS-CoV-2 and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IC</w:t>
            </w:r>
            <w:r>
              <w:rPr>
                <w:rFonts w:ascii="Arial" w:cs="Arial" w:eastAsia="Arial" w:hAnsi="Arial"/>
                <w:sz w:val="12"/>
                <w:szCs w:val="12"/>
                <w:b w:val="1"/>
                <w:bCs w:val="1"/>
                <w:color w:val="auto"/>
              </w:rPr>
              <w:t>50</w:t>
            </w:r>
            <w:r>
              <w:rPr>
                <w:rFonts w:ascii="Arial" w:cs="Arial" w:eastAsia="Arial" w:hAnsi="Arial"/>
                <w:sz w:val="14"/>
                <w:szCs w:val="14"/>
                <w:b w:val="1"/>
                <w:bCs w:val="1"/>
                <w:color w:val="auto"/>
              </w:rPr>
              <w:t xml:space="preserve"> (mcg/mL)</w:t>
            </w: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w w:val="98"/>
              </w:rPr>
              <w:t>Neutralization Plateau (%)</w:t>
            </w:r>
          </w:p>
        </w:tc>
        <w:tc>
          <w:tcPr>
            <w:tcW w:w="520" w:type="dxa"/>
            <w:vAlign w:val="bottom"/>
            <w:tcBorders>
              <w:bottom w:val="single" w:sz="8" w:color="auto"/>
            </w:tcBorders>
          </w:tcPr>
          <w:p>
            <w:pPr>
              <w:spacing w:after="0"/>
              <w:rPr>
                <w:sz w:val="14"/>
                <w:szCs w:val="14"/>
                <w:color w:val="auto"/>
              </w:rPr>
            </w:pPr>
          </w:p>
        </w:tc>
      </w:tr>
      <w:tr>
        <w:trPr>
          <w:trHeight w:val="142"/>
        </w:trPr>
        <w:tc>
          <w:tcPr>
            <w:tcW w:w="4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Victoria</w:t>
            </w:r>
          </w:p>
        </w:tc>
        <w:tc>
          <w:tcPr>
            <w:tcW w:w="8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B.1.1.7</w:t>
            </w:r>
          </w:p>
        </w:tc>
        <w:tc>
          <w:tcPr>
            <w:tcW w:w="8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B.1.351</w:t>
            </w:r>
          </w:p>
        </w:tc>
        <w:tc>
          <w:tcPr>
            <w:tcW w:w="8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P.1</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Victoria</w:t>
            </w:r>
          </w:p>
        </w:tc>
        <w:tc>
          <w:tcPr>
            <w:tcW w:w="9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B.1.1.7</w:t>
            </w:r>
          </w:p>
        </w:tc>
        <w:tc>
          <w:tcPr>
            <w:tcW w:w="9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B.1.351</w:t>
            </w:r>
          </w:p>
        </w:tc>
        <w:tc>
          <w:tcPr>
            <w:tcW w:w="5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P.1</w:t>
            </w:r>
          </w:p>
        </w:tc>
      </w:tr>
      <w:tr>
        <w:trPr>
          <w:trHeight w:val="209"/>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ADG20</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0.004</w:t>
            </w:r>
          </w:p>
        </w:tc>
        <w:tc>
          <w:tcPr>
            <w:tcW w:w="8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0.006</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0.010</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0.009</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0"/>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AZD1061</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0.013</w:t>
            </w: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0.012</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0.014</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0.007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AZD8895</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0.005</w:t>
            </w:r>
          </w:p>
        </w:tc>
        <w:tc>
          <w:tcPr>
            <w:tcW w:w="8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0.011</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0.046</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0.046</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0"/>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REGN10987</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0.032</w:t>
            </w: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0.028</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0.007</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0.013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95</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09"/>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REGN10933</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0.004</w:t>
            </w:r>
          </w:p>
        </w:tc>
        <w:tc>
          <w:tcPr>
            <w:tcW w:w="8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0.014</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3.284</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6.177</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9"/>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LY-CoV555</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0.006</w:t>
            </w: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0.009</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&gt;10</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&gt;10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10"/>
        </w:trPr>
        <w:tc>
          <w:tcPr>
            <w:tcW w:w="4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LY-CoV016</w:t>
            </w:r>
          </w:p>
        </w:tc>
        <w:tc>
          <w:tcPr>
            <w:tcW w:w="10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0.034</w:t>
            </w:r>
          </w:p>
        </w:tc>
        <w:tc>
          <w:tcPr>
            <w:tcW w:w="8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3.225</w:t>
            </w:r>
          </w:p>
        </w:tc>
        <w:tc>
          <w:tcPr>
            <w:tcW w:w="8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&gt;10</w:t>
            </w:r>
          </w:p>
        </w:tc>
        <w:tc>
          <w:tcPr>
            <w:tcW w:w="8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&gt;10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N/A</w:t>
            </w:r>
          </w:p>
        </w:tc>
        <w:tc>
          <w:tcPr>
            <w:tcW w:w="9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N/A</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09"/>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S309</w:t>
            </w: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0.040</w:t>
            </w: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0.078</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0.082</w:t>
            </w: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0.076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94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89</w:t>
            </w: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95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bl>
    <w:p>
      <w:pPr>
        <w:spacing w:after="0" w:line="20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In addition, the neutralization potency and breadth of ADG20 was evaluated by an independent U.S. government laboratory against a panel of 64 SARS-CoV-2 pseudovirus variants, including the B.1.617 variant. We utilized the non-clinical and pre-clinical services program offered by the National Institute of Allergy and Infectious Diseases to generate this data. Variants tested included spike proteins incorporating single or double amino acid substitutions and spike proteins encoding the full sets of mutations observed in emerging variants of concern and variants of interest. As shown in the graphic below, ADG20 maintained potent neutralization activity across all variants tested to date, with IC</w:t>
      </w:r>
      <w:r>
        <w:rPr>
          <w:rFonts w:ascii="Arial" w:cs="Arial" w:eastAsia="Arial" w:hAnsi="Arial"/>
          <w:sz w:val="14"/>
          <w:szCs w:val="14"/>
          <w:color w:val="auto"/>
        </w:rPr>
        <w:t>50</w:t>
      </w:r>
      <w:r>
        <w:rPr>
          <w:rFonts w:ascii="Arial" w:cs="Arial" w:eastAsia="Arial" w:hAnsi="Arial"/>
          <w:sz w:val="17"/>
          <w:szCs w:val="17"/>
          <w:color w:val="auto"/>
        </w:rPr>
        <w:t xml:space="preserve"> values within approximately 0.4- to 5.1-fold relative to the reference D614G strain. The D614G strain is a variant of the original Wuhan-Hu-1 strain that emerged in the early phases of the pandemic and rapidly outcompeted the original strain to become the globally dominant variant by mid-2020. Moreover, emerging variants, such as B.1.1.7 and B.1.351, all harbor the D614G mutation, making it a suitable reference for comparison.</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Displayed Potent Neutralizing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0656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Vivo Studies of ADG2 and ADG20 Demonstrated Efficacy in Treatment and Prevention of SARS-CoV-2 Infection</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 xml:space="preserve">To determine whether ADG2, the parent molecule of ADG20, could prevent SARS-CoV-1 and SARS-CoV-2 infection and associated disease in mice, we conducted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study where Balb/c mice were administered 200 µg of ADG2 or placebo, or sham, via intraperitoneal injection and then challenged 12 hours later with either mouse-adapted, or MA, SARS-CoV-1 or SARS-CoV-2 via the intranasal route. Body weight, respiratory function and lung histopathology were evaluated. In this preclinical study, ADG2 administered prophylactically protected healthy adult mice from weight loss, respiratory distress and pulmonary hemorrhage associated with infection due to MA SARS-CoV-1 or SARS-CoV-2, as shown below. Prophylactic treatment with ADG2 also prevented viral replication in the lungs post-infection. In contrast, prophylactic sham treatment resulted in deteriorations across all four parameters.</w:t>
      </w:r>
    </w:p>
    <w:p>
      <w:pPr>
        <w:spacing w:after="0" w:line="200" w:lineRule="exact"/>
        <w:rPr>
          <w:sz w:val="20"/>
          <w:szCs w:val="20"/>
          <w:color w:val="auto"/>
        </w:rPr>
      </w:pPr>
    </w:p>
    <w:p>
      <w:pPr>
        <w:spacing w:after="0" w:line="20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ADG2 Provides Complete Protection Against Severe SARS-CoV-2 and SARS-CoV-1 Disease in a Mouse Model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SARS-CoV-2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573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SARS-CoV-1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65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To determine whether a low dose of ADG2 could provide therapeutic benefit against SARS-CoV-2-associated disease in mice, we conducted an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preclinical study where Balb/c mice were challenged intranasally with MA SARS-CoV-2 and then treated with either 200 µg of ADG2 or placebo</w:t>
      </w:r>
      <w:r>
        <w:rPr>
          <w:rFonts w:ascii="Arial" w:cs="Arial" w:eastAsia="Arial" w:hAnsi="Arial"/>
          <w:sz w:val="18"/>
          <w:szCs w:val="18"/>
          <w:i w:val="1"/>
          <w:iCs w:val="1"/>
          <w:color w:val="auto"/>
        </w:rPr>
        <w:t xml:space="preserve"> </w:t>
      </w:r>
      <w:r>
        <w:rPr>
          <w:rFonts w:ascii="Arial" w:cs="Arial" w:eastAsia="Arial" w:hAnsi="Arial"/>
          <w:sz w:val="18"/>
          <w:szCs w:val="18"/>
          <w:color w:val="auto"/>
        </w:rPr>
        <w:t>via intraperitoneal injection 12 hours following challenge. Compared to placebo, ADG2 resulted in less weight loss and was associated with improved respiratory function and histological signs of hemorrhage. In addition, treatment with ADG2 also resulted in a significant reduction in lung viral loads at four days post-infection relative to treatment with placebo.</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 xml:space="preserve">In conjunction with the United States Army Medical Research Institute for Infectious Diseases, or USAMRIID, we conducted two preclinical studies to investigate the efficacy of ADG20 in the prevention of SARS-CoV-2 infection in hamsters and non-human primates, or NHPs. A dose ranging study of ADG20 in hamsters was conducted to investigate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of ADG20 in preventing SARS-CoV-2 infection and to evaluate the potential for antibody-dependent enhancement, or ADE, of infection at sub-neutralizing, or sub-efficacious, concentrations of ADG20. The preclinical study included six cohorts, with four cohorts administered differing doses of ADG20 and two cohorts administered a control antibody. The antibodies were administered 24 hours prior to an intranasal viral challenge and viral load was measured in lungs harvested on days three or six post-challenge. This preclinical study demonstrated that ADG20 inhibits viral replication in a dose-dependent manner with no evidence of ADE of viral replication at sub-efficacious serum concentrations.</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also conducted a preclinical study with USAMRIID to investigate the efficacy of ADG20 in the prevention of SARS-CoV-2 infection in NHPs. Three cohorts were dosed with 5 mg/kg of ADG20, 25 mg/kg of ADG20 or an irrelevant control antibody through IV infusion three days prior to combined intranasal and intratracheal challenge with SARS-CoV-2/WA-1, a strain similar to the original Wuhan-Hu-1 strain. Swabs of the nasopharyngeal cavities were taken daily on days one through six post-challenge to assess viral load by both viral plaque assay, which measures levels of infectious virus, and RT-PCR of subgenomic viral RNA, which measures active viral replication. Viral replication in the lungs was also evaluated by subgenomic RT-PCR on bronchioalveolar lavage, or BAL, fluid collected on days one, three and five. As shown in the graphic below, persistent viral replication was detected through day six in the nasopharyngeal cavities of all control-treated animals. In contrast, complete protection against viral replication was observed in all respiratory compartments at the 25 mg/kg dose level. Substantial protection was also observed at the 5 mg/kg dose level, as demonstrated by reduced viral loads and accelerated viral clearance compared to control-treated animals.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Provides Potent Prophylactic Protection in an NHP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1466215</wp:posOffset>
            </wp:positionV>
            <wp:extent cx="2520315" cy="8743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520315" cy="87439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205740</wp:posOffset>
            </wp:positionV>
            <wp:extent cx="6120765" cy="8743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12076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As shown in the graphic below, we believe that intervention with an antiviral neutralizing antibody before exposure to SARS-CoV-2, post-exposure but prior to the onset of symptoms or early in the course of symptomatic disease when viral replication is high but before the onset of significant immune pathology is likely to provide the greatest benefit to patients. This belief is supported by recent clinical experience with SARS-CoV-2 mAbs as well as prior experience with the use of neutralizing antibodies for the treatment and prevention of other respiratory virus infections such as influenza and respiratory syncytial virus, or RSV. For these reasons, our clinical development strategy is focused on prevention and early treatment of COVID-19 with the goal of preventing severe disease and its sequelae.</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for Treatment and Prevention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5186045" cy="1808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860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shown below, our clinical development plan for ADG20 includes a series of clinical trials to demonstrate the potential of ADG20 for both the treatment and prevention of COVID-19 in adults and adolescents. We have completed enrollment in our first-in-human Phase 1 clinical trial in healthy volunteers, which demonstrated safety, tolerability and a pharmacokinetic profile supportive of continued development. In addition, the serum virus neutralizing antibody titers measured following administration of ADG20 were within the range of peak serum neutralizing antibody titers reported for mRNA COVID-19 vaccine recipients. For the treatment of mild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moderate COVID-19 in patients at high risk of disease progression, we are conducting our combined Phase 2/3 STAMP trial that is designed to provide a rapid path to authorization, marketing approval and commercial launch. For the prevention of symptomatic COVID-19, we are conducting our combined Phase 2/3 EVADE clinical trial in both post-exposure and pre-exposure populations.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Clinical Development Program for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8632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8604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First-in-Human Phase 1 Dose Escalation Clinical Trial</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In February 2021, we initiated a Phase 1 single ascending-dose escalation clinical trial of ADG20, which is designed to evaluate the safety, tolerability and pharmacokinetic properties of ADG20, along with serum virus neutralizing antibody titers. We have completed enrollment of 30 healthy volunteers across three cohorts, with ten participants per cohort randomized 8 to 2 to ADG20 or placebo, respectively. Each participant received a single IM or IV administration of either 300 mg IM, 500 mg IV or 600 mg IM of ADG20 or placebo. As of April 7, 2021, blinded safety data demonstrated that ADG20 was well tolerated across all doses with no serious adverse events, study drug-related adverse events, hypersensitivity reactions, infusion-related reactions or injection site reactions reported.</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 xml:space="preserve">The preliminary pharmacokinetic profile following administration of a single 300 mg IM dose is shown in the illustration below. The observed data are consistent with the pharmacokinetic profile predicted by a physiologically based pharmacokinetic model used to guide dose selection and project a prolonged serum half-life. Based on the model predicted pharmacokinetic profile, median ADG20 serum concentration at 52 weeks, or approximately 12 months, is projected to exceed the ADG20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IC</w:t>
      </w:r>
      <w:r>
        <w:rPr>
          <w:rFonts w:ascii="Arial" w:cs="Arial" w:eastAsia="Arial" w:hAnsi="Arial"/>
          <w:sz w:val="15"/>
          <w:szCs w:val="15"/>
          <w:color w:val="auto"/>
        </w:rPr>
        <w:t>90</w:t>
      </w:r>
      <w:r>
        <w:rPr>
          <w:rFonts w:ascii="Arial" w:cs="Arial" w:eastAsia="Arial" w:hAnsi="Arial"/>
          <w:sz w:val="18"/>
          <w:szCs w:val="18"/>
          <w:color w:val="auto"/>
        </w:rPr>
        <w:t xml:space="preserve"> by approximately 100-fold, supporting the potential for a single IM injection to provide protection from COVID-19 for up to 12 months. Preliminary observed ADG20 pharmacokinetic profiles were dose proportional across the other dose levels tested and were also well predicted by the model.</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Preliminary Pharmacokinetic Profile of a Single 300 mg IM Dose of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171450</wp:posOffset>
            </wp:positionV>
            <wp:extent cx="3411855" cy="29914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1185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Serum virus neutralizing antibody titers are believed to be a key correlate of protection against COVID-19. By approximately two weeks following administration of a single 300 mg IM dose of ADG20, measured serum neutralizing antibody titers were within the range of peak serum neutralizing antibody titers reported for mRNA COVID-19 vaccine recipients. Using the quantitative pharmacology model, median serum neutralizing antibody titers at 6 months were projected to remain within the range reported for mRNA vaccine recipients in a similar timeframe. At 52 weeks, or approximately 12 months, post-dosing median titers were projected to remain above a threshold associated with protection from SARS-CoV-2 infection in non-human primates administered purified IgG from previously infected animals. These data further support the potential for a single 300 mg IM injection of ADG20 to provide protection against COVID-19 for up to 12 months.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Combined Phase 2/3 STAMP Trial of ADG20 for the Treatment of COVID-19</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Emerging evidence has shown that for high-risk patients, intervention with a mAb therapy early in the course of infection can prevent disease progression, hospitalization and death. Based on this evidence, we are conducting our STAMP trial, a combined Phase 2/3 clinical trial of ADG20 for the treatment of COVID-19 in ambulatory adult patients with mild to moderate disease who are at high risk of disease progression. Our STAMP trial is designed to be a double-blind, randomized, placebo-controlled clinical trial comparing the efficacy of a single IM dose of ADG20 to placebo, with a target enrollment of approximately 1,100 patients. After evaluation of safety data from the Phase 2 portion of the trial, we may expand enrollment to adolescents and pregnant women in the Phase 3 portion. The primary objectives of this clinical trial are to assess the safety and efficacy of ADG20 compared to placebo in the prevention of COVID-19-related hospitalization or death through Day 29.</w:t>
      </w:r>
    </w:p>
    <w:p>
      <w:pPr>
        <w:spacing w:after="0" w:line="17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designed our STAMP trial to have two pre-specified interim analyses to support a potential EUA and, in the case of the second interim analysis, the potential to demonstrate early evidence of efficacy. If either interim analysis is positive and the public health emergency is still in effect, we plan to submit an EUA to the FDA. Our EUA submission will be based on clinical and virology endpoints and will be supplemented with nonclinical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virological data demonstrating ADG20 activity against known SARS-CoV-2 variants of concern. Our EUA plan is supported by recently issued FDA guidance that indicates the potential use of surrogate viral load endpoints to support an EUA in situations where variants have impacted the efficacy of currently authorized products. If the Phase 3 data are positive, either at the second interim analysis or at the completion of the trial, we expect to submit a biologics license application, or BLA, to the FDA for full approval of ADG20 for the treatment of mild to moderate COVID-19 in patients at high risk of progressing to severe COVID-19 and/or hospitalization.</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order to demonstrate clinical efficacy of ADG20 in patients where other mAb therapies are expected to have more limited success, we are prioritizing enrollment of the STAMP trial in countries with high rates of SARS-CoV-2 variants that have been associated with lower efficacy rates of certain vaccines and are resistant or partially resistant to a subset of currently available or clinical-stage mAbs.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Combined Phase 2/3 EVADE Trial of ADG20 for the Prevention of COVID-19</w:t>
      </w:r>
    </w:p>
    <w:p>
      <w:pPr>
        <w:spacing w:after="0" w:line="117"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We have initiated our combined Phase 2/3 EVADE clinical trial of ADG20 to evaluate the safety and efficacy of ADG20 in the prevention of symptomatic COVID-19 in two separate populations: (1) individuals with known exposure to a person with laboratory-confirmed SARS-CoV-2 infection, which we refer to as post-exposure prophylaxis, and (2) individuals who are at increased risk for SARS-CoV-2 infection, which we refer to as pre-exposure prophylaxis. The trial population also includes individuals at risk of generating poor vaccine response, such as those who are immunocompromised. Our EVADE trial is designed as a randomized, double-blind, placebo-controlled clinical trial to evaluate the efficacy of a single IM dose of ADG20 in preventing COVID-19, with a target enrollment of approximately 6,400 individuals. The primary endpoint is the proportion of participants with laboratory-confirmed symptomatic COVID-19 through Day 28 for the post-exposure cohort and through six months for the pre-exposure cohort. In addition, we will follow participants for 12 months to assess the proportion of participants who develop symptomatic COVID-19 through this time period in both cohorts. For those participants who do get infected with SARS-CoV-2, we will evaluate the impact of ADG20 on viral load as a surrogate for transmission potential. After evaluation of data from the first 200 adult participants across both cohorts in the Phase 2 portion of the trial, we may expand enrollment to adolescents and pregnant women in the Phase 3 portion.</w:t>
      </w:r>
    </w:p>
    <w:p>
      <w:pPr>
        <w:spacing w:after="0" w:line="18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initiated enrollment in the Phase 2 portion of our EVADE trial in April 2021. If the Phase 2 portion is successful, we plan to initiate enrollment in the Phase 3 portion of the trial. If the Phase 3 data are positive in either or both cohorts of the trial, we expect to submit a BLA to the FDA for full approval of ADG20 for the prevention of COVID-19 in the pre- and/or post-exposure setting. Similar to our STAMP trial, we are prioritizing enrollment in countries, including the United States, with high rates of COVID-19 variants that have been associated with lower efficacy rates of certain vaccines and are resistant or partially resistant to a subset of currently available or clinical-stage mAbs.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Pediatric Clinical Development Plan</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Although children are at lower risk of developing severe COVID-19 compared to adults, a subset of children experience poor outcomes, including severe acute disease, such as the multisystem inflammatory syndrome, or MIS-C, and long-term sequelae of disease, also known as long COVID. Safe and effective therapies are needed to prevent severe disease and hospitalization in high-risk children as well as complications of COVID-19 such as MIS-C and long COVID. In addition, children of all ages are infectious and capable of transmission, regardless of symptom status, and the contribution of children to ongoing disease transmission is likely underappreciated. The secondary impacts of the COVID-19 pandemic on children due to widespread school closure, including a burgeoning mental health crisis, food insecurity and loss of gains in literacy, further attest to the need for safe and effective agents to prevent COVID-19 in children to support widespread school re-opening. Prevention efforts in children are also important for protection of high-risk adults who have contact with children and may not be fully protected by vaccination, as well as for the achievement of global herd immunity given that 25% of the world’s population are under the age of 14.</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Similar to our strategy for the adult and adolescent populations, we anticipate generating data to support the use of ADG20 for both the treatment and prevention of COVID-19 in the pediatric population. We believe ADG20 has the potential to provide a treatment option for children at high risk of severe disease, a viable prevention option for children with household or other high-risk exposures and an alternative to vaccines for certain high-risk children. Based on decades of experience using Synagis, an antibody administered to high-risk infants and toddlers for the prevention of severe lower respiratory tract disease due to RSV, we believe the pediatric use of ADG20 could become well-accepted for certain subsets of the pediatric population.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Commercial Opportunity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that three core assumptions underpin the robust commercial opportunity inherent in ADG20 as both a treatment and preventative option for COVID-19:</w:t>
      </w:r>
    </w:p>
    <w:p>
      <w:pPr>
        <w:spacing w:after="0" w:line="72" w:lineRule="exact"/>
        <w:rPr>
          <w:sz w:val="20"/>
          <w:szCs w:val="20"/>
          <w:color w:val="auto"/>
        </w:rPr>
      </w:pPr>
    </w:p>
    <w:p>
      <w:pPr>
        <w:jc w:val="both"/>
        <w:ind w:left="1080" w:hanging="532"/>
        <w:spacing w:after="0" w:line="270"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 xml:space="preserve">Vaccines alone are not expected to adequately address the COVID-19 pandemic. </w:t>
      </w:r>
      <w:r>
        <w:rPr>
          <w:rFonts w:ascii="Arial" w:cs="Arial" w:eastAsia="Arial" w:hAnsi="Arial"/>
          <w:sz w:val="17"/>
          <w:szCs w:val="17"/>
          <w:color w:val="auto"/>
        </w:rPr>
        <w:t>We believe high levels of vaccine hesitancy may</w:t>
      </w:r>
      <w:r>
        <w:rPr>
          <w:rFonts w:ascii="Arial" w:cs="Arial" w:eastAsia="Arial" w:hAnsi="Arial"/>
          <w:sz w:val="17"/>
          <w:szCs w:val="17"/>
          <w:b w:val="1"/>
          <w:bCs w:val="1"/>
          <w:color w:val="auto"/>
        </w:rPr>
        <w:t xml:space="preserve"> </w:t>
      </w:r>
      <w:r>
        <w:rPr>
          <w:rFonts w:ascii="Arial" w:cs="Arial" w:eastAsia="Arial" w:hAnsi="Arial"/>
          <w:sz w:val="17"/>
          <w:szCs w:val="17"/>
          <w:color w:val="auto"/>
        </w:rPr>
        <w:t>leave as many as 100 million people in the United States and 2 billion people worldwide susceptible to COVID-19, assuming that less than 70% of the population will take a full course of a vaccine. We also believe there is a significant portion of the population that will choose not to receive the second vaccine dose or a potential future booster, which will make the duration of their protection uncertain. We also believe the challenges around the distribution and storage of certain vaccines will make widespread administration difficult in less developed or remote parts of the world. As a result, our epidemiological modeling has suggested that as much as 50% of the global population may be susceptible to infection within three years based on current assumptions of viral transmissibility as well as vaccine adoption, availability and length of protection, even when assuming that vaccine boosters are readily available. We believe these predictive assessments are indicative of the significant opportunity that may be available for a mAb therapy like ADG20 that has the potential to offer both treatment and preventative benefit.</w:t>
      </w:r>
    </w:p>
    <w:p>
      <w:pPr>
        <w:spacing w:after="0" w:line="82" w:lineRule="exact"/>
        <w:rPr>
          <w:rFonts w:ascii="Arial" w:cs="Arial" w:eastAsia="Arial" w:hAnsi="Arial"/>
          <w:sz w:val="17"/>
          <w:szCs w:val="17"/>
          <w:color w:val="auto"/>
        </w:rPr>
      </w:pPr>
    </w:p>
    <w:p>
      <w:pPr>
        <w:jc w:val="both"/>
        <w:ind w:left="1080" w:hanging="532"/>
        <w:spacing w:after="0" w:line="254"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ADG20 will find clinical application as both a complement to and supplement for vaccine use. </w:t>
      </w:r>
      <w:r>
        <w:rPr>
          <w:rFonts w:ascii="Arial" w:cs="Arial" w:eastAsia="Arial" w:hAnsi="Arial"/>
          <w:sz w:val="18"/>
          <w:szCs w:val="18"/>
          <w:color w:val="auto"/>
        </w:rPr>
        <w:t>We conducted market research with</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in the United States and Europe to better understand their perceptions of the potential profile of ADG20 and its likely applications. When shown the product profile of ADG20 versus four other mAbs in development, casirivimab/imdevimab (REGEN-COV), bamlanivimab/etesevimab (LY-CoV555/016), cilgavimab/tixagevimab (AZ7442) and sotrovimab (VIR-7831), both groups of physicians preferred ADG20 as a potential preventative for all types of individuals, including those unvaccinated, as well as a booster for high-risk individuals, such as the elderly and the immunocompromised. For treatment, both groups of physicians also preferred ADG20 for all patient types, including low- and high-risk patients as well as pre-symptomatic, but infected, patients. We believe the results of our market research support the potential acceptance of ADG20 as both a complement to and supplement for vaccines across a wide variety of individuals.</w:t>
      </w:r>
    </w:p>
    <w:p>
      <w:pPr>
        <w:spacing w:after="0" w:line="93" w:lineRule="exact"/>
        <w:rPr>
          <w:rFonts w:ascii="Arial" w:cs="Arial" w:eastAsia="Arial" w:hAnsi="Arial"/>
          <w:sz w:val="18"/>
          <w:szCs w:val="18"/>
          <w:color w:val="auto"/>
        </w:rPr>
      </w:pPr>
    </w:p>
    <w:p>
      <w:pPr>
        <w:jc w:val="both"/>
        <w:ind w:left="1080" w:right="20" w:hanging="532"/>
        <w:spacing w:after="0" w:line="254"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 xml:space="preserve">ADG20 can both address COVID-19 and be a stockpiling product of choice for COVID-2X, the next SARS-like coronavirus.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 aggregate of ADG20’s potential advantages, including its dosing convenience, the potential durability of its efficacy and its utility against SARS-CoV-2 variants, position ADG20 as a compelling option to address the current COVID-19 pandemic. In addition, ADG20’s broad activity against a diverse group of SARS-related viruses make ADG20 an attractive option to enable stockpiling purchases to address future potential pandemics due to SARS-like viruses. To further enhance ADG20’s stockpiling profile, we are developing a lyophilized formulation of the API of ADG20 to further extend the shelf life of the drug product under refrigerated conditions. Through a combination of the lyophilized form and the long-term frozen storage of the drug substance intermediate, we believe the shelf life can be even further extended.</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ADG20 Attributes vs. Competitive mAbs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ADG20 has a unique combination of attributes that positions ADG20 to be a differentiated mAb for both the treatment and prevention of COVID-19.</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Low Risk of Clinical Resistance. </w:t>
      </w:r>
      <w:r>
        <w:rPr>
          <w:rFonts w:ascii="Arial" w:cs="Arial" w:eastAsia="Arial" w:hAnsi="Arial"/>
          <w:sz w:val="16"/>
          <w:szCs w:val="16"/>
          <w:color w:val="auto"/>
        </w:rPr>
        <w:t>The currently known SARS-CoV-2 variants of concern likely emerged in response to immune pressure exerted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variable amino acid residues such as K417 and E484, which are targeted by public antibodies commonly induced by natural infection. Because most of the mAbs currently in development were isolated from COVID-19 survivors and belong to one of the three classes of public RBD-directed antibodies, many of the clinical-stage mAbs show significant loss of potency against variants of concern. For example, casirivimab, bamlanivimab, etesevimab and regandivimab all show significant loss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potency against the B1.351, P.1, B.1.526 and/or B.1.429 variants, which contain mutations at the key amino acid residues recognized by these antibodies. Furthermore, the EUA for bamlanivimab was recently revoked by the FDA due to the increase in SARS-CoV-2 variants resistant to this antibody, raising concerns of increased risk of treatment failure. In contrast, ADG20 binds to conserved residues that are not readily targeted by public antibodies. This suggests that these residues are less likely to mutate than those recognized by other antibodies, which is supported by preliminary data demonstrating that mutations in the ADG20 binding site are currently present at extremely low frequency in circulating SARS-CoV-2 viruses and none of the variants of concern described to date contain mutations in the ADG20 binding site. Thus, ADG20 demonstrates high affinity binding and potent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activity against common circulating SARS-CoV-2 variants, including the B.1.1.7, B1.351 and P.1 variants of concern and additional variants of interest.</w:t>
      </w:r>
    </w:p>
    <w:p>
      <w:pPr>
        <w:spacing w:after="0" w:line="168"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Half-Life Extension. </w:t>
      </w:r>
      <w:r>
        <w:rPr>
          <w:rFonts w:ascii="Arial" w:cs="Arial" w:eastAsia="Arial" w:hAnsi="Arial"/>
          <w:sz w:val="17"/>
          <w:szCs w:val="17"/>
          <w:color w:val="auto"/>
        </w:rPr>
        <w:t>ADG20 was engineered from its parent antibody, ADG2, with a modification in the Fc region that results in enhanced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binding to FcRn at low pH levels. Enhanced binding to FcRn receptors at low pH levels improves FcRn-mediated antibody recycling, leading to an extended serum half-life in humans. The prolonged half-life for ADG20 is supported by preliminary pharmacokinetic data from the Phase 1 healthy volunteer study. Other antibodies that do not include half-life extensions, such as casirivimab/imdevimab, bamlanivimab/etesevimab and regdanvimab, will likely require frequent periodic administration to provide an extended duration of protection.</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Effector Function. </w:t>
      </w:r>
      <w:r>
        <w:rPr>
          <w:rFonts w:ascii="Arial" w:cs="Arial" w:eastAsia="Arial" w:hAnsi="Arial"/>
          <w:sz w:val="16"/>
          <w:szCs w:val="16"/>
          <w:color w:val="auto"/>
        </w:rPr>
        <w:t>Antibodies with Fc-mediated immune effector function summon immune cells and other immune mediators to the site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infection to help destroy infected cells and clear the infection.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for other SARS-CoV-2 mAbs also suggest that Fc effector functions help to modulate protective immune responses. Notably, etesevimab and cilgavimab/tixagevimab include Fc modifications that reduce innate immune effector functions. In contrast, ADG20 was engineered to retain Fc-mediated innate immune effector activity, including ADCC and ADCP.</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Potency. </w:t>
      </w:r>
      <w:r>
        <w:rPr>
          <w:rFonts w:ascii="Arial" w:cs="Arial" w:eastAsia="Arial" w:hAnsi="Arial"/>
          <w:sz w:val="18"/>
          <w:szCs w:val="18"/>
          <w:color w:val="auto"/>
        </w:rPr>
        <w:t>Our definition for potent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neutralization of SARS-CoV-2 is demonstration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IC</w:t>
      </w:r>
      <w:r>
        <w:rPr>
          <w:rFonts w:ascii="Arial" w:cs="Arial" w:eastAsia="Arial" w:hAnsi="Arial"/>
          <w:sz w:val="15"/>
          <w:szCs w:val="15"/>
          <w:color w:val="auto"/>
        </w:rPr>
        <w:t>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equal to 10 ng/mL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against a range of authentic SARS-CoV-2 variants, including B.1.1.7, B1.351 and P.1. Of the clinical-stage and authorized mAbs, only ADG20 and AZD1061 have this characteristic.</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Convenient Dosing Regimen. </w:t>
      </w:r>
      <w:r>
        <w:rPr>
          <w:rFonts w:ascii="Arial" w:cs="Arial" w:eastAsia="Arial" w:hAnsi="Arial"/>
          <w:sz w:val="18"/>
          <w:szCs w:val="18"/>
          <w:color w:val="auto"/>
        </w:rPr>
        <w:t>Given the high potency, low viscosity and high concentration formulation of ADG20, we are developing ADG20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single-dose IM injection for both the treatment and prevention of COVID-19. To our knowledge, the dosing regimens for currently available or clinical-stage SARS-CoV-2 mAbs require either IV infusion or multiple subcutaneous or intramuscular injections for the treatment and/or prevention of COVID-19.</w:t>
      </w:r>
    </w:p>
    <w:p>
      <w:pPr>
        <w:spacing w:after="0" w:line="1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Breadth. </w:t>
      </w:r>
      <w:r>
        <w:rPr>
          <w:rFonts w:ascii="Arial" w:cs="Arial" w:eastAsia="Arial" w:hAnsi="Arial"/>
          <w:sz w:val="17"/>
          <w:szCs w:val="17"/>
          <w:color w:val="auto"/>
        </w:rPr>
        <w:t>ADG20 has demonstrated potent and broad neutralizing activity against SARS-CoV-2 and other SARS-like viruses that infect 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cells through the same hACE2 receptor pathway as SARS-CoV-2. To our knowledge, the only other mAb in late-stage clinical development that has demonstrated activity against additional SARS-like viruses is sotrovimab, but with lower potency compared to ADG20.</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Go-to-Market Strategy</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believe the commercialization of ADG20 will involve direct 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We have begun discussions with some of these entities and will continue to do so as we progress ADG20 through a potential EUA and commercialization. In other markets, such as Latin America, Asia-Pacific, including China, and Middle Eastern and African countries, we intend to commercialize ADG20 through partnerships.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Broadly Neutralizing Antibodies in Development</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envision additional product development opportunities emerging from our development of ADG20 for the treatment and prevention of COVID-19. We are currently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product activity for COVID-19 as new variants of SARS-CoV-2 arise as well as for future outbreaks of disease that may arise from additional SARS-like viruses with pandemic potential.</w:t>
      </w:r>
    </w:p>
    <w:p>
      <w:pPr>
        <w:spacing w:after="0" w:line="188"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 xml:space="preserve">A number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including assessments of binding affinity and neutralization potency, have been conducted with ADG10 and ADG1, the parent molecule of ADG10. ADG1 is an affinity-matured progeny of ADI-55689, an antibody that was isolated from a survivor of the 2003 SARS outbreak along with the parent molecule of ADG2/ADG20. ADG1 binds with high affinity to the RBD of the spike proteins of multiple ACE-2 targeting sarbecoviruses and has been shown to potently neutralize multiple members of this group of SARS-like viruses </w:t>
      </w:r>
      <w:r>
        <w:rPr>
          <w:rFonts w:ascii="Arial" w:cs="Arial" w:eastAsia="Arial" w:hAnsi="Arial"/>
          <w:sz w:val="17"/>
          <w:szCs w:val="17"/>
          <w:i w:val="1"/>
          <w:iCs w:val="1"/>
          <w:color w:val="auto"/>
        </w:rPr>
        <w:t>in vitro</w:t>
      </w:r>
      <w:r>
        <w:rPr>
          <w:rFonts w:ascii="Arial" w:cs="Arial" w:eastAsia="Arial" w:hAnsi="Arial"/>
          <w:sz w:val="17"/>
          <w:szCs w:val="17"/>
          <w:color w:val="auto"/>
        </w:rPr>
        <w:t>. To create ADG10, the same Fc region modification included in ADG20 that was designed to extend half-life was introduced into ADG1.</w:t>
      </w:r>
    </w:p>
    <w:p>
      <w:pPr>
        <w:spacing w:after="0" w:line="17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7"/>
          <w:szCs w:val="17"/>
          <w:color w:val="auto"/>
        </w:rPr>
        <w:t>Similar to ADG2, ADG1 possesses broad activity and binds with high affinity to a diverse set of RBD molecules from naturally circulating SARS-CoV-2 variants and related sarbecoviruses. ADG10 has demonstrated broad and potent neutralizing activity against authentic SARS-CoV-2 viruses, including the Victoria virus strain and the B.1.1.7, B.1.351 and P.1 variants. As shown in the table below, ADG10 potently and completely neutralized all four virus strains tested, as demonstrated by the low IC</w:t>
      </w:r>
      <w:r>
        <w:rPr>
          <w:rFonts w:ascii="Arial" w:cs="Arial" w:eastAsia="Arial" w:hAnsi="Arial"/>
          <w:sz w:val="14"/>
          <w:szCs w:val="14"/>
          <w:color w:val="auto"/>
        </w:rPr>
        <w:t>50</w:t>
      </w:r>
      <w:r>
        <w:rPr>
          <w:rFonts w:ascii="Arial" w:cs="Arial" w:eastAsia="Arial" w:hAnsi="Arial"/>
          <w:sz w:val="17"/>
          <w:szCs w:val="17"/>
          <w:color w:val="auto"/>
        </w:rPr>
        <w:t xml:space="preserve"> values and 100% neutralization plateaus achieved.</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ADG10 Displays Potent and Complete Neutralizing Activity Against SARS-CoV-2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IC</w:t>
            </w:r>
            <w:r>
              <w:rPr>
                <w:rFonts w:ascii="Arial" w:cs="Arial" w:eastAsia="Arial" w:hAnsi="Arial"/>
                <w:sz w:val="12"/>
                <w:szCs w:val="12"/>
                <w:b w:val="1"/>
                <w:bCs w:val="1"/>
                <w:color w:val="auto"/>
              </w:rPr>
              <w:t>50</w:t>
            </w:r>
            <w:r>
              <w:rPr>
                <w:rFonts w:ascii="Arial" w:cs="Arial" w:eastAsia="Arial" w:hAnsi="Arial"/>
                <w:sz w:val="14"/>
                <w:szCs w:val="14"/>
                <w:b w:val="1"/>
                <w:bCs w:val="1"/>
                <w:color w:val="auto"/>
              </w:rPr>
              <w:t xml:space="preserve"> (mcg/mL)</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Neutralization Plateau (%)</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480" w:type="dxa"/>
            <w:vAlign w:val="bottom"/>
          </w:tcPr>
          <w:p>
            <w:pPr>
              <w:spacing w:after="0"/>
              <w:rPr>
                <w:sz w:val="12"/>
                <w:szCs w:val="12"/>
                <w:color w:val="auto"/>
              </w:rPr>
            </w:pPr>
          </w:p>
        </w:tc>
        <w:tc>
          <w:tcPr>
            <w:tcW w:w="7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Victoria</w:t>
            </w: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92"/>
              </w:rPr>
              <w:t>B.1.1.7</w:t>
            </w: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B.1.351</w:t>
            </w:r>
          </w:p>
        </w:tc>
        <w:tc>
          <w:tcPr>
            <w:tcW w:w="4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P.1</w:t>
            </w:r>
          </w:p>
        </w:tc>
        <w:tc>
          <w:tcPr>
            <w:tcW w:w="280" w:type="dxa"/>
            <w:vAlign w:val="bottom"/>
          </w:tcPr>
          <w:p>
            <w:pPr>
              <w:spacing w:after="0"/>
              <w:rPr>
                <w:sz w:val="12"/>
                <w:szCs w:val="12"/>
                <w:color w:val="auto"/>
              </w:rPr>
            </w:pPr>
          </w:p>
        </w:tc>
        <w:tc>
          <w:tcPr>
            <w:tcW w:w="7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Victoria</w:t>
            </w:r>
          </w:p>
        </w:tc>
        <w:tc>
          <w:tcPr>
            <w:tcW w:w="70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B.1.1.7</w:t>
            </w:r>
          </w:p>
        </w:tc>
        <w:tc>
          <w:tcPr>
            <w:tcW w:w="74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9"/>
              </w:rPr>
              <w:t>B.1.351</w:t>
            </w:r>
          </w:p>
        </w:tc>
        <w:tc>
          <w:tcPr>
            <w:tcW w:w="3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P.1</w:t>
            </w:r>
          </w:p>
        </w:tc>
        <w:tc>
          <w:tcPr>
            <w:tcW w:w="60" w:type="dxa"/>
            <w:vAlign w:val="bottom"/>
          </w:tcPr>
          <w:p>
            <w:pPr>
              <w:spacing w:after="0"/>
              <w:rPr>
                <w:sz w:val="12"/>
                <w:szCs w:val="12"/>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ADG10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0.006</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0.010</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0.011</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0.003</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6"/>
              </w:rPr>
              <w:t>100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15" w:lineRule="exact"/>
        <w:rPr>
          <w:sz w:val="20"/>
          <w:szCs w:val="20"/>
          <w:color w:val="auto"/>
        </w:rPr>
      </w:pPr>
    </w:p>
    <w:p>
      <w:pPr>
        <w:jc w:val="both"/>
        <w:ind w:left="120" w:right="20" w:firstLine="440"/>
        <w:spacing w:after="0" w:line="303" w:lineRule="auto"/>
        <w:rPr>
          <w:sz w:val="20"/>
          <w:szCs w:val="20"/>
          <w:color w:val="auto"/>
        </w:rPr>
      </w:pPr>
      <w:r>
        <w:rPr>
          <w:rFonts w:ascii="Arial" w:cs="Arial" w:eastAsia="Arial" w:hAnsi="Arial"/>
          <w:sz w:val="16"/>
          <w:szCs w:val="16"/>
          <w:color w:val="auto"/>
        </w:rPr>
        <w:t>The neutralization potency and breadth of ADG10 was further evaluated against a panel of 64 SARS-CoV-2 pseudovirus variants incorporating single or double amino acid spike substitutions or spike proteins encoding the full sets of mutations observed in emerging variants of concern and variants of interest, including the B.1.617 variant. We utilized the non-clinical and pre-clinical services program offered by the National Institute of Allergy and Infectious Disease to generate these data. Similar to ADG20, ADG10 maintained potent neutralization activity across all variants tested with IC</w:t>
      </w:r>
      <w:r>
        <w:rPr>
          <w:rFonts w:ascii="Arial" w:cs="Arial" w:eastAsia="Arial" w:hAnsi="Arial"/>
          <w:sz w:val="13"/>
          <w:szCs w:val="13"/>
          <w:color w:val="auto"/>
        </w:rPr>
        <w:t>50</w:t>
      </w:r>
      <w:r>
        <w:rPr>
          <w:rFonts w:ascii="Arial" w:cs="Arial" w:eastAsia="Arial" w:hAnsi="Arial"/>
          <w:sz w:val="16"/>
          <w:szCs w:val="16"/>
          <w:color w:val="auto"/>
        </w:rPr>
        <w:t xml:space="preserve"> values within approximately 0.3- to 4-fold relative to the D614G reference strain, as shown in the graphic below.</w:t>
      </w:r>
    </w:p>
    <w:p>
      <w:pPr>
        <w:spacing w:after="0" w:line="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ADG10 Displayed Potent Neutralizing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248920</wp:posOffset>
            </wp:positionV>
            <wp:extent cx="5186045" cy="20656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are conducting further preclinical studies to evaluate the utility of ADG10 as well as additional broadly neutralizing antibody candidates alone and in combination with ADG20 against SARS-CoV-2, including variants of concern. Moreover, we believe that the rapid antibody discovery and development capabilities that have enabled our expedited advancement of ADG20 into clinical trials may also be used to develop therapeutic or preventative options for other respiratory viral infections, such as seasonal and pandemic influenza.</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Strategy</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do not currently own or operate any manufacturing facilities and have invested significant resources to develop and scale up a suitable manufacturing process for ADG20 in partnership with a contract manufacturer, WuXi, with whom we have been working since our inception. With WuXi, we have developed a high yield, industry standard mAb drug substance manufacturing process suitable for large-scale manufacturing, as well as an industry standard sterile liquid drug product manufacturing process and formulation that enables IM delivery of ADG20. Currently, the ADG20 drug substance is produced using a recombinant Chinese Hamster Ovary, or CHO, commercial cell line, fed-batch suspension cell culture and a chromatography column-based purification process. ADG20 drug substance has been successfully manufactured at commercial scale and with acceptable yields in the planned launch facility at WuXi. We plan to implement the industry standard sterile liquid drug product manufacturing process in the WuXi commercial facility prior to the submission of our EUA application.</w:t>
      </w:r>
    </w:p>
    <w:p>
      <w:pPr>
        <w:spacing w:after="0" w:line="17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have established long-term master services agreements with WuXi, pursuant to which we purchase drug substance for both clinical and commercial supply. We may terminate the master services agreements at any time for convenience in accordance with the terms of the agreements, including fulfilling our obligation to make full payment for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 We have also established a cell license agreement with WuXi that allows for the transfer and use of the commercial cell line currently used in the manufacture of ADG20 drug substance at WuXi. This license enables cell line and manufacturing process transfer to additional contract manufacturers. We are obligated to pay royalties to WuXi based on our net sales of any products covered by the license, unless we use WuXi to manufacture all of our commercial supplies, and we may buy out our royalty obligations to WuXi at our option.</w:t>
      </w:r>
    </w:p>
    <w:p>
      <w:pPr>
        <w:spacing w:after="0" w:line="18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While we expect to continue to devote significant resources to the process development and optimization of the manufacture of ADG20 and its scale up, we believe the manufacturing processes for mAbs such as ADG20 are well established and should not create meaningful impediments to either clinical development or commercial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launch. However, within the context of the global pandemic, sufficient capacity for commercial scale manufacturing has been constrained on a worldwide basis. We continue to identify additional drug substance and drug product contract manufacturers to ensure that we will have sufficient capacity as well as redundancy within our supply chain to avoid product shortages in the future. We are actively pursuing a second source contract manufacturer to add capacity and redundancy and to meet anticipated demand, if ADG20 is authorized or approved. While any reduction or halt in the supply of drug substance or drug product could limit our ability to develop our product candidates until a replacement contract manufacturer is found and qualified, we believe that we have sufficient clinical supply of ADG20 to support our current and planned clinical trials and to fulfill our initial commercial launch needs upon either receipt of an EUA or BLA approval. We will also continue to apply mitigation strategies to ensure minimal disruption to our manufacturing supply due to global raw material supply chain shortages.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Adimab</w:t>
      </w:r>
    </w:p>
    <w:p>
      <w:pPr>
        <w:spacing w:after="0" w:line="12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We were founded in June 2020 by Adimab to focus initially on the development of antibodies for both the treatment and prevention of COVID-19. Adimab is a leading provider of antibody discovery, engineering and optimization services and has established an extensive presence in the drug discovery industry. Since its founding in 2007, Adimab has partnered with over 80 pharmaceutical and biotechnology companies, including Biogen, GlaxoSmithKline, Merck, Regeneron and Takeda, and the Adimab platform has been used in more than 385 antibody discovery and optimization programs, more than 40 of which have advanced into clinical trials, including five programs in pivotal clinical trials. Five percent of all antibodies that entered clinical trials in 2020 originated from Adimab technology. Adimab has extensive domain expertise in B-cell immunology, and its prior discovery initiatives include targeting viral infections such as Ebola, Zika, RSV, hantavirus and yellow fever. We are leveraging this expertise to expedite our discovery and development activities and anticipate continued interaction with Adimab related to antibody discovery services.</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are party to an assignment and license agreement with Adimab under which Adimab assigned to us its rights to all existing coronavirus antibodies controlled by it and their derivatives, including ADG20. See “—Licensing, Collaborations and Partnerships—Assignment and License Agreement with Adimab.” In addition,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Adagio, Adagio will have the exclusive option to require Adimab to assign us its rights in any such antibody and to grant us certain licenses. See “—Licensing, Collaborations and Partnerships—Collaboration Agreement with Adimab.”</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Collaborations and Partnerships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Assignment and License Agreement with Adimab</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In July 2020, we entered into an assignment and license agreement with Adimab, or the Adimab Assignment Agreement, with respect to discovery and optimization of coronavirus-specific antibodies, including COVID-19 and SARS. Under the Adimab Assignment Agreement, Adimab assigned to us its rights to all existing coronavirus antibodies controlled by it and their derivatives, patents claiming such antibodies, know-how related to such antibodies, and biological and chemical materials specifically related to such antibodies. Adimab also granted us a non-exclusive, worldwide, royalty-bearing, sublicensable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Adimab cannot grant any third party any license or right under any patent claiming our coronavirus antibodies and cannot deliver our coronavirus antibodies to third parties; however, we have limited recourse in the event of accidental disclosures.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obligated to use commercially reasonable efforts to achieve specified development and regulatory milestones for products in certain major markets and to commercialize a product in any country in which we obtain marketing approval. We are obligated to pay Adimab quarterly for its services performed under the agreement at a specified full-time equivalent rate.</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As of May 21, 2021, we had made a single milestone payment of $1.0 million to Adimab and we owed Adimab an additional milestone payment of $2.5 million. We are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us under the Adimab Assignment Agreement or that claims priority to any such patent. If we commercialize any products as a diagnostic device (other than a companion diagnostic device) or as a research reagent, we must negotiate reasonable financial terms for such products.</w:t>
      </w:r>
    </w:p>
    <w:p>
      <w:pPr>
        <w:spacing w:after="0" w:line="179"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The Adimab Assignment Agreement will expire, unless earlier terminated, on the expiration of the last-to-expire royalty term. We have the right to terminate the Adimab Assignment Agreement at any time upon advance written notice to Adimab. In addition, subject to certain conditions, either we or Adimab may terminate the Adimab Assignment Agreement if the other party commits a material breach of the agreement and fails to cure such breach within a specified cure period after written notice is provided, except that after the initiation of the first clinical trial of a Product, Adimab may only terminate the agreement if we materially breach, and do not cure, our diligence obligation or a payment obligation. Upon expiration of the Adimab Assignment Agreement, the license becomes royalty-free, irrevocable and perpetual. Upon termination of the Adimab Assignment Agreement, all licenses and rights granted by either party will terminate and, in the case of our termination for convenience or Adimab’s termination for our material breach, we are required to assign to Adimab all right, title and interest to the patents assigned by Adimab to us or that claim priority to such patents.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Collaboration Agreement with Adimab</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If Adimab is unable to generate antibodies directed against a target selected by us, then we may replace such target.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or the Evaluation Term. We granted Adimab a non-exclusive, non-sublicensable license to certain of our patents and intellectual property solely to perform Adimab’s responsibilities under the research plans. Under the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will assign to us all right, title and interest in the antibodies of the optioned research program and will grant us a worldwide, royalty-free, fully paid-up, non-exclusive, sublicensable license under the Adimab platform technology to research, develop, make, use, and sell the antibodies for which we have exercised our options and products containing or comprising those antibodies.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 the Adimab Collaboration Agreement, we are obligated to use commercially reasonable efforts to develop, seek marketing approval for, and commercialize one product that contains an antibody discovered in each research program for which we exercise our option to obtain licenses and assignments.</w:t>
      </w:r>
    </w:p>
    <w:p>
      <w:pPr>
        <w:spacing w:after="0" w:line="184"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We are obligated to pay Adimab a quarterly fee of a low seven-digit dollar amount, which obligation may be cancelled at our option at any time. For so long as we are paying such quarterly fee (or earlier (i) if we experience a change of control after the third anniversary of the Adimab Collaboration Agreement or (ii) Adimab owns less than a specified percentage of our equity), Adimab and its affiliates will not assist or direct certain third parties to discover or optimize antibodies that are intended to bind to coronaviruses or influenza viruses. We may also elect to decrease the scope of Adimab’s exclusivity obligations and obtain a corresponding decrease in the quarterly fee. For each agreed upon research program that is commenced, we are obligated to pay Adimab quarterly for its services performed during a given research program at a specified full-time equivalent rate; a discovery delivery fee of a low six-digit dollar amount; and an optimization completion fee of a low six-digit dollar amount. For each option exercised by us to commercialize a specific research program, we are obligated to pay Adimab an exercise fee of a low seven-digit dollar amount.</w:t>
      </w:r>
    </w:p>
    <w:p>
      <w:pPr>
        <w:spacing w:after="0" w:line="16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cure periods. Following termination, we are prohibited from (i) researching, developing, manufacturing or commercializing, any products containing antibodies discovered under the agreement, (ii) practicing, licensing, assigning, granting options to, or otherwise covenanting away rights to the foregoing products, and (iii) licensing or otherwise granting covenants not to sue third parties for the foregoing products.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Cell Line License Agreement with WuXi</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We are also party to a Cell Line License Agreement with WuXi, entered into as of December 2, 2020. See “Management’s Discussion and Analysis of Financial Condition and Results of Operations—Contractual Obligations and Commitments” and “—Manufacturing Strategy.”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experience provide us with competitive advantages. However, we expect substantial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preclinical testing, conducting clinical trials, manufacturing, obtaining regulatory approvals and marketing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18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face competition from segments of the pharmaceutical, biotechnology and other related markets that pursue the development of antibody and small molecule antivirals targeting COVID-19. Companies that have authorized or late-stage COVID-19 antibody-based programs include AstraZeneca plc, Brii Biosciences Limited, Celltrion Healthcare Co, Ltd., Eli Lilly and Co, Regeneron Pharmaceuticals, Inc., SAb Biotherapeutics, Inc. and Vir Biotechnology, Inc. in collaboration with GlaxoSmithKline. In addition, we may face competition from many established pharmaceutical companies focused on developing oral antivirals for the treatment of COVID-19. Beyond antibody and small molecule antiviral treatments, we also face competition from SARS-CoV-2 vaccines that are either available under EUA, approved or in development for the prevention of COVID-19.</w:t>
      </w:r>
    </w:p>
    <w:p>
      <w:pPr>
        <w:spacing w:after="0" w:line="164"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our product candidates. Some of our competitors have already obtained EUAs from the FDA for the treatment of mild to moderate COVID-19 in high risk patients, and others in the future may obtain FDA or other regulatory approval or authorization more rapidly than we may, which could result in our competitors establishing a strong market position before we are able to enter the market. The key competitive factors affecting the success of our product candidates, if approved, are likely to be their efficacy, safety, convenience, price and the availability of reimbursement from government and other third-party payors.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68" w:lineRule="auto"/>
        <w:rPr>
          <w:sz w:val="20"/>
          <w:szCs w:val="20"/>
          <w:color w:val="auto"/>
        </w:rPr>
      </w:pPr>
      <w:r>
        <w:rPr>
          <w:rFonts w:ascii="Arial" w:cs="Arial" w:eastAsia="Arial" w:hAnsi="Arial"/>
          <w:sz w:val="17"/>
          <w:szCs w:val="17"/>
          <w:color w:val="auto"/>
        </w:rPr>
        <w:t>Our commercial success depends in part on our ability to obtain and maintain patent and other proprietary protection for commercially important technology,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Although we own a number of pending patent applications that have not yet issued as patents, we do not own or license any issued patents with claims directed to our product candidates, including ADG20, and we may not be successful in prosecuting our filed patent applications or obtaining patent protection for our product candidates. Our pending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184"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cell therapy that may be important for the development of our business. We also intend to seek patent protection or rely upon trade secret rights to protect other technologies that may be used to discover and validate targets, as well as to manufacture and develop novel cell therapy products. Additional regulatory protection may also be afforded through data exclusivity, market exclusivity and patent term extensions where available.</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ADG20 and ADG10</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of May 21, 2021, we own one patent family for which we have filed one PCT patent application, one U.S. non-provisional patent application and two foreign patent applications in Argentina and Taiwan. This patent family is directed to broadly neutralizing anti-coronavirus antibodies, including ADG20 and ADG10, and uses thereof. These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18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As of May 21, 2021, we own two additional patent families for which we have filed provisional U.S. patent applications. The first patent family is directed to methods of treating and preventing disease based on data obtained from ADG20 clinical trials and includes two U.S. provisional patent applications. The second patent family is directed to additional broadly neutralizing anti-coronavirus antibodies, combination therapies, and uses thereof and includes four U.S. provisional patent applications. Any U.S. non-provisional patent applications timely filed based upon these U.S. provisional patent applications, if issued, are expected to expire in 2042, without taking into account any possible patent term adjustment or extension.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Trade Secrets and Proprietary Information</w:t>
      </w:r>
    </w:p>
    <w:p>
      <w:pPr>
        <w:spacing w:after="0" w:line="117" w:lineRule="exact"/>
        <w:rPr>
          <w:sz w:val="20"/>
          <w:szCs w:val="20"/>
          <w:color w:val="auto"/>
        </w:rPr>
      </w:pPr>
    </w:p>
    <w:p>
      <w:pPr>
        <w:jc w:val="both"/>
        <w:ind w:left="120" w:right="20" w:firstLine="440"/>
        <w:spacing w:after="0" w:line="288" w:lineRule="auto"/>
        <w:rPr>
          <w:sz w:val="20"/>
          <w:szCs w:val="20"/>
          <w:color w:val="auto"/>
        </w:rPr>
      </w:pPr>
      <w:r>
        <w:rPr>
          <w:rFonts w:ascii="Arial" w:cs="Arial" w:eastAsia="Arial" w:hAnsi="Arial"/>
          <w:sz w:val="16"/>
          <w:szCs w:val="16"/>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the United States, biologic products are licensed by the FDA for marketing under the Public Health Service Act, or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Good Manufacturing Practices, or GMPs;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or IND, which must become effective before human clinical trials may begin;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or GCPs, and any additional requirements for the protection of human research subjects and their health information to establish the safety, purity, potency and efficacy of the proposed biologic product for its intended use;</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potency, and efficacy from results of nonclinical testing and clinical trials;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BLA approval of the manufacturing facility or facilities where the biologic product is produced to assess compliance with GMPs to assure that the facilities, methods and controls are adequate to preserve the biologic’s identity, strength, quality and purity;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potential FDA Advisory Committee meeting to elicit expert input on critical issues, including a vote by external committee members;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FDA review and approval, or licensure, of the BLA and payment of associated user fees, when applicable;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9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IRBs are charged with protecting the welfare and rights of study participants and consider such items as whether the risks to individuals participating in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540" w:right="20" w:hanging="424"/>
        <w:spacing w:after="0" w:line="277"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biologic product is initially introduced into healthy human subjects and tested for safety. In the case of some biologic products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 diseases, the initial human testing is often conducted in patients.</w:t>
      </w:r>
    </w:p>
    <w:p>
      <w:pPr>
        <w:spacing w:after="0" w:line="75" w:lineRule="exact"/>
        <w:rPr>
          <w:rFonts w:ascii="Arial" w:cs="Arial" w:eastAsia="Arial" w:hAnsi="Arial"/>
          <w:sz w:val="18"/>
          <w:szCs w:val="18"/>
          <w:color w:val="auto"/>
        </w:rPr>
      </w:pPr>
    </w:p>
    <w:p>
      <w:pPr>
        <w:jc w:val="both"/>
        <w:ind w:left="540" w:right="20" w:hanging="424"/>
        <w:spacing w:after="0" w:line="342"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Phase 2</w:t>
      </w:r>
      <w:r>
        <w:rPr>
          <w:rFonts w:ascii="Arial" w:cs="Arial" w:eastAsia="Arial" w:hAnsi="Arial"/>
          <w:sz w:val="16"/>
          <w:szCs w:val="16"/>
          <w:color w:val="auto"/>
        </w:rPr>
        <w:t>. The biologic product is evaluated in a limited patient population to identify possible adverse effects and safety risks, to preliminarily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the efficacy of the biologic product for specific targeted diseases and to determine dosage tolerance, optimal dosage and dosing schedule.</w:t>
      </w:r>
    </w:p>
    <w:p>
      <w:pPr>
        <w:spacing w:after="0" w:line="29" w:lineRule="exact"/>
        <w:rPr>
          <w:rFonts w:ascii="Arial" w:cs="Arial" w:eastAsia="Arial" w:hAnsi="Arial"/>
          <w:sz w:val="16"/>
          <w:szCs w:val="16"/>
          <w:color w:val="auto"/>
        </w:rPr>
      </w:pPr>
    </w:p>
    <w:p>
      <w:pPr>
        <w:jc w:val="both"/>
        <w:ind w:left="540" w:right="20" w:hanging="424"/>
        <w:spacing w:after="0" w:line="279"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 Clinical trials are undertaken to further evaluate dosage, clinical efficacy, potency and safety in an expanded patient population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geographically dispersed clinical trial sites. These clinical trials are intended to establish the overall risk/benefit ratio of the biologic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 xml:space="preserve">FDA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8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GMP requirements. To help reduce the risk of the introduction of adventitious agents with the use of biologics, the PHS Act emphasizes the importance of manufacturing control for biologic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5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Under the Prescription Drug User Fee Act, as amended, or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has an acceptable purity profile and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7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Before approving a BLA, the FDA may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6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9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One of the performance goals agreed to by the FDA under the PDUFA is to review and render a decision on standard BLAs within 10 months of filing and priority BLAs within six months of filing. The FDA does not always meet its PDUFA goal dates for standard and priority BLAs, and its review goals are subject to change from time to time. The review process and the PDUFA goal date may be extended by three months if the FDA requests or if the BLA sponsor provides additional information or clarification regarding information already provided in the submission within the three months preceding the PDUFA goal date.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w:t>
      </w:r>
    </w:p>
    <w:p>
      <w:pPr>
        <w:spacing w:after="0" w:line="18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Following approval, the manufacturing facilities are subject to biennial inspections by the FDA, and such inspections may result in an issuance of FDA Form 483 deficiency observations, an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165"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applicable regulatory requirements may result in restrictions on the marketing of a product or withdrawal of the product from the market, as well as possible civil or criminal sanctions. Failure to comply with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BLA, including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Review and Approval Programs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8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rather than the standard goal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endpoints, and the biological product may be subject to accelerated withdrawal procedures.</w:t>
      </w:r>
    </w:p>
    <w:p>
      <w:pPr>
        <w:spacing w:after="0" w:line="17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Biologics Price Competition and Innovation Act</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 xml:space="preserve">The Biologics Price Competition and Innovation Act of 2009, or BPCIA, which was enacted as part of the Patient Protection and Affordable Care Act of 2010, as amended by the Health Care and Education Reconciliation Act of 2010, or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studies and generally at least one clinical study, absent a waiver from the Secretary of the Department of Health and Human Services, or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Outside of the United States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In the European Union, for example, a clinical trial application, or CTA, must be submitted to each country’s national health authority and an independent ethics committee, much like the FDA and the IRB, respectively. Once the CTA is approved in accordance with the applicable requirements, clinical study development may proceed. The requirements and process governing the conduct of clinical studies are to a significant extent harmonized at the European Union level but could vary from country to country. In all cases, the clinical studies are conducted in accordance with GCP and the applicable regulatory requirements and the ethical principles that have their origin in the Declaration of Helsinki. The way clinical trials are conducted in the European Union will undergo a major change when the Clinical Trial Regulation (Regulation (EU) No 536/2014) comes into application, probably in 2022. The Regulation harmonizes the assessment and supervision processes for clinical trials throughout the European Union via a Clinical Trials Information System, which will contain a centralized European Union portal and database.</w:t>
      </w:r>
    </w:p>
    <w:p>
      <w:pPr>
        <w:spacing w:after="0" w:line="178"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Innovative products that target an unmet medical need may be eligible for a number of expedited development and review programs in the European Union, such as The Priority Medicines, or PRIME, scheme, which provides incentives similar to the breakthrough therapy designation in the United States. Such products are generally eligible for accelerated assessment and may also benefit from different types of fast 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165"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A Pediatric Investigation Plan, or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18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United Kingdom left the European Union on January 31, 2020, following which existing EU medicinal product legislation continued to apply in the United Kingdom during the transition period under the terms of the EU-UK Withdrawal Agreement. A transition period, which ended on December 31, 2020, maintained the United Kingdom’s access to the EU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or TCA, that became effective on January 1, 2021.</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As a result of the Northern Ireland Protocol, different rules apply in Northern Ireland than in England, Wales and Scotland, or collectively Great Britain. In general, Northern Ireland continues to follow the EU regulatory regime, but its national medicines and medical devices authority remains the Medicines and Healthcare Products Regulatory Agency, or MHRA. Following the effectiveness of the Human Medicines (Amendment etc.) (EU Exit) Regulations 2019 on January 31, 2020, the UK regulatory regime for clinical trials, marketing authorizations, importing, exporting and pharmacovigilance largely mirrors that of the European Union.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Significant uncertainty exits as to obtaining and maintaining coverage and adequate reimbursement for our product candidates, including ADG20,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7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9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coverage and adequate reimbursement may not be available with respect to the treatments in which our product candidates, if approved, are used under any foreign reimbursement system.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9" w:lineRule="exact"/>
        <w:rPr>
          <w:sz w:val="20"/>
          <w:szCs w:val="20"/>
          <w:color w:val="auto"/>
        </w:rPr>
      </w:pPr>
    </w:p>
    <w:p>
      <w:pPr>
        <w:jc w:val="both"/>
        <w:ind w:left="1080" w:right="2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2"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and biologics, that are false or fraudulent;</w:t>
      </w:r>
    </w:p>
    <w:p>
      <w:pPr>
        <w:spacing w:after="0" w:line="8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92" w:lineRule="exact"/>
        <w:rPr>
          <w:rFonts w:ascii="Arial" w:cs="Arial" w:eastAsia="Arial" w:hAnsi="Arial"/>
          <w:sz w:val="18"/>
          <w:szCs w:val="18"/>
          <w:color w:val="auto"/>
        </w:rPr>
      </w:pPr>
    </w:p>
    <w:p>
      <w:pPr>
        <w:jc w:val="both"/>
        <w:ind w:left="1080" w:hanging="532"/>
        <w:spacing w:after="0" w:line="311"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54" w:lineRule="exact"/>
        <w:rPr>
          <w:rFonts w:ascii="Arial" w:cs="Arial" w:eastAsia="Arial" w:hAnsi="Arial"/>
          <w:sz w:val="16"/>
          <w:szCs w:val="16"/>
          <w:color w:val="auto"/>
        </w:rPr>
      </w:pPr>
    </w:p>
    <w:p>
      <w:pPr>
        <w:jc w:val="both"/>
        <w:ind w:left="1080" w:hanging="532"/>
        <w:spacing w:after="0" w:line="272"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such information regarding payments and transfers of value provided during the previous year to physician assistants, nurse practitioners, clinical nurse specialists, anesthesiologist assistants, certified nurse anesthetists and certified nurse-midwives;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hanging="532"/>
        <w:spacing w:after="0" w:line="286"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Foreign Corrupt Practices Act, or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6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17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6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ACA. These regulations became effective on April 1, 2016. Since that time, there have been significant efforts to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modify or eliminate the ACA. For example, the Tax Cuts and Jobs Act, or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84"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Other legislative changes have been proposed and adopted since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litigation extended the 2% reduction, on average, to 2030 unless additional congressional action is taken. However, pursuant to COVID-19 relief legislation, the 2% Medicare sequester reductions have been suspended from May 1, 2020 through December 31, 2021.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Further legislative and regulatory changes under the ACA remain possible, although the new administration under President Biden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expand the ACA. For example,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unknown what form any other such changes or law would take and how or whether it may affect our business in the future. We expect that changes or additions to the ACA or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7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ACA has been subject to challenges in the courts. On December 14, 2018, the U.S. District Court for the Northern District of Texas ruled that the ACA is unconstitutional in its entirety because the “individual mandate” was repealed by Congress. On December 18, 2019, the U.S. Court of Appeals for the Fifth Circuit held that the individual mandate is unconstitutional and remanded the case to the District Court to reconsider its earlier invalidation of the entire ACA. An appeal was taken to the U.S. Supreme Court, which heard oral arguments in the case on November 10, 2020. A ruling is expected in 2021. On February 10, 2021, the Biden administration withdrew the federal government’s support for overturning the ACA. It is unclear how the Supreme Court ruling, other such litigation and the healthcare reform measures of the Biden administration will impact the ACA and our business.</w:t>
      </w:r>
    </w:p>
    <w:p>
      <w:pPr>
        <w:spacing w:after="0" w:line="19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ACA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ACA, effective January 1, 2019, to close the coverage gap in most Medicare drug plans by increasing from 50 percent to 70 percent the point-of-sale discount that is owed by pharmaceutical manufacturers who participate in Medicare Part 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The ACA also expanded the Public Health Service’s 340B drug pricing program. The 340B drug pricing program requires participating manufacturers to agree to charge statutorily 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As of May 1, 2021, we had 49 full-time employees and 2 part-time employees. Of our 51 full- and part-time employees, approximately 19 have Ph.D. or M.D. degrees and 39 are engaged in research and development activities. We have a remote workforce, with approximately 45% of our employees based in Massachusetts, 18% based in California, 10% based in New Jersey, and the remaining 27% in various additional states. None of our employees are represented by labor unions or covered by collective bargaining agreements. We consider our relationship with our employees to be good.</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new employees, advisors and consultants, and maintaining and enhancing our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Since our inception, we have been a virtual company with our employees working from their homes. We rent an office in a short-term office space building in Waltham, Massachusetts for general and administrative purposes. We do not own or lease any laboratory or manufacturing facilities, and we plan to enter into a lease for office space in the near term. We believe that our remote working approach is adequate to meet our ongoing needs, and that, if we require physical facilities, we will be able to obtain additional facilities on commercially reasonable terms.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regarding our current executive officers and directors, including their ages as of April 30,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ind w:left="720"/>
              <w:spacing w:after="0"/>
              <w:rPr>
                <w:sz w:val="20"/>
                <w:szCs w:val="20"/>
                <w:color w:val="auto"/>
              </w:rPr>
            </w:pPr>
            <w:r>
              <w:rPr>
                <w:rFonts w:ascii="Arial" w:cs="Arial" w:eastAsia="Arial" w:hAnsi="Arial"/>
                <w:sz w:val="14"/>
                <w:szCs w:val="14"/>
                <w:b w:val="1"/>
                <w:bCs w:val="1"/>
                <w:color w:val="auto"/>
                <w:w w:val="90"/>
              </w:rPr>
              <w:t>Age</w:t>
            </w:r>
          </w:p>
        </w:tc>
        <w:tc>
          <w:tcPr>
            <w:tcW w:w="660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60" w:type="dxa"/>
            <w:vAlign w:val="bottom"/>
            <w:tcBorders>
              <w:top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Tillman U. Gerngross,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57</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Co-Founder, Chief Executive Officer and Director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Lynn Connolly, M.D.,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53</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Medical Officer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Rebecca Dabora,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61</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Technology &amp; Manufacturing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Jane Pritchett Henderson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Elham (Ellie) Hershberger, Pharm. 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53</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Development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Halley Gilbert</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51</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Operating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Laura Walker,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36</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Co-Founder &amp; Chief Scientific Officer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Eric Kimble, M.B.A.</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53</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Commercial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René Russo, Pharm. 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46</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Co-Founder, Director and Chair of the Board</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Terrance McGuire</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Ajay Royan</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41</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67"/>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Philip Chase</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51</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Howard Mayer, M.D.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58</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135"/>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60" w:type="dxa"/>
            <w:vAlign w:val="bottom"/>
          </w:tcPr>
          <w:p>
            <w:pPr>
              <w:spacing w:after="0"/>
              <w:rPr>
                <w:sz w:val="11"/>
                <w:szCs w:val="1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Tillman U. Gerngross, Ph.D. </w:t>
      </w:r>
      <w:r>
        <w:rPr>
          <w:rFonts w:ascii="Arial" w:cs="Arial" w:eastAsia="Arial" w:hAnsi="Arial"/>
          <w:sz w:val="17"/>
          <w:szCs w:val="17"/>
          <w:color w:val="auto"/>
        </w:rPr>
        <w:t>is our co-founder and has served as a member of our board of directors and as our Chief Executive Officer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June 2020. Dr. Gerngross is a founder, director and executive officer of numerous biotechnology companies. He is a co-founder of Adimab, LLC and has served as its Chief Executive Officer and as a director since 2007. He is also a co-founder and Chairman of Avitide, Inc. since August 2012, a co-founder and Chairman of Alector, Inc. since September 2017, a co-founder, President and Chairman of Amagma, Inc. since August 2019 and a co-founder, President and Chairman of Ankyra Therapeutics, Inc. since November 2019. Dr. Gerngross is currently a Venture Partner at SV Life Sciences Advisors, LLC, which he joined in 2006. Dr. Gerngross co-founded GlycoFi, Inc. and served as its Chief Scientific Officer from 2000 to 2006 until it was acquired by Merck &amp; Company, Inc. Dr. Gerngross currently teaches at the Thayer School of Engineering, at Dartmouth College, where he has taught since 1998. Dr. Gerngross received a B.S. and M.S. in Chemical Engineering and a Ph.D. in Molecular Biology from Technical University of Vienna. We believe Dr. Gerngross is qualified to serve as a member of our board of directors because of his knowledge of Adagio as a co-founder and his expertise as an executive officer and director in the biotechnology industry.</w:t>
      </w:r>
    </w:p>
    <w:p>
      <w:pPr>
        <w:spacing w:after="0" w:line="17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auto"/>
        </w:rPr>
        <w:t xml:space="preserve">Lynn Connolly, M.D., Ph.D. </w:t>
      </w:r>
      <w:r>
        <w:rPr>
          <w:rFonts w:ascii="Arial" w:cs="Arial" w:eastAsia="Arial" w:hAnsi="Arial"/>
          <w:sz w:val="17"/>
          <w:szCs w:val="17"/>
          <w:color w:val="auto"/>
        </w:rPr>
        <w:t>has served as our Chief Medical Officer since July 2020. Prior to joining Adagio, Dr. Connolly served as Senior</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Clinical Research from March 2020 to July 2020 and Vice President, Clinical Research from March 2018 to February 2020 of Vir Biotechnology, Inc. Dr. Connolly served as Vice President and Head of Late Development from January 2017 to March 2018 and Senior Medical</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Director from January 2016 to January 2017 of Achaogen, Inc. Dr. Connolly received a B.A. in Molecular Biology from University of California, Berkeley and a M.D. and Ph.D. in Cell Biology from University of California, San Francisco.</w:t>
      </w:r>
    </w:p>
    <w:p>
      <w:pPr>
        <w:spacing w:after="0" w:line="166" w:lineRule="exact"/>
        <w:rPr>
          <w:sz w:val="20"/>
          <w:szCs w:val="20"/>
          <w:color w:val="auto"/>
        </w:rPr>
      </w:pPr>
    </w:p>
    <w:p>
      <w:pPr>
        <w:jc w:val="both"/>
        <w:ind w:left="120" w:firstLine="440"/>
        <w:spacing w:after="0" w:line="258" w:lineRule="auto"/>
        <w:rPr>
          <w:sz w:val="20"/>
          <w:szCs w:val="20"/>
          <w:color w:val="auto"/>
        </w:rPr>
      </w:pPr>
      <w:r>
        <w:rPr>
          <w:rFonts w:ascii="Arial" w:cs="Arial" w:eastAsia="Arial" w:hAnsi="Arial"/>
          <w:sz w:val="18"/>
          <w:szCs w:val="18"/>
          <w:b w:val="1"/>
          <w:bCs w:val="1"/>
          <w:color w:val="auto"/>
        </w:rPr>
        <w:t xml:space="preserve">Rebecca Dabora, Ph.D. </w:t>
      </w:r>
      <w:r>
        <w:rPr>
          <w:rFonts w:ascii="Arial" w:cs="Arial" w:eastAsia="Arial" w:hAnsi="Arial"/>
          <w:sz w:val="18"/>
          <w:szCs w:val="18"/>
          <w:color w:val="auto"/>
        </w:rPr>
        <w:t>has served as our Chief Technology &amp; Manufacturing Officer since July 2020. In addition, Dr. Dabora is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as Principal for RDBio Consulting LLC since July 2005. Prior to joining Adagio, Dr. Dabora served as Interim Chief Technology Officer of SwanBio Therapeutics, Inc. from July 2019 to July 2020 and Chief Technology Officer of Aspyrian Therapeutics, Inc. from March 2016 to March 2017. Dr. Dabora received a B.A. in Biochemistry from Bowdoin College and a Ph.D. in Applied Biological Sciences and Biochemical Engineering from the Massachusetts Institute of Technology.</w:t>
      </w:r>
    </w:p>
    <w:p>
      <w:pPr>
        <w:spacing w:after="0" w:line="183"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b w:val="1"/>
          <w:bCs w:val="1"/>
          <w:color w:val="auto"/>
        </w:rPr>
        <w:t xml:space="preserve">Jane Pritchett Henderson </w:t>
      </w:r>
      <w:r>
        <w:rPr>
          <w:rFonts w:ascii="Arial" w:cs="Arial" w:eastAsia="Arial" w:hAnsi="Arial"/>
          <w:sz w:val="17"/>
          <w:szCs w:val="17"/>
          <w:color w:val="auto"/>
        </w:rPr>
        <w:t>has served as our Chief Financial Officer since December 2020. In addition, Ms. Henderson serves as a director of</w:t>
      </w:r>
      <w:r>
        <w:rPr>
          <w:rFonts w:ascii="Arial" w:cs="Arial" w:eastAsia="Arial" w:hAnsi="Arial"/>
          <w:sz w:val="17"/>
          <w:szCs w:val="17"/>
          <w:b w:val="1"/>
          <w:bCs w:val="1"/>
          <w:color w:val="auto"/>
        </w:rPr>
        <w:t xml:space="preserve"> </w:t>
      </w:r>
      <w:r>
        <w:rPr>
          <w:rFonts w:ascii="Arial" w:cs="Arial" w:eastAsia="Arial" w:hAnsi="Arial"/>
          <w:sz w:val="17"/>
          <w:szCs w:val="17"/>
          <w:color w:val="auto"/>
        </w:rPr>
        <w:t>Akero Therapeutics, Inc. since April 2019 and as a chair of the audit committee and director of IVERIC bio, Inc., since January 2018 and Sesen Bio Inc., formerly Eleven Biotherapeutics, Inc., since October 2013. Prior to joining Adagio, Ms. Henderson served as Chief Financial Officer of Turnstone Biologics from June 2018 to December 2020, Chief Financial Officer and Senior Vice President, Corporate Development of Voyager Therapeutics, Inc. from January 2017 to June 2018 and Senior Vice President and Chief Financial &amp; Business Officer of Kolltan Pharmaceuticals, Inc. from February 2013 to November 2016. Ms. Henderson received a B.S. in Psychology from Duke University.</w:t>
      </w:r>
    </w:p>
    <w:p>
      <w:pPr>
        <w:spacing w:after="0" w:line="173"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color w:val="auto"/>
        </w:rPr>
        <w:t xml:space="preserve">Elham (Ellie) Hershberger, Pharm.D. </w:t>
      </w:r>
      <w:r>
        <w:rPr>
          <w:rFonts w:ascii="Arial" w:cs="Arial" w:eastAsia="Arial" w:hAnsi="Arial"/>
          <w:sz w:val="16"/>
          <w:szCs w:val="16"/>
          <w:color w:val="auto"/>
        </w:rPr>
        <w:t>has served as our Chief Development Officer since June 2020. Prior to joining Adagio, Dr. Hershberger</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of EMH Consulting Group, Inc. from July 2017 to October 2020 and as Head of Clinical Development of Visterra, Inc. from January 2016 to July 2017. Dr. Hershberger received a B.S. in Chemistry from University of Minnesota and a Pharm.D. from Ferris State University.</w:t>
      </w:r>
    </w:p>
    <w:p>
      <w:pPr>
        <w:spacing w:after="0" w:line="142" w:lineRule="exact"/>
        <w:rPr>
          <w:sz w:val="20"/>
          <w:szCs w:val="20"/>
          <w:color w:val="auto"/>
        </w:rPr>
      </w:pPr>
    </w:p>
    <w:p>
      <w:pPr>
        <w:jc w:val="both"/>
        <w:ind w:left="120" w:firstLine="440"/>
        <w:spacing w:after="0" w:line="256" w:lineRule="auto"/>
        <w:rPr>
          <w:sz w:val="20"/>
          <w:szCs w:val="20"/>
          <w:color w:val="auto"/>
        </w:rPr>
      </w:pPr>
      <w:r>
        <w:rPr>
          <w:rFonts w:ascii="Arial" w:cs="Arial" w:eastAsia="Arial" w:hAnsi="Arial"/>
          <w:sz w:val="18"/>
          <w:szCs w:val="18"/>
          <w:b w:val="1"/>
          <w:bCs w:val="1"/>
          <w:color w:val="auto"/>
        </w:rPr>
        <w:t xml:space="preserve">Halley Gilbert </w:t>
      </w:r>
      <w:r>
        <w:rPr>
          <w:rFonts w:ascii="Arial" w:cs="Arial" w:eastAsia="Arial" w:hAnsi="Arial"/>
          <w:sz w:val="18"/>
          <w:szCs w:val="18"/>
          <w:color w:val="auto"/>
        </w:rPr>
        <w:t>has served as our Chief Operating Officer since June 2020. Prior to joining Adagio, Ms. Gilbert served as Senior Vice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Development and Chief Administrative Officer of Ironwood Pharmaceuticals, Inc from March 2019 to February 2020 and served as the Senior Vice President and Chief Legal Officer of Ironwood Pharmaceuticals, Inc. from February 2014 to April 2019. In addition, Ms. Gilbert serves on the board of directors of Arcutis Biotherapeutics, Inc. since April 2020 and has served as a director and the chair of the nominating &amp; governance committees of Vaxcyte, Inc. and CytomX Therapeutics, Inc. since April 2020. Ms. Gilbert received a B.A. from Tufts University and a J.D. from Northwestern University School of Law.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Employees</w:t>
      </w:r>
    </w:p>
    <w:p>
      <w:pPr>
        <w:spacing w:after="0" w:line="117"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Laura Walker, Ph.D. </w:t>
      </w:r>
      <w:r>
        <w:rPr>
          <w:rFonts w:ascii="Arial" w:cs="Arial" w:eastAsia="Arial" w:hAnsi="Arial"/>
          <w:sz w:val="18"/>
          <w:szCs w:val="18"/>
          <w:color w:val="auto"/>
        </w:rPr>
        <w:t>is our co-founder and has served as our Chief Scientific Officer since June 2020. In addition, Dr. Walker has served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roles at Adimab, LLC, including Group Leader, since May 2012 and has served as Senior Director of Antibody Sciences since October 2019. Dr. Walker received a B.S. in Biochemistry from University of Wisconsin-Madison and a Ph.D. in Microbiology and Immunology from The Scripps Research Institute.</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Eric Kimble, M.B.A. </w:t>
      </w:r>
      <w:r>
        <w:rPr>
          <w:rFonts w:ascii="Arial" w:cs="Arial" w:eastAsia="Arial" w:hAnsi="Arial"/>
          <w:sz w:val="18"/>
          <w:szCs w:val="18"/>
          <w:color w:val="auto"/>
        </w:rPr>
        <w:t>has served as Chief Commercial Officer since September 2020. Prior to joining Adagio, Mr. Kimble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Officer for Entasis Therapeutics, Inc. from April 2019 to September 2020 and as a consultant for various emerging biotechnology companies from June 2013 to April 2019. Mr. Kimble received an A.B. in English Literature and Business Economics from Brown University and an M.B.A. from the Harvard Business School.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René Russo, Pharm.D. </w:t>
      </w:r>
      <w:r>
        <w:rPr>
          <w:rFonts w:ascii="Arial" w:cs="Arial" w:eastAsia="Arial" w:hAnsi="Arial"/>
          <w:sz w:val="18"/>
          <w:szCs w:val="18"/>
          <w:color w:val="auto"/>
        </w:rPr>
        <w:t>is our co-founder and has served as the chair of our board of directors since October 2020. Dr. Russo has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Xilio Therapeutics, Inc since May 2019. Prior to her position at Xilio, Dr. Russo served as President and Chief Executive Officer of Arsanis, Inc. from April 2016</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to November 2018, and as its Chief Development Officer from July 2015 to April 2016. In addition, Dr. Russo has served as a director of Celsius Therapeutics, Inc. since May 2020 and X4 Pharmaceuticals, Inc. since March 2019. Dr. Russo received a B.S. in Pharmacy and a Pharm.D. from Rutgers University. We believe Dr. Russo is qualified to serve as a member of our board of directors because of her experience as an executive at public and private pharmaceutical companies and her expertise in clinical development and commercialization of therapeutics.</w:t>
      </w:r>
    </w:p>
    <w:p>
      <w:pPr>
        <w:spacing w:after="0" w:line="16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b w:val="1"/>
          <w:bCs w:val="1"/>
          <w:color w:val="auto"/>
        </w:rPr>
        <w:t xml:space="preserve">Terrance McGuire </w:t>
      </w:r>
      <w:r>
        <w:rPr>
          <w:rFonts w:ascii="Arial" w:cs="Arial" w:eastAsia="Arial" w:hAnsi="Arial"/>
          <w:sz w:val="17"/>
          <w:szCs w:val="17"/>
          <w:color w:val="auto"/>
        </w:rPr>
        <w:t>has served as a member of our board of directors since October 2020. Mr. McGuire is a Founding Partner of Polaris Partners,</w:t>
      </w:r>
      <w:r>
        <w:rPr>
          <w:rFonts w:ascii="Arial" w:cs="Arial" w:eastAsia="Arial" w:hAnsi="Arial"/>
          <w:sz w:val="17"/>
          <w:szCs w:val="17"/>
          <w:b w:val="1"/>
          <w:bCs w:val="1"/>
          <w:color w:val="auto"/>
        </w:rPr>
        <w:t xml:space="preserve"> </w:t>
      </w:r>
      <w:r>
        <w:rPr>
          <w:rFonts w:ascii="Arial" w:cs="Arial" w:eastAsia="Arial" w:hAnsi="Arial"/>
          <w:sz w:val="17"/>
          <w:szCs w:val="17"/>
          <w:color w:val="auto"/>
        </w:rPr>
        <w:t>a venture capital firm investing in technology and healthcare companies, since 1996. In addition, Mr. McGuire serves as chairman of the board of directors of Ironwood Pharmaceuticals, Inc. and has served as a director since 1998. Mr. McGuire also currently serves on the boards of directors of Acceleron Pharma, Inc. since 2005, Pulmatrix, Inc. since May 2016 and Adimab, LLC since August 2007. Mr. McGuire received a B.S. in physics and economics from Hobart College, an M.B.A. from Harvard Business School and an M.S. in engineering from the Thayer School at Dartmouth College. We believe Mr. McGuire is qualified to serve as a member of our board of directors because of his expertise in the biotechnology industry through his career in venture capital as well as his experience as a director of several biotechnology companies.</w:t>
      </w:r>
    </w:p>
    <w:p>
      <w:pPr>
        <w:spacing w:after="0" w:line="17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Ajay Royan </w:t>
      </w:r>
      <w:r>
        <w:rPr>
          <w:rFonts w:ascii="Arial" w:cs="Arial" w:eastAsia="Arial" w:hAnsi="Arial"/>
          <w:sz w:val="18"/>
          <w:szCs w:val="18"/>
          <w:color w:val="auto"/>
        </w:rPr>
        <w:t>has served as a member of our board of directors since October 2020. Mr. Royan has served as Managing General Partner and</w:t>
      </w:r>
      <w:r>
        <w:rPr>
          <w:rFonts w:ascii="Arial" w:cs="Arial" w:eastAsia="Arial" w:hAnsi="Arial"/>
          <w:sz w:val="18"/>
          <w:szCs w:val="18"/>
          <w:b w:val="1"/>
          <w:bCs w:val="1"/>
          <w:color w:val="auto"/>
        </w:rPr>
        <w:t xml:space="preserve"> </w:t>
      </w:r>
      <w:r>
        <w:rPr>
          <w:rFonts w:ascii="Arial" w:cs="Arial" w:eastAsia="Arial" w:hAnsi="Arial"/>
          <w:sz w:val="18"/>
          <w:szCs w:val="18"/>
          <w:color w:val="auto"/>
        </w:rPr>
        <w:t>Founder of Mithril Capital Management LLC, a venture capital firm investing in technology companies, since June 2012 and on the board of directors of several private companies in which Mithril Capital Management LLC or its affiliates have invested. In addition, Mr. Royan has served as a director of Adimab, LLC since September 2014 and has served as a director of Blacksky Holdings, Inc. since June 2016. Mr. Royan serves on the Science Advisory Board of the Oak Ridge National Laboratory, the board of directors of Fulbright Canada, and the Presidents’ Circle of the National Academies of Science, Engineering, and Medicine. Mr. Royan received a B.A. from Yale University. We believe Mr. Royan is qualified to serve as a member of our board of directors because of his expertise in the technology industry through his career in venture capital and his experience as a director of several technology companies.</w:t>
      </w:r>
    </w:p>
    <w:p>
      <w:pPr>
        <w:spacing w:after="0" w:line="192"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Philip Chase </w:t>
      </w:r>
      <w:r>
        <w:rPr>
          <w:rFonts w:ascii="Arial" w:cs="Arial" w:eastAsia="Arial" w:hAnsi="Arial"/>
          <w:sz w:val="18"/>
          <w:szCs w:val="18"/>
          <w:color w:val="auto"/>
        </w:rPr>
        <w:t>has served as a member of our board of directors since October 2020. In addition, Mr. Chase has served as the General Counsel of</w:t>
      </w:r>
      <w:r>
        <w:rPr>
          <w:rFonts w:ascii="Arial" w:cs="Arial" w:eastAsia="Arial" w:hAnsi="Arial"/>
          <w:sz w:val="18"/>
          <w:szCs w:val="18"/>
          <w:b w:val="1"/>
          <w:bCs w:val="1"/>
          <w:color w:val="auto"/>
        </w:rPr>
        <w:t xml:space="preserve"> </w:t>
      </w:r>
      <w:r>
        <w:rPr>
          <w:rFonts w:ascii="Arial" w:cs="Arial" w:eastAsia="Arial" w:hAnsi="Arial"/>
          <w:sz w:val="18"/>
          <w:szCs w:val="18"/>
          <w:color w:val="auto"/>
        </w:rPr>
        <w:t>Adimab, LLC since November 2011 and as a director of Adimab, LLC since July 2018. Mr. Chase received a B.A. from Colby College and a J.D. from Columbia University Law School. We believe Mr. Chase is qualified to serve as a member of our board of directors because of his extensive experience in the biopharmaceutical industry.</w:t>
      </w:r>
    </w:p>
    <w:p>
      <w:pPr>
        <w:spacing w:after="0" w:line="180"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b w:val="1"/>
          <w:bCs w:val="1"/>
          <w:color w:val="auto"/>
        </w:rPr>
        <w:t xml:space="preserve">Howard Mayer, M.D. </w:t>
      </w:r>
      <w:r>
        <w:rPr>
          <w:rFonts w:ascii="Arial" w:cs="Arial" w:eastAsia="Arial" w:hAnsi="Arial"/>
          <w:sz w:val="17"/>
          <w:szCs w:val="17"/>
          <w:color w:val="auto"/>
        </w:rPr>
        <w:t>has served as a member of our board of directors since August 2020. In addition, Dr. Mayer has served on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Entasis Therapeutics Holdings Inc. since August 2019. Dr. Mayer has served as the Executive Vice President, Head of Research and Development for Ipsen Biopharmaceuticals, Inc. since December 2019. Prior to joining Ipsen, Dr. Mayer served as the Senior Vice President, Chief Medical Officer and Global Head of Research &amp; Development, Neuroscience Division at Shire Pharmaceuticals, Inc., or Shire,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of directors because of his extensive experience in the biopharmaceutical industry and his scientific background.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six members. Our directors were elected to, and currently serve on, the board pursuant to a voting agreement among us and all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accordance with our amended and restated certificate of incorporation and amended and restated bylaws that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3"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240"/>
              <w:spacing w:after="0"/>
              <w:rPr>
                <w:sz w:val="20"/>
                <w:szCs w:val="20"/>
                <w:color w:val="auto"/>
              </w:rPr>
            </w:pPr>
            <w:r>
              <w:rPr>
                <w:rFonts w:ascii="Arial" w:cs="Arial" w:eastAsia="Arial" w:hAnsi="Arial"/>
                <w:sz w:val="18"/>
                <w:szCs w:val="18"/>
                <w:color w:val="auto"/>
              </w:rPr>
              <w:t>Class I, which will consist of</w:t>
            </w:r>
          </w:p>
        </w:tc>
        <w:tc>
          <w:tcPr>
            <w:tcW w:w="680" w:type="dxa"/>
            <w:vAlign w:val="bottom"/>
          </w:tcPr>
          <w:p>
            <w:pPr>
              <w:ind w:left="200"/>
              <w:spacing w:after="0"/>
              <w:rPr>
                <w:sz w:val="20"/>
                <w:szCs w:val="20"/>
                <w:color w:val="auto"/>
              </w:rPr>
            </w:pPr>
            <w:r>
              <w:rPr>
                <w:rFonts w:ascii="Arial" w:cs="Arial" w:eastAsia="Arial" w:hAnsi="Arial"/>
                <w:sz w:val="18"/>
                <w:szCs w:val="18"/>
                <w:color w:val="auto"/>
              </w:rPr>
              <w:t>and</w:t>
            </w:r>
          </w:p>
        </w:tc>
        <w:tc>
          <w:tcPr>
            <w:tcW w:w="6960" w:type="dxa"/>
            <w:vAlign w:val="bottom"/>
          </w:tcPr>
          <w:p>
            <w:pPr>
              <w:jc w:val="right"/>
              <w:spacing w:after="0"/>
              <w:rPr>
                <w:sz w:val="20"/>
                <w:szCs w:val="20"/>
                <w:color w:val="auto"/>
              </w:rPr>
            </w:pPr>
            <w:r>
              <w:rPr>
                <w:rFonts w:ascii="Arial" w:cs="Arial" w:eastAsia="Arial" w:hAnsi="Arial"/>
                <w:sz w:val="18"/>
                <w:szCs w:val="18"/>
                <w:color w:val="auto"/>
                <w:w w:val="97"/>
              </w:rPr>
              <w:t>, and their terms will expire at our first annual meeting of stockholders to be held after the</w:t>
            </w:r>
          </w:p>
        </w:tc>
      </w:tr>
      <w:tr>
        <w:trPr>
          <w:trHeight w:val="230"/>
        </w:trPr>
        <w:tc>
          <w:tcPr>
            <w:tcW w:w="300" w:type="dxa"/>
            <w:vAlign w:val="bottom"/>
          </w:tcPr>
          <w:p>
            <w:pPr>
              <w:spacing w:after="0"/>
              <w:rPr>
                <w:sz w:val="20"/>
                <w:szCs w:val="20"/>
                <w:color w:val="auto"/>
              </w:rPr>
            </w:pPr>
          </w:p>
        </w:tc>
        <w:tc>
          <w:tcPr>
            <w:tcW w:w="266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68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240"/>
              <w:spacing w:after="0"/>
              <w:rPr>
                <w:sz w:val="20"/>
                <w:szCs w:val="20"/>
                <w:color w:val="auto"/>
              </w:rPr>
            </w:pPr>
            <w:r>
              <w:rPr>
                <w:rFonts w:ascii="Arial" w:cs="Arial" w:eastAsia="Arial" w:hAnsi="Arial"/>
                <w:sz w:val="18"/>
                <w:szCs w:val="18"/>
                <w:color w:val="auto"/>
              </w:rPr>
              <w:t>Class II, which will consist of</w:t>
            </w:r>
          </w:p>
        </w:tc>
        <w:tc>
          <w:tcPr>
            <w:tcW w:w="680" w:type="dxa"/>
            <w:vAlign w:val="bottom"/>
          </w:tcPr>
          <w:p>
            <w:pPr>
              <w:ind w:left="180"/>
              <w:spacing w:after="0"/>
              <w:rPr>
                <w:sz w:val="20"/>
                <w:szCs w:val="20"/>
                <w:color w:val="auto"/>
              </w:rPr>
            </w:pPr>
            <w:r>
              <w:rPr>
                <w:rFonts w:ascii="Arial" w:cs="Arial" w:eastAsia="Arial" w:hAnsi="Arial"/>
                <w:sz w:val="18"/>
                <w:szCs w:val="18"/>
                <w:color w:val="auto"/>
              </w:rPr>
              <w:t>and</w:t>
            </w:r>
          </w:p>
        </w:tc>
        <w:tc>
          <w:tcPr>
            <w:tcW w:w="6960" w:type="dxa"/>
            <w:vAlign w:val="bottom"/>
          </w:tcPr>
          <w:p>
            <w:pPr>
              <w:jc w:val="right"/>
              <w:spacing w:after="0"/>
              <w:rPr>
                <w:sz w:val="20"/>
                <w:szCs w:val="20"/>
                <w:color w:val="auto"/>
              </w:rPr>
            </w:pPr>
            <w:r>
              <w:rPr>
                <w:rFonts w:ascii="Arial" w:cs="Arial" w:eastAsia="Arial" w:hAnsi="Arial"/>
                <w:sz w:val="18"/>
                <w:szCs w:val="18"/>
                <w:color w:val="auto"/>
                <w:w w:val="94"/>
              </w:rPr>
              <w:t>, and their terms will expire at our second annual meeting of stockholders to be held after the</w:t>
            </w:r>
          </w:p>
        </w:tc>
      </w:tr>
      <w:tr>
        <w:trPr>
          <w:trHeight w:val="230"/>
        </w:trPr>
        <w:tc>
          <w:tcPr>
            <w:tcW w:w="300" w:type="dxa"/>
            <w:vAlign w:val="bottom"/>
          </w:tcPr>
          <w:p>
            <w:pPr>
              <w:spacing w:after="0"/>
              <w:rPr>
                <w:sz w:val="20"/>
                <w:szCs w:val="20"/>
                <w:color w:val="auto"/>
              </w:rPr>
            </w:pPr>
          </w:p>
        </w:tc>
        <w:tc>
          <w:tcPr>
            <w:tcW w:w="2660" w:type="dxa"/>
            <w:vAlign w:val="bottom"/>
          </w:tcPr>
          <w:p>
            <w:pPr>
              <w:ind w:left="240"/>
              <w:spacing w:after="0"/>
              <w:rPr>
                <w:sz w:val="20"/>
                <w:szCs w:val="20"/>
                <w:color w:val="auto"/>
              </w:rPr>
            </w:pPr>
            <w:r>
              <w:rPr>
                <w:rFonts w:ascii="Arial" w:cs="Arial" w:eastAsia="Arial" w:hAnsi="Arial"/>
                <w:sz w:val="18"/>
                <w:szCs w:val="18"/>
                <w:color w:val="auto"/>
              </w:rPr>
              <w:t>closing of this offering; and</w:t>
            </w:r>
          </w:p>
        </w:tc>
        <w:tc>
          <w:tcPr>
            <w:tcW w:w="68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32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240"/>
              <w:spacing w:after="0"/>
              <w:rPr>
                <w:sz w:val="20"/>
                <w:szCs w:val="20"/>
                <w:color w:val="auto"/>
              </w:rPr>
            </w:pPr>
            <w:r>
              <w:rPr>
                <w:rFonts w:ascii="Arial" w:cs="Arial" w:eastAsia="Arial" w:hAnsi="Arial"/>
                <w:sz w:val="18"/>
                <w:szCs w:val="18"/>
                <w:color w:val="auto"/>
              </w:rPr>
              <w:t>Class III, which will consist of</w:t>
            </w:r>
          </w:p>
        </w:tc>
        <w:tc>
          <w:tcPr>
            <w:tcW w:w="680" w:type="dxa"/>
            <w:vAlign w:val="bottom"/>
          </w:tcPr>
          <w:p>
            <w:pPr>
              <w:ind w:left="260"/>
              <w:spacing w:after="0"/>
              <w:rPr>
                <w:sz w:val="20"/>
                <w:szCs w:val="20"/>
                <w:color w:val="auto"/>
              </w:rPr>
            </w:pPr>
            <w:r>
              <w:rPr>
                <w:rFonts w:ascii="Arial" w:cs="Arial" w:eastAsia="Arial" w:hAnsi="Arial"/>
                <w:sz w:val="18"/>
                <w:szCs w:val="18"/>
                <w:color w:val="auto"/>
              </w:rPr>
              <w:t>and</w:t>
            </w:r>
          </w:p>
        </w:tc>
        <w:tc>
          <w:tcPr>
            <w:tcW w:w="6960" w:type="dxa"/>
            <w:vAlign w:val="bottom"/>
          </w:tcPr>
          <w:p>
            <w:pPr>
              <w:jc w:val="right"/>
              <w:spacing w:after="0"/>
              <w:rPr>
                <w:sz w:val="20"/>
                <w:szCs w:val="20"/>
                <w:color w:val="auto"/>
              </w:rPr>
            </w:pPr>
            <w:r>
              <w:rPr>
                <w:rFonts w:ascii="Arial" w:cs="Arial" w:eastAsia="Arial" w:hAnsi="Arial"/>
                <w:sz w:val="18"/>
                <w:szCs w:val="18"/>
                <w:color w:val="auto"/>
                <w:w w:val="96"/>
              </w:rPr>
              <w:t>, and their terms will expire at our third annual meeting of stockholders to be held after the</w:t>
            </w:r>
          </w:p>
        </w:tc>
      </w:tr>
      <w:tr>
        <w:trPr>
          <w:trHeight w:val="230"/>
        </w:trPr>
        <w:tc>
          <w:tcPr>
            <w:tcW w:w="300" w:type="dxa"/>
            <w:vAlign w:val="bottom"/>
          </w:tcPr>
          <w:p>
            <w:pPr>
              <w:spacing w:after="0"/>
              <w:rPr>
                <w:sz w:val="20"/>
                <w:szCs w:val="20"/>
                <w:color w:val="auto"/>
              </w:rPr>
            </w:pPr>
          </w:p>
        </w:tc>
        <w:tc>
          <w:tcPr>
            <w:tcW w:w="266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680" w:type="dxa"/>
            <w:vAlign w:val="bottom"/>
          </w:tcPr>
          <w:p>
            <w:pPr>
              <w:spacing w:after="0"/>
              <w:rPr>
                <w:sz w:val="20"/>
                <w:szCs w:val="20"/>
                <w:color w:val="auto"/>
              </w:rPr>
            </w:pPr>
          </w:p>
        </w:tc>
        <w:tc>
          <w:tcPr>
            <w:tcW w:w="6960" w:type="dxa"/>
            <w:vAlign w:val="bottom"/>
          </w:tcPr>
          <w:p>
            <w:pPr>
              <w:spacing w:after="0"/>
              <w:rPr>
                <w:sz w:val="20"/>
                <w:szCs w:val="20"/>
                <w:color w:val="auto"/>
              </w:rPr>
            </w:pPr>
          </w:p>
        </w:tc>
      </w:tr>
    </w:tbl>
    <w:p>
      <w:pPr>
        <w:spacing w:after="0" w:line="20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of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Applicable Nasdaq rules, or the Nasdaq Listing Rules, require a majority of a listed company’s board of directors to be composed of independent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 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8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board of directors has determined that all of our directors other than , representing of our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or her independence, including the beneficial ownership of our capital stock by each director and the transactions described in the section titled “Certain Relationships and Related Party Transactions.”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color w:val="auto"/>
        </w:rPr>
        <w:t>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tabs>
          <w:tab w:leader="none" w:pos="6240" w:val="left"/>
          <w:tab w:leader="none" w:pos="6720" w:val="left"/>
          <w:tab w:leader="none" w:pos="7400" w:val="left"/>
          <w:tab w:leader="none" w:pos="8240" w:val="left"/>
        </w:tabs>
        <w:rPr>
          <w:sz w:val="20"/>
          <w:szCs w:val="20"/>
          <w:color w:val="auto"/>
        </w:rPr>
      </w:pPr>
      <w:r>
        <w:rPr>
          <w:rFonts w:ascii="Arial" w:cs="Arial" w:eastAsia="Arial" w:hAnsi="Arial"/>
          <w:sz w:val="18"/>
          <w:szCs w:val="18"/>
          <w:color w:val="auto"/>
        </w:rPr>
        <w:t>Upon the completion of this offering, our audit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chair of the audit committee.</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 that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1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31"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the composition and functioning of our audit committee will comply with all applicable SEC and Nasdaq rules and regulations.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comply with future requirements to the extent they become applicable to us.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560"/>
        <w:spacing w:after="0"/>
        <w:tabs>
          <w:tab w:leader="none" w:pos="7080" w:val="left"/>
          <w:tab w:leader="none" w:pos="7700" w:val="left"/>
          <w:tab w:leader="none" w:pos="8480" w:val="left"/>
          <w:tab w:leader="none" w:pos="9460" w:val="left"/>
        </w:tabs>
        <w:rPr>
          <w:sz w:val="20"/>
          <w:szCs w:val="20"/>
          <w:color w:val="auto"/>
        </w:rPr>
      </w:pPr>
      <w:r>
        <w:rPr>
          <w:rFonts w:ascii="Arial" w:cs="Arial" w:eastAsia="Arial" w:hAnsi="Arial"/>
          <w:sz w:val="18"/>
          <w:szCs w:val="18"/>
          <w:color w:val="auto"/>
        </w:rPr>
        <w:t>Upon the completion of this offering, our compensation committee will consist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chair of the</w:t>
      </w:r>
    </w:p>
    <w:p>
      <w:pPr>
        <w:spacing w:after="0" w:line="23"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compensation committee. Each of these individuals is a non-employee director, as defined in Rule 16b-3 promulgated under the Exchange Act. Our board of directors has determined that each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of these individuals is ‘‘independent’’ as defined under the applicable listing standards of Nasdaq, including the standards specific to members of a compensation committee. The functions of this committee include, among other things:</w:t>
      </w:r>
    </w:p>
    <w:p>
      <w:pPr>
        <w:spacing w:after="0" w:line="76" w:lineRule="exact"/>
        <w:rPr>
          <w:sz w:val="20"/>
          <w:szCs w:val="20"/>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regarding the compensation and other terms of employment of our executive officers;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performance goals and objectives relevant to the compensation of our executive officers and assessing their performance against these goals and objectives;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establishing policies with respect to votes by our stockholders to approve executive compensation to the extent required by Section 14A of the Exchange Act and, if applicable, determining our recommendations regarding the frequency of advisory votes on executive compensation;</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reviewing and evaluating on an annual basis the performance of the compensation committee and the compensation committee charter.</w:t>
      </w:r>
    </w:p>
    <w:p>
      <w:pPr>
        <w:spacing w:after="0" w:line="24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believe that the composition and functioning of our compensation committee will comply with all applicable SEC and Nasdaq rules and regulations. We intend to comply with future requirements to the extent they become applicable to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ectPr>
          <w:pgSz w:w="11900" w:h="16838" w:orient="portrait"/>
          <w:cols w:equalWidth="0" w:num="1">
            <w:col w:w="11140"/>
          </w:cols>
          <w:pgMar w:left="320" w:top="459" w:right="439" w:bottom="1440" w:gutter="0" w:footer="0" w:header="0"/>
        </w:sectPr>
      </w:pPr>
    </w:p>
    <w:p>
      <w:pPr>
        <w:spacing w:after="0" w:line="3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hanging="238"/>
        <w:spacing w:after="0" w:line="277"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serving as chair of the nominating and corporate governance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73" w:lineRule="exact"/>
        <w:rPr>
          <w:sz w:val="20"/>
          <w:szCs w:val="20"/>
          <w:color w:val="auto"/>
        </w:rPr>
      </w:pPr>
    </w:p>
    <w:p>
      <w:pPr>
        <w:sectPr>
          <w:pgSz w:w="11900" w:h="16838" w:orient="portrait"/>
          <w:cols w:equalWidth="0" w:num="5">
            <w:col w:w="440" w:space="360"/>
            <w:col w:w="7540" w:space="460"/>
            <w:col w:w="60" w:space="460"/>
            <w:col w:w="1040" w:space="720"/>
            <w:col w:w="6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40"/>
          </w:cols>
          <w:pgMar w:left="320" w:top="459" w:right="43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 Our board of directors has determined that each of these individuals is ‘‘independent’’ as defined under the applicable listing standards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and SEC rules and regulations. The functions of this committee include, among other things:</w:t>
      </w:r>
    </w:p>
    <w:p>
      <w:pPr>
        <w:spacing w:after="0" w:line="116" w:lineRule="exact"/>
        <w:rPr>
          <w:sz w:val="20"/>
          <w:szCs w:val="20"/>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70"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Effective upon the closing of this offering, we will adopt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adagiotx.com. We intend to post on our website all disclosures that are required by law or the listing standards of the Nasdaq Global Market concerning any amendments to, or waivers from, any provision of the Code of Conduct. Information contained on, or that can be accessed through, our website is not incorporated by reference into this prospectus. We have included our website in this prospectus solely as an inactive textual reference.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With the exception of the payments provided pursuant the independent director compensation policy adopted in the fourth quarter of 2020, as described below, we have not historically paid cash retainers or other compensation with respect to service on our board of directors, except for reimbursement of direct expenses incurred in connection with attending meetings of the board or committees.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In October 2020, we adopted an independent director compensation policy pursuant to which our independent directors are entitled to receive an annual cash retainer of $35,000 for serving on our board of directors, payable in arrears on a quarterly basis. In addition, each independent director who is appointed or elected following the policy’s adoption will be entitled to be granted an option to purchase 0.25% of our outstanding shares issuable at the start of the director’s term at an exercise price equal to the fair market value of our common stock on the date of grant, with 25% of the underlying shares vesting on the first anniversary of the grant date and the remainder vesting in 36 equal monthly installments thereafter, subject to the director’s continued service through the applicable vesting date. While Dr. Russo and Dr. Howard Mayer are both independent directors, only Dr. Mayer has received compensation pursuant to this policy because Dr. Russo received compensation pursuant to the consulting agreement described below and received an option award as a co-founder of the Company.</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intend to adopt a non-employee director compensation policy effective upon the completion of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in 2020 by our non-employee directors. Tillman U. Gerngross, Ph.D., our Chief Executive Officer, is also a member of our board of directors but did not receive any additional compensation for service as a director.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6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87"/>
              </w:rPr>
              <w:t>Fees</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6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4"/>
              </w:rPr>
              <w:t>Earned or</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5"/>
              </w:rPr>
              <w:t>Paid in</w:t>
            </w:r>
          </w:p>
        </w:tc>
        <w:tc>
          <w:tcPr>
            <w:tcW w:w="9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500" w:type="dxa"/>
            <w:vAlign w:val="bottom"/>
            <w:vMerge w:val="restart"/>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Cash</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500" w:type="dxa"/>
            <w:vAlign w:val="bottom"/>
            <w:vMerge w:val="continue"/>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5"/>
                <w:szCs w:val="15"/>
                <w:color w:val="auto"/>
              </w:rPr>
            </w:pPr>
          </w:p>
        </w:tc>
        <w:tc>
          <w:tcPr>
            <w:tcW w:w="480" w:type="dxa"/>
            <w:vAlign w:val="bottom"/>
          </w:tcPr>
          <w:p>
            <w:pPr>
              <w:ind w:left="20"/>
              <w:spacing w:after="0" w:line="158"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460" w:type="dxa"/>
            <w:vAlign w:val="bottom"/>
          </w:tcPr>
          <w:p>
            <w:pPr>
              <w:spacing w:after="0"/>
              <w:rPr>
                <w:sz w:val="15"/>
                <w:szCs w:val="15"/>
                <w:color w:val="auto"/>
              </w:rPr>
            </w:pPr>
          </w:p>
        </w:tc>
        <w:tc>
          <w:tcPr>
            <w:tcW w:w="88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560" w:type="dxa"/>
            <w:vAlign w:val="bottom"/>
          </w:tcPr>
          <w:p>
            <w:pPr>
              <w:jc w:val="right"/>
              <w:ind w:right="1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René Russo, Pharm.D.</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78,343</w:t>
            </w:r>
          </w:p>
        </w:tc>
        <w:tc>
          <w:tcPr>
            <w:tcW w:w="620" w:type="dxa"/>
            <w:vAlign w:val="bottom"/>
            <w:tcBorders>
              <w:top w:val="single" w:sz="8" w:color="CCEEFF"/>
            </w:tcBorders>
            <w:shd w:val="clear" w:color="auto" w:fill="CCEEFF"/>
          </w:tcPr>
          <w:p>
            <w:pPr>
              <w:jc w:val="right"/>
              <w:ind w:right="364"/>
              <w:spacing w:after="0"/>
              <w:rPr>
                <w:sz w:val="20"/>
                <w:szCs w:val="20"/>
                <w:color w:val="auto"/>
              </w:rPr>
            </w:pPr>
            <w:r>
              <w:rPr>
                <w:rFonts w:ascii="Arial" w:cs="Arial" w:eastAsia="Arial" w:hAnsi="Arial"/>
                <w:sz w:val="15"/>
                <w:szCs w:val="15"/>
                <w:color w:val="auto"/>
                <w:w w:val="87"/>
              </w:rPr>
              <w:t>(3)</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5,941</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84,284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Ajay Royan</w:t>
            </w: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Philip Chase</w:t>
            </w: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14,138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3"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grant-date fair value of the stock options granted under our 2020 Plan, computed in accordance with ASC Topic 718. The assumptions used in calculating the grant-date fair value of the stock options are set forth in the notes to our audited consolidated financial statements included elsewhere in this prospectus. These amounts do not reflect the actual economic value that will be realized by the non-employee director upon vesting of the stock options, the exercise of the stock options or the sale of the common stock underlying such stock options.</w:t>
      </w:r>
    </w:p>
    <w:p>
      <w:pPr>
        <w:spacing w:after="0" w:line="3" w:lineRule="exact"/>
        <w:rPr>
          <w:rFonts w:ascii="Arial" w:cs="Arial" w:eastAsia="Arial" w:hAnsi="Arial"/>
          <w:sz w:val="18"/>
          <w:szCs w:val="18"/>
          <w:color w:val="auto"/>
        </w:rPr>
      </w:pPr>
    </w:p>
    <w:p>
      <w:pPr>
        <w:jc w:val="both"/>
        <w:ind w:left="540" w:right="20" w:hanging="424"/>
        <w:spacing w:after="0" w:line="265"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Dr. Russo’s consulting agreement (referred to below) acknowledges that, in consideration of her consulting services, she was granted an option to purchase 397,059 shares of our common stock, which option vests as to 25% of the underlying share on June 15, 2021, and the remainder of the underlying shares vest in 36 substantially equal monthly installments, subject to her continued service through each vesting date. The terms of Dr. Russo’s option also include the ability for Dr. Russo to exercise the option in full on the date of grant. Dr. Russo exercised her stock option prior to December 31, 2020 and received unvested shares of our common stock. In the event of a “change in control” (as defined our 2020 Plan), the vesting of Dr. Russo’s option will accelerate in full, subject to her continued service as of immediately prior to such change in control. Such shares are subject to a right of repurchase in favor of us at the original option exercise price that lapses in accordance with such vesting schedule. As a result, none of our non-employee directors held option awards as of December 31, 2020, and none of our non-employee directors held stock awards as of December 31, 2020, other than Dr. Russo.</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This amount represents cash consulting fees paid during 2020 pursuant to Dr. Russo’s consulting agreement with us, as described below.</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Consulting Agreement with Dr. Russo</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In June 2020, we entered into a consulting agreement with Dr. René Russo, a current non-employee member of our board of directors, pursuant to which Dr. Russo is entitled to receive $7,500 per month, with payment for any partial months prorated. In addition, Dr. Russo’s consulting agreement provides that she is eligible for an annual additional consulting fee at the discretion of our board of directors. Such annual additional consulting fee has a target amount of $40,500, but the actual amount of the annual additional consulting fee is determined by our board of directors in its discretion.</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named executive officers for the period from June 3, 2020 (inception) to December 31, 2020, which consisted of our Chief Executive Officer and our two most highly compensated executive officers other than our Chief Executive Officer, were:</w:t>
      </w:r>
    </w:p>
    <w:p>
      <w:pPr>
        <w:spacing w:after="0" w:line="197"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Tillman U. Gerngross, Ph.D., our Co-Founder, Chief Executive Officer and President;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Lynn Connolly, M.D., Ph.D., our Chief Medical Officer;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Rebecca Dabora, Ph.D., our Chief Technology &amp; Manufacturing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and paid to our named executive officers with respect to the period from June 3, 2020 (inception) to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Salary</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9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Bonus</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3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Tillman U. Gerngross, Ph.D.</w:t>
            </w:r>
            <w:r>
              <w:rPr>
                <w:rFonts w:ascii="Arial" w:cs="Arial" w:eastAsia="Arial" w:hAnsi="Arial"/>
                <w:sz w:val="15"/>
                <w:szCs w:val="15"/>
                <w:color w:val="auto"/>
              </w:rPr>
              <w:t>(2)</w:t>
            </w: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Co-Founder, Chief Executive Officer and President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5,941</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02"/>
        </w:trPr>
        <w:tc>
          <w:tcPr>
            <w:tcW w:w="5680" w:type="dxa"/>
            <w:vAlign w:val="bottom"/>
            <w:gridSpan w:val="2"/>
          </w:tcPr>
          <w:p>
            <w:pPr>
              <w:spacing w:after="0" w:line="201" w:lineRule="exact"/>
              <w:rPr>
                <w:sz w:val="20"/>
                <w:szCs w:val="20"/>
                <w:color w:val="auto"/>
              </w:rPr>
            </w:pPr>
            <w:r>
              <w:rPr>
                <w:rFonts w:ascii="Arial" w:cs="Arial" w:eastAsia="Arial" w:hAnsi="Arial"/>
                <w:sz w:val="18"/>
                <w:szCs w:val="18"/>
                <w:color w:val="auto"/>
              </w:rPr>
              <w:t>Lynn Connolly, M.D., Ph.D.</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169,154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88,820</w:t>
            </w:r>
            <w:r>
              <w:rPr>
                <w:rFonts w:ascii="Arial" w:cs="Arial" w:eastAsia="Arial" w:hAnsi="Arial"/>
                <w:sz w:val="15"/>
                <w:szCs w:val="15"/>
                <w:color w:val="auto"/>
                <w:w w:val="98"/>
              </w:rPr>
              <w:t>(4)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584,095</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3,767</w:t>
            </w:r>
            <w:r>
              <w:rPr>
                <w:rFonts w:ascii="Arial" w:cs="Arial" w:eastAsia="Arial" w:hAnsi="Arial"/>
                <w:sz w:val="15"/>
                <w:szCs w:val="15"/>
                <w:color w:val="auto"/>
              </w:rPr>
              <w:t>(5)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845,836</w:t>
            </w:r>
          </w:p>
        </w:tc>
        <w:tc>
          <w:tcPr>
            <w:tcW w:w="0" w:type="dxa"/>
            <w:vAlign w:val="bottom"/>
          </w:tcPr>
          <w:p>
            <w:pPr>
              <w:spacing w:after="0"/>
              <w:rPr>
                <w:sz w:val="1"/>
                <w:szCs w:val="1"/>
                <w:color w:val="auto"/>
              </w:rPr>
            </w:pPr>
          </w:p>
        </w:tc>
      </w:tr>
      <w:tr>
        <w:trPr>
          <w:trHeight w:val="202"/>
        </w:trPr>
        <w:tc>
          <w:tcPr>
            <w:tcW w:w="5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Rebecca Dabora, Ph.D.</w:t>
            </w: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Technology &amp; Manufacturing Officer</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357,838</w:t>
            </w:r>
            <w:r>
              <w:rPr>
                <w:rFonts w:ascii="Arial" w:cs="Arial" w:eastAsia="Arial" w:hAnsi="Arial"/>
                <w:sz w:val="15"/>
                <w:szCs w:val="15"/>
                <w:color w:val="auto"/>
                <w:w w:val="95"/>
              </w:rPr>
              <w:t>(3)</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225,292</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583,129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2"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amounts reported reflect the aggregate grant-date fair value of option awards granted during the year measured pursuant to Financial Accounting Standard Board Accounting Standards Codification Topic 718, or ASC 718, the basis for computing stock-based compensation in our consolidated financial statements. This calculation assumes that the named executive officer will perform the requisite service for the award to vest in full as required by SEC rules. The assumptions we used in valuing options are described in Note 10 to our audited consolidated financial statements appearing at the end of this prospectus. These amounts do not reflect the actual economic value that will be realized by the named executive officer upon vesting of the stock options, the exercise of the stock options or the sale of the common stock underlying such stock options.</w:t>
      </w:r>
    </w:p>
    <w:p>
      <w:pPr>
        <w:spacing w:after="0" w:line="5" w:lineRule="exact"/>
        <w:rPr>
          <w:rFonts w:ascii="Arial" w:cs="Arial" w:eastAsia="Arial" w:hAnsi="Arial"/>
          <w:sz w:val="18"/>
          <w:szCs w:val="18"/>
          <w:color w:val="auto"/>
        </w:rPr>
      </w:pPr>
    </w:p>
    <w:p>
      <w:pPr>
        <w:ind w:left="540" w:hanging="424"/>
        <w:spacing w:after="0"/>
        <w:tabs>
          <w:tab w:leader="none" w:pos="5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Dr. Gerngross is also a member of our board of directors, but he did not receive any additional compensation in his capacity as a director in 2020.</w:t>
      </w:r>
    </w:p>
    <w:p>
      <w:pPr>
        <w:spacing w:after="0" w:line="32" w:lineRule="exact"/>
        <w:rPr>
          <w:rFonts w:ascii="Arial" w:cs="Arial" w:eastAsia="Arial" w:hAnsi="Arial"/>
          <w:sz w:val="16"/>
          <w:szCs w:val="16"/>
          <w:color w:val="auto"/>
        </w:rPr>
      </w:pPr>
    </w:p>
    <w:p>
      <w:pPr>
        <w:jc w:val="both"/>
        <w:ind w:left="540" w:hanging="424"/>
        <w:spacing w:after="0" w:line="25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total hourly compensation paid in 2020 under the terms of the consulting agreement pursuant to which Dr. Dabora provided services to us before her conversion to a full-time employee. See “—Agreements with our Named Executive Officers and Potential Payments Upon Termination of Employment—Rebecca Dabora, Ph.D.”</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Represents the prorated 2020 annual bonus paid to Dr. Connolly pursuant to the terms of her employment agreement with us. See “—Agreements with our Named Executive Officers and Potential Payments Upon Termination of Employment—Lynn Connolly, M.D., Ph.D.”</w:t>
      </w:r>
    </w:p>
    <w:p>
      <w:pPr>
        <w:ind w:left="540" w:right="20" w:hanging="424"/>
        <w:spacing w:after="0" w:line="260" w:lineRule="auto"/>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Represents employer contributions to Dr. Connolly’s 401(k) plan account and life insurance premiums. See “—Retirement Benefits and Other Compensation.”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2020 Period-End</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were outstanding as of December 31, 2020.</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1"/>
              </w:rPr>
              <w:t xml:space="preserve">Option Awards </w:t>
            </w:r>
            <w:r>
              <w:rPr>
                <w:rFonts w:ascii="Arial" w:cs="Arial" w:eastAsia="Arial" w:hAnsi="Arial"/>
                <w:sz w:val="27"/>
                <w:szCs w:val="27"/>
                <w:b w:val="1"/>
                <w:bCs w:val="1"/>
                <w:color w:val="auto"/>
                <w:w w:val="91"/>
                <w:vertAlign w:val="superscript"/>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ind w:left="42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Market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Number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Number of</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Number of</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 or</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 or</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Securities</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Securities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units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units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Vesting</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Underlying</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Underlying</w:t>
            </w: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 that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stock that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Commence-</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Unexercised</w:t>
            </w:r>
          </w:p>
        </w:tc>
        <w:tc>
          <w:tcPr>
            <w:tcW w:w="180" w:type="dxa"/>
            <w:vAlign w:val="bottom"/>
          </w:tcPr>
          <w:p>
            <w:pPr>
              <w:spacing w:after="0"/>
              <w:rPr>
                <w:sz w:val="17"/>
                <w:szCs w:val="17"/>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Unexercised</w:t>
            </w:r>
          </w:p>
        </w:tc>
        <w:tc>
          <w:tcPr>
            <w:tcW w:w="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have not</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have not</w:t>
            </w:r>
          </w:p>
        </w:tc>
        <w:tc>
          <w:tcPr>
            <w:tcW w:w="0" w:type="dxa"/>
            <w:vAlign w:val="bottom"/>
          </w:tcPr>
          <w:p>
            <w:pPr>
              <w:spacing w:after="0"/>
              <w:rPr>
                <w:sz w:val="1"/>
                <w:szCs w:val="1"/>
                <w:color w:val="auto"/>
              </w:rPr>
            </w:pPr>
          </w:p>
        </w:tc>
      </w:tr>
      <w:tr>
        <w:trPr>
          <w:trHeight w:val="199"/>
        </w:trPr>
        <w:tc>
          <w:tcPr>
            <w:tcW w:w="26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ment</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Options (#)</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Options (#)</w:t>
            </w: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Expiration</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vested</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2"/>
              </w:rPr>
              <w:t>vested</w:t>
            </w:r>
          </w:p>
        </w:tc>
        <w:tc>
          <w:tcPr>
            <w:tcW w:w="0" w:type="dxa"/>
            <w:vAlign w:val="bottom"/>
          </w:tcPr>
          <w:p>
            <w:pPr>
              <w:spacing w:after="0"/>
              <w:rPr>
                <w:sz w:val="1"/>
                <w:szCs w:val="1"/>
                <w:color w:val="auto"/>
              </w:rPr>
            </w:pPr>
          </w:p>
        </w:tc>
      </w:tr>
      <w:tr>
        <w:trPr>
          <w:trHeight w:val="206"/>
        </w:trPr>
        <w:tc>
          <w:tcPr>
            <w:tcW w:w="2660" w:type="dxa"/>
            <w:vAlign w:val="bottom"/>
            <w:gridSpan w:val="2"/>
            <w:vMerge w:val="continue"/>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Grant Date</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Exercisable</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line="207" w:lineRule="exact"/>
              <w:rPr>
                <w:sz w:val="20"/>
                <w:szCs w:val="20"/>
                <w:color w:val="auto"/>
              </w:rPr>
            </w:pPr>
            <w:r>
              <w:rPr>
                <w:rFonts w:ascii="Arial" w:cs="Arial" w:eastAsia="Arial" w:hAnsi="Arial"/>
                <w:sz w:val="14"/>
                <w:szCs w:val="14"/>
                <w:b w:val="1"/>
                <w:bCs w:val="1"/>
                <w:color w:val="auto"/>
              </w:rPr>
              <w:t>Unexercisable</w:t>
            </w:r>
            <w:r>
              <w:rPr>
                <w:rFonts w:ascii="Arial" w:cs="Arial" w:eastAsia="Arial" w:hAnsi="Arial"/>
                <w:sz w:val="23"/>
                <w:szCs w:val="23"/>
                <w:b w:val="1"/>
                <w:bCs w:val="1"/>
                <w:color w:val="auto"/>
                <w:vertAlign w:val="superscript"/>
              </w:rPr>
              <w:t>(2)</w:t>
            </w:r>
          </w:p>
        </w:tc>
        <w:tc>
          <w:tcPr>
            <w:tcW w:w="600" w:type="dxa"/>
            <w:vAlign w:val="bottom"/>
          </w:tcPr>
          <w:p>
            <w:pPr>
              <w:jc w:val="center"/>
              <w:spacing w:after="0" w:line="20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22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 Ph.D.</w:t>
            </w:r>
            <w:r>
              <w:rPr>
                <w:rFonts w:ascii="Arial" w:cs="Arial" w:eastAsia="Arial" w:hAnsi="Arial"/>
                <w:sz w:val="15"/>
                <w:szCs w:val="15"/>
                <w:color w:val="auto"/>
              </w:rPr>
              <w:t>(4)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397,059</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9,148,239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Lynn Connolly, M.D., Ph.D.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9/28/2020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7/13/2020</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172,058</w:t>
            </w:r>
            <w:r>
              <w:rPr>
                <w:rFonts w:ascii="Arial" w:cs="Arial" w:eastAsia="Arial" w:hAnsi="Arial"/>
                <w:sz w:val="15"/>
                <w:szCs w:val="15"/>
                <w:color w:val="auto"/>
              </w:rPr>
              <w:t>(5)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Rebecca Dabora, Ph.D.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9/28/2020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9/28/2020</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66,176</w:t>
            </w:r>
            <w:r>
              <w:rPr>
                <w:rFonts w:ascii="Arial" w:cs="Arial" w:eastAsia="Arial" w:hAnsi="Arial"/>
                <w:sz w:val="15"/>
                <w:szCs w:val="15"/>
                <w:color w:val="auto"/>
              </w:rPr>
              <w:t>(5)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58"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 the awards listed in this table were granted under our 2020 Plan. See the section titled “—Equity Incentive Plans—2020 Equity Incentive Plan” below for additional information.</w:t>
      </w:r>
    </w:p>
    <w:p>
      <w:pPr>
        <w:spacing w:after="0" w:line="1"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 Accordingly, the columns and footnotes below reflect the extent to which stock options held by our named executive officers were vested (as opposed to exercisable) as of December 31, 2020.</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 per share exercise price equal to or above the estimated fair value of our common stock on the date of grant, as determined in good faith by our board of directors.</w:t>
      </w:r>
    </w:p>
    <w:p>
      <w:pPr>
        <w:jc w:val="both"/>
        <w:ind w:left="540" w:hanging="424"/>
        <w:spacing w:after="0" w:line="265"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Dr. Gerngross’ consulting agreement (referred to below) acknowledges that, in consideration of his consulting services, he was granted an option to purchase 397,059 shares of our common stock, which option vests as to 25% of the underlying shares on June 15, 2021 and the remainder of the underlying shares vest in 36 substantially equal monthly installments, subject to his continued service through each vesting date. In the event of a “change in control” (as defined our 2020 Plan), the vesting of Dr. Gerngross’s option will accelerate in full, subject to his continued service as of immediately prior to such change in control. The terms of Dr. Gerngross’s option also include the ability for Dr. Gerngross to exercise the option in full on the date of grant. Dr. Gerngross exercised his stock option prior to December 31, 2020 and received unvested shares of our common stock. After exercising his stock option, Dr. Gerngross transferred the unvested shares to Adimab, in exchange for no consideration. Dr. Gerngross is a co-founder and currently serving as Chief Executive Officer and as a director of Adimab. The unvested shares held by Adimab remain subject to the same vesting conditions applicable to Dr. Gerngross’s original option award, including the requirement that Dr. Gerngross continue providing services to us through each vesting date, and such shares are subject to a right of repurchase in favor of us at the original option exercise price that lapses in accordance with such vesting schedule.</w:t>
      </w:r>
    </w:p>
    <w:p>
      <w:pPr>
        <w:spacing w:after="0" w:line="1" w:lineRule="exact"/>
        <w:rPr>
          <w:rFonts w:ascii="Arial" w:cs="Arial" w:eastAsia="Arial" w:hAnsi="Arial"/>
          <w:sz w:val="17"/>
          <w:szCs w:val="17"/>
          <w:color w:val="auto"/>
        </w:rPr>
      </w:pPr>
    </w:p>
    <w:p>
      <w:pPr>
        <w:jc w:val="both"/>
        <w:ind w:left="540" w:right="20" w:hanging="424"/>
        <w:spacing w:after="0" w:line="253"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25% of the shares subject to this award will vest on the first anniversary of the vesting commencement date, with the remaining shares vesting in equal monthly installments over the three years thereafter, in each case subject to the named executive officer’s continued service. Notwithstanding the foregoing, 100% of the shares subject to this award will vest immediately prior to a change in control, subject to the named executive officer’s continued service until immediately prior to such change in control.</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2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We have entered into employment or consulting agreements with each of our named executive officers. The key terms of the agreements are described below. For a discussion of the severance pay and other benefits to be provided in connection with a termination of employment or a change in control under the arrangements with our named executive officers, please see “—Potential Payments Upon Termination or Change in Control” below. We plan to enter into amended employment agreements with each of our named executive officers in connection with this offering.</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Tillman U. Gerngross, Ph.D.</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In July 2020, we entered into a consulting agreement with Dr. Gerngross. This agreement governs the current terms of Dr. Gerngross’s consulting arrangement with us. Dr. Gerngross’s consulting agreement does not provide for the payment of consulting fees but acknowledges that, in consideration of his consulting services, he was granted an option to purchase 397,059 shares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Lynn Connolly, M.D., Ph.D.</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November 2020, we entered into an employment agreement with Dr. Connolly. This agreement governs the current terms of Dr. Connolly’s employment with us. Pursuant to her employment agreement, Dr. Connolly is entitled to an annual base salary of $360,000, and is eligible to receive an annual target bonus equal to 35% of her annual base salary, with the actual payout determined in the discretion our board of directors and any bonus payable in respect of calendar year 2020 prorated from the commencement of her employment. Dr. Connolly is also eligible for standard benefits such as paid time off, for reimbursement of business expenses, and to participate in our employee benefit plans and programs.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Rebecca Dabora, Ph.D.</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In June 2020, we entered into a consulting agreement with RDBio Consulting LLC, a limited liability company owned by Dr. Dabora, pursuant to which RDBio Consulting LLC agreed to make Dr. Dabora available to provide services to us. The agreement had an initial term of one year and governed the terms of Dr. Dabora’s service relationship with us before she was converted to a full-time employee. The agreement provided that we pay RDBio Consulting, LLC an amount of $400 per hour that Dr. Dabora provided services to us (but not to exceed $3,200 per day). The agreement also provided for reimbursement of business expenses and could be terminated by either party upon 30 days’ prior written notice.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Dr. Connolly is entitled to certain severance and change in control benefits pursuant to her employment agreement. In the event that Dr. Connolly’s employment is terminated, other than during the period commencing three months prior to or ending 12 months following a “change in control,” or the change in control period, by us without “cause” or by Dr. Connolly for “good reason” (each, as defined in Dr. Connolly employment agreement), and subject to her delivery to us of a separation agreement that includes a general release of claims, she will be entitled to continued payment of her base salary for nine months after her termination or resignation date and our continued payment of the employer portion of the cost of group health insurance coverage for a period of up to nine months following her termination or resignation date (provided that she properly elects to receive COBRA continuation coverage). In the event that Dr. Connolly’s employment is terminated by us without cause or by Dr. Connolly for good reason, in either case, during the change in control period, and subject to her delivery to us of a separation agreement that includes a general release of claims, Dr. Connolly will be entitled to continued payment of her base salary for 12 months after her termination or resignation date, an amount equal to her target annual bonus for the year in which her termination or resignation date occurs, accelerated vesting of all equity awards granted to Dr. Connolly as of her termination or resignation date, and our continued payment of the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employer portion of the cost of group health insurance coverage for a period of up to 12 months following her termination or resignation date (provided that she properly elects to receive COBRA continuation coverage). Dr. Connolly’s employment agreement also provides that if any benefits payable to her thereunder or otherwise would result in adverse tax consequences under Section 4999 of the Internal Revenue Code of 1986, as amended, or the Code, then such benefits will be reduced if such reduction would provide Dr. Connolly with a greater net after-tax benefit than would no reduction.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 and Other Compensation</w:t>
      </w:r>
    </w:p>
    <w:p>
      <w:pPr>
        <w:spacing w:after="0" w:line="121"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Our named executive officers were eligible to participate in our employee benefits,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Our board of directors adopted, and our stockholders approved, our 2021 Equity Incentive Plan, or the 2021 Plan, in , 2021. Our 2021 Plan provides for the grant of incentive stock options, or ISOs, to employees, including employees of any parent or subsidiary, and for the grant of nonstatutory stock options, or NSOs, stock appreciation rights, restricted stock awards, restricted stock unit awards, performance awards and other forms of stock awards to employees, directors, and consultants, including employees and consultants of our affiliates. Our 2021 Plan is a successor to the 2020 Plan and will become effective one day prior to the effective date of the registration statement of which this prospectus forms a part.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Initially, the maximum number of shares of our common stock that may be issued under our 2021 Plan after it becomes</w:t>
      </w:r>
    </w:p>
    <w:p>
      <w:pPr>
        <w:spacing w:after="0" w:line="3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effective will be shares, which is the sum of (i) new shares; plus (ii) the number of shares that remain available for issuance under the 2020 Plan at the time our 2021 Plan becomes effective; and (iii) any shares subject to outstanding stock options or other stock awards that were granted under the 2020 Plan that are forfeited, terminate, expire or are otherwise not issued. In addition, the number of shares of our common stock reserved for issuance under our 2021 Plan will automatically increase on January 1 of each calendar year, starting on January 1, 2022 and continuing</w:t>
      </w:r>
    </w:p>
    <w:p>
      <w:pPr>
        <w:spacing w:after="0" w:line="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through January 1, 2031, in an amount equal to % of the total number of shares of our capital stock outstanding on the last day of the calendar month before the date of each automatic increase, or a lesser number of shares determined by our board of directors. The maximum number of shares of our common stock that may be issued on the exercise of ISOs under our 2021 Plan is .</w:t>
      </w:r>
    </w:p>
    <w:p>
      <w:pPr>
        <w:spacing w:after="0" w:line="19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Shares subject to stock awards granted under our 2021 Plan that expire or terminate without being exercised in full, or that are paid out in cash rather than in shares, do not reduce the number of shares available for issuance under our 2021 Plan. Additionally, shares become available for future grant under our 2021 Plan if they were issued under stock awards under our 2021 Plan if we repurchase them or they are forfeited. This includes shares used to pay the exercise price of a stock award or to satisfy the tax withholding obligations related to a stock award.</w:t>
      </w:r>
    </w:p>
    <w:p>
      <w:pPr>
        <w:spacing w:after="0" w:line="171" w:lineRule="exact"/>
        <w:rPr>
          <w:sz w:val="20"/>
          <w:szCs w:val="20"/>
          <w:color w:val="auto"/>
        </w:rPr>
      </w:pPr>
    </w:p>
    <w:p>
      <w:pPr>
        <w:jc w:val="both"/>
        <w:ind w:left="120" w:firstLine="440"/>
        <w:spacing w:after="0" w:line="258"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2021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w:t>
      </w:r>
    </w:p>
    <w:p>
      <w:pPr>
        <w:spacing w:after="0" w:line="1" w:lineRule="exact"/>
        <w:rPr>
          <w:sz w:val="20"/>
          <w:szCs w:val="20"/>
          <w:color w:val="auto"/>
        </w:rPr>
      </w:pPr>
    </w:p>
    <w:p>
      <w:pPr>
        <w:ind w:left="120" w:right="20" w:hanging="4"/>
        <w:spacing w:after="0" w:line="323" w:lineRule="auto"/>
        <w:tabs>
          <w:tab w:leader="none" w:pos="35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designate employees (other than officers) to receive specified stock awards and (ii) determine the number of shares subject to such stock awards. Under our 2021 Plan, our board of directors has the authority to determine and amend the terms of awards and underlying agreements, including:</w:t>
      </w:r>
    </w:p>
    <w:p>
      <w:pPr>
        <w:spacing w:after="0" w:line="43" w:lineRule="exact"/>
        <w:rPr>
          <w:rFonts w:ascii="Arial" w:cs="Arial" w:eastAsia="Arial" w:hAnsi="Arial"/>
          <w:sz w:val="16"/>
          <w:szCs w:val="16"/>
          <w:color w:val="auto"/>
        </w:rPr>
      </w:pPr>
    </w:p>
    <w:p>
      <w:pPr>
        <w:ind w:left="108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recipients;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 the number of shares subject to each stock award;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form of consideration, if any, payable on exercise or settlement of the award.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the 2021 Plan, the board of directors also generally has the authority to effect, with the consent of any adversely affected participant:</w:t>
      </w:r>
    </w:p>
    <w:p>
      <w:pPr>
        <w:spacing w:after="0" w:line="131"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cancellation of any outstanding award and the grant in substitution therefore of other awards, cash, or other consideration; or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granted under stock option agreements adopted by the plan administrator. The plan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for stock options,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determined by the plan administrator.</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w:t>
      </w:r>
    </w:p>
    <w:p>
      <w:pPr>
        <w:spacing w:after="0" w:line="192"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Restricted stock units are granted under restricted stock unit award agreements adopted by the plan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78"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 administrator.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under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our common stock on the date of grant. A stock appreciation right granted under the 2021 Plan vests at the rate specified in the stock appreciation right agreement as determined by the plan administrator.</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The 2021 Plan permits the grant of performance-based stock and cash awards. The plan administrator may structure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so that the shares of our stock, cash, or other property will be issued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effects of the timing of acceptance for review and/or approval of submissions to the FDA or any other regulatory body. In addition, we retain the discretion to reduce or eliminate the compensation or economic benefit due upon attainment of the goals. The performance goals may differ from participant to participant and from award to award.</w:t>
      </w:r>
    </w:p>
    <w:p>
      <w:pPr>
        <w:spacing w:after="0" w:line="17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our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Non-Employee Director Compensation Limit</w:t>
      </w:r>
      <w:r>
        <w:rPr>
          <w:rFonts w:ascii="Arial" w:cs="Arial" w:eastAsia="Arial" w:hAnsi="Arial"/>
          <w:sz w:val="16"/>
          <w:szCs w:val="16"/>
          <w:color w:val="auto"/>
        </w:rPr>
        <w:t>. The aggregate value of all compensation granted or paid to any non-employee director with respect</w:t>
      </w:r>
    </w:p>
    <w:p>
      <w:pPr>
        <w:spacing w:after="0" w:line="46"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to any calendar year, including stock awards granted and cash fees paid by us to such non-employee director, will not exceed $ in total value, or in the event such non-employee director is first appointed or elected to the board during such annual period, $ in total value (in each case, calculating the value of any such stock awards based on the grant-date fair value of such stock awards for financial reporting purposes).</w:t>
      </w:r>
    </w:p>
    <w:p>
      <w:pPr>
        <w:spacing w:after="0" w:line="17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(i) the class and maximum number of shares reserved for issuance under the 2021 Plan, (ii) the class and maximum number of shares by which the share reserve may increase automatically each year, (iii) the class and maximum number of shares that may be issued on the exercise of incentive stock options, and (iv) the class and number of shares and exercise price, strike price, or purchase price, if applicable, of all outstanding stock awards.</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plan administrator at the time of grant.</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w:t>
      </w:r>
    </w:p>
    <w:p>
      <w:pPr>
        <w:spacing w:after="0" w:line="17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as defined under our 2021 Plan, awards granted under our 2021 Plan will not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acceleration of vesting and exercisability, although this treatment may be provided for in an award agreement.</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Under our 2021 Plan, a corporate transaction is defined to include: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Under the 2021 Plan, a change in control is defined to include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(3) the approval by the stockholders or the board of directors of a plan of complete dissolution or liquidation of the company, or the occurrence of a complete dissolution or liquidation of the company, except for a liquidation into a parent corporation; (4) a sale, lease, exclusive license or other disposition of all or substantially all of our assets other than to an entity more than 50% of the combined voting power of which is owned by our stockholders; and (5) an unapproved change in the majority of the board of directors.</w:t>
      </w:r>
    </w:p>
    <w:p>
      <w:pPr>
        <w:spacing w:after="0" w:line="17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stock awards under our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2021 Plan.</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2021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incentive stock options may be granted after the tenth anniversary of the date our board of directors adopted our 2021 Plan. No stock awards may be granted under our 2021 Plan while it is suspended or after it is terminated.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2020 Equity Incentive Plan, or the 2020 Plan, was originally adopted by our board of directors on June 19, 2020 and approved by our stockholders on June 22, 2020. The 2020 Plan allows for the grant of ISOs to employees, including employees of any parent or subsidiary, and for the grant of NSOs, restricted stock awards, restricted stock units and other forms of stock awards to employees, directors, and consultants. Once our 2021 Plan becomes effective, no further grants will be made under the 2020 Plan. Any outstanding awards granted under the 2020 Plan will remain subject to the terms of the 2020 Plan and applicable award agreements.</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 maximum number of shares of our common stock that may be issued under the 2020 Plan is 5,850,958 shares. Shares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stock awards granted under the 2020 Plan that are cancelled, forfeited, settled in cash or that expire by their terms do not reduce the number of shares available for issuance under the 2020 Plan. Additionally, shares used to pay the exercise price of a stock award or to satisfy the tax withholding obligations related to a stock award become available for future grant under the 2020 Plan.</w:t>
      </w:r>
    </w:p>
    <w:p>
      <w:pPr>
        <w:spacing w:after="0" w:line="171"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or a duly authorized committee thereof, administers the 2020 Plan. Under the 2020 Plan,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has the full authority and discretion to take any actions it deems necessary or advisable for the 2020 Plan’s administration.</w:t>
      </w:r>
    </w:p>
    <w:p>
      <w:pPr>
        <w:spacing w:after="0" w:line="14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ISOs and NSOs are granted pursuant to award agreements adopted by the plan administrator. Each award agreement specifies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subject to the option and the exercise price, provided that the exercise price of a stock option generally cannot be less than 100% (or 110% in the case of ISOs granted to certain stockholders) of the fair market value of our common stock on the date of grant. Options granted under the 2020 Plan vest at the rate specified in the applicable award agreement. Payment for the purchase of common stock issued upon the exercise of a stock option may be made in cash or cash equivalents. However, the plan administrator may also allow for other forms of consideration, including</w:t>
      </w:r>
    </w:p>
    <w:p>
      <w:pPr>
        <w:spacing w:after="0" w:line="2" w:lineRule="exact"/>
        <w:rPr>
          <w:sz w:val="20"/>
          <w:szCs w:val="20"/>
          <w:color w:val="auto"/>
        </w:rPr>
      </w:pPr>
    </w:p>
    <w:p>
      <w:pPr>
        <w:ind w:left="360" w:hanging="244"/>
        <w:spacing w:after="0"/>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surrendering shares of common stock already owned by a participant, (ii) delivery of a promissory note, (iii) a broker-assisted cashless exercise,</w:t>
      </w:r>
    </w:p>
    <w:p>
      <w:pPr>
        <w:spacing w:after="0" w:line="32" w:lineRule="exact"/>
        <w:rPr>
          <w:rFonts w:ascii="Arial" w:cs="Arial" w:eastAsia="Arial" w:hAnsi="Arial"/>
          <w:sz w:val="16"/>
          <w:szCs w:val="16"/>
          <w:color w:val="auto"/>
        </w:rPr>
      </w:pPr>
    </w:p>
    <w:p>
      <w:pPr>
        <w:jc w:val="both"/>
        <w:ind w:left="120" w:right="20" w:hanging="4"/>
        <w:spacing w:after="0" w:line="253" w:lineRule="auto"/>
        <w:tabs>
          <w:tab w:leader="none" w:pos="4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by a “net exercise” arrangement, or (v) by other forms consistent with applicable law. The award agreements specify the term of stock options granted under the 2020 Plan, up to a maximum of 10 years (or five years in the case of ISOs granted to certain stockholders). The plan administrator shall determine the effect on a stock award of the disability, death, retirement, authorized leave of absence, or any other change or purported change in a holder’s status. Unless the plan administrator provides otherwise, stock options generally are not transferable except by will, the laws of descent and distribution.</w:t>
      </w:r>
    </w:p>
    <w:p>
      <w:pPr>
        <w:spacing w:after="0" w:line="19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 plan administrator determines that any dividend or other distribution, reorganization,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combination, repurchase, recapitalization, liquidation, dissolution, or sale, transfer, exchange or other disposition of our assets, or sale or exchange of common stock or other securities, issuance of warrants or other rights to purchase common stock or other securities, or other similar corporate transaction or event, affects the common stock such that an adjustment is determined by the administrator to be appropriate, the plan administrator will make appropriate adjustments to the following: (i) the number and kind of shares available for future stock awards, (ii) the number and kind of shares covered by each outstanding stock award, (iii) the grant or exercise price with respect to any award, and (iv) the terms and conditions of any awards (including, without limitation, any applicable financial or other performance “targets” specified in an award agreement.</w:t>
      </w:r>
    </w:p>
    <w:p>
      <w:pPr>
        <w:spacing w:after="0" w:line="16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2020 Plan provides that in the event of a specified corporate transaction, including without limitation a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consolidation, or the sale or other disposition of all or substantially all of our stock or assets, or in the event of such other corporate transaction, such as a separation or reorganization, the plan administrator will determine how to treat each outstanding stock award. The plan administrator may provide for the:</w:t>
      </w:r>
    </w:p>
    <w:p>
      <w:pPr>
        <w:spacing w:after="0" w:line="92" w:lineRule="exact"/>
        <w:rPr>
          <w:sz w:val="20"/>
          <w:szCs w:val="20"/>
          <w:color w:val="auto"/>
        </w:rPr>
      </w:pPr>
    </w:p>
    <w:p>
      <w:pPr>
        <w:ind w:left="1080" w:right="2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settlement of the intrinsic value of stock awards to the extent vested and exercisable awards, with payment made in cash, cash equivalents or property, followed by the cancellation of such stock awards (whether or not then vested or exercisable);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308"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exercisability and settlement, in whole or in part, of stock awards to the extent vested and exercisable followed by the cancellation of such stock awards (whether or not then vested or exercisable) upon or immediately prior to the effectiveness of the transaction;</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assumption or substitution, in whole or in part, of a stock award by a successor corporation;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adjustment in the number and type of shares of common stock subject to outstanding awards and/or in the terms and conditions of (including, without limitation, the grant or exercise price), and the criteria included in, outstanding awards;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replacement of such award with other rights or property selected by the plan administrator; and/or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termination of such award.</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plan administrator has the authority to amend, suspend, or terminate the 2020 Plan or any portion thereof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provided that no amendment of the 2020 Plan shall materially and adversely affect (as determined by the plan administrator) any award outstanding at the time of such amendment without the participant’s consent. Our board shall obtain stockholder approval of any amendment to the extent necessary to comply with applicable laws.</w:t>
      </w:r>
    </w:p>
    <w:p>
      <w:pPr>
        <w:spacing w:after="0" w:line="2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9520" w:type="dxa"/>
            <w:vAlign w:val="bottom"/>
          </w:tcPr>
          <w:p>
            <w:pPr>
              <w:spacing w:after="0"/>
              <w:rPr>
                <w:sz w:val="20"/>
                <w:szCs w:val="20"/>
                <w:color w:val="auto"/>
              </w:rPr>
            </w:pPr>
            <w:r>
              <w:rPr>
                <w:rFonts w:ascii="Arial" w:cs="Arial" w:eastAsia="Arial" w:hAnsi="Arial"/>
                <w:sz w:val="18"/>
                <w:szCs w:val="18"/>
                <w:b w:val="1"/>
                <w:bCs w:val="1"/>
                <w:i w:val="1"/>
                <w:iCs w:val="1"/>
                <w:color w:val="auto"/>
              </w:rPr>
              <w:t>2021 Employee Stock Purchase Plan</w:t>
            </w:r>
          </w:p>
        </w:tc>
        <w:tc>
          <w:tcPr>
            <w:tcW w:w="1040" w:type="dxa"/>
            <w:vAlign w:val="bottom"/>
          </w:tcPr>
          <w:p>
            <w:pPr>
              <w:spacing w:after="0"/>
              <w:rPr>
                <w:sz w:val="20"/>
                <w:szCs w:val="20"/>
                <w:color w:val="auto"/>
              </w:rPr>
            </w:pPr>
          </w:p>
        </w:tc>
      </w:tr>
      <w:tr>
        <w:trPr>
          <w:trHeight w:val="324"/>
        </w:trPr>
        <w:tc>
          <w:tcPr>
            <w:tcW w:w="9520" w:type="dxa"/>
            <w:vAlign w:val="bottom"/>
          </w:tcPr>
          <w:p>
            <w:pPr>
              <w:spacing w:after="0"/>
              <w:rPr>
                <w:sz w:val="20"/>
                <w:szCs w:val="20"/>
                <w:color w:val="auto"/>
              </w:rPr>
            </w:pPr>
            <w:r>
              <w:rPr>
                <w:rFonts w:ascii="Arial" w:cs="Arial" w:eastAsia="Arial" w:hAnsi="Arial"/>
                <w:sz w:val="18"/>
                <w:szCs w:val="18"/>
                <w:color w:val="auto"/>
                <w:w w:val="93"/>
              </w:rPr>
              <w:t>Our board of directors adopted, and our stockholders approved, our 2021 Employee Stock Purchase Plan, or the 2021 ESPP, in</w:t>
            </w:r>
          </w:p>
        </w:tc>
        <w:tc>
          <w:tcPr>
            <w:tcW w:w="1040" w:type="dxa"/>
            <w:vAlign w:val="bottom"/>
          </w:tcPr>
          <w:p>
            <w:pPr>
              <w:ind w:left="200"/>
              <w:spacing w:after="0"/>
              <w:rPr>
                <w:sz w:val="20"/>
                <w:szCs w:val="20"/>
                <w:color w:val="auto"/>
              </w:rPr>
            </w:pPr>
            <w:r>
              <w:rPr>
                <w:rFonts w:ascii="Arial" w:cs="Arial" w:eastAsia="Arial" w:hAnsi="Arial"/>
                <w:sz w:val="18"/>
                <w:szCs w:val="18"/>
                <w:color w:val="auto"/>
                <w:w w:val="89"/>
              </w:rPr>
              <w:t>, 2021. The</w:t>
            </w:r>
          </w:p>
        </w:tc>
      </w:tr>
    </w:tbl>
    <w:p>
      <w:pPr>
        <w:jc w:val="both"/>
        <w:ind w:left="120" w:right="20"/>
        <w:spacing w:after="0" w:line="253" w:lineRule="auto"/>
        <w:rPr>
          <w:sz w:val="20"/>
          <w:szCs w:val="20"/>
          <w:color w:val="auto"/>
        </w:rPr>
      </w:pPr>
      <w:r>
        <w:rPr>
          <w:rFonts w:ascii="Arial" w:cs="Arial" w:eastAsia="Arial" w:hAnsi="Arial"/>
          <w:sz w:val="18"/>
          <w:szCs w:val="18"/>
          <w:color w:val="auto"/>
        </w:rPr>
        <w:t>2021 ESPP will become effective one day prior to the effective date of the registration statement of which this prospectus forms a part. The purpose of the 2021 ESPP is to secure the services of new employees, to retain the services of existing employees, and to provide incentives for such individuals to exert maximum efforts toward our success and that of our affiliates. The 2021 ESPP is intended to qualify as an “employee stock purchase plan” within the meaning of Section 423 of the Code for U.S. employees.</w:t>
      </w:r>
    </w:p>
    <w:p>
      <w:pPr>
        <w:spacing w:after="0" w:line="193"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Following this offering, the 2021 ESPP authorizes the issuance of shares of our common stock under purchase rights granted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or to employees of any of our designated affiliates. The 2021 ESPP will initially provide participating employees with the opportunity to</w:t>
      </w:r>
    </w:p>
    <w:p>
      <w:pPr>
        <w:jc w:val="both"/>
        <w:ind w:left="120" w:right="20"/>
        <w:spacing w:after="0" w:line="281" w:lineRule="auto"/>
        <w:rPr>
          <w:sz w:val="20"/>
          <w:szCs w:val="20"/>
          <w:color w:val="auto"/>
        </w:rPr>
      </w:pPr>
      <w:r>
        <w:rPr>
          <w:rFonts w:ascii="Arial" w:cs="Arial" w:eastAsia="Arial" w:hAnsi="Arial"/>
          <w:sz w:val="16"/>
          <w:szCs w:val="16"/>
          <w:color w:val="auto"/>
        </w:rPr>
        <w:t>purchase up to an aggregate of shares of our common stock. The number of shares of our common stock reserved for issuance will automatically increase on January 1 of each calendar year, starting on January 1, 2022 and continuing through January 1, 2031, by the lesser of (i) % of the total</w:t>
      </w:r>
    </w:p>
    <w:p>
      <w:pPr>
        <w:spacing w:after="0" w:line="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7"/>
          <w:szCs w:val="17"/>
          <w:color w:val="auto"/>
        </w:rPr>
        <w:t>number of shares of our common stock outstanding on the last day of the calendar month before the date of the automatic increase; and (ii) shares; provided that before the date of any such increase, our board of directors may determine that such increase will be less than the amount set forth in clauses (i) and (ii). As of the date hereof, no shares of our common stock have been purchased under the 2021 ESPP.</w:t>
      </w:r>
    </w:p>
    <w:p>
      <w:pPr>
        <w:spacing w:after="0" w:line="173"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intends to delegate concurrent authority to administer the 2021 ESPP to our compensation committee. The</w:t>
      </w:r>
      <w:r>
        <w:rPr>
          <w:rFonts w:ascii="Arial" w:cs="Arial" w:eastAsia="Arial" w:hAnsi="Arial"/>
          <w:sz w:val="16"/>
          <w:szCs w:val="16"/>
          <w:i w:val="1"/>
          <w:iCs w:val="1"/>
          <w:color w:val="auto"/>
        </w:rPr>
        <w:t xml:space="preserve"> </w:t>
      </w:r>
      <w:r>
        <w:rPr>
          <w:rFonts w:ascii="Arial" w:cs="Arial" w:eastAsia="Arial" w:hAnsi="Arial"/>
          <w:sz w:val="16"/>
          <w:szCs w:val="16"/>
          <w:color w:val="auto"/>
        </w:rPr>
        <w:t>2021 ESPP is implemented through a series of offerings under which eligible employees are granted purchase rights to purchase shares of our common stock on specified dates during such offerings. Under the 2021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2021 ESPP may be terminated under certain circumstances.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Payroll Deductions. </w:t>
      </w:r>
      <w:r>
        <w:rPr>
          <w:rFonts w:ascii="Arial" w:cs="Arial" w:eastAsia="Arial" w:hAnsi="Arial"/>
          <w:sz w:val="17"/>
          <w:szCs w:val="17"/>
          <w:color w:val="auto"/>
        </w:rPr>
        <w:t>Generally, all regular employees, including executive officers, employed by us or by any of our designated affiliates, may</w:t>
      </w:r>
    </w:p>
    <w:p>
      <w:pPr>
        <w:spacing w:after="0" w:line="35" w:lineRule="exact"/>
        <w:rPr>
          <w:sz w:val="20"/>
          <w:szCs w:val="20"/>
          <w:color w:val="auto"/>
        </w:rPr>
      </w:pPr>
    </w:p>
    <w:p>
      <w:pPr>
        <w:jc w:val="both"/>
        <w:ind w:left="120" w:right="20"/>
        <w:spacing w:after="0" w:line="295" w:lineRule="auto"/>
        <w:rPr>
          <w:sz w:val="20"/>
          <w:szCs w:val="20"/>
          <w:color w:val="auto"/>
        </w:rPr>
      </w:pPr>
      <w:r>
        <w:rPr>
          <w:rFonts w:ascii="Arial" w:cs="Arial" w:eastAsia="Arial" w:hAnsi="Arial"/>
          <w:sz w:val="16"/>
          <w:szCs w:val="16"/>
          <w:color w:val="auto"/>
        </w:rPr>
        <w:t>participate in the 2021 ESPP and may contribute, normally through payroll deductions, up to % of their earnings (as defined in the 2021 ESPP) for the purchase of our common stock under the 2021 ESPP. Unless otherwise determined by our board of directors, common stock will be purchased for the accounts of employees participating in the 2021 ESPP at a price per share that is at least the lesser of (i) 85% of the fair market value of a share of our common stock on the first date of an offering; or (ii) 85% of the fair market value of a share of our common stock on the date of purchase.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2021 ESPP,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2021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2021 ESPP if immediately after such rights are granted, such employee has voting power over 5% or more of our outstanding capital stock measured by vote or value under Section 424(d) of the Code.</w:t>
      </w:r>
    </w:p>
    <w:p>
      <w:pPr>
        <w:spacing w:after="0" w:line="17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change in our capital structure through such actions as a stock split, merger,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2021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of certain significant corporate transactions, including (i) a sale of all or substantially all of our assets;</w:t>
      </w:r>
    </w:p>
    <w:p>
      <w:pPr>
        <w:spacing w:after="0" w:line="35" w:lineRule="exact"/>
        <w:rPr>
          <w:sz w:val="20"/>
          <w:szCs w:val="20"/>
          <w:color w:val="auto"/>
        </w:rPr>
      </w:pPr>
    </w:p>
    <w:p>
      <w:pPr>
        <w:jc w:val="both"/>
        <w:ind w:left="120" w:hanging="4"/>
        <w:spacing w:after="0" w:line="252" w:lineRule="auto"/>
        <w:tabs>
          <w:tab w:leader="none" w:pos="38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2021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2021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2021 ESPP, as required by applicable law or listing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17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have entered into indemnification agreements with each of our directors and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76"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following is a description of transactions since our inception in June 2020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that are described under “Management—Non-Employee Director Compensation” and “Executive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6,237,500 shares of our Series A preferred stock at a purchase price of $8.00 per share for aggregate gross proceeds of $49.9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A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440" w:type="dxa"/>
            <w:vAlign w:val="bottom"/>
            <w:vMerge w:val="restart"/>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Mithril II LP</w:t>
            </w:r>
            <w:r>
              <w:rPr>
                <w:rFonts w:ascii="Arial" w:cs="Arial" w:eastAsia="Arial" w:hAnsi="Arial"/>
                <w:sz w:val="15"/>
                <w:szCs w:val="15"/>
                <w:color w:val="auto"/>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OrbiMed Private Investments VII, LP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812,500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Polaris Partners</w:t>
            </w:r>
            <w:r>
              <w:rPr>
                <w:rFonts w:ascii="Arial" w:cs="Arial" w:eastAsia="Arial" w:hAnsi="Arial"/>
                <w:sz w:val="15"/>
                <w:szCs w:val="15"/>
                <w:color w:val="auto"/>
              </w:rPr>
              <w:t>(2)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687,500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5"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2"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29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July 2020, we issued 5,000,000 shares of our Series A preferred stock in connection with entering into an assignment and license agreement, or the Adimab Assignment Agreement, with Adimab, LLC, or Adimab. At the time of issuance, the 5,000,000 shares of our Series A convertible preferred had a fair value of $40.0 million. Tillman U. Gerngross, Ph.D., a member of our board of directors and our Chief Executive Officer, is an officer and member of the board of directors of Adimab, Philip Chase, a member of our board of directors, is an officer and member of the board of directors of Adimab, Laura Walker, Ph.D., our Chief Scientific Officer, is an employee of Adimab, and Terrance McGuire and Ajay Royan, members of our board of directors, are members of the board of directors of Adimab. For more information regarding the Adimab Assignment Agreement, see the section titled “Business—Licensing, Collaborations and Partnerships—Assignment and License Agreement with Adimab.”</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October and November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1,410,434 shares of our Series B preferred stock at a purchase price of $56.72 per share for aggregate gross proceeds of $80.0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B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Adimab, LLC</w:t>
            </w:r>
            <w:r>
              <w:rPr>
                <w:rFonts w:ascii="Arial" w:cs="Arial" w:eastAsia="Arial" w:hAnsi="Arial"/>
                <w:sz w:val="15"/>
                <w:szCs w:val="15"/>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44,076</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2,499,991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 xml:space="preserve">Mithril II LP </w:t>
            </w:r>
            <w:r>
              <w:rPr>
                <w:rFonts w:ascii="Arial" w:cs="Arial" w:eastAsia="Arial" w:hAnsi="Arial"/>
                <w:sz w:val="15"/>
                <w:szCs w:val="15"/>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176,304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9,999,963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88,152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4,999,981</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Polaris Partners</w:t>
            </w:r>
            <w:r>
              <w:rPr>
                <w:rFonts w:ascii="Arial" w:cs="Arial" w:eastAsia="Arial" w:hAnsi="Arial"/>
                <w:sz w:val="15"/>
                <w:szCs w:val="15"/>
                <w:color w:val="auto"/>
              </w:rPr>
              <w:t>(3)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132,228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7,499,972</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GV</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352,609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352,609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right="20" w:hanging="424"/>
        <w:spacing w:after="0" w:line="253"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Tillman U. Gerngross, Ph.D., a member of our board of directors and our Chief Executive Officer, is an officer and member of the board of directors of Adimab, LLC, (b) Philip Chase, a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29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C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April 2021,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4,296,550 shares of our Series C preferred stock at a purchase price of $78.08578 per share for aggregate gross proceeds of $335.5 million.</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C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C</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Adimab, LLC </w:t>
            </w:r>
            <w:r>
              <w:rPr>
                <w:rFonts w:ascii="Arial" w:cs="Arial" w:eastAsia="Arial" w:hAnsi="Arial"/>
                <w:sz w:val="15"/>
                <w:szCs w:val="15"/>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128,064</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9,999,977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 xml:space="preserve">Mithril II LP </w:t>
            </w:r>
            <w:r>
              <w:rPr>
                <w:rFonts w:ascii="Arial" w:cs="Arial" w:eastAsia="Arial" w:hAnsi="Arial"/>
                <w:sz w:val="15"/>
                <w:szCs w:val="15"/>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422,612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32,999,988</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96,048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RA Capital Management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960,482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74,999,986</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Polaris Partners </w:t>
            </w:r>
            <w:r>
              <w:rPr>
                <w:rFonts w:ascii="Arial" w:cs="Arial" w:eastAsia="Arial" w:hAnsi="Arial"/>
                <w:sz w:val="15"/>
                <w:szCs w:val="15"/>
                <w:color w:val="auto"/>
              </w:rPr>
              <w:t>(3)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224,112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17,499,960</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96,048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640,321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jc w:val="both"/>
        <w:ind w:left="540" w:right="20" w:hanging="424"/>
        <w:spacing w:after="0" w:line="253"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Tillman U. Gerngross, Ph.D., a member of our board of directors and our Chief Executive Officer, is an officer and member of the board of directors of Adimab, LLC, (b) Philip Chase, a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Adimab</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Assignment and License Agreement</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We have entered into the Adimab Assignment Agreement pursuant to which Adimab assigned to us all coronavirus antibodies controlled by it,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4,250,000 shares of our common stock, then having a fair value of $85,000. As of May 21, 2021, Adimab held approximately 30.8% of our outstanding capital stock on an as-converted basis.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and compulsory licensing.</w:t>
      </w:r>
    </w:p>
    <w:p>
      <w:pPr>
        <w:spacing w:after="0" w:line="1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agreement upon dosing of the first patient in a Phase 2 clinical trial evaluating ADG20 for the prevention of COVID-19, which obligated us to make a $2.5 million payment to Adimab. In addition, for the period from June 3, 2020 (inception) to December 31, 2020 and for the three months ended March 31, 2021, we paid Adimab $0.6 million and $0.2 million, respectively, in connection with services provided under the Adimab Assignment Agreement. As of December 31, 2020 and March 31, 2021, $0.6 million and $0.2 million, respectively, was due to Adimab by us.</w:t>
      </w:r>
    </w:p>
    <w:p>
      <w:pPr>
        <w:spacing w:after="0" w:line="17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more information on the Adimab Assignment Agreement, see the section titled “Business—Licensing, Collaborations and Partnerships— Assignment and License Agreement with Adimab.”</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have also entered into the Adimab Collaboration Agreement, pursuant to which we and Adimab will collaborate on the discovery and optimization of proprietary antibodies as potential therapeutic product candidates. In the event that Adimab discovers an antibody that is expected to meet certain product profiles developed by us, we will have the exclusive option to require Adimab to assign to us its rights in any such antibody and to grant us certain licenses. We entered into the collaboration agreement in May 2021 and are obligated to pay Adimab a quarterly fee of a low seven-digit dollar amount, which obligation may be cancelled at our option at any time.</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For each agreed upon research program that is commenced, we are obligated to pay Adimab quarterly for its services performed during a given research program at a specified full-time equivalent rate; a discovery delivery fee of a low six-digit dollar amount; and an optimization completion fee of a low six-digit dollar amount. For each option exercised by us to commercialize a specific research program, we are obligated to pay Adimab an exercise fee of a low seven-digit dollar amount.</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more information on the Adimab Collaboration Agreement, see the section titled “Business—Licensing, Collaborations and Partnerships— Collaboration Agreement with Adimab.”</w:t>
      </w:r>
    </w:p>
    <w:p>
      <w:pPr>
        <w:spacing w:after="0" w:line="170"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Certain of our directors and officers are affiliated with Adimab. Tillman U. Gerngross, Ph.D., a member of our board of directors, our co-founder and Chief Executive Officer and the beneficial owner of 30.8% of our capital stock as of May 21, 2021, is a co-founder and the currently serving Chief Executive Officer of Adimab. Laura Walker, Ph.D., our co-founder and Chief Scientific Officer and a beneficial owner of approximately 1% of our capital stock as of May 21, 2021, is the Senior Director of Antibody Sciences at Adimab. Terrance McGuire, a beneficial owner of 8.9% of our capital stock as of May 21, 2021, Ajay Royan, a beneficial owner of 10.2% of our capital stock as of May 21, 2021, and Philip Chase, a beneficial owner of 30.8% of our capital stock as of May 21, 2021, are each a member of our board of directors and the board of directors of Adimab.</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connection with the sales of preferred stock described above, we entered into an amended and restated investors’ rights agreement, an amended and restated voting agreement and an amended and restated right of first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refusal and co-sale agreement containing registration rights, information rights, voting rights and rights of first refusal, among other things, with the holders of our preferred stock. These agreements will terminate upon the closing of this offering, except for the registration rights granted under our amended and restated investors’ rights agreement, as more fully described in the section of this prospectus titled “Description of Capital Stock— Registration Rights.”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Agreements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entered into consulting agreements with certain of our non-employee directors. For more information regarding our consulting agreements with our non-executive directors, see “Management—Non-Employee Director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For more information regarding our employment agreements with our named executive officers, see “Executive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that will be in effect upon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 —Limitations on Liability and Indemnification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7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reasonably necessary from each director, executive officer and, to the extent feasible, significant stockholder to 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82"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as of May 21, 2021 by:</w:t>
      </w:r>
    </w:p>
    <w:p>
      <w:pPr>
        <w:spacing w:after="0" w:line="131"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18,063,332 shares of common stock outstanding as of May 21, 2021, after giving effect to the conversion of all outstanding shares of our preferred stock. In computing the number of shares beneficially owned by an individual or entity and the percentage ownership of that person, shares of common stock subject to options held by such person that are currently exercisable or will become exercisable within 60 days of May 21, 2021 are considered outstanding, although these shares are not considered outstanding for purposes of computing the percentage ownership of any other person.</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Unless noted otherwise, the address of all listed stockholders is c/o Adagio Therapeutics, Inc., 303 Wyman Street, Suite 300, Waltham, MA 02451.</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Percentage of Shares</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Shares</w:t>
            </w: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460" w:type="dxa"/>
            <w:vAlign w:val="bottom"/>
            <w:vMerge w:val="restart"/>
          </w:tcPr>
          <w:p>
            <w:pPr>
              <w:spacing w:after="0"/>
              <w:rPr>
                <w:sz w:val="10"/>
                <w:szCs w:val="10"/>
                <w:color w:val="auto"/>
              </w:rPr>
            </w:pPr>
          </w:p>
        </w:tc>
        <w:tc>
          <w:tcPr>
            <w:tcW w:w="298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04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Before</w:t>
            </w:r>
          </w:p>
        </w:tc>
        <w:tc>
          <w:tcPr>
            <w:tcW w:w="54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gridSpan w:val="3"/>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Owned</w:t>
            </w:r>
          </w:p>
        </w:tc>
        <w:tc>
          <w:tcPr>
            <w:tcW w:w="10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89"/>
        </w:trPr>
        <w:tc>
          <w:tcPr>
            <w:tcW w:w="508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29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Adimab, LLC (1)</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5,569,199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Entities affiliated with FMR, LLC (2).</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1,992,930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Mithril II LP (3)</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1,848,916</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Entities affiliated with Polaris Partners (4)</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1,606,340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Entities affiliated with GV (5)</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1,136,157</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OrbiMed Private Investments VII, LP (6)</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996,700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Entities affiliated with RA Capital Management (7)</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960,482</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Tillman U. Gerngross, Ph.D. (8)</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5,569,199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Lynn Connolly, M.D., Ph.D. (9)</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43,014</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Rebecca Dabora, Ph.D.</w:t>
            </w:r>
          </w:p>
        </w:tc>
        <w:tc>
          <w:tcPr>
            <w:tcW w:w="29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Jane Pritchett Henderson</w:t>
            </w:r>
          </w:p>
        </w:tc>
        <w:tc>
          <w:tcPr>
            <w:tcW w:w="29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Elham (Ellie) Hershberger, Pharm.D (10)</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25,412</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Halley Gilbert (11)</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132,353</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René Russo, Pharm.D. (12)</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397,059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Terrance McGuire (13)</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1,606,340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Ajay Royan (14)</w:t>
            </w:r>
          </w:p>
        </w:tc>
        <w:tc>
          <w:tcPr>
            <w:tcW w:w="4140" w:type="dxa"/>
            <w:vAlign w:val="bottom"/>
            <w:gridSpan w:val="3"/>
          </w:tcPr>
          <w:p>
            <w:pPr>
              <w:jc w:val="right"/>
              <w:ind w:right="360"/>
              <w:spacing w:after="0"/>
              <w:rPr>
                <w:sz w:val="20"/>
                <w:szCs w:val="20"/>
                <w:color w:val="auto"/>
              </w:rPr>
            </w:pPr>
            <w:r>
              <w:rPr>
                <w:rFonts w:ascii="Arial" w:cs="Arial" w:eastAsia="Arial" w:hAnsi="Arial"/>
                <w:sz w:val="18"/>
                <w:szCs w:val="18"/>
                <w:color w:val="auto"/>
              </w:rPr>
              <w:t>1,848,916</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8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Philip Chase (15)</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5,569,199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860" w:type="dxa"/>
            <w:vAlign w:val="bottom"/>
            <w:gridSpan w:val="3"/>
          </w:tcPr>
          <w:p>
            <w:pPr>
              <w:ind w:left="140"/>
              <w:spacing w:after="0"/>
              <w:rPr>
                <w:sz w:val="20"/>
                <w:szCs w:val="20"/>
                <w:color w:val="auto"/>
              </w:rPr>
            </w:pPr>
            <w:r>
              <w:rPr>
                <w:rFonts w:ascii="Arial" w:cs="Arial" w:eastAsia="Arial" w:hAnsi="Arial"/>
                <w:sz w:val="18"/>
                <w:szCs w:val="18"/>
                <w:color w:val="auto"/>
              </w:rPr>
              <w:t>Howard Mayer, M.D.</w:t>
            </w:r>
          </w:p>
        </w:tc>
        <w:tc>
          <w:tcPr>
            <w:tcW w:w="29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5"/>
              </w:rPr>
              <w:t>All current executive officers and directors as a group (11 persons)</w:t>
            </w:r>
          </w:p>
        </w:tc>
        <w:tc>
          <w:tcPr>
            <w:tcW w:w="4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9,622,293</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860" w:type="dxa"/>
            <w:vAlign w:val="bottom"/>
            <w:gridSpan w:val="2"/>
          </w:tcPr>
          <w:p>
            <w:pPr>
              <w:spacing w:after="0"/>
              <w:rPr>
                <w:sz w:val="11"/>
                <w:szCs w:val="11"/>
                <w:color w:val="auto"/>
              </w:rPr>
            </w:pPr>
          </w:p>
        </w:tc>
        <w:tc>
          <w:tcPr>
            <w:tcW w:w="2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gridSpan w:val="3"/>
          </w:tcPr>
          <w:p>
            <w:pPr>
              <w:ind w:left="200"/>
              <w:spacing w:after="0"/>
              <w:rPr>
                <w:sz w:val="20"/>
                <w:szCs w:val="20"/>
                <w:color w:val="auto"/>
              </w:rPr>
            </w:pPr>
            <w:r>
              <w:rPr>
                <w:rFonts w:ascii="Arial" w:cs="Arial" w:eastAsia="Arial" w:hAnsi="Arial"/>
                <w:sz w:val="18"/>
                <w:szCs w:val="18"/>
                <w:color w:val="auto"/>
              </w:rPr>
              <w:t>Represents beneficial ownership of less than one percent.</w:t>
            </w:r>
          </w:p>
        </w:tc>
        <w:tc>
          <w:tcPr>
            <w:tcW w:w="2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80" w:type="dxa"/>
            <w:vAlign w:val="bottom"/>
          </w:tcPr>
          <w:p>
            <w:pPr>
              <w:jc w:val="right"/>
              <w:ind w:right="2330"/>
              <w:spacing w:after="0"/>
              <w:rPr>
                <w:sz w:val="20"/>
                <w:szCs w:val="20"/>
                <w:color w:val="auto"/>
              </w:rPr>
            </w:pPr>
            <w:r>
              <w:rPr>
                <w:rFonts w:ascii="Arial" w:cs="Arial" w:eastAsia="Arial" w:hAnsi="Arial"/>
                <w:sz w:val="18"/>
                <w:szCs w:val="18"/>
                <w:color w:val="auto"/>
              </w:rPr>
              <w:t>181</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68" w:lineRule="auto"/>
        <w:tabs>
          <w:tab w:leader="none" w:pos="5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Consists of (a) 397,059 shares of common stock, (b) 5,000,000 shares of common stock issuable upon conversion of Series A preferred stock, (c) 44,076 shares of common stock issuable upon conversion of Series B preferred stock and (d) 128,064 shares of common stock issuable upon conversion of Series C preferred stock. Tillman U. Gerngross, a member of our board of directors and our Chief Executive Officer, Philip Chase, a member of our board of directors, are each an officer and a member of the board of directors of Adimab, LLC and may be deemed to have shared voting and investment power with respect to the shares held by Adimab, LLC.</w:t>
      </w:r>
    </w:p>
    <w:p>
      <w:pPr>
        <w:spacing w:after="0" w:line="2" w:lineRule="exact"/>
        <w:rPr>
          <w:rFonts w:ascii="Arial" w:cs="Arial" w:eastAsia="Arial" w:hAnsi="Arial"/>
          <w:sz w:val="17"/>
          <w:szCs w:val="17"/>
          <w:color w:val="auto"/>
        </w:rPr>
      </w:pPr>
    </w:p>
    <w:p>
      <w:pPr>
        <w:jc w:val="both"/>
        <w:ind w:left="540" w:hanging="424"/>
        <w:spacing w:after="0" w:line="267" w:lineRule="auto"/>
        <w:tabs>
          <w:tab w:leader="none" w:pos="5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Consists of (a) (i) 439,872 shares of common stock issuable upon conversion of Series A preferred stock, (ii) 137,700 shares of common stock issuable upon conversion of Series B preferred stock and (iii) 252,152 shares of common stock issuable upon conversion of Series C preferred stock held by Mag &amp; Co fbo Fidelity Growth Company Commingled Pool (FGCCP), (b) (i) 413,930 shares of common stock issuable upon conversion of Series A preferred stock, (ii) 149,500 shares of common stock issuable upon conversion of Series B preferred stock and (iii) 237,437 shares of common stock issuable upon conversion of Series C preferred stock held by Powhatan &amp; Co., LLC fbo Fidelity Mt. Vernon Street Trust: Fidelity Growth Company Fund (FGCF), (c) (i) 90,362 shares of common stock issuable upon conversion of Series A preferred stock, (ii) 28,136 shares of common stock issuable upon conversion of Series B preferred stock and (iii) 53,288 shares of common stock issuable upon conversion of Series C preferred stock held by Mag &amp; Co fbo Fidelity Mt. Vernon Street Trust: Fidelity Series Growth Company Fund (FSGCF), (d) (i) 55,836 shares of common stock issuable upon conversion of Series A preferred stock, (ii) 18,173 shares of common stock issuable upon conversion of Series B preferred stock and (iii) 97,444 shares of common stock issuable upon conversion of Series C preferred stock held by Powhatan &amp; Co., LLC fbo Fidelity Mt. Vernon Street Trust: Fidelity Growth Company K6 Fund (FGCKF), and (e) 19,100 shares of common stock issuable upon conversion of Series B preferred stock held by Mag &amp; Co fbo Fidelity Select Portfolios: Biotechnology Portfolio (FSPBP, together with FGCCP, FGCF, FSGCF and FGCKF, the Fidelity Funds).</w:t>
      </w:r>
    </w:p>
    <w:p>
      <w:pPr>
        <w:spacing w:after="0" w:line="74" w:lineRule="exact"/>
        <w:rPr>
          <w:rFonts w:ascii="Arial" w:cs="Arial" w:eastAsia="Arial" w:hAnsi="Arial"/>
          <w:sz w:val="17"/>
          <w:szCs w:val="17"/>
          <w:color w:val="auto"/>
        </w:rPr>
      </w:pPr>
    </w:p>
    <w:p>
      <w:pPr>
        <w:ind w:left="560" w:right="20"/>
        <w:spacing w:after="0" w:line="277" w:lineRule="auto"/>
        <w:rPr>
          <w:rFonts w:ascii="Arial" w:cs="Arial" w:eastAsia="Arial" w:hAnsi="Arial"/>
          <w:sz w:val="17"/>
          <w:szCs w:val="17"/>
          <w:color w:val="auto"/>
        </w:rPr>
      </w:pPr>
      <w:r>
        <w:rPr>
          <w:rFonts w:ascii="Arial" w:cs="Arial" w:eastAsia="Arial" w:hAnsi="Arial"/>
          <w:sz w:val="18"/>
          <w:szCs w:val="18"/>
          <w:color w:val="auto"/>
        </w:rPr>
        <w:t>The Fidelity Funds are managed by direct or indirect subsidiaries of FMR LLC. Abigail P. Johnson is a Director, the Chairman, the Chief Executive Officer and the President of FMR LLC.</w:t>
      </w:r>
    </w:p>
    <w:p>
      <w:pPr>
        <w:spacing w:after="0" w:line="62" w:lineRule="exact"/>
        <w:rPr>
          <w:rFonts w:ascii="Arial" w:cs="Arial" w:eastAsia="Arial" w:hAnsi="Arial"/>
          <w:sz w:val="17"/>
          <w:szCs w:val="17"/>
          <w:color w:val="auto"/>
        </w:rPr>
      </w:pPr>
    </w:p>
    <w:p>
      <w:pPr>
        <w:jc w:val="both"/>
        <w:ind w:left="560"/>
        <w:spacing w:after="0" w:line="255" w:lineRule="auto"/>
        <w:rPr>
          <w:rFonts w:ascii="Arial" w:cs="Arial" w:eastAsia="Arial" w:hAnsi="Arial"/>
          <w:sz w:val="17"/>
          <w:szCs w:val="17"/>
          <w:color w:val="auto"/>
        </w:rPr>
      </w:pPr>
      <w:r>
        <w:rPr>
          <w:rFonts w:ascii="Arial" w:cs="Arial" w:eastAsia="Arial" w:hAnsi="Arial"/>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84" w:lineRule="exact"/>
        <w:rPr>
          <w:rFonts w:ascii="Arial" w:cs="Arial" w:eastAsia="Arial" w:hAnsi="Arial"/>
          <w:sz w:val="17"/>
          <w:szCs w:val="17"/>
          <w:color w:val="auto"/>
        </w:rPr>
      </w:pPr>
    </w:p>
    <w:p>
      <w:pPr>
        <w:jc w:val="both"/>
        <w:ind w:left="560" w:right="20"/>
        <w:spacing w:after="0" w:line="279" w:lineRule="auto"/>
        <w:rPr>
          <w:rFonts w:ascii="Arial" w:cs="Arial" w:eastAsia="Arial" w:hAnsi="Arial"/>
          <w:sz w:val="17"/>
          <w:szCs w:val="17"/>
          <w:color w:val="auto"/>
        </w:rPr>
      </w:pPr>
      <w:r>
        <w:rPr>
          <w:rFonts w:ascii="Arial" w:cs="Arial" w:eastAsia="Arial" w:hAnsi="Arial"/>
          <w:sz w:val="17"/>
          <w:szCs w:val="17"/>
          <w:color w:val="auto"/>
        </w:rPr>
        <w:t>Neither FMR LLC nor Abigail P. Johnson has the sole power to vote or direct the voting of the shares owned directly by the various investment companies registered under the Investment Company Act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63" w:lineRule="exact"/>
        <w:rPr>
          <w:rFonts w:ascii="Arial" w:cs="Arial" w:eastAsia="Arial" w:hAnsi="Arial"/>
          <w:sz w:val="17"/>
          <w:szCs w:val="17"/>
          <w:color w:val="auto"/>
        </w:rPr>
      </w:pPr>
    </w:p>
    <w:p>
      <w:pPr>
        <w:ind w:left="560" w:right="20"/>
        <w:spacing w:after="0" w:line="277" w:lineRule="auto"/>
        <w:rPr>
          <w:rFonts w:ascii="Arial" w:cs="Arial" w:eastAsia="Arial" w:hAnsi="Arial"/>
          <w:sz w:val="17"/>
          <w:szCs w:val="17"/>
          <w:color w:val="auto"/>
        </w:rPr>
      </w:pPr>
      <w:r>
        <w:rPr>
          <w:rFonts w:ascii="Arial" w:cs="Arial" w:eastAsia="Arial" w:hAnsi="Arial"/>
          <w:sz w:val="18"/>
          <w:szCs w:val="18"/>
          <w:color w:val="auto"/>
        </w:rPr>
        <w:t>The principal business address for FSGCF, FGCCP and FSPBP referenced in this footnote is c/o Brown Brothers Harriman &amp; Co. Attn: Corporate Actions /Vault 140 Broadway New York, NY 10005.</w:t>
      </w:r>
    </w:p>
    <w:p>
      <w:pPr>
        <w:spacing w:after="0" w:line="62"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The principal business address for FGCF and FGCKF referenced in this footnote is c/o BNY Mellon PO Box 392002, Pittsburgh PA 15230.</w:t>
      </w:r>
    </w:p>
    <w:p>
      <w:pPr>
        <w:spacing w:after="0" w:line="34" w:lineRule="exact"/>
        <w:rPr>
          <w:rFonts w:ascii="Arial" w:cs="Arial" w:eastAsia="Arial" w:hAnsi="Arial"/>
          <w:sz w:val="17"/>
          <w:szCs w:val="17"/>
          <w:color w:val="auto"/>
        </w:rPr>
      </w:pPr>
    </w:p>
    <w:p>
      <w:pPr>
        <w:jc w:val="both"/>
        <w:ind w:left="540" w:right="20" w:hanging="424"/>
        <w:spacing w:after="0" w:line="253"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Consists of (a) 1,250,000 shares of common stock issuable upon conversion of Series A preferred stock, (b) 176,304 shares of common stock issuable upon conversion of Series B preferred stock and (c) 422,612 shares of common stock issuable upon conversion of Series C preferred stock. Ajay Royan, a member of our board of directors, is the Managing General Partner and Founder of Mithril Capital Management LLC, (“MCM”). MCM is a management company that manages Mithril II LP and is appointed by Mithril II GP LP (“GP II”), the general partner of Mithril II LP. Peter Thiel and Ajay Royan are the members of the investment</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committee GP II. The investment committee makes all investment decisions with respect to these entities and may be deemed to share voting and investment power over the securities held by Mithril II LP.</w:t>
      </w:r>
    </w:p>
    <w:p>
      <w:pPr>
        <w:spacing w:after="0" w:line="1" w:lineRule="exact"/>
        <w:rPr>
          <w:sz w:val="20"/>
          <w:szCs w:val="20"/>
          <w:color w:val="auto"/>
        </w:rPr>
      </w:pPr>
    </w:p>
    <w:p>
      <w:pPr>
        <w:jc w:val="both"/>
        <w:ind w:left="540" w:right="20" w:hanging="424"/>
        <w:spacing w:after="0" w:line="281" w:lineRule="auto"/>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Consists of (a) (i) 361,850 shares of common stock issuable upon conversion of Series A preferred stock, (ii) 85,061 shares of common stock issuable upon conversion of Series B preferred stock and (iii) 123,574 shares of common stock issuable upon conversion of Series C preferred stock held by Polaris Venture Partners V, L.P. (PVP V), (b) (i) 7,052 shares of common stock issuable upon conversion of Series A preferred stock,</w:t>
      </w:r>
    </w:p>
    <w:p>
      <w:pPr>
        <w:spacing w:after="0" w:line="1" w:lineRule="exact"/>
        <w:rPr>
          <w:rFonts w:ascii="Arial" w:cs="Arial" w:eastAsia="Arial" w:hAnsi="Arial"/>
          <w:sz w:val="16"/>
          <w:szCs w:val="16"/>
          <w:color w:val="auto"/>
        </w:rPr>
      </w:pPr>
    </w:p>
    <w:p>
      <w:pPr>
        <w:jc w:val="both"/>
        <w:ind w:left="540" w:firstLine="8"/>
        <w:spacing w:after="0" w:line="267" w:lineRule="auto"/>
        <w:tabs>
          <w:tab w:leader="none" w:pos="823" w:val="left"/>
        </w:tabs>
        <w:numPr>
          <w:ilvl w:val="1"/>
          <w:numId w:val="117"/>
        </w:numPr>
        <w:rPr>
          <w:rFonts w:ascii="Arial" w:cs="Arial" w:eastAsia="Arial" w:hAnsi="Arial"/>
          <w:sz w:val="17"/>
          <w:szCs w:val="17"/>
          <w:color w:val="auto"/>
        </w:rPr>
      </w:pPr>
      <w:r>
        <w:rPr>
          <w:rFonts w:ascii="Arial" w:cs="Arial" w:eastAsia="Arial" w:hAnsi="Arial"/>
          <w:sz w:val="17"/>
          <w:szCs w:val="17"/>
          <w:color w:val="auto"/>
        </w:rPr>
        <w:t>1,658 shares of common stock issuable upon conversion of Series B preferred stock and (iii) 2,409 shares of common stock issuable upon conversion of Series C preferred stock held by Polaris Venture Partners Entrepreneurs’ Fund V, L.P. (PVPEF V), (c) (i) 2,479 shares of common stock issuable upon conversion of Series A preferred stock, (ii) 583 shares of common stock issuable upon conversion of Series B preferred stock and (iii) 846 shares of common stock issuable upon conversion of Series C preferred stock held by Polaris Venture Partners Founders’ Fund V, L.P. (PVPFF V), (d) (i) 3,619 shares of common stock issuable upon conversion of Series A preferred stock, (ii) 850 shares of common stock issuable upon conversion of Series B convertible preferred stock and (iii) 1,235 shares of common stock issuable upon conversion of Series C preferred stock held by Polaris Venture Partners Special Founders’ Fund V, L.P. (PVPSFF V, together with PVP V, PVPEF V, and PVPFF V, the Polaris V Funds), (e) (i) 875,000 shares of common stock issuable upon conversion of Series A preferred stock, (ii) 44,076 shares of common stock issuable upon conversion of Series B preferred stock and (iii) 32,016 shares of common stock issuable upon conversion of Series C preferred stock held by Polaris Partners IX, L.P. (PP IX), and (f) 64,032 shares of common stock issuable upon conversion of Series C preferred stock held by Polaris Healthcare Technology Opportunities Fund, L.P. (PHCT).</w:t>
      </w:r>
    </w:p>
    <w:p>
      <w:pPr>
        <w:spacing w:after="0" w:line="78"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Polaris Venture Management Co. V, L.L.C. (PVM V) is the general partner of each of the Polaris V Funds and may be deemed to have shared voting and investment power with respect to the shares held by each of the Polaris V Funds. Jonathan A. Flint and Mr. McGuire (collectively, the PVM V Managing Members) are the managing members of PVM V and may be deemed to have shared voting and investment power with respect to the shares held by each of the Polaris V Funds.</w:t>
      </w:r>
    </w:p>
    <w:p>
      <w:pPr>
        <w:spacing w:after="0" w:line="79"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Polaris Partners GP IX, L.L.C. (PP GP IX) is the general partner of PP IX and may be deemed to have shared voting and investment power with respect to the shares held by PP IX. David Barrett, Brian Chee, Amir Nashat and Amy Schulman (collectively, the PP GP IX Managing Members) are the managing members of PP GP IX and Mr. McGuire holds an interest in PP GP IX. Each of the PP GP IX Managing Members and Mr. McGuire, in their respective capacities with respect to PP GP IX, may be deemed to have shared voting and investment power with respect to the shares held by PP IX.</w:t>
      </w:r>
    </w:p>
    <w:p>
      <w:pPr>
        <w:spacing w:after="0" w:line="80"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Polaris Healthcare Technology Opportunities Fund GP, L.L.C. (PHCT GP) is the general partner of PHCT and may be deemed to have shared voting and investment power with respect to the shares held by PHCT. David Barrett, Brian Chee, Amir Nashat and Amy Schulman (collectively, the PHCT GP Managing Members) are the managing members of PHCT GP and Mr. McGuire holds an interest in PHCT GP. Each of the PHCT GP Managing Members and Mr. McGuire, in their respective capacities with respect to PHCT GP, may be deemed to have shared voting and investment power with respect to the shares held by PHCT.</w:t>
      </w:r>
    </w:p>
    <w:p>
      <w:pPr>
        <w:spacing w:after="0" w:line="80" w:lineRule="exact"/>
        <w:rPr>
          <w:sz w:val="20"/>
          <w:szCs w:val="20"/>
          <w:color w:val="auto"/>
        </w:rPr>
      </w:pPr>
    </w:p>
    <w:p>
      <w:pPr>
        <w:jc w:val="both"/>
        <w:ind w:left="560" w:right="20"/>
        <w:spacing w:after="0" w:line="258" w:lineRule="auto"/>
        <w:rPr>
          <w:sz w:val="20"/>
          <w:szCs w:val="20"/>
          <w:color w:val="auto"/>
        </w:rPr>
      </w:pPr>
      <w:r>
        <w:rPr>
          <w:rFonts w:ascii="Arial" w:cs="Arial" w:eastAsia="Arial" w:hAnsi="Arial"/>
          <w:sz w:val="18"/>
          <w:szCs w:val="18"/>
          <w:color w:val="auto"/>
        </w:rPr>
        <w:t>The principal business address for all entities and individuals referenced in this footnote is c/o Polaris Partners, One Marina Park Drive, 10th Floor, Boston, Massachusetts 02210.</w:t>
      </w:r>
    </w:p>
    <w:p>
      <w:pPr>
        <w:spacing w:after="0" w:line="1" w:lineRule="exact"/>
        <w:rPr>
          <w:sz w:val="20"/>
          <w:szCs w:val="20"/>
          <w:color w:val="auto"/>
        </w:rPr>
      </w:pPr>
    </w:p>
    <w:p>
      <w:pPr>
        <w:jc w:val="both"/>
        <w:ind w:left="540" w:right="20" w:hanging="424"/>
        <w:spacing w:after="0" w:line="255" w:lineRule="auto"/>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(a) 687,500 shares of common stock issuable upon conversion of Series A preferred stock held by GV 2019, L.P. (GV 2019), (b) 352,609 shares of common stock issuable upon conversion of Series B preferred stock held by GV 2019, and (c) 96,048 shares of common stock issuable upon conversion of Series C preferred stock held by GV 2021, L.P. (GV 2021).</w:t>
      </w:r>
    </w:p>
    <w:p>
      <w:pPr>
        <w:spacing w:after="0" w:line="81" w:lineRule="exact"/>
        <w:rPr>
          <w:rFonts w:ascii="Arial" w:cs="Arial" w:eastAsia="Arial" w:hAnsi="Arial"/>
          <w:sz w:val="18"/>
          <w:szCs w:val="18"/>
          <w:color w:val="auto"/>
        </w:rPr>
      </w:pPr>
    </w:p>
    <w:p>
      <w:pPr>
        <w:jc w:val="both"/>
        <w:ind w:left="560" w:right="20"/>
        <w:spacing w:after="0" w:line="259" w:lineRule="auto"/>
        <w:rPr>
          <w:rFonts w:ascii="Arial" w:cs="Arial" w:eastAsia="Arial" w:hAnsi="Arial"/>
          <w:sz w:val="18"/>
          <w:szCs w:val="18"/>
          <w:color w:val="auto"/>
        </w:rPr>
      </w:pPr>
      <w:r>
        <w:rPr>
          <w:rFonts w:ascii="Arial" w:cs="Arial" w:eastAsia="Arial" w:hAnsi="Arial"/>
          <w:sz w:val="18"/>
          <w:szCs w:val="18"/>
          <w:color w:val="auto"/>
        </w:rPr>
        <w:t>GV 2019 GP, L.P., the general partner of GV 2019, GV 2019 GP, L.L.C., the general partner of GV 2019 GP, L.P., Alphabet Holdings LLC, the managing member of GV 2019 GP, L.L.C., XXVI Holdings Inc., the managing member of Alphabet Holdings LLC, and Alphabet Inc., the controlling stockholder of XXVI Holdings Inc., may each be deemed to have shared voting and investment power with respect to the shares held GV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0"/>
        <w:spacing w:after="0" w:line="259" w:lineRule="auto"/>
        <w:rPr>
          <w:sz w:val="20"/>
          <w:szCs w:val="20"/>
          <w:color w:val="auto"/>
        </w:rPr>
      </w:pPr>
      <w:r>
        <w:rPr>
          <w:rFonts w:ascii="Arial" w:cs="Arial" w:eastAsia="Arial" w:hAnsi="Arial"/>
          <w:sz w:val="18"/>
          <w:szCs w:val="18"/>
          <w:color w:val="auto"/>
        </w:rPr>
        <w:t>GV 2021 GP, L.P., the general partner of GV 2021, GV 2021 GP, L.L.C., the general partner of GV 2021 GP, L.P., Alphabet Holdings LLC, the managing member of GV 2021 GP, L.L.C., XXVI Holdings Inc., the managing member of Alphabet Holdings LLC, and Alphabet Inc., the controlling stockholder of XXVI Holdings Inc., may each be deemed to have shared voting and investment power with respect to the shares held GV 2021.</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business address for all entities referenced in this footnote is 1600 Amphitheatre Parkway, Mountain View, CA 94043.</w:t>
      </w:r>
    </w:p>
    <w:p>
      <w:pPr>
        <w:spacing w:after="0" w:line="23" w:lineRule="exact"/>
        <w:rPr>
          <w:sz w:val="20"/>
          <w:szCs w:val="20"/>
          <w:color w:val="auto"/>
        </w:rPr>
      </w:pPr>
    </w:p>
    <w:p>
      <w:pPr>
        <w:jc w:val="both"/>
        <w:ind w:left="540" w:hanging="424"/>
        <w:spacing w:after="0" w:line="250"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(a) 812,500 shares of common stock issuable upon conversion of Series A preferred stock, (b) 88,152 shares of common stock issuable upon conversion of Series B preferred stock and (c) 96,048 shares of common stock issuable upon conversion of Series C preferred stock. OrbiMed Capital GP VII LLC (OrbiMed GP VII) is the general partner of OrbiMed Private Investments VII, LP (OPI VII). OrbiMed Advisors LLC (OrbiMed Advisors) is the managing member of OrbiMed GP VII. OrbiMed GP VII and OrbiMed Advisors may be deemed to have shared voting and investment power with respect to the shares held by OPI VII. OrbiMed Advisors exercises investment and voting power through a management committee comprised of Carl L. Gordon, Sven H. Borho and Jonathan T. Silverstein, each of whom disclaims beneficial ownership of the shares held by OPI VII.</w:t>
      </w:r>
    </w:p>
    <w:p>
      <w:pPr>
        <w:spacing w:after="0" w:line="2"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(a) 816,410 shares of common stock issuable upon conversion of Series C preferred stock held by RA Capital Healthcare Fund, L.P. (RA Healthcare), and (b) 144,072 shares of common stock issuable upon conversion of Series C preferred stock held by RA Capital Nexus Fund II, L.P. (Nexus II). RA Capital Management, L.P., is the investment manager for RA Healthcare and Nexus II. The general partner of RA Capital Management, L.P., is RA Capital Management GP, LLC, of which Peter Kolchinsky and Rajeev Shah are the managing members. RA Capital Management, L.P., RA Capital Management GP, LLC, Peter Kolchinsky and Rajeev Shah may be deemed to have shared voting and investment power with respect to the shares held RA Healthcare and Nexus II. The address of all entities and individuals referenced in this footnote is 200 Berkeley Street, 18th Floor, Boston, Massachusetts 02116.</w:t>
      </w:r>
    </w:p>
    <w:p>
      <w:pPr>
        <w:spacing w:after="0" w:line="2" w:lineRule="exact"/>
        <w:rPr>
          <w:rFonts w:ascii="Arial" w:cs="Arial" w:eastAsia="Arial" w:hAnsi="Arial"/>
          <w:sz w:val="18"/>
          <w:szCs w:val="18"/>
          <w:color w:val="auto"/>
        </w:rPr>
      </w:pPr>
    </w:p>
    <w:p>
      <w:pPr>
        <w:jc w:val="both"/>
        <w:ind w:left="540" w:right="20" w:hanging="424"/>
        <w:spacing w:after="0" w:line="265" w:lineRule="auto"/>
        <w:tabs>
          <w:tab w:leader="none" w:pos="5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Consists of (a) 397,059 shares of common stock, (b) 5,000,000 shares of common stock issuable upon conversion of Series A preferred stock, (c) 44,076 shares of common stock issuable upon conversion of Series B preferred stock and (d) 128,064 shares of common stock issuable upon conversion of Series C preferred stock held by Adimab, LLC. Dr. Gerngross is an officer and member of the board of directors of Adimab, LLC and may be deemed to have shared voting and investment power with respect to the shares held by Adimab, LLC.</w:t>
      </w:r>
    </w:p>
    <w:p>
      <w:pPr>
        <w:ind w:left="540" w:hanging="424"/>
        <w:spacing w:after="0"/>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43,014 shares of common stock issuable upon the exercise of options within 60 days of May 21, 2021.</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25,412 shares of common stock. Shares are subject to a right of repurchase in favor of us at the original option exercise price that lapses in accordance with such vesting schedule.</w:t>
      </w:r>
    </w:p>
    <w:p>
      <w:pPr>
        <w:ind w:left="540" w:right="20" w:hanging="424"/>
        <w:spacing w:after="0" w:line="250"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132,353 shares of common stock. Shares are subject to a right of repurchase in favor of us at the original option exercise price that lapses in accordance with such vesting schedule.</w:t>
      </w:r>
    </w:p>
    <w:p>
      <w:pPr>
        <w:ind w:left="540" w:right="20" w:hanging="424"/>
        <w:spacing w:after="0" w:line="250"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397,059 shares of common stock. Shares are subject to a right of repurchase in favor of us at the original option exercise price that lapses in accordance with such vesting schedule.</w:t>
      </w:r>
    </w:p>
    <w:p>
      <w:pPr>
        <w:jc w:val="both"/>
        <w:ind w:left="540" w:hanging="424"/>
        <w:spacing w:after="0" w:line="286" w:lineRule="auto"/>
        <w:tabs>
          <w:tab w:leader="none" w:pos="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Consists of (a) (i) 361,850 shares of common stock issuable upon conversion of Series A preferred stock, (ii) 85,061 shares of common stock issuable upon conversion of Series B preferred stock and (iii) 123,574 shares of common stock issuable upon conversion of Series C preferred stock held by PVP V, (b) (i) 7,052 shares of common stock issuable upon conversion of Series A preferred stock, (ii) 1,658 shares of common stock issuable upon conversion of Series B preferred stock and (iii) 2,409 shares of common stock issuable upon conversion of Series C preferred stock held by PVPEF V, (c) (i) 2,479 shares of common stock issuable upon conversion of Series A preferred stock, (ii) 583 shares of common stock issuable upon conversion of Series B preferred stock and (iii) 846 shares of common stock issuable upon conversion of Series C preferred stock held by PVPFF V, (d) (i) 3,619 shares of common stock issuable upon conversion of Series A preferred stock, (ii) 850 shares of common stock issuable upon conversion of Series B preferred stock and (iii) 1,235 shares of common stock issuable upon conversion of Series C preferred stock held by PVPSFF V, (e) (i) 875,000 shares of common stock issuable upon conversion of Series A preferred stock,</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spacing w:after="0" w:line="254" w:lineRule="auto"/>
        <w:rPr>
          <w:sz w:val="20"/>
          <w:szCs w:val="20"/>
          <w:color w:val="auto"/>
        </w:rPr>
      </w:pPr>
      <w:r>
        <w:rPr>
          <w:rFonts w:ascii="Arial" w:cs="Arial" w:eastAsia="Arial" w:hAnsi="Arial"/>
          <w:sz w:val="18"/>
          <w:szCs w:val="18"/>
          <w:color w:val="auto"/>
        </w:rPr>
        <w:t>(ii) 44,076 shares of common stock issuable upon conversion of Series B preferred stock and (iii) 32,016 shares of common stock issuable upon conversion of Series C preferred stock held by PP IX, and (f) 64,032 shares of common stock issuable upon conversion of Series C preferred stock held by PHCT. Mr. McGuire is a Founding Partner of Polaris Partners and may be deemed to have shared voting and investment power with respect to the shares held by all entities affiliated with Polaris Partners.</w:t>
      </w:r>
    </w:p>
    <w:p>
      <w:pPr>
        <w:spacing w:after="0" w:line="2" w:lineRule="exact"/>
        <w:rPr>
          <w:sz w:val="20"/>
          <w:szCs w:val="20"/>
          <w:color w:val="auto"/>
        </w:rPr>
      </w:pPr>
    </w:p>
    <w:p>
      <w:pPr>
        <w:jc w:val="both"/>
        <w:ind w:left="540" w:hanging="424"/>
        <w:spacing w:after="0" w:line="265" w:lineRule="auto"/>
        <w:tabs>
          <w:tab w:leader="none" w:pos="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Consists of (a) 1,250,000 shares of common stock issuable upon conversion of Series A preferred stock, (b) 176,304 shares of common stock issuable upon conversion of Series B preferred stock and (c) 422,612 shares of common stock issuable upon conversion of Series C preferred stock held by Mithril II LP. Mr. Royan is the Managing General Partner and Founder of Mithril Capital Management LLC (“MCM”). MCM is a management company that manages Mithril II LP and is appointed by Mithril II GP LP (“GP II”), the general partner of Mithril II LP. Peter Thiel and Ajay Royan are the members of the investment committee GP II. The investment committee makes all investment decisions with respect to these entities and may be deemed to share voting and investment power over the securities held by Mithril II LP.</w:t>
      </w:r>
    </w:p>
    <w:p>
      <w:pPr>
        <w:jc w:val="both"/>
        <w:ind w:left="540" w:hanging="424"/>
        <w:spacing w:after="0" w:line="273" w:lineRule="auto"/>
        <w:tabs>
          <w:tab w:leader="none" w:pos="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Consists of (a) 397,059 shares of common stock, (b) 5,000,000 shares of common stock issuable upon conversion of Series A preferred stock, (c) 44,076 shares of common stock issuable upon conversion of Series B preferred stock and (d) 128,064 shares of common stock issuable upon conversion of Series C preferred stock held by Adimab, LLC. Mr. Chase is an officer and member of the board of directors of Adimab, LLC and may be deemed to have shared voting and investment power with respect to the shares held by Adimab, LLC.</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us to issue up to shares of common stock, $0.0001 par value per share, and shares of preferred stock, $0.0001 par value per share, all of which shares of preferred stock will</w:t>
      </w:r>
    </w:p>
    <w:p>
      <w:pPr>
        <w:ind w:left="120"/>
        <w:spacing w:after="0"/>
        <w:rPr>
          <w:sz w:val="20"/>
          <w:szCs w:val="20"/>
          <w:color w:val="auto"/>
        </w:rPr>
      </w:pPr>
      <w:r>
        <w:rPr>
          <w:rFonts w:ascii="Arial" w:cs="Arial" w:eastAsia="Arial" w:hAnsi="Arial"/>
          <w:sz w:val="18"/>
          <w:szCs w:val="18"/>
          <w:color w:val="auto"/>
        </w:rPr>
        <w:t>be undesignated. Our board of directors may establish the rights and preferences of the preferred stock from time to time.</w:t>
      </w:r>
    </w:p>
    <w:p>
      <w:pPr>
        <w:spacing w:after="0" w:line="21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March 31, 2021, we had outstanding 1,118,648 shares of common stock, held by six stockholders of record. As of March 31, 2021, after giving effect to the conversion of all outstanding shares of our preferred stock, there would have been 13,766,582 shares of common stock outstanding, held by 32 stockholders of record.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As of March 31, 2021, there were 12,647,934 shares of our preferred stock outstanding, consisting of 11,237,500 shares of our Series A preferred stock, 1,410,434 shares of our Series B preferred stock and no shares of our Series C preferred stock. We issued 4,296,550 shares of our Series C preferred stock in April 2021. All currently outstanding shares of preferred stock will be converted into an aggregate of 16,944,484 shares of common stock upon the closing of this offering.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Following the closing of this offering, our board of directors will have the authority under our amended and restated certificate of incorporation,</w:t>
      </w:r>
    </w:p>
    <w:p>
      <w:pPr>
        <w:spacing w:after="0" w:line="4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without further action by our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93"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 Following the completion of this offering, there will be no shares of preferred stock outstanding, and we have no present plans to issue any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March 31, 2021, there were options to purchase 1,073,214 shares of common stock outstanding. For additional information regarding the terms of our 2020 Equity Incentive Plan, see “Executive Compensation—Equity Incentive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the holders of our existing preferred stock and certain holders of our existing common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preferred stock in connection with our initial public offering. These shares are collectively referred to herein as registrable securities.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At any time beginning 180 days following the effective date of the registration statement of which this prospectus is a part, 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w:t>
      </w:r>
    </w:p>
    <w:p>
      <w:pPr>
        <w:spacing w:after="0" w:line="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registration as soon as practicable, but in any event no later than 60 days after the receipt of such request. An aggregate of shares of common stock will be entitled to these demand registration rights.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w:t>
      </w:r>
    </w:p>
    <w:p>
      <w:pPr>
        <w:spacing w:after="0" w:line="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limit the number of shares included in any such registration under specified circumstances. An aggregate of shares of common stock will be entitled to these piggyback registration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At any time after we become eligible to file a registration statement on Form S-3, the holders of at least 30% of the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w:t>
      </w:r>
    </w:p>
    <w:p>
      <w:pPr>
        <w:spacing w:after="0" w:line="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receipt of this request, the holders of registrable securities will each be entitled to participate in this registration. An aggregate of shares of common stock will be entitled to these Form S-3 registration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second amended and restated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registration rights granted under the investors’ rights agreement will terminate with respect to any particular stockholder upon the earlier of</w:t>
      </w:r>
    </w:p>
    <w:p>
      <w:pPr>
        <w:spacing w:after="0" w:line="46" w:lineRule="exact"/>
        <w:rPr>
          <w:sz w:val="20"/>
          <w:szCs w:val="20"/>
          <w:color w:val="auto"/>
        </w:rPr>
      </w:pPr>
    </w:p>
    <w:p>
      <w:pPr>
        <w:jc w:val="both"/>
        <w:ind w:left="120" w:right="20" w:hanging="4"/>
        <w:spacing w:after="0" w:line="255" w:lineRule="auto"/>
        <w:tabs>
          <w:tab w:leader="none" w:pos="3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closing of a deemed liquidation event, as defined in our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this offering.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8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9" w:lineRule="auto"/>
        <w:rPr>
          <w:sz w:val="20"/>
          <w:szCs w:val="20"/>
          <w:color w:val="auto"/>
        </w:rPr>
      </w:pPr>
      <w:r>
        <w:rPr>
          <w:rFonts w:ascii="Arial" w:cs="Arial" w:eastAsia="Arial" w:hAnsi="Arial"/>
          <w:sz w:val="18"/>
          <w:szCs w:val="18"/>
          <w:color w:val="auto"/>
        </w:rPr>
        <w:t>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2" w:lineRule="exact"/>
        <w:rPr>
          <w:sz w:val="20"/>
          <w:szCs w:val="20"/>
          <w:color w:val="auto"/>
        </w:rPr>
      </w:pPr>
    </w:p>
    <w:p>
      <w:pPr>
        <w:jc w:val="both"/>
        <w:ind w:left="1080" w:hanging="532"/>
        <w:spacing w:after="0" w:line="263"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51" w:lineRule="exact"/>
        <w:rPr>
          <w:rFonts w:ascii="Arial" w:cs="Arial" w:eastAsia="Arial" w:hAnsi="Arial"/>
          <w:sz w:val="17"/>
          <w:szCs w:val="17"/>
          <w:color w:val="auto"/>
        </w:rPr>
      </w:pPr>
    </w:p>
    <w:p>
      <w:pPr>
        <w:jc w:val="both"/>
        <w:ind w:left="1080" w:right="20" w:hanging="532"/>
        <w:spacing w:after="0" w:line="342"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29"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84" w:lineRule="exact"/>
        <w:rPr>
          <w:sz w:val="20"/>
          <w:szCs w:val="20"/>
          <w:color w:val="auto"/>
        </w:rPr>
      </w:pPr>
    </w:p>
    <w:p>
      <w:pPr>
        <w:jc w:val="both"/>
        <w:ind w:left="120" w:right="20" w:firstLine="440"/>
        <w:spacing w:after="0" w:line="299" w:lineRule="auto"/>
        <w:rPr>
          <w:sz w:val="20"/>
          <w:szCs w:val="20"/>
          <w:color w:val="auto"/>
        </w:rPr>
      </w:pPr>
      <w:r>
        <w:rPr>
          <w:rFonts w:ascii="Arial" w:cs="Arial" w:eastAsia="Arial" w:hAnsi="Arial"/>
          <w:sz w:val="18"/>
          <w:szCs w:val="18"/>
          <w:color w:val="auto"/>
        </w:rPr>
        <w:t>Our restated certificate and restated bylaws will provide that the stockholders cannot amend many of the provisions described above except by a vote of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or more of our outstanding common stock.</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described in “—Preferred Stock” above, our restated certificate will give our board of directors the authority, without further action by our</w:t>
      </w:r>
    </w:p>
    <w:p>
      <w:pPr>
        <w:spacing w:after="0" w:line="3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stockholders, to issue up to shares of preferred stock in one or more series, with any rights, preferences and privileges as they may designate, including the right to approve an acquisition or other change in control.</w:t>
      </w:r>
    </w:p>
    <w:p>
      <w:pPr>
        <w:spacing w:after="0" w:line="18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restated certificate, or our amended and restated bylaws;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also provide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further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tabs>
          <w:tab w:leader="none" w:pos="5140" w:val="left"/>
          <w:tab w:leader="none" w:pos="794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trading symbol “ADGI.”</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Upon the closing of this offering, we will have outstanding shares of our common stock, based on the shares of our common stock that were outstanding on March 31, 2021, after giving effect to the issuance of shares of our common stock in this offering, assuming no exercise</w:t>
      </w:r>
    </w:p>
    <w:p>
      <w:pPr>
        <w:jc w:val="both"/>
        <w:ind w:left="120" w:right="20"/>
        <w:spacing w:after="0" w:line="281" w:lineRule="auto"/>
        <w:rPr>
          <w:sz w:val="20"/>
          <w:szCs w:val="20"/>
          <w:color w:val="auto"/>
        </w:rPr>
      </w:pPr>
      <w:r>
        <w:rPr>
          <w:rFonts w:ascii="Arial" w:cs="Arial" w:eastAsia="Arial" w:hAnsi="Arial"/>
          <w:sz w:val="16"/>
          <w:szCs w:val="16"/>
          <w:color w:val="auto"/>
        </w:rPr>
        <w:t>by the underwriters of their option to purchase additional shares of our common stock and the automatic conversion of all outstanding shares of our preferred stock into an aggregate of 16,944,484 shares of common stock upon the closing of this offering. All of the shares of common stock sold in this offering will be freely tradable without restrictions or further registration under the Securities Act, except for any shares sold to our “affiliates,” as that</w:t>
      </w:r>
    </w:p>
    <w:p>
      <w:pPr>
        <w:spacing w:after="0" w:line="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term is defined under Rule 144 under the Securities Act. The remaining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19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76"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none of the existing restricted shares will be eligible for immediate sale upon the completion of this offering; and</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66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restricted shares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Non-Affiliates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76" w:lineRule="exact"/>
        <w:rPr>
          <w:sz w:val="20"/>
          <w:szCs w:val="20"/>
          <w:color w:val="auto"/>
        </w:rPr>
      </w:pPr>
    </w:p>
    <w:p>
      <w:pPr>
        <w:ind w:left="1080" w:right="20" w:hanging="532"/>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140"/>
          </w:cols>
          <w:pgMar w:left="320" w:top="459" w:right="439" w:bottom="1440" w:gutter="0" w:footer="0" w:header="0"/>
        </w:sectPr>
      </w:pPr>
    </w:p>
    <w:p>
      <w:pPr>
        <w:spacing w:after="0" w:line="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shares of our common stock then outstanding, which will equal approximately completion of this offering based on the number of shares outstanding as of March 31, 2021; 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w:t>
      </w:r>
    </w:p>
    <w:p>
      <w:pPr>
        <w:spacing w:after="0" w:line="369" w:lineRule="exact"/>
        <w:rPr>
          <w:sz w:val="20"/>
          <w:szCs w:val="20"/>
          <w:color w:val="auto"/>
        </w:rPr>
      </w:pPr>
    </w:p>
    <w:p>
      <w:pPr>
        <w:sectPr>
          <w:pgSz w:w="11900" w:h="16838" w:orient="portrait"/>
          <w:cols w:equalWidth="0" w:num="3">
            <w:col w:w="620" w:space="460"/>
            <w:col w:w="7280" w:space="720"/>
            <w:col w:w="2060"/>
          </w:cols>
          <w:pgMar w:left="320" w:top="459" w:right="439" w:bottom="1440" w:gutter="0" w:footer="0" w:header="0"/>
          <w:type w:val="continuous"/>
        </w:sectPr>
      </w:pPr>
    </w:p>
    <w:p>
      <w:pPr>
        <w:ind w:left="1080" w:right="20" w:hanging="532"/>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stock exchange on which our shares are listed during the four calendar weeks preceding the filing of a notice on Form 144 with respect to the sale.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our executive officers and directors and substantially all of the holders of our common stock outstanding on the date of this prospectus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shares of common stock, any options or warrants to purchase shares of our common stock, or any securities convertible into, or exchangeable for or that represent the right to receive shares of our common stock, without the prior written consent of Morgan Stanley &amp; Co. LLC and Jefferies LLC for a period of 180 days from the date of this prospectus.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type w:val="continuous"/>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an agreement with the holders of our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Upon the closing of this offering, the holders of 16,944,484 shares of our common stock, including common stock issuable upon the conversion of our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following is a summary of certain material U.S. federal income tax consequences to non-U.S. holders (as defined below) of the ownership and disposition of our common stock offered pursuant to this prospectus.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does not address any U.S. federal non-income tax consequences such as estate or gift tax consequences or any tax consequences arising under any state, local, or non-U.S.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This discussion is limited to non-U.S. holders who purchase our common stock offered by this prospectus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pass-throughs, or disregarded entities for U.S. federal income tax purposes (and investors therein), S corporations or other pass-through entities (including hybrid entities);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or dealers in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that acquired our common stock through the exercise of employee stock options or otherwise as compensation or through a tax-qualified retirement plan;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persons that acquired our common stock pursuant to the exercise of warrants or conversion rights under convertible instruments;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who hold common stock that constitutes “qualified small business stock” under Section 1202 of the Code, or “Section 1244 stock” under Section 1244 of the Code;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who acquired our common stock in a transaction subject to the gain rollover provisions of the Code (including Section 1045 of the Code);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As described in the section titled “Dividend Policy,” we have not paid and do not anticipate paying dividends in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the section titled “—Gain on Disposition of Our Common Stock” below.</w:t>
      </w:r>
    </w:p>
    <w:p>
      <w:pPr>
        <w:spacing w:after="0" w:line="17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or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with a valid IRS Form W-8BEN or IRS Form W-8BEN-E (or applicable successor form) certifying such holder’s qualification for the reduced rate. This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certification must be provided to us or the applicable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applicable withholding agent, either directly or through other intermediaries.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generally be exempt from U.S. federal withholding tax. To claim the exemption, the non-U.S. holder must generally furnish a valid IRS Form W-8ECI (or applicable successor form) to the applicable withholding agent.</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080" w:hanging="532"/>
        <w:spacing w:after="0" w:line="308" w:lineRule="auto"/>
        <w:tabs>
          <w:tab w:leader="none" w:pos="108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w:t>
      </w:r>
    </w:p>
    <w:p>
      <w:pPr>
        <w:spacing w:after="0" w:line="18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Determining whether we are a USRPHC depends on the fair market value of our U.S. real property interests relative to the fair market value of our other trade or business assets and our foreign real property interests. We do not believe that we are, or have been, and do not anticipate becoming, a USRPHC for U.S. federal income tax purposes, although there can be no assurance we will not in the future become a USRPHC. Even if we are or were to become a USRPHC, gain arising from the sale or other taxable disposition by a non-U.S. holder of our common stock may not be subject to U.S. federal income tax if our common stock is “regularly traded,” as defined by applicable Treasury Regulations, on an established securities market.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The U.S. Treasury Department released proposed Treasury Regulations which, if finalized in their present form, would eliminate the federal withholding tax of 30% applicable to the gross proceeds of a disposition of our common stock. In its preamble to such proposed Treasury Regulations, the U.S. Treasury Department stated that taxpayers may generally rely on the proposed Treasury Regulations until final regulations are issued.</w:t>
      </w:r>
    </w:p>
    <w:p>
      <w:pPr>
        <w:spacing w:after="0" w:line="16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Jefferies LLC, Stifel, Nicolaus &amp; Company, Incorporated and Guggenheim Securities, LLC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9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260" w:type="dxa"/>
            <w:vAlign w:val="bottom"/>
          </w:tcPr>
          <w:p>
            <w:pPr>
              <w:jc w:val="center"/>
              <w:ind w:left="35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4260" w:type="dxa"/>
            <w:vAlign w:val="bottom"/>
          </w:tcPr>
          <w:p>
            <w:pPr>
              <w:jc w:val="center"/>
              <w:ind w:left="3528"/>
              <w:spacing w:after="0"/>
              <w:rPr>
                <w:sz w:val="20"/>
                <w:szCs w:val="20"/>
                <w:color w:val="auto"/>
              </w:rPr>
            </w:pPr>
            <w:r>
              <w:rPr>
                <w:rFonts w:ascii="Arial" w:cs="Arial" w:eastAsia="Arial" w:hAnsi="Arial"/>
                <w:sz w:val="14"/>
                <w:szCs w:val="14"/>
                <w:b w:val="1"/>
                <w:bCs w:val="1"/>
                <w:u w:val="single" w:color="auto"/>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-635</wp:posOffset>
            </wp:positionV>
            <wp:extent cx="524637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5715</wp:posOffset>
            </wp:positionV>
            <wp:extent cx="4286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-121920</wp:posOffset>
            </wp:positionV>
            <wp:extent cx="524637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46370" cy="163195"/>
                    </a:xfrm>
                    <a:prstGeom prst="rect">
                      <a:avLst/>
                    </a:prstGeom>
                    <a:noFill/>
                  </pic:spPr>
                </pic:pic>
              </a:graphicData>
            </a:graphic>
          </wp:anchor>
        </w:drawing>
      </w:r>
    </w:p>
    <w:p>
      <w:pPr>
        <w:spacing w:after="0" w:line="25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jc w:val="both"/>
        <w:ind w:left="120" w:right="2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3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No</w:t>
            </w:r>
          </w:p>
        </w:tc>
        <w:tc>
          <w:tcPr>
            <w:tcW w:w="5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3"/>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3540" w:type="dxa"/>
            <w:vAlign w:val="bottom"/>
          </w:tcPr>
          <w:p>
            <w:pPr>
              <w:jc w:val="right"/>
              <w:ind w:right="2570"/>
              <w:spacing w:after="0"/>
              <w:rPr>
                <w:sz w:val="20"/>
                <w:szCs w:val="20"/>
                <w:color w:val="auto"/>
              </w:rPr>
            </w:pPr>
            <w:r>
              <w:rPr>
                <w:rFonts w:ascii="Arial" w:cs="Arial" w:eastAsia="Arial" w:hAnsi="Arial"/>
                <w:sz w:val="18"/>
                <w:szCs w:val="18"/>
                <w:color w:val="auto"/>
              </w:rPr>
              <w:t>199</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2" w:name="page203"/>
    <w:bookmarkEnd w:id="20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519"/>
        </w:trPr>
        <w:tc>
          <w:tcPr>
            <w:tcW w:w="1014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The estimated offering expenses payable by us, exclusive of the underwriting discounts and commissions, are approximately $</w:t>
            </w:r>
          </w:p>
        </w:tc>
        <w:tc>
          <w:tcPr>
            <w:tcW w:w="9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 We have</w:t>
            </w:r>
          </w:p>
        </w:tc>
      </w:tr>
      <w:tr>
        <w:trPr>
          <w:trHeight w:val="230"/>
        </w:trPr>
        <w:tc>
          <w:tcPr>
            <w:tcW w:w="10580" w:type="dxa"/>
            <w:vAlign w:val="bottom"/>
            <w:gridSpan w:val="3"/>
          </w:tcPr>
          <w:p>
            <w:pPr>
              <w:jc w:val="center"/>
              <w:spacing w:after="0"/>
              <w:rPr>
                <w:sz w:val="20"/>
                <w:szCs w:val="20"/>
                <w:color w:val="auto"/>
              </w:rPr>
            </w:pPr>
            <w:r>
              <w:rPr>
                <w:rFonts w:ascii="Arial" w:cs="Arial" w:eastAsia="Arial" w:hAnsi="Arial"/>
                <w:sz w:val="18"/>
                <w:szCs w:val="18"/>
                <w:color w:val="auto"/>
                <w:w w:val="91"/>
              </w:rPr>
              <w:t>agreed to reimburse the underwriters for expense relating to clearance of this offering with the Financial Industry Regulatory Authority up to $</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trading symbol “ADGI”.</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stock and stock options have agreed that, without the prior written consent of Morgan Stanley &amp; Co. LLC and Jefferies LLC,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jc w:val="both"/>
        <w:ind w:left="1080" w:hanging="532"/>
        <w:spacing w:after="0" w:line="263"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Jefferies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jc w:val="both"/>
        <w:ind w:left="1080" w:right="20" w:hanging="532"/>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during the restricted period in connection with subsequent sales of common stock or other securities acquired in this offering or in such open market transactions;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w:t>
      </w:r>
    </w:p>
    <w:p>
      <w:pPr>
        <w:spacing w:after="0" w:line="34" w:lineRule="exact"/>
        <w:rPr>
          <w:rFonts w:ascii="Arial" w:cs="Arial" w:eastAsia="Arial" w:hAnsi="Arial"/>
          <w:sz w:val="17"/>
          <w:szCs w:val="17"/>
          <w:color w:val="auto"/>
        </w:rPr>
      </w:pPr>
    </w:p>
    <w:p>
      <w:pPr>
        <w:jc w:val="both"/>
        <w:ind w:left="1080" w:right="20"/>
        <w:spacing w:after="0" w:line="269" w:lineRule="auto"/>
        <w:rPr>
          <w:rFonts w:ascii="Arial" w:cs="Arial" w:eastAsia="Arial" w:hAnsi="Arial"/>
          <w:sz w:val="17"/>
          <w:szCs w:val="17"/>
          <w:color w:val="auto"/>
        </w:rPr>
      </w:pPr>
      <w:r>
        <w:rPr>
          <w:rFonts w:ascii="Arial" w:cs="Arial" w:eastAsia="Arial" w:hAnsi="Arial"/>
          <w:sz w:val="17"/>
          <w:szCs w:val="17"/>
          <w:color w:val="auto"/>
        </w:rPr>
        <w:t>(i) as a bona fide gift or charitable contribution, (ii) by will or intestacy or to any immediate family member or to a trust for the direct or indirect benefit of such person and/or any immediate family member, (iii) to limited partners, members or stockholders, or holders of similar equity interests, of such person or (iv) to another corporation, partnership, limited liability company, trust or other business entity that is an affiliate (as defined in Rule 405 promulgated under the Securities Act) of such person, or to any investment fund or other entity controlled or managed by such person or affiliates of such person; provided that (A) each transferee or distributee shall sign and deliver a lock-up agreement and (B) no filing under Section 16(a) of the Exchange Act, reporting a reduction in beneficial ownership of shares of common stock, shall be required or shall be voluntarily made during the restricted period;</w:t>
      </w:r>
    </w:p>
    <w:p>
      <w:pPr>
        <w:spacing w:after="0" w:line="85"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 stockholder, officer or director of the company pursuant to Rule 10b5-1 under the Exchange Act for the transfer of shares of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46"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59" w:lineRule="auto"/>
        <w:rPr>
          <w:sz w:val="20"/>
          <w:szCs w:val="20"/>
          <w:color w:val="auto"/>
        </w:rPr>
      </w:pPr>
      <w:r>
        <w:rPr>
          <w:rFonts w:ascii="Arial" w:cs="Arial" w:eastAsia="Arial" w:hAnsi="Arial"/>
          <w:sz w:val="18"/>
          <w:szCs w:val="18"/>
          <w:color w:val="auto"/>
        </w:rPr>
        <w:t>provided that (i) such plan does not provide for the transfer of common stock during the restricted period and (ii) to the extent a public announcement or filing under the Exchange Act, if any, is required of or voluntarily made by or on behalf of such person or the company regarding the establishment of such plan, such announcement or filing shall include a statement to the effect that no transfer of common stock may be made under such plan during the restricted period;</w:t>
      </w:r>
    </w:p>
    <w:p>
      <w:pPr>
        <w:spacing w:after="0" w:line="92" w:lineRule="exact"/>
        <w:rPr>
          <w:sz w:val="20"/>
          <w:szCs w:val="20"/>
          <w:color w:val="auto"/>
        </w:rPr>
      </w:pPr>
    </w:p>
    <w:p>
      <w:pPr>
        <w:jc w:val="both"/>
        <w:ind w:left="1080" w:hanging="532"/>
        <w:spacing w:after="0" w:line="255"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transfers of common stock or any security convertible into or exercisable or exchangeable for common stock by operation of law pursuant to a qualified domestic order or other court order or in connection with a divorce settlement; provided that (i) no filing under Section 16(a) of the Exchange Act or any other public filing or disclosure shall be voluntarily made during the restricted period, and any required filing shall clearly indicate in the footnotes thereto that (A) the filing relates to the circumstances described herein and (B) no securities were sold by such person, and (ii) such person does not otherwise voluntarily effect any other public filing or report regarding such transfers during the restricted period;</w:t>
      </w:r>
    </w:p>
    <w:p>
      <w:pPr>
        <w:spacing w:after="0" w:line="97" w:lineRule="exact"/>
        <w:rPr>
          <w:rFonts w:ascii="Arial" w:cs="Arial" w:eastAsia="Arial" w:hAnsi="Arial"/>
          <w:sz w:val="18"/>
          <w:szCs w:val="18"/>
          <w:color w:val="auto"/>
        </w:rPr>
      </w:pPr>
    </w:p>
    <w:p>
      <w:pPr>
        <w:jc w:val="both"/>
        <w:ind w:left="1080" w:hanging="532"/>
        <w:spacing w:after="0" w:line="269"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receipt by such person from the company of shares of common stock upon the transfer or disposition of shares of common stock or any securities convertible into common stock to the company upon a vesting or settlement event of the company’s securities or vesting of restricted stock unit awards or upon the exercise of options to purchase the company’s securities on a “cashless” or “net exercise” basis, in each case pursuant to any equity incentive plan of the company described in this prospectus and to the extent permitted by the instruments representing such restricted stock unit awards or options outstanding as of the date hereof (and solely to cover the exercise price or withholding tax obligations in connection with such transaction and any transfer to the company for the payment of the exercise price or taxes as a result of such transaction); provided that (i) the shares received upon exercise or settlement of the option are subject to the terms of the lock-up agreement, (ii) no public disclosure or filing under Section 16(a) of the Exchange Act shall be voluntarily made during the restricted period and (iii) to the extent a filing under Section 16(a) of the Exchange Act is required during the restricted period as a result of transfers described herein, it shall clearly indicate that (A) the filing relates to the circumstances described herein, including that the securities remain subject to the terms of a lock-up agreement and (B) no securities were sold by such person other than as contemplated hereby;</w:t>
      </w:r>
    </w:p>
    <w:p>
      <w:pPr>
        <w:spacing w:after="0" w:line="84" w:lineRule="exact"/>
        <w:rPr>
          <w:rFonts w:ascii="Arial" w:cs="Arial" w:eastAsia="Arial" w:hAnsi="Arial"/>
          <w:sz w:val="17"/>
          <w:szCs w:val="17"/>
          <w:color w:val="auto"/>
        </w:rPr>
      </w:pPr>
    </w:p>
    <w:p>
      <w:pPr>
        <w:jc w:val="both"/>
        <w:ind w:left="1080" w:hanging="532"/>
        <w:spacing w:after="0" w:line="259"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transfers to the company in connection with the repurchase of common stock in connection with the termination of such person’s employment with the company pursuant to contractual agreements with the company as in effect as of the date hereof and disclosed to Morgan Stanley &amp; Co. LLC and Jefferies LLC; provided that no public disclosure or filing under Section 16(a) of the Exchange Act shall be required or shall be voluntarily made during the restricted period;</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of the company described in this prospectus into shares of common stock of the company; provided that such shares of common stock remain subject to the terms of the lock-up agreement; or</w:t>
      </w:r>
    </w:p>
    <w:p>
      <w:pPr>
        <w:spacing w:after="0" w:line="75"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transfers pursuant to a bona fide third-party tender offer for all outstanding common stock or securities convertible into or exchangeable for common stock of the company, merger,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such person may agree to transfer, sell, tender or otherwise dispose of common stock or other such securities in connection with such transaction, or vote any common stock or other such securities in favor of any such transaction); provided that in the event that such tender offer, merger, consolidation or other such transaction is not completed, such securities held by such person shall remain subject to the provisions of the lock-up agreement.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Morgan Stanley &amp; Co. LLC and Jefferies LLC, in their joint discretion, may release the common stock and other securities subject to the lock-up agreements described above in whole or in part at any time.</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80" w:hanging="408"/>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80" w:hanging="408"/>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3" w:lineRule="exact"/>
        <w:rPr>
          <w:sz w:val="20"/>
          <w:szCs w:val="20"/>
          <w:color w:val="auto"/>
        </w:rPr>
      </w:pPr>
    </w:p>
    <w:p>
      <w:pPr>
        <w:ind w:left="1080" w:hanging="408"/>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30"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408"/>
        <w:spacing w:after="0"/>
        <w:tabs>
          <w:tab w:leader="none" w:pos="10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Financial Services and Markets Act 2000, as amended, or the FSMA,</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jc w:val="both"/>
        <w:ind w:left="1080" w:right="20" w:hanging="408"/>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Qualified Institutional Investors (“QII”)</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Non-QII Investors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Shares of our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common stock which are or are intended to be disposed of only to persons outside Hong Kong or only to “professional investors” in Hong Kong as defined in the Securities and Futures Ordinance and any rules made thereunder.</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9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Where shares of our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common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jc w:val="both"/>
        <w:ind w:left="120" w:right="20" w:hanging="4"/>
        <w:spacing w:after="0" w:line="255" w:lineRule="auto"/>
        <w:tabs>
          <w:tab w:leader="none" w:pos="37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0"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Where shares of our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i w:val="1"/>
          <w:iCs w:val="1"/>
          <w:color w:val="auto"/>
        </w:rPr>
        <w:t>Solely for purposes of the notification requirements under Section 309B(1)(c) of the Securities and Futures Act, Chapter 289 of Singapore, the shares of our common stock are “prescribed capital markets products” (as defined in the Securities and Futures (Capital Markets Products) Regulations 2018) and Excluded Investment Products (as defined in MAS Notice SFA 04-N12: Notice on the Sale of Investment Products and MAS Notice FAA-N16:</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on Recommendations on Investment Products).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73"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This document is not intended to constitute an offer or solicitation to purchase or invest in the securities. The securities may not be publicly offered, directly or indirectly, in Switzerland within the meaning of the Swiss Financial Services Act (“FinSA”) and no application has or will be made to admit the securities to trading on any trading venue (exchange or multilateral trading facility) in Switzerland. Neither this document nor any other offering or marketing material relating to the securities constitutes a prospectus pursuant to the FinSA, and neither this document nor any other offering or marketing material relating to the securities may be publicly distributed or otherwise made publicly available in Switzerland.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Certain legal matters will be passed upon for the underwriters by Davis Polk &amp; Wardwell LLP, New York, New York. As of the date of this prospectus, GC&amp;H Investments, L.P. and GC&amp;H Investments A1, L.P., entities consisting of current and former partners and associates of Cooley LLP, collectively beneficially hold an aggregate of 12,806 shares of our common stock on an as-converted basis.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financial statements as of December 31, 2020 and for the period from June 3, 2020 (inception) to December 31, 2020 included in this prospectus have been so included in reliance on the report (which contains an explanatory paragraph relating to the Company’s ability to continue as a going concern as described in Note 1 to the consolidated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Upon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also maintain a website at adagiotx.com,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in this prospectus solely as an inactive textual reference.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4"/>
            <w:vMerge w:val="restart"/>
          </w:tcPr>
          <w:p>
            <w:pPr>
              <w:spacing w:after="0"/>
              <w:rPr>
                <w:rFonts w:ascii="Arial" w:cs="Arial" w:eastAsia="Arial" w:hAnsi="Arial"/>
                <w:sz w:val="18"/>
                <w:szCs w:val="18"/>
                <w:color w:val="0000EE"/>
                <w:w w:val="91"/>
              </w:rPr>
            </w:pPr>
            <w:hyperlink w:anchor="page213">
              <w:r>
                <w:rPr>
                  <w:rFonts w:ascii="Arial" w:cs="Arial" w:eastAsia="Arial" w:hAnsi="Arial"/>
                  <w:sz w:val="18"/>
                  <w:szCs w:val="18"/>
                  <w:color w:val="0000EE"/>
                  <w:w w:val="91"/>
                </w:rPr>
                <w:t>Report of Independent Registered Public Accounting Firm</w:t>
              </w:r>
            </w:hyperlink>
          </w:p>
        </w:tc>
        <w:tc>
          <w:tcPr>
            <w:tcW w:w="6420" w:type="dxa"/>
            <w:vAlign w:val="bottom"/>
            <w:gridSpan w:val="3"/>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4"/>
            <w:vMerge w:val="continue"/>
          </w:tcPr>
          <w:p>
            <w:pPr>
              <w:spacing w:after="0"/>
              <w:rPr>
                <w:sz w:val="13"/>
                <w:szCs w:val="13"/>
                <w:color w:val="auto"/>
              </w:rPr>
            </w:pPr>
          </w:p>
        </w:tc>
        <w:tc>
          <w:tcPr>
            <w:tcW w:w="6420" w:type="dxa"/>
            <w:vAlign w:val="bottom"/>
            <w:gridSpan w:val="3"/>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40" w:type="dxa"/>
            <w:vAlign w:val="bottom"/>
            <w:gridSpan w:val="7"/>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Consolidated Balance Sheets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15">
              <w:r>
                <w:rPr>
                  <w:rFonts w:ascii="Arial" w:cs="Arial" w:eastAsia="Arial" w:hAnsi="Arial"/>
                  <w:sz w:val="18"/>
                  <w:szCs w:val="18"/>
                  <w:color w:val="0000EE"/>
                  <w:w w:val="89"/>
                </w:rPr>
                <w:t>Consolidated Statements of Operations and Comprehensive Loss</w:t>
              </w:r>
            </w:hyperlink>
          </w:p>
        </w:tc>
        <w:tc>
          <w:tcPr>
            <w:tcW w:w="596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Consolidated Statements of Convertible Preferred Stock and Stockholders’ Deficit</w:t>
              </w:r>
            </w:hyperlink>
          </w:p>
        </w:tc>
        <w:tc>
          <w:tcPr>
            <w:tcW w:w="47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Consolidated Statements of Cash Flows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Notes to Consolidated Financial Statements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6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Adagio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audited the accompanying consolidated balance sheet of Adagio Therapeutics, Inc. and its subsidiary (the “Company”) as of December 31, 2020, and the related consolidated statements of operations and comprehensive loss, of convertible preferred stock and stockholders’ deficit and of cash flows for the period from June 3, 2020 (inception) to December 31, 2020, including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period from June 3, 2020 (inception) to December 31, 2020 in conformity with accounting principles generally accepted in the United States of America.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expects to continue to generate operating losses for the foreseeable future and will require additional capital to finance its future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conducted our audit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21,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114,988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91,247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3,627</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94,874</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117,382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94,874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11,317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17,360</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28,677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Early-exercise liability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28,688</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A convertible preferred stock, $0.0001 par value; 11,237,500 shares authorized, issued and outstanding as of</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December 31, 2020 and March 31, 2021 (unaudited); liquidation preference of $89,900 as of December 31, 2020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March 31, 2021 (unaudited)</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89,706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89,706</w:t>
            </w: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w w:val="95"/>
              </w:rPr>
              <w:t>Series B convertible preferred stock, $0.0001 par value; 1,410,434 shares authorized, issued and outstanding as of</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w w:val="95"/>
              </w:rPr>
              <w:t>December 31, 2020 and March 31, 2021 (unaudited); liquidation preference of $80,000 as of December 31, 2020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79,842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79,842</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$0.0001 par value; 19,000,000 shares authorized, 5,638,648 shares issued and 1,118,648</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shares outstanding as of December 31, 2020 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4,520,000 shares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742</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(104,019)</w:t>
            </w: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(65,249)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(103,362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117,382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94,874</w:t>
            </w: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480" w:type="dxa"/>
            <w:vAlign w:val="bottom"/>
            <w:gridSpan w:val="2"/>
          </w:tcPr>
          <w:p>
            <w:pPr>
              <w:ind w:left="13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21,992</w:t>
            </w:r>
          </w:p>
        </w:tc>
        <w:tc>
          <w:tcPr>
            <w:tcW w:w="42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(90.51)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721,698</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Includes related-party amounts of $595 for the period from June 3, 2020 (inception) to December 31, 2020 and $188 for the three months ended March 31, 2021 (see Note 6).</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Includes related-party amounts of $39,915 for the period from June 3, 2020 (inception) to December 31, 2020 and $1,000 for the three months ended March 31, 2021 (see Note 6).</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560" w:type="dxa"/>
            <w:vAlign w:val="bottom"/>
          </w:tcPr>
          <w:p>
            <w:pPr>
              <w:spacing w:after="0"/>
              <w:rPr>
                <w:sz w:val="2"/>
                <w:szCs w:val="2"/>
                <w:color w:val="auto"/>
              </w:rPr>
            </w:pPr>
          </w:p>
        </w:tc>
        <w:tc>
          <w:tcPr>
            <w:tcW w:w="170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Series A Convertible</w:t>
            </w:r>
          </w:p>
        </w:tc>
        <w:tc>
          <w:tcPr>
            <w:tcW w:w="170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9"/>
              </w:rPr>
              <w:t>Series B Convertible</w:t>
            </w:r>
          </w:p>
        </w:tc>
        <w:tc>
          <w:tcPr>
            <w:tcW w:w="20" w:type="dxa"/>
            <w:vAlign w:val="bottom"/>
          </w:tcPr>
          <w:p>
            <w:pPr>
              <w:spacing w:after="0"/>
              <w:rPr>
                <w:sz w:val="2"/>
                <w:szCs w:val="2"/>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
                <w:szCs w:val="2"/>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560" w:type="dxa"/>
            <w:vAlign w:val="bottom"/>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170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Preferred Stock</w:t>
            </w:r>
          </w:p>
        </w:tc>
        <w:tc>
          <w:tcPr>
            <w:tcW w:w="1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8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5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Balances at June 3,</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80" w:type="dxa"/>
            <w:vAlign w:val="bottom"/>
            <w:tcBorders>
              <w:top w:val="single" w:sz="8" w:color="auto"/>
              <w:lef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2020 (Inception)</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w w:val="92"/>
              </w:rPr>
              <w:t>Issuance of common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w w:val="97"/>
              </w:rPr>
              <w:t>stock at inception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4,250,000</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Series A</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preferred stock in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for</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assigned rights,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and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(4,250,000)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4,250,000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w w:val="93"/>
              </w:rPr>
              <w:t>Issuance of Series A</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net of issuance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rPr>
              <w:t>costs of $194</w:t>
            </w:r>
          </w:p>
        </w:tc>
        <w:tc>
          <w:tcPr>
            <w:tcW w:w="860" w:type="dxa"/>
            <w:vAlign w:val="bottom"/>
          </w:tcPr>
          <w:p>
            <w:pPr>
              <w:jc w:val="right"/>
              <w:spacing w:after="0"/>
              <w:rPr>
                <w:sz w:val="20"/>
                <w:szCs w:val="20"/>
                <w:color w:val="auto"/>
              </w:rPr>
            </w:pPr>
            <w:r>
              <w:rPr>
                <w:rFonts w:ascii="Arial" w:cs="Arial" w:eastAsia="Arial" w:hAnsi="Arial"/>
                <w:sz w:val="18"/>
                <w:szCs w:val="18"/>
                <w:color w:val="auto"/>
              </w:rPr>
              <w:t>6,237,500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49,706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Series B</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issuance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$158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1,410,434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79,842</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restricted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upon early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exercise of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1,388,648</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rPr>
              <w:t>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06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0" w:type="dxa"/>
            <w:vAlign w:val="bottom"/>
          </w:tcPr>
          <w:p>
            <w:pPr>
              <w:spacing w:after="0"/>
              <w:rPr>
                <w:sz w:val="1"/>
                <w:szCs w:val="1"/>
                <w:color w:val="auto"/>
              </w:rPr>
            </w:pPr>
          </w:p>
        </w:tc>
      </w:tr>
      <w:tr>
        <w:trPr>
          <w:trHeight w:val="205"/>
        </w:trPr>
        <w:tc>
          <w:tcPr>
            <w:tcW w:w="1560" w:type="dxa"/>
            <w:vAlign w:val="bottom"/>
          </w:tcPr>
          <w:p>
            <w:pPr>
              <w:spacing w:after="0" w:line="205"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11,237,500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89,706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1,410,434</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79,842</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1,118,648</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4,520,000</w:t>
            </w: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(65,319)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(65,249)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680" w:type="dxa"/>
            <w:vAlign w:val="bottom"/>
          </w:tcPr>
          <w:p>
            <w:pPr>
              <w:spacing w:after="0"/>
              <w:rPr>
                <w:sz w:val="2"/>
                <w:szCs w:val="2"/>
                <w:color w:val="auto"/>
              </w:rPr>
            </w:pPr>
          </w:p>
        </w:tc>
        <w:tc>
          <w:tcPr>
            <w:tcW w:w="17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Series A Convertible</w:t>
            </w:r>
          </w:p>
        </w:tc>
        <w:tc>
          <w:tcPr>
            <w:tcW w:w="17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9"/>
              </w:rPr>
              <w:t>Series B Convertible</w:t>
            </w:r>
          </w:p>
        </w:tc>
        <w:tc>
          <w:tcPr>
            <w:tcW w:w="20" w:type="dxa"/>
            <w:vAlign w:val="bottom"/>
          </w:tcPr>
          <w:p>
            <w:pPr>
              <w:spacing w:after="0"/>
              <w:rPr>
                <w:sz w:val="2"/>
                <w:szCs w:val="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0"/>
              </w:rPr>
              <w:t>Treasury Stock</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
                <w:szCs w:val="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680" w:type="dxa"/>
            <w:vAlign w:val="bottom"/>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Preferred Stock</w:t>
            </w:r>
          </w:p>
        </w:tc>
        <w:tc>
          <w:tcPr>
            <w:tcW w:w="17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9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6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20" w:type="dxa"/>
            <w:vAlign w:val="bottom"/>
            <w:tcBorders>
              <w:top w:val="single" w:sz="8" w:color="auto"/>
              <w:lef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11,237,500</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$89,706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1,410,434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$79,842</w:t>
            </w:r>
          </w:p>
        </w:tc>
        <w:tc>
          <w:tcPr>
            <w:tcW w:w="20" w:type="dxa"/>
            <w:vAlign w:val="bottom"/>
            <w:shd w:val="clear" w:color="auto" w:fill="000000"/>
          </w:tcPr>
          <w:p>
            <w:pPr>
              <w:spacing w:after="0"/>
              <w:rPr>
                <w:sz w:val="20"/>
                <w:szCs w:val="20"/>
                <w:color w:val="auto"/>
              </w:rPr>
            </w:pPr>
          </w:p>
        </w:tc>
        <w:tc>
          <w:tcPr>
            <w:tcW w:w="9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1,118,648</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4,520,000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(65,249)</w:t>
            </w:r>
          </w:p>
        </w:tc>
        <w:tc>
          <w:tcPr>
            <w:tcW w:w="0" w:type="dxa"/>
            <w:vAlign w:val="bottom"/>
          </w:tcPr>
          <w:p>
            <w:pPr>
              <w:spacing w:after="0"/>
              <w:rPr>
                <w:sz w:val="1"/>
                <w:szCs w:val="1"/>
                <w:color w:val="auto"/>
              </w:rPr>
            </w:pP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expense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loss (unaudited)</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9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5"/>
        </w:trPr>
        <w:tc>
          <w:tcPr>
            <w:tcW w:w="1680" w:type="dxa"/>
            <w:vAlign w:val="bottom"/>
          </w:tcPr>
          <w:p>
            <w:pPr>
              <w:spacing w:after="0" w:line="205"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b w:val="1"/>
                <w:bCs w:val="1"/>
                <w:color w:val="auto"/>
              </w:rPr>
              <w:t>March 31, 2021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11,237,500</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89,706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1,410,434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79,842</w:t>
            </w:r>
          </w:p>
        </w:tc>
        <w:tc>
          <w:tcPr>
            <w:tcW w:w="20" w:type="dxa"/>
            <w:vAlign w:val="bottom"/>
            <w:shd w:val="clear" w:color="auto" w:fill="000000"/>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1,118,648</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4,520,000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(104,019)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(103,362)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(65,319)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Non-cash acquired in-process research and development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39,915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8,153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(14,571)</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129,548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early exercises of stock options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Payments for repurchases of restricted common stock</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114,988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Series A convertible preferred stock in exchange for assigned rights, license and</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 common stock</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Adagio Therapeutics, Inc., together with its consolidated subsidiary (the “Company”), is a clinical-stage biopharmaceutical company focused on the discovery, development and commercialization of antibody-based solutions for infectious diseases with pandemic potential. The Company’s initial focus is on the virus SARS-CoV-2, its variants and the disease caused by this virus, which is known as Coronavirus Infectious Disease (“COVID-19”). The Company initiated clinical trials for its lead product candidate, ADG20, in February 2021. The Company was incorporated in the State of Delaware in June 2020. The Company operates as a virtual company and, thus, does not maintain a corporate headquarters or other significant facilities. In addition, the Company engages third parties, including Adimab, LLC (“Adimab”), to perform ongoing research and development and other services on its behalf.</w:t>
      </w:r>
    </w:p>
    <w:p>
      <w:pPr>
        <w:spacing w:after="0" w:line="19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In July 2020, the Company entered into an assignment and license agreement with Adimab pursuant to which it acquired certain rights to Adimab’s antibodies relating to COVID-19 and severe acute respiratory syndrome (“SARS”) as well as related provisional patent applications, know-how and data generated with respect to the associated antibodies. In addition, Adimab granted to the Company a non-exclusive, worldwide license to certain of Adimab’s platform patents and technology for use in research and development. In connection with the transfer of the rights acquired and license received, the Company issued 5,000,000 shares of its Series A convertible preferred stock to Adimab (see Note 6). As of December 31, 2020 and March 31, 2021 (unaudited), Adimab, a related party, held approximately 39.5% of the Company’s outstanding capital stock.</w:t>
      </w:r>
    </w:p>
    <w:p>
      <w:pPr>
        <w:spacing w:after="0" w:line="16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 Company is subject to risks and uncertainties common to early-stage companies in the biopharmaceutical industry, including, but not limited to, completing preclinical studies and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the COVID-19 coronavirus, dependence on key personnel, the ability to attract and retain qualified employees, reliance on third-party organizations and the clinical and commercial success of its product candidates.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Company has not generated any revenue since inception. The Company’s lead product candidate will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Adagio Therapeutics, Inc. and its wholly owned subsidiary, Adagio Therapeutics Security Corporation. All intercompany balances and transactions have been eliminated in consolidation.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4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Through December 31, 2020 and March 31, 2021 (unaudited), the Company has funded its operations with proceeds from sales of its convertible preferred stock. The Company has incurred recurring losses since 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inception, including net losses of $65.3 million for the period from June 3, 2020 (inception) to December 31, 2020 and $38.7 million for the three months ended March 31, 2021 (unaudited). In addition, as of December 31, 2020 and March 31, 2021 (unaudited), the Company had an accumulated deficit of $65.3 million and $104.0 million, respectively. The Company expects to continue to generate significant operating losses for the foreseeable future. As of May 21, 2021, the issuance date of the consolidated financial statements for the period from June 3, 2020 (inception) to December 31, 2020 and of the interim consolidated financial statements for the three months ended March 31, 2021, the Company expects that its existing cash and cash equivalents, including the $335.5 million of gross proceeds it received from the issuance and sale of its Series C convertible preferred stock in April 2021 (see Note 15), will be sufficient to fund its operating expenses and capital expenditure requirements through March 31, 2022. The future viability of the Company beyond that point is dependent on its ability to raise additional capital to finance its operations.</w:t>
      </w:r>
    </w:p>
    <w:p>
      <w:pPr>
        <w:spacing w:after="0" w:line="16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is seeking to complete an initial public offering (“IPO”) of its common stock. Upon the closing of a qualifying public offering on specified terms, the Company’s outstanding convertible preferred stock will automatically convert into common stock (see Notes 8 and 15).</w:t>
      </w:r>
    </w:p>
    <w:p>
      <w:pPr>
        <w:spacing w:after="0" w:line="146"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In the event the Company does not complete an IPO, the Company expects to seek additional funding through private equity financings,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21, 2021, the issuance date of the consolidated financial statements for the period from June 3, 2020 (inception) to December 31, 2020 and of the interim consolidated financial statements for the three months ended March 31, 2021, the Company has concluded that there is substantial doubt about its ability to continue as a going concern for a period of one year from the date that these consolidated financial statements are issued.</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relating to the recoverability and classification of recorded asset amounts or the amounts and classification of liabilities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continued emergence of variants of concern, the availability, administration and acceptance of vaccines and monoclonal antibodies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14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ultimate extent of the impact of the COVID-19 pandemic on the Company’s business, financial condition, operations and product development timelines and plans remains highly uncertain and will depend on future developments, including the duration and spread of the outbreak and its impact on the Company’s clinical trial design and enrollment, trial sites, contract research organizations, contract manufacturing organizations and other third parties with which it does business, as well as its impact on regulatory authorities and the Company’s key scientific and management personnel. To date, the Company has not experienced significant delays or disruptions in its development activities as a result of the COVID-19 pandemic but may in the future as the outbreak progresses and some of its contract research organizations, contract manufacturing organizations and other service providers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may materially adversely affect the Company’s results and operations and its ability to raise capital.</w:t>
      </w:r>
    </w:p>
    <w:p>
      <w:pPr>
        <w:spacing w:after="0" w:line="278" w:lineRule="exact"/>
        <w:rPr>
          <w:sz w:val="20"/>
          <w:szCs w:val="20"/>
          <w:color w:val="auto"/>
        </w:rPr>
      </w:pPr>
    </w:p>
    <w:p>
      <w:pPr>
        <w:ind w:left="560" w:right="7460" w:hanging="444"/>
        <w:spacing w:after="0" w:line="377" w:lineRule="auto"/>
        <w:tabs>
          <w:tab w:leader="none" w:pos="3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and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May 21, 2021, the issuance date of these consolidated financial statements. These estimates may change as new events occur and additional information is obtained.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accompanying consolidated balance sheet as of March 31, 2021 and the consolidated statements of operations and comprehensive loss, of cash flows and of convertible preferred stock and stockholders’ deficit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three months ended March 31, 2021 are unaudited. The unaudited interim consolidated financial statements have been prepared on the same basis as the audited consolidated financial statements for the period from June 3, 2020 (inception) to December 31, 2020 and, in the opinion of management, reflect all adjustments, which include only normal recurring adjustments, necessary for the fair statement of the Company’s financial position as of March 31, 2021 and the results of its operations and its cash flows for the three months ended March 31, 2021. The financial data and other information disclosed in these notes related to the three months ended March 31, 2021 are also unaudited. The results for the three months ended March 31, 2021 are not necessarily indicative of results to be expected for the year ending December 31, 2021, any other interim periods, or any future year or period.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preferred stock or in stockholders’ deficit as a reduction of additional paid-in capital generated as a result of the offering. Should the in-process equity financing be abandoned, the deferred offering costs would be expensed immediately as a charge to operating expenses in the consolidated statement of operations and comprehensive loss. The Company had no deferred offering costs recorded as of December 31, 2020. As of March 31, 2021 (unaudited), the Company had deferred offering costs totaling $0.1 million.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 Significant Suppliers and License Rights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of cash and cash equivalents. The Company invests its excess cash in money market funds that are subject to minimal credit and market risks. The Company maintains its cash and cash equivalents at one accredited financial institution that it believes is creditworthy. From time to time, these deposits may exceed federally insured limits. The Company has not experienced any losses historically in these accounts. Accordingly, the Company does not believe it is exposed to unusual credit risk related to its cash and cash equivalents beyond the normal credit risk associated with commercial banking relationships.</w:t>
      </w:r>
    </w:p>
    <w:p>
      <w:pPr>
        <w:spacing w:after="0" w:line="161"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Company is dependent on third-party organizations to manufacture and process its product candidates for its development programs. In particular, the Company relies on a single third-party contract manufacturer to produce and process its current product candidate, ADG20, and to manufacture supply of its current product candidate for preclinical and clinical activities (see Note 7). The Company also currently relies on this same third-party contract manufacturer for any anticipated requirements of commercial supply. The Company expects to continue to be dependent on a small number of manufacturers to supply it with its requirements for all products. The Company’s research and development programs, including any associated potential commercialization efforts, could be adversely affected by a significant interruption in the supply of the necessary materials.</w:t>
      </w:r>
    </w:p>
    <w:p>
      <w:pPr>
        <w:spacing w:after="0" w:line="16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Company is dependent on a limited number of third parties that provide license rights used by the Company in the development and potential commercialization of its product candidates and programs. Through December 31, 2020 and March 31, 2021 (unaudited), the Company’s research and development programs primarily relate to rights conveyed by Adimab (see Note 6). The Company could experience delays in the development and potential commercialization of its product candidates and programs if the Adimab license arrangement or any other license agreement utilized in the Company’s research and development activities 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terminated, if the Company fails to meet the obligations required under its arrangements, or if the Company is unable to successfully secure new strategic alliances or licensing agreements.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acquisition date to be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Certain assets of the Company are carried at fair value under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Company’s cash equivalents are carried at fair value, determined according to the fair value hierarchy described above (see Note 3). The carrying values of the Company’s accounts payable and accrued expenses approximate their fair values due to the short-term nature of these liabilities.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trials as well as to manufacture research and development materials for use in such studies and trials; salaries and related personnel costs; stock-based compensation; consultant fees; and third-party license fees.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Company has entered into various research, development and manufacturing contracts with third-party service providers, including contract research organizations and contract manufacturing organizations. With the exception of the Company’s manufacturing arrangement with WuXi Biologics (Hong Kong) Limited (see Note 6), these agreements are generally cancelable.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 Acquisitions and Acquired In-Process Research and Development Expenses</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Acquired IPR&amp;D expense recognized for the period from June 3, 2020 (inception) to December 31, 2020 consisted of the upfront consideration paid in connection with the Company’s acquisition of assigned rights and an intellectual property license from Adimab and other in-licensing arrangements executed during the period (see Note 6). Acquired IPR&amp;D expense recognized for the three months ended March 31, 2021 consisted solely of the payment due for a milestone achieved under the Adimab arrangement (see Note 6).</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and Accretion of Convertible Preferred Stock</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Company’s convertible preferred stock is classified outside of stockholders’ deficit on the consolidated balance sheets because the holders of such shares have liquidation rights in the event of a deemed liquidation that, in certain situations, is not solely within the control of the Company and would require the redemption of the then-outstanding convertible preferred stock. The Company’s Series A and Series B convertible preferred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stock are not redeemable, except in the event of deemed liquidation (see Note 8).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issued awards with only service-based vesting conditions through December 31, 2020 and March 31, 2021 (unaudited).</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17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165"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2020 and March 31, 2021 (unaudited).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consolidated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 Company also considers the shares 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8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outstanding stock options, convertible preferred stock and unvested restricted common stock are considered potential dilutive common shares.</w:t>
      </w:r>
    </w:p>
    <w:p>
      <w:pPr>
        <w:spacing w:after="0" w:line="166"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 xml:space="preserve">In July 2017, the Financial Accounting Standards Board (“FASB”) issued Accounting Standards Update (“ASU”) No. 2017-11, </w:t>
      </w:r>
      <w:r>
        <w:rPr>
          <w:rFonts w:ascii="Arial" w:cs="Arial" w:eastAsia="Arial" w:hAnsi="Arial"/>
          <w:sz w:val="17"/>
          <w:szCs w:val="17"/>
          <w:i w:val="1"/>
          <w:iCs w:val="1"/>
          <w:color w:val="auto"/>
        </w:rPr>
        <w:t>Earnings 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 (Topic 260), Distinguishing Liabilities from Equity (Topic 480) and Derivatives and 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(“ASU 2017-11”). Part I of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6"/>
          <w:szCs w:val="16"/>
          <w:color w:val="auto"/>
        </w:rPr>
        <w:t>(such as warrants and convertible instruments) with down round features that require fair value measurement of the entire instrument or conversion option. Pursuant to the amendments in Part I of this update, when determining whether certain financial instruments should be classified as liabilities or equity instruments, a down round feature no longer precludes equity classification when assessing whether the instrument is indexed to an entity’s own stock. Part II of this update replaces the indefinite deferral for certain mandatorily redeemable noncontrolling interests and mandatorily redeemable financial instruments of nonpublic entities contained within ASC No. 480 with a scope exception. The amendments in Part II of this update do not have an accounting effect. For public entities, ASU 2017-11 was required to be adopted for annual periods beginning after December 15, 2018, including interim periods within those fiscal years. For nonpublic entities, ASU 2017-11 is effective for annual periods beginning after December 15, 2019, and interim periods within fiscal years beginning after December 15, 2020. Early adoption was permitted. The Company adopted ASU 2017-11 on June 3, 2020 (inception) and the adoption did not have a material impact on the Company’s consolidated financial statements.</w:t>
      </w:r>
    </w:p>
    <w:p>
      <w:pPr>
        <w:spacing w:after="0" w:line="16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(“ASU 2018-07”). ASU 2018-07 is intended to simplify several aspects of the accounting for non-employee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ASU 2018-07 expands the scope of ASC 718 to include share-based payments issued to non-employees for goods and services. Under ASU 2018-07, entities should apply the requirements of ASC 718 to non-employee awards except for specific guidance on inputs to an option pricing model and the attribution of compensation cost. Accordingly, the accounting for share-based payments to employees and non-employees will be substantially aligned based on this update. The cost of non-employee awards is recorded as if the grantor had paid cash for the goods or services. For public entities, ASU 2018-07 was required to be adopted for annual periods beginning after December 15, 2018, including interim periods within those fiscal years. For nonpublic entities, ASU 2018-07 is effective for annual periods beginning after December 15, 2019, and interim periods within fiscal years beginning after December 15, 2020. Early adoption is permitted. The Company adopted ASU 2018-07 on June 3, 2020 (inception) and the adoption did not have a material impact on the Company’s consolidated financial statements.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7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or “ASC 842”), as subsequently amended. ASC 842 sets forth the principles for the recognition, measurement, presentation and disclosure of leases for both parties to a contract (i.e., lessees and lessors). ASC 842 replaces the existing guidance in ASC No.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ASC 842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In addition, a lessee is also required to record (i) a right-of-use asset and a lease liability on its balance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 xml:space="preserve">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ASC 842 also requires lessees and lessors to disclose key information about their leasing transactions.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entities. For public entities, ASU 2016-02 was effective for annual periods beginning after December 15, 2018, including interim periods within those fiscal years. In June 2020, the FASB issued ASU No. 2020-05, </w:t>
      </w:r>
      <w:r>
        <w:rPr>
          <w:rFonts w:ascii="Arial" w:cs="Arial" w:eastAsia="Arial" w:hAnsi="Arial"/>
          <w:sz w:val="16"/>
          <w:szCs w:val="16"/>
          <w:i w:val="1"/>
          <w:iCs w:val="1"/>
          <w:color w:val="auto"/>
        </w:rPr>
        <w:t>Revenue from Contracts with Customers (Topic 606) and Leases (Topic 842): Effective Dates for Certain Entities</w:t>
      </w:r>
      <w:r>
        <w:rPr>
          <w:rFonts w:ascii="Arial" w:cs="Arial" w:eastAsia="Arial" w:hAnsi="Arial"/>
          <w:sz w:val="16"/>
          <w:szCs w:val="16"/>
          <w:color w:val="auto"/>
        </w:rPr>
        <w:t xml:space="preserve"> (“ASU 2020-05”), which delayed the adoption date of ASU 2016-02 for nonpublic entities. For nonpublic entities, ASU 2016-02 is effective for annual periods beginning after December 15, 2021, including interim periods within annual periods beginning after December 15, 2022. Early adoption is permitted, including in an interim period. Entities are required to adopt ASC 842 using a modified retrospective transition method.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and also issued subsequent amendments to the initial guidance: ASU 2018-19, ASU 2019-04 and ASU 2019-05</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“Topic 326”). The main objective of this update is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guidance with a methodology that reflects expected credit losses and requires consideration of a broader range of reasonable and supportable information to inform credit loss estimates. Under ASU 2016-13, expected credit losses relating to financial assets measured on an amortized cost basis and available-for-sale debt securities are required to be recorded through an allowance for credit losses. The update also limits the amount of credit losses to be recognized for available-for-sale debt securities to the amount by which the carrying value exceeds fair value. The measurement of expected credit losses will be based on relevant information about past events, including historical experience, current conditions and reasonable and supportable forecasts that affect the collectability of the reported amount. ASU 2016-13 also establishes additional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Early adoption is permitted. In November 2019, the FASB issued ASU No. 2019-10, which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17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The amendments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ASU 2018-15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update requires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 xml:space="preserve">entities in a hosting arrangement that is a service contract to follow the guidance in 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xml:space="preserve"> (“ASC 350-40”) to determine which implementation costs to capitalize as an asset related to the service contract and which costs to expense. Costs to develop or obtain internal-use software that cannot be capitalized under ASC 350-40, such as training costs and certain data conversion costs, also cannot be capitalized for a hosting arrangement that is a service contract. Therefore, an entity in a hosting arrangement that is a service contract determines which project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ASU 2018-15 also requires entities to expense the capitalized implementation costs of a hosting arrangement that is a service contract over the term of the hosting arrangement. ASU 2018-15 was effective for public entities for annual periods beginning after December 15, 2019, including interim periods within those fiscal years. For nonpublic entities, ASU 2018-15 is effective for annual reporting periods beginning after December 15, 2020, and interim periods within annual periods beginning after December 15, 2021. Early adoption is permitted, including adoption in any interim period. ASU 2018-15 is applied either retrospectively or prospectively to all implementation costs incurred after the date of adoption.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ASU 2019-12 eliminates certain exceptions related to the approach for intraperiod tax allocation, the methodology for calculating income taxes in an interim period and the recognition of deferred tax liabilities for outside basis differences. The update also clarifies and simplifies other aspects of the accounting for income taxes. For public entities, ASU 2019-12 is required to be adopted for annual periods beginning after December 15, 2020, including interim periods within those fiscal years. For nonpublic entities, ASU 2019-12 is effective for annual periods beginning after December 15, 2021, and interim periods within fiscal years beginning after December 15, 2022. Early adoption is permitted, including adoption in any interim period for which financial statements have not yet been issued or made available for issuance. An entity that elects to early adopt the update in an interim period should reflect any adjustments as of the beginning of the annual period that includes that interim period. Additionally, an entity that elects early adoption must adopt all the amendments in the update in the same period.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Hedging—Contracts in Entity’s Own Equity (Subtopic 815-40): Accounting for Convertible Instruments and Contracts in an Entity’s Own Equity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2020-06”). ASU 2020-06 was issued to reduce the complexity associated with accounting for certain financial instruments with characteristics of liabilities and equity. ASU 2020-06 reduces the number of accounting models for convertible debt instruments and convertible preferred stock and improves the disclosures for convertible instruments and related earnings per share guidance. ASU 2020-06 also amends the guidance for the derivatives scope exception for contracts in an entity’s own equity and improves and amends the related earnings per share guidance. For public entities that qualify as a filer with the Securities and Exchange Commission, excluding entities eligible to be smaller reporting companies, ASU 2020-06 is effective for fiscal annual periods beginning after December 15, 2021, including interim periods within those fiscal years. For nonpublic entities, ASU 2020-06 is effective for fiscal years beginning after December 15, 2023, including interim periods within those fiscal years. Early adoption is permitted, but no earlier than fiscal years beginning after December 15, 2020, including interim periods within those fiscal years. ASU 2020-06 must be adopted as of the beginning of its annual fiscal year. ASU 2020-06 may be adopted through either a modified retrospective method of transition or a fully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retrospective method of transition. The Company is currently evaluating the potential impact that the adoption of this standard may have on its consolidated financial statements and related disclosures.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1"/>
              </w:rPr>
              <w:t>December 31, 2020 Using:</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39,006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94"/>
              </w:rPr>
              <w:t>March 31, 2021 (unaudited) Using:</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r>
      <w:tr>
        <w:trPr>
          <w:trHeight w:val="223"/>
        </w:trPr>
        <w:tc>
          <w:tcPr>
            <w:tcW w:w="7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money market fund was valued by the Company based on quoted market prices, which represent a Level 1 measurement within the fair value hierarchy. There were no changes to the valuation methods for the period from June 3, 2020 (inception) to December 31, 2020 and for the three months ended March 31, 2021 (unaudited). The Company evaluates transfers between levels at the end of each reporting period. There were no transfers between Level 1 or Level 2 during the period from June 3, 2020 (inception) to December 31, 2020 and the three months ended March 31, 2021 (unaudited).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5"/>
              </w:rPr>
              <w:t>Prepaid external research, development and manufacturing costs</w:t>
            </w:r>
          </w:p>
        </w:tc>
        <w:tc>
          <w:tcPr>
            <w:tcW w:w="402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r>
      <w:tr>
        <w:trPr>
          <w:trHeight w:val="27"/>
        </w:trPr>
        <w:tc>
          <w:tcPr>
            <w:tcW w:w="4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3,627</w:t>
            </w:r>
          </w:p>
        </w:tc>
      </w:tr>
      <w:tr>
        <w:trPr>
          <w:trHeight w:val="20"/>
        </w:trPr>
        <w:tc>
          <w:tcPr>
            <w:tcW w:w="4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4020" w:type="dxa"/>
            <w:vAlign w:val="bottom"/>
            <w:gridSpan w:val="2"/>
          </w:tcPr>
          <w:p>
            <w:pPr>
              <w:ind w:left="360"/>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external research, development and manufacturing costs</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15,774</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professional and consultant fees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1,084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7"/>
        </w:trPr>
        <w:tc>
          <w:tcPr>
            <w:tcW w:w="6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17,360</w:t>
            </w:r>
          </w:p>
        </w:tc>
      </w:tr>
      <w:tr>
        <w:trPr>
          <w:trHeight w:val="20"/>
        </w:trPr>
        <w:tc>
          <w:tcPr>
            <w:tcW w:w="6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In July 2020, the Company entered into an Assignment and License Agreement with Adimab (“Adimab Assignment Agreement”). Under the terms of the agreement, Adimab assigned to the Company all rights, title and interest in and to certain of its coronavirus-specific antibodies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19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4,250,000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the second Product under the agreement that achieves such specified milestones. The maximum aggregate amount of milestone payments payable under the agreement for any and all Products is $24.6 million; however, milestone payments do not accrue for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consisting of or containing CoV Antibodies.</w:t>
      </w:r>
    </w:p>
    <w:p>
      <w:pPr>
        <w:spacing w:after="0" w:line="184"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In February 2021, the Company achieved the first specified milestone under the agreement upon dosing of the first patient in a Phase 1 clinical trial evaluating ADG20, which obligated the Company to make a $1.0 million milestone payment to Adimab. In April 2021, the Company achieved the second specified milestone under the agreement upon dosing of the first patient in a Phase 2 clinical trial evaluating ADG20 for the prevention of COVID-19, which obligated the Company to make a $2.5 million milestone payment. The Company recognized the expense related to the expected achievement of the second milestone in early April, when certain Phase 1 clinical trial data was submitted to the FDA for review and the second milestone under the agreement became probable of achievement. The next potential milestone payment that the Company may be obligated to make under the agreement is a $4.0 million milestone payment for the first dosing of the first subject in the first Phase 3 clinical trial of a Product.</w:t>
      </w:r>
    </w:p>
    <w:p>
      <w:pPr>
        <w:spacing w:after="0" w:line="166"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Company is also obligated to pay Adimab royalties of a mid 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which was paid by the Company to Adimab in March 2021, no other milestone, royalty or other contingent payments had become due to Adimab through December 31, 2020 or March 31, 2021 (unaudited).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Either party may terminate the agreement in the event of a material breach by the other party that is not cured within specified periods, except that after the initiation of the first clinical trial of a Product,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164"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was recognized as acquired in-process research and development expense. For the period from June 3, 2020 (inception) to December 31, 2020 and for the three months ended March 31, 2021 (unaudited), the Company recognized $39.9 million and $1.0 million, respectively, as IPR&amp;D expense in connection with upfront consideration and contingent consideration payable under the Adimab Assignment Agreement.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4,250,000 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date. As of that date and before allocation, the Company determined that the fair value of the repurchased common stock was $85,000, based on the results of a third-party valuation, and that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Amounts paid with respect to services performed by Adimab on the Company’s behalf under the Adimab Assignment Agreement are recognized as research and development expense as such amounts are incurred. For the period from June 3, 2020 (inception) to December 31, 2020 and for the three months ended March 31, 2021 (unaudited), the Company recognized $0.6 million and $0.2 million, respectively, of expense in connection with services provided by Adimab.</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WuXi Cell Line License Agreement</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Company was obligated to pay an upfront fee of $0.2 million to WuXi upon completion of cell bank generation for the first Licensed Cell Line created under the arrangement. Such amount became due in December 2020 and was an accrued expense as of December 31, 2020 and March 31, 2021 (unaudited). The Company is also obligated to pay royalties of a low single-digit percentage to WuXi based on net sales of any Licensed Products manufactured by the Company or a third party on its behalf. However, if the Company uses WuXi to manufacture all of its commercial supplies, no royalties would be owed by the Company to WuXi for net sales of Licensed Products. The Company has an option to buy out its royalty obligations on a Licensed Cell Line-by-Licensed Cell Line basis by making a specified one-time payment to WuXi of a low eight-digit amount. Royalties are due on a Licensed Product-by-Licensed Product basis commencing on the date of the first commercial sale of the applicable product and continue for so long as the Company commercializes Licensed Products or until the Company exercises its option to buy out the royalty obligations. Through December 31, 2020 and March 31, 2021 (unaudited), no royalties had become due to WuXi.</w:t>
      </w:r>
    </w:p>
    <w:p>
      <w:pPr>
        <w:spacing w:after="0" w:line="18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Cell Line License Agreement remains in effect until it is terminated. The Company may terminate the Cell Line License Agreement at any time with notice to WuXi. WuXi may terminate the Cell Line License Agreement in the event the Company fails to make a payment when due under the arrangement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arrangement, provided that the Company continues to pay its royalty obligations, if any.</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concluded that the Cell Line License Agreement represented an asset acquisition of IPR&amp;D with no alternative future use. The arrangement did not qualify as a business combination because substantially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250" w:lineRule="exact"/>
        <w:rPr>
          <w:sz w:val="20"/>
          <w:szCs w:val="20"/>
          <w:color w:val="auto"/>
        </w:rPr>
      </w:pPr>
    </w:p>
    <w:p>
      <w:pPr>
        <w:ind w:left="560" w:right="8300" w:hanging="444"/>
        <w:spacing w:after="0" w:line="453" w:lineRule="auto"/>
        <w:tabs>
          <w:tab w:leader="none" w:pos="300" w:val="left"/>
        </w:tabs>
        <w:numPr>
          <w:ilvl w:val="0"/>
          <w:numId w:val="14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License Agreements</w:t>
      </w:r>
    </w:p>
    <w:p>
      <w:pPr>
        <w:ind w:left="560"/>
        <w:spacing w:after="0"/>
        <w:rPr>
          <w:rFonts w:ascii="Arial" w:cs="Arial" w:eastAsia="Arial" w:hAnsi="Arial"/>
          <w:sz w:val="15"/>
          <w:szCs w:val="15"/>
          <w:b w:val="1"/>
          <w:bCs w:val="1"/>
          <w:color w:val="auto"/>
        </w:rPr>
      </w:pPr>
      <w:r>
        <w:rPr>
          <w:rFonts w:ascii="Arial" w:cs="Arial" w:eastAsia="Arial" w:hAnsi="Arial"/>
          <w:sz w:val="18"/>
          <w:szCs w:val="18"/>
          <w:color w:val="auto"/>
        </w:rPr>
        <w:t>The Company has entered into license agreements with Adimab and WuXi (see Note 6).</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December 2020, the Company entered into a Commercial Manufacturing Services Agreement with WuXi (the “Commercial Manufacturing Agreement”). The Commercial Manufacturing Agreement outlines the terms and conditions under which WuXi will manufacture ADG20 drug substance for commercial use.</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As of December 31, 2020 and March 31, 2021 (unaudited), the Company committed to minimum non-cancelable purchase obligations of $142.4 million related to batches of ADG20 drug substance and $0.5 million related to certain services with respect to the product requirements for 2021 and 2022, the payments for which will extend into 2023. Future minimum payments under non-cancelable purchase obligations associated with the Commercial Manufacturing Agreement as of December 31, 2020 are expected to be as follows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21,799</w:t>
            </w:r>
          </w:p>
        </w:tc>
        <w:tc>
          <w:tcPr>
            <w:tcW w:w="6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66,972</w:t>
            </w:r>
          </w:p>
        </w:tc>
        <w:tc>
          <w:tcPr>
            <w:tcW w:w="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54,094</w:t>
            </w:r>
          </w:p>
        </w:tc>
        <w:tc>
          <w:tcPr>
            <w:tcW w:w="6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142,865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December 31, 2020 and March 31, 2021 (unaudited), the Company had neither made any payments under the Commercial Manufacturing Agreement nor made any incremental purchases under the Commercial Manufacturing Agreement.</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Company has agreements with third parties that it enters into in the ordinary course of business for various products and services, including those related to research, preclinical and clinical operations, manufacturing and support. These contracts do not contain any minimum purchase commitments. Certain of these agreements provide for termination rights subject to the payment of termination fees and/or wind-down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2020 and March 31, 2021 (unaudited), the Company was not a party to any material legal proceedings.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Convertible Preferred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has issued Series A Preferred Stock and Series B convertible preferred stock (the “Series B Preferred Stock” and, together with the Series A Preferred Stock, the “Preferred Stock”).</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6).</w:t>
      </w:r>
    </w:p>
    <w:p>
      <w:pPr>
        <w:spacing w:after="0" w:line="18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In October and November 2020, the Company issued and sold 1,410,434 shares of Series B Preferred Stock, at a price of $56.72 per share, for gross proceeds of $80.0 million and incurred $0.2 million of issuance costs.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 issued and sold 4,296,550 shares of Series C convertible preferred stock, at a purchase price of $78.09 per share, for aggregate gross proceeds of $335.5 million (see Note 15).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balance sheet dates, Preferred Stock consisted of the following (in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93"/>
              </w:rPr>
              <w:t>December 31, 2020 and March 31, 2021 (unaudited)</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Shares Issued</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Liquidation</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1,410,434</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1,410,434</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79,842</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1,410,434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12,647,934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12,647,934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169,548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169,900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12,647,934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holders of the Preferred Stock are entitled to vote, together with the holders of common stock, on matters submitted to stockholders for a vote. Each holder of Preferred Stock is entitled to the number of votes equal to the number of whole shares of common stock into which the shares of Preferred Stock held by such holder is convertible as of the record date for determination of stockholders entitled to vote. The holders of Preferred Stock vote together with the holders of common stock as a single class on an as-converted basis. At any time when there are at least 2,250,000 shares of Series A Preferred Stock or at least 300,000 shares of Series B Preferred Stock (in each case, subject to appropriate adjustment in the event of any stock dividend, stock split, combination or other similar recapitalization) outstanding, certain actions such as mergers, acquisition, liquidation, dissolution, winding-up of the business, and deemed liquidation events, must be approved by a majority in voting power of the outstanding shares of Preferred Stock, voting as a single class.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the holders of shares of Series A Preferred Stock, voting exclusively and as a separate class, are entitled to elect four directors of the Company. The holders of shares of common stock and any other class or series of voting stock (including the Preferred Stock), exclusively and voting together as a single class, are entitled to elect the balance of the total number of directors of the Company.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Each share of Preferred Stock is convertible at the option of the holder, at any time, and without the payment of additional consideration by the holder. In addition, each share of Preferred Stock will be automatically converted into shares of common stock at the then-effective applicable conversion ratio upon either (i) the closing of a firm commitment public offering of common stock at a price of at least $85.08 per share (subject to appropriate adjustment in the event of any stock dividend, stock split, combination or other similar recapitalization), or (ii) the date specified by vote or written consent of the holders of a majority in voting power of the outstanding shares of Preferred Stock, voting as a single class.</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conversion ratio of each series of Preferred Stock is determined by dividing the Original Issue Price of each series by the Conversion Price of each series. The Original Issue Price is $8.00 per share for the Series A Preferred Stock and $56.72 per share for the Series B Preferred Stock. The Conversion Price is $8.00 per share for the Series A Preferred Stock and $56.72 per share for the Series B Preferred Stock (in each case subject to appropriate adjustment in the event of any stock dividend, stock split, combination or other similar recapitalization and other adjustments as set forth in the Company’s certificate of incorporation, as amended and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restated). As of December 31, 2020 and March 31, 2021 (unaudited), each share of Preferred Stock was convertible into common stock on a one-for-one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Company may not declare, pay or set aside any dividends on shares of any other class or series of capital stock (other than dividends on shares of common stock payable in shares of common stock) unless the holders of the Preferred Stock then outstanding first receive, or simultaneously receive, a dividend on each outstanding share of Preferred Stock in an amount at least equal to (i) in the case of a dividend being distributed to common stock or any class or series that is convertible into common stock, the equivalent dividend on an as-converted basis or (ii) in the case of a dividend being distributed on a class or series that is not convertible into common stock, a dividend equal to a dividend rate on each series of Preferred Stock calculated based on the respective Original Issue Price of each series of Preferred Stock. If the Company declares, pays or sets aside dividends on more than one class or series of capital stock, then the dividend payable to the holders of Preferred Stock will be calculated based on the dividend on the class or series of capital stock that would result in the highest dividend to the holders of Preferred Stock. Through December 31, 2020 and March 31, 2021 (unaudited), no dividends had been declared or paid by the Company.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 xml:space="preserve">In the event of any voluntary or involuntary liquidation, dissolution or winding up of the Company, or upon the occurrence of a Deemed Liquidation Event (as defined below), the holders of shares of Preferred Stock then outstanding are entitled,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be paid out of the assets or funds of the Company available for distribution to stockholders before any payment is made to the holders of common stock. The holders of Preferred Stock are entitled to an amount per share equal to the greater of (i) the applicable Original Issue Price of such series of Preferred Stock, plus any dividends declared but unpaid thereon, or (ii) the amount that would have been payable had all shares of each series of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holders of shares of Preferred Stock the full amount to which they are entitled, then the holders of shares of Preferred Stock will share ratably in any distribution of the assets or funds available for distribution in proportion to the respective amounts which would otherwise be payable if it were paid in full.</w:t>
      </w:r>
    </w:p>
    <w:p>
      <w:pPr>
        <w:spacing w:after="0" w:line="16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Unless (i) the holders of a majority in voting power of the outstanding shares of Preferred Stock and (ii) with respect to the Series B Preferred Stock only, the holders of at least 65% of the outstanding shares of Series B Preferred Stock,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Preferred Stock does not have redemption rights, except for the contingent redemption upon the occurrence of a Deemed Liquidation Event.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voting, dividend and liquidation rights of the holders of shares of the Company’s common stock are subject to and qualified by the rights, powers and preferences of the holders of the Preferred Stock set forth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above. Each share of common stock entitles the holder to one vote for each share of common stock, together with the holders of Preferred Stock, on all matters submitted to the stockholders for a vote.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December 31, 2020 and March 31, 2021 (unaudited), the Company had reserved 16,093,347 shares of common stock for the potential conversion of shares of Preferred Stock into common stock, the exercise of outstanding stock options and the issuance of awards available for grant under the 2020 Equity Incentive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In June 2020, the Company issued and sold 4,250,000 shares of its common stock to Adimab upon formation of the Company for $0.0001 per share, equal to the par value of the common stock.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December 31, 2020 and March 31, 2021 (unaudited), the shares of common stock repurchased from Adimab were recorded as treasury stock in the accompanying consolidated balance sheets and consolidated statements of convertible preferred stock and stockholders’ deficit as such shares were not retired. The fair value of the repurchased common stock was $0.02 per share, or $85,000 in the aggregate, as determined based on a third-party valuation (see Note 6).</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April and May 2021, an aggregate of 4,520,000 shares of common stock held in treasury were retired (see Note 15).</w:t>
      </w:r>
    </w:p>
    <w:p>
      <w:pPr>
        <w:spacing w:after="0" w:line="329" w:lineRule="exact"/>
        <w:rPr>
          <w:sz w:val="20"/>
          <w:szCs w:val="20"/>
          <w:color w:val="auto"/>
        </w:rPr>
      </w:pPr>
    </w:p>
    <w:p>
      <w:pPr>
        <w:ind w:left="560" w:right="8560" w:hanging="444"/>
        <w:spacing w:after="0" w:line="425" w:lineRule="auto"/>
        <w:tabs>
          <w:tab w:leader="none" w:pos="389"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2020 Equity Incentive Plan</w:t>
      </w:r>
    </w:p>
    <w:p>
      <w:pPr>
        <w:jc w:val="both"/>
        <w:ind w:left="120" w:firstLine="440"/>
        <w:spacing w:after="0" w:line="255" w:lineRule="auto"/>
        <w:rPr>
          <w:sz w:val="20"/>
          <w:szCs w:val="20"/>
          <w:color w:val="auto"/>
        </w:rPr>
      </w:pPr>
      <w:r>
        <w:rPr>
          <w:rFonts w:ascii="Arial" w:cs="Arial" w:eastAsia="Arial" w:hAnsi="Arial"/>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number of shares of common stock initially reserved for issuances under the 2020 Plan was 1,985,294 shares. In October 2020, the Company’s board of directors increased the number of shares of common stock reserved for issuance under the plan from 1,985,294 shares to 4,564,061 shares. Accordingly, there were a total of 4,564,061 shares of common stock authorized for issuance under the 2020 Plan at December 31, 2020 and March 31, 2021 (unaudited). Shares of unused common stock that cover awards that expire or lapse or are terminated, surrendered or canceled without having been fully exercised or are forfeited will again be available for the grant of awards under the 2020 Plan. As of December 31, 2020 and March 31, 2021 (unaudited), there were 2,851,799 shares and 2,372,199 shares, respectively, remaining available for future grant under the 2020 Plan.</w:t>
      </w:r>
    </w:p>
    <w:p>
      <w:pPr>
        <w:spacing w:after="0" w:line="16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The Company’s board of directors determines the fair value the Company’s common stock, taking into consideration its most recently available valuation of common stock performed by third parties as well as additional factors which may have changed since the date of the most recent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presents, on a weighted-average basis, the assumptions used in the Black-Scholes option-pricing model to determine the fair value of stock options granted: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4"/>
              </w:rPr>
              <w:t>Period from</w:t>
            </w: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1"/>
              </w:rPr>
              <w:t>December 31, 2020</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4"/>
                <w:szCs w:val="24"/>
                <w:color w:val="auto"/>
              </w:rPr>
            </w:pPr>
          </w:p>
        </w:tc>
        <w:tc>
          <w:tcPr>
            <w:tcW w:w="4020" w:type="dxa"/>
            <w:vAlign w:val="bottom"/>
            <w:gridSpan w:val="2"/>
          </w:tcPr>
          <w:p>
            <w:pPr>
              <w:jc w:val="right"/>
              <w:ind w:right="1948"/>
              <w:spacing w:after="0"/>
              <w:rPr>
                <w:sz w:val="20"/>
                <w:szCs w:val="20"/>
                <w:color w:val="auto"/>
              </w:rPr>
            </w:pPr>
            <w:r>
              <w:rPr>
                <w:rFonts w:ascii="Arial" w:cs="Arial" w:eastAsia="Arial" w:hAnsi="Arial"/>
                <w:sz w:val="18"/>
                <w:szCs w:val="18"/>
                <w:color w:val="auto"/>
              </w:rPr>
              <w:t>F-28</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stock option activity since June 3,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3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 2020 (inception)</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1,982,262</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(1,388,648)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593,614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Granted (unaudited)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502,600</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23.04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 (unaudited)</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Forfeited (unaudited)</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23.04</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1,073,214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2020</w:t>
            </w:r>
          </w:p>
        </w:tc>
        <w:tc>
          <w:tcPr>
            <w:tcW w:w="136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3.90</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9.8</w:t>
            </w: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593,614</w:t>
            </w:r>
          </w:p>
        </w:tc>
        <w:tc>
          <w:tcPr>
            <w:tcW w:w="5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2020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Vested and expected to vest at March 31, 2021 (unaudited)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1,073,214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12.45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2021 (unaudited)</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2020 and March 31, 2021 (unaudited), as applicable. All stock options exercised during the period from June 3, 2020 (inception) to December 31, 2020 were made pursuant to awards that contain early-exercise provisions. The intrinsic value of the options that were exercised for the period from June 3, 2020 (inception) to December 31, 2020 was $14,000.</w:t>
      </w:r>
    </w:p>
    <w:p>
      <w:pPr>
        <w:spacing w:after="0" w:line="18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period from June 3, 2020 (inception) to December 31, 2020 and for the three months ended March 31, 2021 (unaudited) was $1.03 and $14.74, respectively, per option.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Company’s restricted stock activity during the period from June 3, 2020 (inception) to December 31, 2020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A summary of the Company’s unvested common stock from option early exercises that is subject to repurchase by the Company is as follows: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w:t>
            </w:r>
          </w:p>
        </w:tc>
      </w:tr>
      <w:tr>
        <w:trPr>
          <w:trHeight w:val="171"/>
        </w:trPr>
        <w:tc>
          <w:tcPr>
            <w:tcW w:w="100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of Shares</w:t>
            </w:r>
          </w:p>
        </w:tc>
      </w:tr>
      <w:tr>
        <w:trPr>
          <w:trHeight w:val="210"/>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at June 3, 2020 (inception)</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Issued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1,388,648</w:t>
            </w: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Repurchased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1,118,648</w:t>
            </w:r>
          </w:p>
        </w:tc>
        <w:tc>
          <w:tcPr>
            <w:tcW w:w="140" w:type="dxa"/>
            <w:vAlign w:val="bottom"/>
            <w:shd w:val="clear" w:color="auto" w:fill="CCEEFF"/>
          </w:tcPr>
          <w:p>
            <w:pPr>
              <w:spacing w:after="0"/>
              <w:rPr>
                <w:sz w:val="18"/>
                <w:szCs w:val="18"/>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Issued (unaudited)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(unaudited)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Repurchased (unaudited)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at March 31, 2021 (unaudited)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1,118,648</w:t>
            </w:r>
          </w:p>
        </w:tc>
      </w:tr>
      <w:tr>
        <w:trPr>
          <w:trHeight w:val="20"/>
        </w:trPr>
        <w:tc>
          <w:tcPr>
            <w:tcW w:w="10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December 31, 2020 and March 31, 2021 (unaudited), the liability related to the payments for unvested shares from early-exercised options was $11,000 at each date.</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December 2020, the Company repurchased 270,000 shares of restricted common stock for $2,700, which was recorded as a reduction of the early-exercise liability and as shares of treasury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consolidated statements of operations and comprehensive loss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Period from</w:t>
            </w:r>
          </w:p>
        </w:tc>
        <w:tc>
          <w:tcPr>
            <w:tcW w:w="54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5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As of December 31, 2020, total unrecognized stock-based compensation cost related to unvested awards was $1.9 million and the weighted-average period over which such expense is expected to be recognized is 3.5 years. As of March 31, 2021 (unaudited), total unrecognized stock-based compensation cost related to unvested awards was $8.4 million and the weighted-average period over which such expense is expected to be recognized is 3.3 years.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During the period from June 3, 2020 (inception) to December 31, 2020 and three months ended March 31, 2021 (unaudited), the Company did not record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March 2020, the Coronavirus Aid, Relief, and Economic Security (“CARES”) Act was enacted. Among the business provisions, the CARES Act provided for various payroll tax incentives, changes to net operating loss carryback and carryforward rules, business interest expense limitation increases, and bonus depreciation on qualified improvement property. The Company determined that the CARES Act did not have a significant impact on its provision for income taxes.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9600" w:type="dxa"/>
            <w:vAlign w:val="bottom"/>
          </w:tcPr>
          <w:p>
            <w:pPr>
              <w:spacing w:after="0"/>
              <w:rPr>
                <w:sz w:val="12"/>
                <w:szCs w:val="12"/>
                <w:color w:val="auto"/>
              </w:rPr>
            </w:pPr>
          </w:p>
        </w:tc>
        <w:tc>
          <w:tcPr>
            <w:tcW w:w="14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0" w:type="dxa"/>
            <w:vAlign w:val="bottom"/>
          </w:tcPr>
          <w:p>
            <w:pPr>
              <w:spacing w:after="0"/>
              <w:rPr>
                <w:sz w:val="1"/>
                <w:szCs w:val="1"/>
                <w:color w:val="auto"/>
              </w:rPr>
            </w:pPr>
          </w:p>
        </w:tc>
      </w:tr>
      <w:tr>
        <w:trPr>
          <w:trHeight w:val="148"/>
        </w:trPr>
        <w:tc>
          <w:tcPr>
            <w:tcW w:w="9600" w:type="dxa"/>
            <w:vAlign w:val="bottom"/>
          </w:tcPr>
          <w:p>
            <w:pPr>
              <w:spacing w:after="0"/>
              <w:rPr>
                <w:sz w:val="12"/>
                <w:szCs w:val="12"/>
                <w:color w:val="auto"/>
              </w:rPr>
            </w:pPr>
          </w:p>
        </w:tc>
        <w:tc>
          <w:tcPr>
            <w:tcW w:w="14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State income taxes, net of federal benefit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and state research and development tax credits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Non-deductible IPR&amp;D expense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tax asset valuation allowance</w:t>
            </w: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440"/>
              <w:spacing w:after="0"/>
              <w:rPr>
                <w:sz w:val="20"/>
                <w:szCs w:val="20"/>
                <w:color w:val="auto"/>
              </w:rPr>
            </w:pPr>
            <w:r>
              <w:rPr>
                <w:rFonts w:ascii="Arial" w:cs="Arial" w:eastAsia="Arial" w:hAnsi="Arial"/>
                <w:sz w:val="18"/>
                <w:szCs w:val="18"/>
                <w:color w:val="auto"/>
              </w:rPr>
              <w:t>The Company’s net deferred tax assets consisted of the following (in thousands):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credits carryforwards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Valuation allowance</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As of December 31, 2020, the Company had U.S. federal net operating loss carryforwards of $24.4 million, which may be available to reduce future taxable income. All of the U.S. federal net operating loss carryforwards have an indefinite carryforward period but are limited in their usage to an annual deduction equal to 80% of annual taxable income. In addition, as of December 31, 2020, the Company had state net operating loss carryforwards of $3.7 million, which may be available to reduce future taxable income, of which $0.3 million have an indefinite carryforward period while the remaining $3.4 million begin to expire in 2040. As of December 31, 2020, the Company also had U.S. federal and state research and development tax credit carryforwards of $0.1 million and $16,000, respectively, which may be available to reduce future tax liabilities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ind w:left="120" w:right="3160" w:firstLine="3150"/>
        <w:spacing w:after="0" w:line="454" w:lineRule="auto"/>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and expire at various dates beginning in 2040 and 2035, respectively.</w:t>
      </w:r>
    </w:p>
    <w:p>
      <w:pPr>
        <w:spacing w:after="0" w:line="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Utilization of the U.S. federal and state net operating loss carryforwards and research and development tax credit carryforwards may be subject to a substantial annual limitation under Sections 382 and 383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their utilization. Further, until a study is completed by the Company and any limitation is known, no amounts are being presented as an uncertain tax position.</w:t>
      </w:r>
    </w:p>
    <w:p>
      <w:pPr>
        <w:spacing w:after="0" w:line="16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2020 and March 31, 2021 (unaudited). Management reevaluates the positive and negative evidence at each reporting period. During the period from June 3, 2020 (inception) to December 31, 2020, the Company increased its valuation allowance by $5.7 million, with such increase recognized as income tax expense, in order to maintain a full valuation allowance against its deferred tax assets, and there were no changes recorded to the allowance during the period.</w:t>
      </w:r>
    </w:p>
    <w:p>
      <w:pPr>
        <w:spacing w:after="0" w:line="17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financial statements is reduced by the largest benefit that has a greater than 50% likelihood of being realized upon the ultimate settlement with the relevant taxing authority. As of December 31, 2020 and March 31, 2021 (unaudited), the Company had not recorded any reserves for uncertain tax positions or related interest and penalties.</w:t>
      </w:r>
    </w:p>
    <w:p>
      <w:pPr>
        <w:spacing w:after="0" w:line="16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Company files income tax returns in the U.S. federal and various state jurisdictions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Defined Contribution Plan</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maintains a 401(k) Plan (the “401(k) Plan”) for the benefit of eligible employees. The 401(k) Plan is a defined contribution plan under Section 401(k) of the Internal Revenue Code of 1986 that covers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period from June 3, 2020 (inception) to December 31, 2020 and the three months ended March 31, 2021 (unaudited), the Company made contributions of $36,000 and $0.1 million, respectively, to the 401(k)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June 3, 2020</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974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(65,319)</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721,698</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(90.51)</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Net loss per share data is not applicable for the three months ended March 31, 2021 (unaudited) as the Company had no shares of common stock outstanding for accounting purposes during that period. All of the 1,118,648 shares of common stock issued and outstanding as of December 31, 2020 and March 31, 2021 (unaudited) were shares of unvested restricted common stock issued by the Company upon the early exercise of stock options granted in June 2020. As a result, such shares are not considered outstanding for accounting purposes until vested and were excluded from the calculations of basic net loss per share attributable to common stockholders for the period from June 3, 2020 (inception) to December 31, 2020 and for the three months ended March 31, 2021 (unaudited). For the period from June 3, 2020 (inception) to December 31, 2020, the 721,698 shares of common stock outstanding solely reflect the weighted-average period that 4,250,000 shares of common stock repurchased by the Company from Adimab (see Note 6) were outstanding during that period.</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Period from</w:t>
            </w:r>
          </w:p>
        </w:tc>
      </w:tr>
      <w:tr>
        <w:trPr>
          <w:trHeight w:val="148"/>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June 3, 2020</w:t>
            </w:r>
          </w:p>
        </w:tc>
      </w:tr>
      <w:tr>
        <w:trPr>
          <w:trHeight w:val="148"/>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49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12,647,934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6180" w:type="dxa"/>
            <w:vAlign w:val="bottom"/>
            <w:gridSpan w:val="3"/>
          </w:tcPr>
          <w:p>
            <w:pPr>
              <w:jc w:val="right"/>
              <w:ind w:right="60"/>
              <w:spacing w:after="0"/>
              <w:rPr>
                <w:sz w:val="20"/>
                <w:szCs w:val="20"/>
                <w:color w:val="auto"/>
              </w:rPr>
            </w:pPr>
            <w:r>
              <w:rPr>
                <w:rFonts w:ascii="Arial" w:cs="Arial" w:eastAsia="Arial" w:hAnsi="Arial"/>
                <w:sz w:val="18"/>
                <w:szCs w:val="18"/>
                <w:color w:val="auto"/>
              </w:rPr>
              <w:t>593,614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6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1,118,648</w:t>
            </w:r>
          </w:p>
        </w:tc>
      </w:tr>
      <w:tr>
        <w:trPr>
          <w:trHeight w:val="223"/>
        </w:trPr>
        <w:tc>
          <w:tcPr>
            <w:tcW w:w="48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14,360,196</w:t>
            </w:r>
          </w:p>
        </w:tc>
        <w:tc>
          <w:tcPr>
            <w:tcW w:w="6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840" w:type="dxa"/>
            <w:vAlign w:val="bottom"/>
          </w:tcPr>
          <w:p>
            <w:pPr>
              <w:spacing w:after="0"/>
              <w:rPr>
                <w:sz w:val="24"/>
                <w:szCs w:val="24"/>
                <w:color w:val="auto"/>
              </w:rPr>
            </w:pPr>
          </w:p>
        </w:tc>
        <w:tc>
          <w:tcPr>
            <w:tcW w:w="6180" w:type="dxa"/>
            <w:vAlign w:val="bottom"/>
            <w:gridSpan w:val="3"/>
          </w:tcPr>
          <w:p>
            <w:pPr>
              <w:ind w:left="500"/>
              <w:spacing w:after="0"/>
              <w:rPr>
                <w:sz w:val="20"/>
                <w:szCs w:val="20"/>
                <w:color w:val="auto"/>
              </w:rPr>
            </w:pPr>
            <w:r>
              <w:rPr>
                <w:rFonts w:ascii="Arial" w:cs="Arial" w:eastAsia="Arial" w:hAnsi="Arial"/>
                <w:sz w:val="18"/>
                <w:szCs w:val="18"/>
                <w:color w:val="auto"/>
              </w:rPr>
              <w:t>F-33</w:t>
            </w:r>
          </w:p>
        </w:tc>
      </w:tr>
    </w:tbl>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6). As of December 31, 2020 and March 31, 2021 (unaudited), $0.6 million and $0.2 million, respectively, was due to Adimab by the Company. As of December 31, 2020 and March 31, 2021 (unaudited), no amounts were due from Adimab to the Company.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21, 2021, the Company entered into a collaboration agreement with Adimab (see Note 15).</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its consolidated financial statements as of December 31, 2020 for the period from June 3, 2020 (inception) to December 31, 2020 and for its interim consolidated financial statements as of March 31, 2021 and for the three months then ended, the Company evaluated subsequent events through May 21, 2021, the date on which those financial statements were issued.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 of Stock Options under the 2020 Plan</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January 2021, the Company granted options for the purchase of an aggregate of 502,600 shares of common stock, at an exercise price of $23.04 per share. In April 2021, the Company granted options for the purchase of an aggregate of 239,750 shares of common stock, at an exercise price of $41.80 per share. On May 7, 2021, the Company granted options for the purchase of an aggregate of 1,268,348 shares of common stock, at an exercise price of $50.68 per share. The aggregate grant-date fair value of the options granted under these three option grants was $56.3 million, which is expected to be recognized as stock-based compensation expense over a weighted-average period of approximately 3.8 years.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Milestone Achievements under the Adimab Assignment Agreement</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February 2021, the Company dosed the first patient in a Phase 1 clinical trial evaluating ADG20, which resulted in a milestone payment of $1.0 million being due by the Company under the Adimab Assignment Agreement. In March 2021, the Company made the $1.0 million payment to Adimab.</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 dosed the first patient in a Phase 2 clinical trial evaluating ADG20 for the prevention of COVID-19, which resulted in a milestone payment of $2.5 million being due by the Company under the Adimab Assignment Agreement.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Authorized Number of Shares of Common Stock and Preferred Stock</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April 2021, the Company increased the number of shares of common stock authorized for issuance from 19,000,000 shares to 23,251,555 shares and increased the number of shares of preferred stock authorized for issuance from 12,647,934 shares to 16,944,484 shares, of which 4,296,550 shares were designated as Series C convertible preferred stock (the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Shares Reserved for Issuance under the 2020 Plan</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Company’s board of directors increased the number of shares of common stock reserved for issuance under the plan from 4,564,061 shares to 5,850,958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Treasury Stock Retirement</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and May 2021, the Company retired an aggregate of 4,520,000 shares of its common stock held in treasury. Upon retirement, the shares were redesignated as authorized but unissued shares of the Company’s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and Sale of Series C Convertible Preferred Stock</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April 2021, the Company issued and sold 4,296,550 shares of its Series C Preferred Stock, at a purchase price of $78.08578 per share, for aggregate gross proceeds of $335.5 million. Adimab, a related party, participated in the Series C Preferred Stock financing by purchasing 128,064 shares of Series C Preferred Stock for an aggregate purchase price of $10.0 million.</w:t>
      </w:r>
    </w:p>
    <w:p>
      <w:pPr>
        <w:spacing w:after="0" w:line="184"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terms of the Series C Preferred Stock are substantially the same as the terms of the Series A Preferred Stock and Series B Preferred Stock (see Note 8), except that the Original Issue Price per share and the Conversion Price per share of the Series C Preferred Stock is $78.08578. In addition, in connection with the Series C Preferred Stock financing, the definition of a qualifying initial public offering requiring the automatic conversion of all shares of outstanding preferred stock into common stock was amended to be the closing of a firm commitment public offering of common stock at a price of at least $85.08 per share (subject to appropriate adjustment in the event of any stock dividend, stock split, combination or other similar recapitalization), resulting in at least $75.0 million of gross proceeds to the Company.</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issuance of these shares of Series C Preferred Stock, the Company assessed the embedded conversion and liquidation features of the shares and determined that such features did not require the Company to separately account for these features. The Company also concluded that no beneficial conversion feature existed as of the issuance date of the shares of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On May 21, 2021, the Company entered into a collaboration agreement with Adimab (the “Adimab Collaboration Agreement”) for the discovery and optimization of proprietary antibodies as potential therapeutic product candidates. Under the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non-exclusive, non-sublicensable license to certain of the Company’s patents and intellectual property solely to perform Adimab’s responsibilities under the research plans. Under the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research program.</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is obligated to pay Adimab a quarterly fee of a low seven-digit dollar amount, which obligation may be cancelled at the Company’s option at any time. For so long as the Company is paying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quarterly fee (or earlier if (i) the Company experiences a change of control after the third anniversary of the Adimab Collaboration Agreement or</w:t>
      </w:r>
    </w:p>
    <w:p>
      <w:pPr>
        <w:spacing w:after="0" w:line="35" w:lineRule="exact"/>
        <w:rPr>
          <w:sz w:val="20"/>
          <w:szCs w:val="20"/>
          <w:color w:val="auto"/>
        </w:rPr>
      </w:pPr>
    </w:p>
    <w:p>
      <w:pPr>
        <w:jc w:val="both"/>
        <w:ind w:left="120" w:right="20" w:hanging="4"/>
        <w:spacing w:after="0" w:line="252" w:lineRule="auto"/>
        <w:tabs>
          <w:tab w:leader="none" w:pos="39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a low six-digit dollar amount; and an optimization completion fee of a low six-digit dollar amount. For each option exercised by the Company to commercialize a specific research program, the Company is obligated to pay Adimab an exercise fee of a low seven-digit dollar amount.</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 single-digit percentage based on net sales of any product under the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7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490220</wp:posOffset>
            </wp:positionV>
            <wp:extent cx="1388745" cy="3771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auto"/>
        </w:rPr>
        <w:t>PROSPECTUS</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3720" w:val="left"/>
          <w:tab w:leader="none" w:pos="5560" w:val="left"/>
          <w:tab w:leader="none" w:pos="7900" w:val="left"/>
        </w:tabs>
        <w:rPr>
          <w:sz w:val="20"/>
          <w:szCs w:val="20"/>
          <w:color w:val="auto"/>
        </w:rPr>
      </w:pPr>
      <w:r>
        <w:rPr>
          <w:rFonts w:ascii="Arial" w:cs="Arial" w:eastAsia="Arial" w:hAnsi="Arial"/>
          <w:sz w:val="21"/>
          <w:szCs w:val="21"/>
          <w:i w:val="1"/>
          <w:iCs w:val="1"/>
          <w:color w:val="auto"/>
        </w:rPr>
        <w:t>MORGAN STANLEY</w:t>
      </w:r>
      <w:r>
        <w:rPr>
          <w:sz w:val="20"/>
          <w:szCs w:val="20"/>
          <w:color w:val="auto"/>
        </w:rPr>
        <w:tab/>
      </w:r>
      <w:r>
        <w:rPr>
          <w:rFonts w:ascii="Arial" w:cs="Arial" w:eastAsia="Arial" w:hAnsi="Arial"/>
          <w:sz w:val="21"/>
          <w:szCs w:val="21"/>
          <w:i w:val="1"/>
          <w:iCs w:val="1"/>
          <w:color w:val="auto"/>
        </w:rPr>
        <w:t>JEFFERIES</w:t>
      </w:r>
      <w:r>
        <w:rPr>
          <w:sz w:val="20"/>
          <w:szCs w:val="20"/>
          <w:color w:val="auto"/>
        </w:rPr>
        <w:tab/>
      </w:r>
      <w:r>
        <w:rPr>
          <w:rFonts w:ascii="Arial" w:cs="Arial" w:eastAsia="Arial" w:hAnsi="Arial"/>
          <w:sz w:val="21"/>
          <w:szCs w:val="21"/>
          <w:i w:val="1"/>
          <w:iCs w:val="1"/>
          <w:color w:val="auto"/>
        </w:rPr>
        <w:t>STIFEL</w:t>
      </w:r>
      <w:r>
        <w:rPr>
          <w:sz w:val="20"/>
          <w:szCs w:val="20"/>
          <w:color w:val="auto"/>
        </w:rPr>
        <w:tab/>
      </w:r>
      <w:r>
        <w:rPr>
          <w:rFonts w:ascii="Arial" w:cs="Arial" w:eastAsia="Arial" w:hAnsi="Arial"/>
          <w:sz w:val="19"/>
          <w:szCs w:val="19"/>
          <w:i w:val="1"/>
          <w:i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Until , 2021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2021</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gridSpan w:val="2"/>
          </w:tcPr>
          <w:p>
            <w:pPr>
              <w:spacing w:after="0"/>
              <w:rPr>
                <w:sz w:val="14"/>
                <w:szCs w:val="14"/>
                <w:color w:val="auto"/>
              </w:rPr>
            </w:pPr>
          </w:p>
        </w:tc>
      </w:tr>
      <w:tr>
        <w:trPr>
          <w:trHeight w:val="209"/>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Printing</w:t>
            </w:r>
          </w:p>
        </w:tc>
        <w:tc>
          <w:tcPr>
            <w:tcW w:w="10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8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64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8600" w:type="dxa"/>
            <w:vAlign w:val="bottom"/>
            <w:gridSpan w:val="3"/>
          </w:tcPr>
          <w:p>
            <w:pPr>
              <w:ind w:left="160"/>
              <w:spacing w:after="0"/>
              <w:rPr>
                <w:sz w:val="20"/>
                <w:szCs w:val="20"/>
                <w:color w:val="auto"/>
              </w:rPr>
            </w:pPr>
            <w:r>
              <w:rPr>
                <w:rFonts w:ascii="Arial" w:cs="Arial" w:eastAsia="Arial" w:hAnsi="Arial"/>
                <w:sz w:val="18"/>
                <w:szCs w:val="18"/>
                <w:color w:val="auto"/>
              </w:rPr>
              <w:t>To be provided by amendment</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 indemnify our officers, employees and agents as set forth in the Delaware General Corporation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84"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July 2020, we issued and sold an aggregate of 6,237,500 shares of our Series A preferred stock to 24 investors at a purchase price of $8.00 per share, for aggregate consideration of $49.9 million.</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July 2020, we issued 5,000,000 shares of our Series A preferred stock to Adimab in connection with the assignment and license agreement pursuant to which Adimab assigned to us all coronavirus antibodies controlled by it and certain related intellectual property and granted us a license to its platform technology to research, develop, make, use and sell coronavirus antibodies and products containing or comprising coronavirus antibodies.</w:t>
      </w:r>
    </w:p>
    <w:p>
      <w:pPr>
        <w:spacing w:after="0" w:line="149"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October and November 2020, we issued and sold an aggregate of 1,410,434 shares of our Series B preferred stock to 16 investors at a purchase price of $56.72 per share, for aggregate consideration of $80.0 million.</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we issued and sold an aggregate of 4,296,550 shares of our Series C preferred stock to 36 investors at a purchase price of $78.08578 per share, for aggregate consideration of $335.5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June 3, 2020 (the date of our inception) through the date of this registration statement, we granted options under our 2020 Equity Incentive</w:t>
      </w:r>
    </w:p>
    <w:p>
      <w:pPr>
        <w:spacing w:after="0" w:line="4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Plan to purchase an aggregate of shares of common stock, at a weighted-average exercise price of per share, to our employees, directors and consultants. Of these, shares have been issued upon the exercise of options for aggregate consideration of $ and options for the purchase of shares of common stock have been forfeited, expired or cancelled.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below are filed as part of this registration.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420" w:type="dxa"/>
            <w:vAlign w:val="bottom"/>
            <w:gridSpan w:val="3"/>
            <w:vMerge w:val="restart"/>
          </w:tcPr>
          <w:p>
            <w:pPr>
              <w:ind w:left="48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4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Second Amended and Restated Certificate of Incorporation of the Registrant (as amended and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Bylaws of the Registrant (currently in effect).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3.3*</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4"/>
              </w:rPr>
              <w:t>Form of Third Amended and Restated Certificate of Incorporation of the Registrant (to be effective upon the closing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3.4*</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0"/>
              </w:rPr>
              <w:t>Second Amended and Restated Investors’ Rights Agreement, by and among the Registrant and certain of its stockholders, dated April 16,</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0" w:type="dxa"/>
            <w:vAlign w:val="bottom"/>
          </w:tcPr>
          <w:p>
            <w:pPr>
              <w:ind w:left="520"/>
              <w:spacing w:after="0"/>
              <w:rPr>
                <w:sz w:val="20"/>
                <w:szCs w:val="20"/>
                <w:color w:val="auto"/>
              </w:rPr>
            </w:pPr>
            <w:r>
              <w:rPr>
                <w:rFonts w:ascii="Arial" w:cs="Arial" w:eastAsia="Arial" w:hAnsi="Arial"/>
                <w:sz w:val="18"/>
                <w:szCs w:val="18"/>
                <w:color w:val="auto"/>
              </w:rPr>
              <w:t>2021.</w:t>
            </w:r>
          </w:p>
        </w:tc>
        <w:tc>
          <w:tcPr>
            <w:tcW w:w="1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5.1*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2020 Equity Incentive Plan and Forms of Stock Option Agreement, Notice of Stock Option Grant and Notice of Exercise.</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3"/>
              </w:rPr>
              <w:t>2021 Equity Incentive Plan and Forms of Option Grant Notice and Agreement, Exercise Notice, Early Exercise Notice and Restricted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Stock Award Notice.</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2021 Employee Stock Purchase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Form of Indemnification Agreement with Executive Officers and Directors.</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10.5†#*</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Assignment and License Agreement by and between the Registrant and Adimab, LLC, dated July 8,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10.6†#*</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Collaboration Agreement by and between the Registrant and Adimab, LLC, dated May 21, 2021.</w:t>
            </w:r>
          </w:p>
        </w:tc>
        <w:tc>
          <w:tcPr>
            <w:tcW w:w="0" w:type="dxa"/>
            <w:vAlign w:val="bottom"/>
          </w:tcPr>
          <w:p>
            <w:pPr>
              <w:spacing w:after="0"/>
              <w:rPr>
                <w:sz w:val="1"/>
                <w:szCs w:val="1"/>
                <w:color w:val="auto"/>
              </w:rPr>
            </w:pPr>
          </w:p>
        </w:tc>
      </w:tr>
      <w:tr>
        <w:trPr>
          <w:trHeight w:val="310"/>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10.7†#*</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7"/>
              </w:rPr>
              <w:t>Commercial Manufacturing Services Agreement by and between the Registrant and WuXi Biologics (Hong Kong) Limited, dated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December 24, 2021.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10.8†#*</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w w:val="96"/>
              </w:rPr>
              <w:t>Cell Line License Agreement by and between the Registrant and WuXi Biologics (Hong Kong) Limited, dated December 2,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10420" w:type="dxa"/>
            <w:vAlign w:val="bottom"/>
            <w:gridSpan w:val="3"/>
          </w:tcPr>
          <w:p>
            <w:pPr>
              <w:ind w:left="5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20" w:type="dxa"/>
            <w:vAlign w:val="bottom"/>
            <w:gridSpan w:val="3"/>
          </w:tcPr>
          <w:p>
            <w:pPr>
              <w:ind w:left="478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4900" w:type="dxa"/>
            <w:vAlign w:val="bottom"/>
          </w:tcPr>
          <w:p>
            <w:pPr>
              <w:spacing w:after="0"/>
              <w:rPr>
                <w:sz w:val="14"/>
                <w:szCs w:val="14"/>
                <w:color w:val="auto"/>
              </w:rPr>
            </w:pP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8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90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7060" w:type="dxa"/>
            <w:vAlign w:val="bottom"/>
            <w:gridSpan w:val="3"/>
          </w:tcPr>
          <w:p>
            <w:pPr>
              <w:ind w:left="640"/>
              <w:spacing w:after="0"/>
              <w:rPr>
                <w:sz w:val="20"/>
                <w:szCs w:val="20"/>
                <w:color w:val="auto"/>
              </w:rPr>
            </w:pPr>
            <w:r>
              <w:rPr>
                <w:rFonts w:ascii="Arial" w:cs="Arial" w:eastAsia="Arial" w:hAnsi="Arial"/>
                <w:sz w:val="18"/>
                <w:szCs w:val="18"/>
                <w:color w:val="auto"/>
                <w:w w:val="90"/>
              </w:rPr>
              <w:t>Consent of PricewaterhouseCoopers LLP,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7060" w:type="dxa"/>
            <w:vAlign w:val="bottom"/>
            <w:gridSpan w:val="3"/>
          </w:tcPr>
          <w:p>
            <w:pPr>
              <w:ind w:left="640"/>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7060" w:type="dxa"/>
            <w:vAlign w:val="bottom"/>
            <w:gridSpan w:val="3"/>
          </w:tcPr>
          <w:p>
            <w:pPr>
              <w:ind w:left="640"/>
              <w:spacing w:after="0"/>
              <w:rPr>
                <w:sz w:val="20"/>
                <w:szCs w:val="20"/>
                <w:color w:val="auto"/>
              </w:rPr>
            </w:pPr>
            <w:r>
              <w:rPr>
                <w:rFonts w:ascii="Arial" w:cs="Arial" w:eastAsia="Arial" w:hAnsi="Arial"/>
                <w:sz w:val="18"/>
                <w:szCs w:val="18"/>
                <w:color w:val="auto"/>
              </w:rPr>
              <w:t>Power of Attorney (included on signature page).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120" w:right="5460" w:hanging="4"/>
        <w:spacing w:after="0" w:line="250" w:lineRule="auto"/>
        <w:tabs>
          <w:tab w:leader="none" w:pos="55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Confidential treatment will be requested for portions of this agreement. * To be filed by amendment.</w:t>
      </w:r>
    </w:p>
    <w:p>
      <w:pPr>
        <w:ind w:left="540" w:right="20" w:hanging="432"/>
        <w:spacing w:after="0" w:line="260" w:lineRule="auto"/>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185" w:lineRule="exact"/>
        <w:rPr>
          <w:rFonts w:ascii="Arial" w:cs="Arial" w:eastAsia="Arial" w:hAnsi="Arial"/>
          <w:sz w:val="18"/>
          <w:szCs w:val="18"/>
          <w:color w:val="auto"/>
        </w:rPr>
      </w:pPr>
    </w:p>
    <w:p>
      <w:pPr>
        <w:ind w:left="820" w:hanging="264"/>
        <w:spacing w:after="0"/>
        <w:tabs>
          <w:tab w:leader="none" w:pos="8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80" w:hanging="418"/>
        <w:spacing w:after="0" w:line="291" w:lineRule="auto"/>
        <w:tabs>
          <w:tab w:leader="none" w:pos="10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right="20" w:firstLine="8"/>
        <w:spacing w:after="0" w:line="260" w:lineRule="auto"/>
        <w:tabs>
          <w:tab w:leader="none" w:pos="13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w:t>
      </w:r>
    </w:p>
    <w:p>
      <w:pPr>
        <w:spacing w:after="0" w:line="90" w:lineRule="exact"/>
        <w:rPr>
          <w:rFonts w:ascii="Arial" w:cs="Arial" w:eastAsia="Arial" w:hAnsi="Arial"/>
          <w:sz w:val="18"/>
          <w:szCs w:val="18"/>
          <w:color w:val="auto"/>
        </w:rPr>
      </w:pPr>
    </w:p>
    <w:p>
      <w:pPr>
        <w:jc w:val="both"/>
        <w:ind w:left="1080" w:right="20" w:hanging="418"/>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p>
      <w:pPr>
        <w:ind w:left="120"/>
        <w:spacing w:after="0"/>
        <w:tabs>
          <w:tab w:leader="none" w:pos="5120" w:val="left"/>
          <w:tab w:leader="none" w:pos="6120" w:val="left"/>
          <w:tab w:leader="none" w:pos="6920" w:val="left"/>
          <w:tab w:leader="none" w:pos="8320" w:val="left"/>
        </w:tabs>
        <w:rPr>
          <w:sz w:val="20"/>
          <w:szCs w:val="20"/>
          <w:color w:val="auto"/>
        </w:rPr>
      </w:pPr>
      <w:r>
        <w:rPr>
          <w:rFonts w:ascii="Arial" w:cs="Arial" w:eastAsia="Arial" w:hAnsi="Arial"/>
          <w:sz w:val="18"/>
          <w:szCs w:val="18"/>
          <w:color w:val="auto"/>
        </w:rPr>
        <w:t>the undersigned, thereunto duly authorized in the City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on this</w:t>
        <w:tab/>
        <w:t>th day of</w:t>
      </w:r>
      <w:r>
        <w:rPr>
          <w:sz w:val="20"/>
          <w:szCs w:val="20"/>
          <w:color w:val="auto"/>
        </w:rPr>
        <w:tab/>
      </w:r>
      <w:r>
        <w:rPr>
          <w:rFonts w:ascii="Arial" w:cs="Arial" w:eastAsia="Arial" w:hAnsi="Arial"/>
          <w:sz w:val="16"/>
          <w:szCs w:val="16"/>
          <w:color w:val="auto"/>
        </w:rPr>
        <w:t>, 2021.</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Tillman U. Gerngross, Ph.D.</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Co-Founder, Chief Executive Officer and Director</w:t>
      </w:r>
    </w:p>
    <w:p>
      <w:pPr>
        <w:spacing w:after="0" w:line="21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KNOW ALL BY THESE PRESENTS, that each person whose signature appears below hereby constitutes and appoints Tillman U. Gerngross, Ph.D., Halley Gilbert and Jane Pritchett Henderson,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8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21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276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420" w:type="dxa"/>
            <w:vAlign w:val="bottom"/>
          </w:tcPr>
          <w:p>
            <w:pPr>
              <w:spacing w:after="0"/>
              <w:rPr>
                <w:sz w:val="14"/>
                <w:szCs w:val="14"/>
                <w:color w:val="auto"/>
              </w:rPr>
            </w:pPr>
          </w:p>
        </w:tc>
      </w:tr>
      <w:tr>
        <w:trPr>
          <w:trHeight w:val="210"/>
        </w:trPr>
        <w:tc>
          <w:tcPr>
            <w:tcW w:w="2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2200" w:type="dxa"/>
            <w:vAlign w:val="bottom"/>
          </w:tcPr>
          <w:p>
            <w:pPr>
              <w:ind w:left="100"/>
              <w:spacing w:after="0"/>
              <w:rPr>
                <w:sz w:val="20"/>
                <w:szCs w:val="20"/>
                <w:color w:val="auto"/>
              </w:rPr>
            </w:pPr>
            <w:r>
              <w:rPr>
                <w:rFonts w:ascii="Arial" w:cs="Arial" w:eastAsia="Arial" w:hAnsi="Arial"/>
                <w:sz w:val="18"/>
                <w:szCs w:val="18"/>
                <w:color w:val="auto"/>
                <w:w w:val="89"/>
              </w:rPr>
              <w:t>Co-Founder, Chief Executive</w:t>
            </w:r>
          </w:p>
        </w:tc>
        <w:tc>
          <w:tcPr>
            <w:tcW w:w="3060" w:type="dxa"/>
            <w:vAlign w:val="bottom"/>
            <w:gridSpan w:val="2"/>
          </w:tcPr>
          <w:p>
            <w:pPr>
              <w:ind w:left="60"/>
              <w:spacing w:after="0"/>
              <w:rPr>
                <w:sz w:val="20"/>
                <w:szCs w:val="20"/>
                <w:color w:val="auto"/>
              </w:rPr>
            </w:pPr>
            <w:r>
              <w:rPr>
                <w:rFonts w:ascii="Arial" w:cs="Arial" w:eastAsia="Arial" w:hAnsi="Arial"/>
                <w:sz w:val="18"/>
                <w:szCs w:val="18"/>
                <w:color w:val="auto"/>
              </w:rPr>
              <w:t>Officer and Director</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Tillman U. Gerngross, Ph.D.</w:t>
            </w:r>
          </w:p>
        </w:tc>
        <w:tc>
          <w:tcPr>
            <w:tcW w:w="2180" w:type="dxa"/>
            <w:vAlign w:val="bottom"/>
          </w:tcPr>
          <w:p>
            <w:pPr>
              <w:spacing w:after="0"/>
              <w:rPr>
                <w:sz w:val="19"/>
                <w:szCs w:val="19"/>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Jane Pritchett Henderson</w:t>
            </w:r>
          </w:p>
        </w:tc>
        <w:tc>
          <w:tcPr>
            <w:tcW w:w="2180" w:type="dxa"/>
            <w:vAlign w:val="bottom"/>
          </w:tcPr>
          <w:p>
            <w:pPr>
              <w:spacing w:after="0"/>
              <w:rPr>
                <w:sz w:val="19"/>
                <w:szCs w:val="19"/>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Director and Chair of the Board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René Russo, Pharm.D.</w:t>
            </w:r>
          </w:p>
        </w:tc>
        <w:tc>
          <w:tcPr>
            <w:tcW w:w="2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2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Ajay Royan</w:t>
            </w:r>
          </w:p>
        </w:tc>
        <w:tc>
          <w:tcPr>
            <w:tcW w:w="2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Philip Chase</w:t>
            </w:r>
          </w:p>
        </w:tc>
        <w:tc>
          <w:tcPr>
            <w:tcW w:w="2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2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Howard Mayer, M.D.</w:t>
            </w:r>
          </w:p>
        </w:tc>
        <w:tc>
          <w:tcPr>
            <w:tcW w:w="21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Adagio Therapeutics,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320" w:firstLine="436"/>
        <w:spacing w:after="0" w:line="277" w:lineRule="auto"/>
        <w:tabs>
          <w:tab w:leader="none" w:pos="62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Adagio Therapeutics, Inc., and that this corporation was originally incorporated pursuant to the General Corporation Law on June 3, 2020.</w:t>
      </w:r>
    </w:p>
    <w:p>
      <w:pPr>
        <w:spacing w:after="0" w:line="170" w:lineRule="exact"/>
        <w:rPr>
          <w:rFonts w:ascii="Arial" w:cs="Arial" w:eastAsia="Arial" w:hAnsi="Arial"/>
          <w:sz w:val="18"/>
          <w:szCs w:val="18"/>
          <w:b w:val="1"/>
          <w:bCs w:val="1"/>
          <w:color w:val="auto"/>
        </w:rPr>
      </w:pPr>
    </w:p>
    <w:p>
      <w:pPr>
        <w:ind w:right="320" w:firstLine="436"/>
        <w:spacing w:after="0" w:line="259" w:lineRule="auto"/>
        <w:tabs>
          <w:tab w:leader="none" w:pos="620" w:val="left"/>
        </w:tabs>
        <w:numPr>
          <w:ilvl w:val="0"/>
          <w:numId w:val="149"/>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to read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Adagio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registered office of the Corporation in the State of Delaware is 1209 Orange Street, in the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19801. The name of its registered agent at such address is The Corporation Trust Company.</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40,196,039, consisting of (i)</w:t>
      </w:r>
      <w:r>
        <w:rPr>
          <w:rFonts w:ascii="Arial" w:cs="Arial" w:eastAsia="Arial" w:hAnsi="Arial"/>
          <w:sz w:val="18"/>
          <w:szCs w:val="18"/>
          <w:b w:val="1"/>
          <w:bCs w:val="1"/>
          <w:color w:val="auto"/>
        </w:rPr>
        <w:t xml:space="preserve"> </w:t>
      </w:r>
      <w:r>
        <w:rPr>
          <w:rFonts w:ascii="Arial" w:cs="Arial" w:eastAsia="Arial" w:hAnsi="Arial"/>
          <w:sz w:val="18"/>
          <w:szCs w:val="18"/>
          <w:color w:val="auto"/>
        </w:rPr>
        <w:t>23,251,555 shares of 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16,944,484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254" w:name="page255"/>
    <w:bookmarkEnd w:id="254"/>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COMMON STOCK</w:t>
      </w:r>
    </w:p>
    <w:p>
      <w:pPr>
        <w:spacing w:after="0" w:line="225" w:lineRule="exact"/>
        <w:rPr>
          <w:sz w:val="20"/>
          <w:szCs w:val="20"/>
          <w:color w:val="auto"/>
        </w:rPr>
      </w:pPr>
    </w:p>
    <w:p>
      <w:pPr>
        <w:ind w:right="400" w:firstLine="987"/>
        <w:spacing w:after="0" w:line="277" w:lineRule="auto"/>
        <w:tabs>
          <w:tab w:leader="none" w:pos="1171"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firstLine="987"/>
        <w:spacing w:after="0" w:line="269" w:lineRule="auto"/>
        <w:tabs>
          <w:tab w:leader="none" w:pos="1171" w:val="left"/>
        </w:tabs>
        <w:numPr>
          <w:ilvl w:val="1"/>
          <w:numId w:val="150"/>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required by law, holders of Common Stock, as such, shall not be entitled to vote on any amendment to this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or pursuant to the General Corporation Law.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85" w:lineRule="exact"/>
        <w:rPr>
          <w:rFonts w:ascii="Arial" w:cs="Arial" w:eastAsia="Arial" w:hAnsi="Arial"/>
          <w:sz w:val="17"/>
          <w:szCs w:val="17"/>
          <w:color w:val="auto"/>
        </w:rPr>
      </w:pPr>
    </w:p>
    <w:p>
      <w:pPr>
        <w:ind w:left="640" w:hanging="204"/>
        <w:spacing w:after="0"/>
        <w:tabs>
          <w:tab w:leader="none" w:pos="6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color w:val="auto"/>
        </w:rPr>
        <w:t>11,237,500 shares of the authorized Preferred Stock of the Corporation are hereby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1,410,434 shares of the authorized Preferred Stock of the Corporation are hereby designated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and 4,296,550 shares of the authorized Preferred Stock of the Corporation are hereby designated “</w:t>
      </w:r>
      <w:r>
        <w:rPr>
          <w:rFonts w:ascii="Arial" w:cs="Arial" w:eastAsia="Arial" w:hAnsi="Arial"/>
          <w:sz w:val="17"/>
          <w:szCs w:val="17"/>
          <w:b w:val="1"/>
          <w:bCs w:val="1"/>
          <w:color w:val="auto"/>
        </w:rPr>
        <w:t>Series C Preferred Stock</w:t>
      </w:r>
      <w:r>
        <w:rPr>
          <w:rFonts w:ascii="Arial" w:cs="Arial" w:eastAsia="Arial" w:hAnsi="Arial"/>
          <w:sz w:val="17"/>
          <w:szCs w:val="17"/>
          <w:color w:val="auto"/>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72" w:lineRule="exact"/>
        <w:rPr>
          <w:sz w:val="20"/>
          <w:szCs w:val="20"/>
          <w:color w:val="auto"/>
        </w:rPr>
      </w:pPr>
    </w:p>
    <w:p>
      <w:pPr>
        <w:ind w:firstLine="987"/>
        <w:spacing w:after="0" w:line="288" w:lineRule="auto"/>
        <w:tabs>
          <w:tab w:leader="none" w:pos="1171"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such series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such series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w:t>
      </w:r>
    </w:p>
    <w:p>
      <w:pPr>
        <w:spacing w:after="0" w:line="100" w:lineRule="exact"/>
        <w:rPr>
          <w:rFonts w:ascii="Arial" w:cs="Arial" w:eastAsia="Arial" w:hAnsi="Arial"/>
          <w:sz w:val="16"/>
          <w:szCs w:val="16"/>
          <w:color w:val="auto"/>
        </w:rPr>
      </w:pPr>
    </w:p>
    <w:p>
      <w:pPr>
        <w:ind w:left="5460" w:hanging="106"/>
        <w:spacing w:after="0"/>
        <w:tabs>
          <w:tab w:leader="none" w:pos="54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60"/>
          </w:cols>
          <w:pgMar w:left="440" w:top="274" w:right="499" w:bottom="1440" w:gutter="0" w:footer="0" w:header="0"/>
        </w:sectPr>
      </w:pPr>
    </w:p>
    <w:bookmarkStart w:id="255" w:name="page256"/>
    <w:bookmarkEnd w:id="255"/>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Corporation declares, pays or sets aside, on the same date, a dividend on shares of more than one class or series of capital stock of the Corporation, the dividend payable to the holders of Preferred Stock pursuant to this Section 1 shall be calculated based upon the dividend on the class or series of capital stock that would result in the highest dividend to the holders of each series of Preferred Stock.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Original Issue Price</w:t>
      </w:r>
      <w:r>
        <w:rPr>
          <w:rFonts w:ascii="Arial" w:cs="Arial" w:eastAsia="Arial" w:hAnsi="Arial"/>
          <w:sz w:val="17"/>
          <w:szCs w:val="17"/>
          <w:color w:val="auto"/>
        </w:rPr>
        <w:t>” means (a) $8.00 per share of Series A Preferred Stock; (b) $56.72 per share of Series B Preferred Stock and (c) $78.08578 per</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Series C Preferred Stock, in each case subject to appropriate adjustment in the event of any stock dividend, stock split, combination or other similar recapitalization with respect to the applicable Preferred Stock.</w:t>
      </w:r>
    </w:p>
    <w:p>
      <w:pPr>
        <w:spacing w:after="0" w:line="178" w:lineRule="exact"/>
        <w:rPr>
          <w:sz w:val="20"/>
          <w:szCs w:val="20"/>
          <w:color w:val="auto"/>
        </w:rPr>
      </w:pPr>
    </w:p>
    <w:p>
      <w:pPr>
        <w:ind w:left="1160" w:hanging="173"/>
        <w:spacing w:after="0"/>
        <w:tabs>
          <w:tab w:leader="none" w:pos="116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Preferred Stock</w:t>
      </w:r>
      <w:r>
        <w:rPr>
          <w:rFonts w:ascii="Arial" w:cs="Arial" w:eastAsia="Arial" w:hAnsi="Arial"/>
          <w:sz w:val="16"/>
          <w:szCs w:val="16"/>
          <w:color w:val="auto"/>
        </w:rPr>
        <w:t xml:space="preserve">. In the event of any voluntary or involuntary liquidation, dissolution or winding up of the Corporation, the holders of shares of Preferred Stock then outstanding,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shall be entitled to be paid out of the assets of the Corporation available for distribution to its stockholders, and in the event of a Deemed Liquidation Event (as defined below), the holders of shares of Preferred Stock then outstanding shall be entitled to be paid,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out of the consideration payable to stockholders in such Deemed Liquidation Event or out of the Available Proceeds (as defined below), as applicable, before any payment shall be made to the holders of Common Stock by reason of their ownership thereof, an amount per share equal to the greater of (i) the Applicable Original Issue Price, plus any dividends declared but unpaid thereon or (ii) such amount per share as would have been payable had all shares of the applicable series of Preferred Stock been converted into Common Stock pursuant to Section 4 immediately prior to such liquidation, dissolution, winding up or Deemed Liquidation Event (the amount payable pursuant to this sentence is hereinafter referred to, for each series of Preferred Stock, as applicable, as the “</w:t>
      </w:r>
      <w:r>
        <w:rPr>
          <w:rFonts w:ascii="Arial" w:cs="Arial" w:eastAsia="Arial" w:hAnsi="Arial"/>
          <w:sz w:val="16"/>
          <w:szCs w:val="16"/>
          <w:b w:val="1"/>
          <w:bCs w:val="1"/>
          <w:color w:val="auto"/>
        </w:rPr>
        <w:t>Applicable Liquidation Amount</w:t>
      </w:r>
      <w:r>
        <w:rPr>
          <w:rFonts w:ascii="Arial" w:cs="Arial" w:eastAsia="Arial" w:hAnsi="Arial"/>
          <w:sz w:val="16"/>
          <w:szCs w:val="16"/>
          <w:color w:val="auto"/>
        </w:rPr>
        <w:t>”). If upon any such liquidation, dissolution or winding up of the Corporation or Deemed Liquidation Event, the assets of the Corporation available for distribution to its stockholders or consideration payable to stockholders, as the case may be, shall be insufficient to pay the holders of shares of Preferred Stock the full amount to which they shall be entitled under this Section 2.1, the holders of shares of Preferred Stock shall share ratably in any distribution of the assets available for distribution or consideration payable to stockholders in proportion to the respective amounts which would otherwise be payable in respect of the shares held by them upon such distribution if all amounts payable on or with respect to such shares were paid in full.</w:t>
      </w:r>
    </w:p>
    <w:p>
      <w:pPr>
        <w:spacing w:after="0" w:line="171"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In the event of any voluntary or involuntary liquidation, dissolution or winding up of the Corporation, after the payment in full of all Applicable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Section 2.1 or the remaining Available Proceeds, as the case may be, shall be distributed among the holders of shares of Common Stock, pro rata based on the number of shares held by each such holder.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256" w:name="page257"/>
    <w:bookmarkEnd w:id="256"/>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1" w:lineRule="exact"/>
        <w:rPr>
          <w:sz w:val="20"/>
          <w:szCs w:val="20"/>
          <w:color w:val="auto"/>
        </w:rPr>
      </w:pPr>
    </w:p>
    <w:p>
      <w:pPr>
        <w:ind w:left="4" w:right="60" w:firstLine="1432"/>
        <w:spacing w:after="0" w:line="298"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(i) the holders of a majority in voting power of the outstanding shares of Preferred Stock (the “</w:t>
      </w:r>
      <w:r>
        <w:rPr>
          <w:rFonts w:ascii="Arial" w:cs="Arial" w:eastAsia="Arial" w:hAnsi="Arial"/>
          <w:sz w:val="16"/>
          <w:szCs w:val="16"/>
          <w:b w:val="1"/>
          <w:bCs w:val="1"/>
          <w:color w:val="auto"/>
        </w:rPr>
        <w:t>Requisite Holders</w:t>
      </w:r>
      <w:r>
        <w:rPr>
          <w:rFonts w:ascii="Arial" w:cs="Arial" w:eastAsia="Arial" w:hAnsi="Arial"/>
          <w:sz w:val="16"/>
          <w:szCs w:val="16"/>
          <w:color w:val="auto"/>
        </w:rPr>
        <w:t>”), (ii) with respect to the Series B Preferred Stock only, the holders of at least 65% of the then outstanding shares of Series B Preferred Stock (the “</w:t>
      </w:r>
      <w:r>
        <w:rPr>
          <w:rFonts w:ascii="Arial" w:cs="Arial" w:eastAsia="Arial" w:hAnsi="Arial"/>
          <w:sz w:val="16"/>
          <w:szCs w:val="16"/>
          <w:b w:val="1"/>
          <w:bCs w:val="1"/>
          <w:color w:val="auto"/>
        </w:rPr>
        <w:t>Requisite Series B Holders</w:t>
      </w:r>
      <w:r>
        <w:rPr>
          <w:rFonts w:ascii="Arial" w:cs="Arial" w:eastAsia="Arial" w:hAnsi="Arial"/>
          <w:sz w:val="16"/>
          <w:szCs w:val="16"/>
          <w:color w:val="auto"/>
        </w:rPr>
        <w:t>”) and (iii) with respect to the Series C Preferred Stock only, the holders of a majority of the then outstanding shares of Series C Preferred Stock (the “</w:t>
      </w:r>
      <w:r>
        <w:rPr>
          <w:rFonts w:ascii="Arial" w:cs="Arial" w:eastAsia="Arial" w:hAnsi="Arial"/>
          <w:sz w:val="16"/>
          <w:szCs w:val="16"/>
          <w:b w:val="1"/>
          <w:bCs w:val="1"/>
          <w:color w:val="auto"/>
        </w:rPr>
        <w:t>Requisite Series C Holders</w:t>
      </w:r>
      <w:r>
        <w:rPr>
          <w:rFonts w:ascii="Arial" w:cs="Arial" w:eastAsia="Arial" w:hAnsi="Arial"/>
          <w:sz w:val="16"/>
          <w:szCs w:val="16"/>
          <w:color w:val="auto"/>
        </w:rPr>
        <w:t>”), elect otherwise by written notice sent to the Corporation at least ten (10) days prior to the effective date of any such event:</w:t>
      </w:r>
    </w:p>
    <w:p>
      <w:pPr>
        <w:spacing w:after="0" w:line="158" w:lineRule="exact"/>
        <w:rPr>
          <w:sz w:val="20"/>
          <w:szCs w:val="20"/>
          <w:color w:val="auto"/>
        </w:rPr>
      </w:pPr>
    </w:p>
    <w:p>
      <w:pPr>
        <w:ind w:left="2224" w:hanging="241"/>
        <w:spacing w:after="0"/>
        <w:tabs>
          <w:tab w:leader="none" w:pos="222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225" w:lineRule="exact"/>
        <w:rPr>
          <w:rFonts w:ascii="Arial" w:cs="Arial" w:eastAsia="Arial" w:hAnsi="Arial"/>
          <w:sz w:val="18"/>
          <w:szCs w:val="18"/>
          <w:color w:val="auto"/>
        </w:rPr>
      </w:pPr>
    </w:p>
    <w:p>
      <w:pPr>
        <w:ind w:left="2644" w:hanging="221"/>
        <w:spacing w:after="0"/>
        <w:tabs>
          <w:tab w:leader="none" w:pos="264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225" w:lineRule="exact"/>
        <w:rPr>
          <w:rFonts w:ascii="Arial" w:cs="Arial" w:eastAsia="Arial" w:hAnsi="Arial"/>
          <w:sz w:val="18"/>
          <w:szCs w:val="18"/>
          <w:color w:val="auto"/>
        </w:rPr>
      </w:pPr>
    </w:p>
    <w:p>
      <w:pPr>
        <w:ind w:left="2684" w:hanging="261"/>
        <w:spacing w:after="0"/>
        <w:tabs>
          <w:tab w:leader="none" w:pos="2684"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 subsidiary of the Corporation is a constituent party and the Corporation issues shares of its capital stock pursuant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to such merger or consolidation,</w:t>
      </w:r>
    </w:p>
    <w:p>
      <w:pPr>
        <w:spacing w:after="0" w:line="211" w:lineRule="exact"/>
        <w:rPr>
          <w:sz w:val="20"/>
          <w:szCs w:val="20"/>
          <w:color w:val="auto"/>
        </w:rPr>
      </w:pPr>
    </w:p>
    <w:p>
      <w:pPr>
        <w:jc w:val="both"/>
        <w:ind w:left="4" w:right="180"/>
        <w:spacing w:after="0" w:line="287" w:lineRule="auto"/>
        <w:rPr>
          <w:sz w:val="20"/>
          <w:szCs w:val="20"/>
          <w:color w:val="auto"/>
        </w:rPr>
      </w:pPr>
      <w:r>
        <w:rPr>
          <w:rFonts w:ascii="Arial" w:cs="Arial" w:eastAsia="Arial" w:hAnsi="Arial"/>
          <w:sz w:val="16"/>
          <w:szCs w:val="16"/>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of (1) the surviving or resulting corporation or</w:t>
      </w:r>
    </w:p>
    <w:p>
      <w:pPr>
        <w:spacing w:after="0" w:line="2" w:lineRule="exact"/>
        <w:rPr>
          <w:sz w:val="20"/>
          <w:szCs w:val="20"/>
          <w:color w:val="auto"/>
        </w:rPr>
      </w:pPr>
    </w:p>
    <w:p>
      <w:pPr>
        <w:ind w:left="4" w:right="180" w:hanging="4"/>
        <w:spacing w:after="0" w:line="260" w:lineRule="auto"/>
        <w:tabs>
          <w:tab w:leader="none" w:pos="25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the surviving or resulting corporation is a wholly owned subsidiary of another corporation immediately following such merger or consolidation, the parent corporation of such surviving or resulting corporation; or</w:t>
      </w:r>
    </w:p>
    <w:p>
      <w:pPr>
        <w:spacing w:after="0" w:line="185" w:lineRule="exact"/>
        <w:rPr>
          <w:rFonts w:ascii="Arial" w:cs="Arial" w:eastAsia="Arial" w:hAnsi="Arial"/>
          <w:sz w:val="18"/>
          <w:szCs w:val="18"/>
          <w:color w:val="auto"/>
        </w:rPr>
      </w:pPr>
    </w:p>
    <w:p>
      <w:pPr>
        <w:jc w:val="both"/>
        <w:ind w:left="4" w:right="80" w:firstLine="1979"/>
        <w:spacing w:after="0" w:line="291" w:lineRule="auto"/>
        <w:tabs>
          <w:tab w:leader="none" w:pos="2242" w:val="left"/>
        </w:tabs>
        <w:numPr>
          <w:ilvl w:val="1"/>
          <w:numId w:val="155"/>
        </w:numPr>
        <w:rPr>
          <w:rFonts w:ascii="Arial" w:cs="Arial" w:eastAsia="Arial" w:hAnsi="Arial"/>
          <w:sz w:val="16"/>
          <w:szCs w:val="16"/>
          <w:color w:val="auto"/>
        </w:rPr>
      </w:pPr>
      <w:r>
        <w:rPr>
          <w:rFonts w:ascii="Arial" w:cs="Arial" w:eastAsia="Arial" w:hAnsi="Arial"/>
          <w:sz w:val="16"/>
          <w:szCs w:val="16"/>
          <w:color w:val="auto"/>
        </w:rPr>
        <w:t>(1) the sale, lease, transfer, exclusive license or other disposition, in a single transaction or series of related transactions, by the Corporation or any subsidiary of the Corporation of all or substantially all the assets of the Corporation and its subsidiaries taken as a whole, or</w:t>
      </w:r>
    </w:p>
    <w:p>
      <w:pPr>
        <w:ind w:left="4" w:right="100" w:hanging="4"/>
        <w:spacing w:after="0" w:line="253" w:lineRule="auto"/>
        <w:tabs>
          <w:tab w:leader="none" w:pos="25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9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ind w:left="4" w:right="100" w:firstLine="1979"/>
        <w:spacing w:after="0" w:line="259" w:lineRule="auto"/>
        <w:tabs>
          <w:tab w:leader="none" w:pos="223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The Corporation shall not have the power to effect a Deemed Liquidation Event referred to in </w:t>
      </w:r>
      <w:r>
        <w:rPr>
          <w:rFonts w:ascii="Arial" w:cs="Arial" w:eastAsia="Arial" w:hAnsi="Arial"/>
          <w:sz w:val="18"/>
          <w:szCs w:val="18"/>
          <w:u w:val="single" w:color="auto"/>
          <w:color w:val="auto"/>
        </w:rPr>
        <w:t>Subsection 2.3.1(a)(i)</w:t>
      </w:r>
      <w:r>
        <w:rPr>
          <w:rFonts w:ascii="Arial" w:cs="Arial" w:eastAsia="Arial" w:hAnsi="Arial"/>
          <w:sz w:val="18"/>
          <w:szCs w:val="18"/>
          <w:color w:val="auto"/>
        </w:rPr>
        <w:t xml:space="preserve">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provides that the consideration payable to the stockholders of the Corporation in such Deemed Liquidation Event shall be paid to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44"/>
          </w:cols>
          <w:pgMar w:left="436" w:top="274" w:right="519" w:bottom="1440" w:gutter="0" w:footer="0" w:header="0"/>
        </w:sectPr>
      </w:pPr>
    </w:p>
    <w:bookmarkStart w:id="257" w:name="page258"/>
    <w:bookmarkEnd w:id="257"/>
    <w:p>
      <w:pPr>
        <w:ind w:left="-1000" w:firstLine="1979"/>
        <w:spacing w:after="0" w:line="284" w:lineRule="auto"/>
        <w:tabs>
          <w:tab w:leader="none" w:pos="1238" w:val="left"/>
        </w:tabs>
        <w:numPr>
          <w:ilvl w:val="0"/>
          <w:numId w:val="1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Arial" w:cs="Arial" w:eastAsia="Arial" w:hAnsi="Arial"/>
          <w:sz w:val="13"/>
          <w:szCs w:val="13"/>
          <w:color w:val="auto"/>
        </w:rPr>
        <w:t>th</w:t>
      </w:r>
      <w:r>
        <w:rPr>
          <w:rFonts w:ascii="Arial" w:cs="Arial" w:eastAsia="Arial" w:hAnsi="Arial"/>
          <w:sz w:val="16"/>
          <w:szCs w:val="16"/>
          <w:color w:val="auto"/>
        </w:rPr>
        <w:t xml:space="preserve">) day after the Deemed Liquidation Event advising such holders of their right (and the requirements to be met to secure such right) pursuant to the terms of the following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require the redemption of such shares of Preferred Stock, and (ii)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one hundred fiftieth (150</w:t>
      </w:r>
      <w:r>
        <w:rPr>
          <w:rFonts w:ascii="Arial" w:cs="Arial" w:eastAsia="Arial" w:hAnsi="Arial"/>
          <w:sz w:val="13"/>
          <w:szCs w:val="13"/>
          <w:color w:val="auto"/>
        </w:rPr>
        <w:t>th</w:t>
      </w:r>
      <w:r>
        <w:rPr>
          <w:rFonts w:ascii="Arial" w:cs="Arial" w:eastAsia="Arial" w:hAnsi="Arial"/>
          <w:sz w:val="16"/>
          <w:szCs w:val="16"/>
          <w:color w:val="auto"/>
        </w:rPr>
        <w:t>) day after such Deemed Liquidation Event, to redeem all outstanding shares of Preferred Stock at a price per share equal to Applicable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The Corporation shall send written notice of the mandatory redemption (the “</w:t>
      </w:r>
      <w:r>
        <w:rPr>
          <w:rFonts w:ascii="Arial" w:cs="Arial" w:eastAsia="Arial" w:hAnsi="Arial"/>
          <w:sz w:val="16"/>
          <w:szCs w:val="16"/>
          <w:b w:val="1"/>
          <w:bCs w:val="1"/>
          <w:color w:val="auto"/>
        </w:rPr>
        <w:t>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to each holder of record of Preferred Stock not less than forty (40) days prior to the date of any such redemption (the “</w:t>
      </w:r>
      <w:r>
        <w:rPr>
          <w:rFonts w:ascii="Arial" w:cs="Arial" w:eastAsia="Arial" w:hAnsi="Arial"/>
          <w:sz w:val="16"/>
          <w:szCs w:val="16"/>
          <w:b w:val="1"/>
          <w:bCs w:val="1"/>
          <w:color w:val="auto"/>
        </w:rPr>
        <w:t>Redemption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Redemption Notice shall state: (1) the number of shares of each series of Preferred Stock held by the holder that the Corporation shall redeem on the Redemption Date specified in the Redemption Notice; (2) the Redemption Date, the Applicable Liquidation Amount; (3) the date upon which the holder’s right to convert such shares terminates (as determined in accordance with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(4) for holders of shares in certificated form, that the holder is to surrender to the Corporation, in the manner and at the place designated, his, her or its certificate or certificates representing the shares of Preferred Stock to be redeemed. On or before the Redemption Date, each holder of shares of Preferred Stock to be redeemed on the Redemption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Applicable Liquidation Amount for such shares shall be payable to the order of the person whose name appears on such certificate or certificates as the owner thereof. In the event less than all of the shares of Preferred Stock represented by a certificate are redeemed, a new certificate, instrument or book entry representing the unredeemed shares of</w:t>
      </w:r>
    </w:p>
    <w:p>
      <w:pPr>
        <w:spacing w:after="0" w:line="100" w:lineRule="exact"/>
        <w:rPr>
          <w:rFonts w:ascii="Arial" w:cs="Arial" w:eastAsia="Arial" w:hAnsi="Arial"/>
          <w:sz w:val="16"/>
          <w:szCs w:val="16"/>
          <w:color w:val="auto"/>
        </w:rPr>
      </w:pPr>
    </w:p>
    <w:p>
      <w:pPr>
        <w:ind w:left="4460" w:hanging="106"/>
        <w:spacing w:after="0"/>
        <w:tabs>
          <w:tab w:leader="none" w:pos="44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000"/>
          </w:cols>
          <w:pgMar w:left="1440" w:top="274" w:right="459" w:bottom="1440" w:gutter="0" w:footer="0" w:header="0"/>
        </w:sectPr>
      </w:pPr>
    </w:p>
    <w:bookmarkStart w:id="258" w:name="page259"/>
    <w:bookmarkEnd w:id="258"/>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Preferred Stock shall promptly be issued to such holder. If the Redemption Notice shall have been duly given, and if on the Redemption Date the Applicable Liquidation Amount payable upon redemption of the Preferred Stock to be redeemed on the Redemption Date is paid or tendered for payment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of Preferred Stock shall forthwith after the Redemption Date terminate, except only the right of the holders to receive the Applicable Liquidation Amount without interest upon surrender of any such certificate or certificates therefor. Prior to the distribution or redemption provided for in this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2.3.2(b)</w:t>
      </w:r>
      <w:r>
        <w:rPr>
          <w:rFonts w:ascii="Arial" w:cs="Arial" w:eastAsia="Arial" w:hAnsi="Arial"/>
          <w:sz w:val="17"/>
          <w:szCs w:val="17"/>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78" w:lineRule="exact"/>
        <w:rPr>
          <w:sz w:val="20"/>
          <w:szCs w:val="20"/>
          <w:color w:val="auto"/>
        </w:rPr>
      </w:pPr>
    </w:p>
    <w:p>
      <w:pPr>
        <w:ind w:right="60" w:firstLine="1432"/>
        <w:spacing w:after="0" w:line="301"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Amount Deemed Paid or Distributed</w:t>
      </w:r>
      <w:r>
        <w:rPr>
          <w:rFonts w:ascii="Arial" w:cs="Arial" w:eastAsia="Arial" w:hAnsi="Arial"/>
          <w:sz w:val="16"/>
          <w:szCs w:val="16"/>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including the approval of a majority of the Series A Directors (as defined below).</w:t>
      </w:r>
    </w:p>
    <w:p>
      <w:pPr>
        <w:spacing w:after="0" w:line="15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xml:space="preserve">. In the event of a Deemed Liquidation Event pursuant to </w:t>
      </w:r>
      <w:r>
        <w:rPr>
          <w:rFonts w:ascii="Arial" w:cs="Arial" w:eastAsia="Arial" w:hAnsi="Arial"/>
          <w:sz w:val="17"/>
          <w:szCs w:val="17"/>
          <w:u w:val="single" w:color="auto"/>
          <w:color w:val="auto"/>
        </w:rPr>
        <w:t>Subsection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2.3.1(a)(i)</w:t>
      </w:r>
      <w:r>
        <w:rPr>
          <w:rFonts w:ascii="Arial" w:cs="Arial" w:eastAsia="Arial" w:hAnsi="Arial"/>
          <w:sz w:val="17"/>
          <w:szCs w:val="17"/>
          <w:color w:val="auto"/>
        </w:rPr>
        <w:t>, if any portion of the consideration payable to the stockholders of the Corporation is payable only upon satisfaction of contingencies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2.2</w:t>
      </w:r>
      <w:r>
        <w:rPr>
          <w:rFonts w:ascii="Arial" w:cs="Arial" w:eastAsia="Arial" w:hAnsi="Arial"/>
          <w:sz w:val="17"/>
          <w:szCs w:val="17"/>
          <w:color w:val="auto"/>
        </w:rPr>
        <w:t xml:space="preserve"> as if the Initial Consideration were the only consideration payable in connection with such Deemed Liquidation Event; and (b) any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which becomes payable to the stockholders of the Corporation upon satisfaction of such contingencies shall be allocated among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holders of capital stock of the Corporation in accordance with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after taking into account the previous payment of the Initial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Consideration as part of the same transaction. For the purposes of this </w:t>
      </w:r>
      <w:r>
        <w:rPr>
          <w:rFonts w:ascii="Arial" w:cs="Arial" w:eastAsia="Arial" w:hAnsi="Arial"/>
          <w:sz w:val="16"/>
          <w:szCs w:val="16"/>
          <w:u w:val="single" w:color="auto"/>
          <w:color w:val="auto"/>
        </w:rPr>
        <w:t>Subsection 2.3.4</w:t>
      </w:r>
      <w:r>
        <w:rPr>
          <w:rFonts w:ascii="Arial" w:cs="Arial" w:eastAsia="Arial" w:hAnsi="Arial"/>
          <w:sz w:val="16"/>
          <w:szCs w:val="16"/>
          <w:color w:val="auto"/>
        </w:rPr>
        <w:t>, consideration placed into escrow or retained as a holdback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for satisfaction of indemnification or similar obligations in connection with such Deemed Liquidation Event shall be deemed to be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11" w:lineRule="exact"/>
        <w:rPr>
          <w:sz w:val="20"/>
          <w:szCs w:val="20"/>
          <w:color w:val="auto"/>
        </w:rPr>
      </w:pPr>
    </w:p>
    <w:p>
      <w:pPr>
        <w:ind w:left="1160" w:hanging="173"/>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259" w:name="page260"/>
    <w:bookmarkEnd w:id="259"/>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A Preferred Stock, exclusively and as a separate class, shall be entitled to elect four (4) directors of the Corporation (the “</w:t>
      </w:r>
      <w:r>
        <w:rPr>
          <w:rFonts w:ascii="Arial" w:cs="Arial" w:eastAsia="Arial" w:hAnsi="Arial"/>
          <w:sz w:val="16"/>
          <w:szCs w:val="16"/>
          <w:b w:val="1"/>
          <w:bCs w:val="1"/>
          <w:color w:val="auto"/>
        </w:rPr>
        <w:t>Series A Directors</w:t>
      </w:r>
      <w:r>
        <w:rPr>
          <w:rFonts w:ascii="Arial" w:cs="Arial" w:eastAsia="Arial" w:hAnsi="Arial"/>
          <w:sz w:val="16"/>
          <w:szCs w:val="16"/>
          <w:color w:val="auto"/>
        </w:rPr>
        <w:t xml:space="preserve">”). Any director elected as provided in the preceding sentence may be removed without cause by, and only by, the affirmative vote of the holders of shares of Series A Preferred Stock, given either at a special meeting of such stockholders duly called for that purpose or pursuant to a written consent of stockholders. If the holders of shares of Series A Preferred Stock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the Series A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The rights of the holders of the Series A Preferred Stock under the first sentence of this Subsection 3.2 shall terminate on the first date on which there are issued and outstanding less than 2,250,000 shares of Series A Preferred Stock (subject to appropriate adjustment in the event of any stock dividend, stock split, combination, or other similar recapitalization with respect to the Series A Preferred Stock).</w:t>
      </w:r>
    </w:p>
    <w:p>
      <w:pPr>
        <w:spacing w:after="0" w:line="174"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 xml:space="preserve">. At any time when at least 2,250,000 shares of Series A Preferred Stock, 300,000 shares of Series B Preferred Stock or 850,000 shares of Series C Preferred Stock (in each case, subject to appropriate adjustment in the event of any stock dividend, stock split, combination or other similar recapitalization with respect to such Preferred Stock) are outstanding, the Corporation shall not, either directly or indirectly by amendment, merger, consolidation, recapitalization, reclassification, or otherwise, do any of the following without (in addition to any other vote required by law or this Amended and Restated Certificate of Incorporation or the Bylaws of the Corporation) the written consent or affirmative vote of the Requisite Holders given in writing or by vote at a meeting, consenting or voting (as the case may be) together as a single class,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166" w:lineRule="exact"/>
        <w:rPr>
          <w:sz w:val="20"/>
          <w:szCs w:val="20"/>
          <w:color w:val="auto"/>
        </w:rPr>
      </w:pPr>
    </w:p>
    <w:p>
      <w:pPr>
        <w:ind w:right="440" w:firstLine="1432"/>
        <w:spacing w:after="0" w:line="277" w:lineRule="auto"/>
        <w:rPr>
          <w:sz w:val="20"/>
          <w:szCs w:val="20"/>
          <w:color w:val="auto"/>
        </w:rPr>
      </w:pPr>
      <w:r>
        <w:rPr>
          <w:rFonts w:ascii="Arial" w:cs="Arial" w:eastAsia="Arial" w:hAnsi="Arial"/>
          <w:sz w:val="18"/>
          <w:szCs w:val="18"/>
          <w:color w:val="auto"/>
        </w:rPr>
        <w:t>3.3.1 liquidate, dissolve or wind-up the business and affairs of the Corporation, effect any merger or consolidation or any other Deemed Liquidation Event, or consent to any of the foregoing;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260" w:name="page261"/>
    <w:bookmarkEnd w:id="260"/>
    <w:p>
      <w:pPr>
        <w:ind w:left="14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3.3.2 amend, alter or repeal any provision of this Amended and Restated Certificate of Incorporation or Bylaws of the Corporation;</w:t>
      </w:r>
    </w:p>
    <w:p>
      <w:pPr>
        <w:spacing w:after="0" w:line="248" w:lineRule="exact"/>
        <w:rPr>
          <w:sz w:val="20"/>
          <w:szCs w:val="20"/>
          <w:color w:val="auto"/>
        </w:rPr>
      </w:pPr>
    </w:p>
    <w:p>
      <w:pPr>
        <w:jc w:val="both"/>
        <w:ind w:left="4" w:right="140" w:firstLine="1432"/>
        <w:spacing w:after="0" w:line="263" w:lineRule="auto"/>
        <w:rPr>
          <w:sz w:val="20"/>
          <w:szCs w:val="20"/>
          <w:color w:val="auto"/>
        </w:rPr>
      </w:pPr>
      <w:r>
        <w:rPr>
          <w:rFonts w:ascii="Arial" w:cs="Arial" w:eastAsia="Arial" w:hAnsi="Arial"/>
          <w:sz w:val="18"/>
          <w:szCs w:val="18"/>
          <w:color w:val="auto"/>
        </w:rPr>
        <w:t>3.3.3 create, or authorize the creation of,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184" w:lineRule="exact"/>
        <w:rPr>
          <w:sz w:val="20"/>
          <w:szCs w:val="20"/>
          <w:color w:val="auto"/>
        </w:rPr>
      </w:pPr>
    </w:p>
    <w:p>
      <w:pPr>
        <w:ind w:left="4" w:right="160" w:firstLine="1432"/>
        <w:spacing w:after="0" w:line="263" w:lineRule="auto"/>
        <w:rPr>
          <w:sz w:val="20"/>
          <w:szCs w:val="20"/>
          <w:color w:val="auto"/>
        </w:rPr>
      </w:pPr>
      <w:r>
        <w:rPr>
          <w:rFonts w:ascii="Arial" w:cs="Arial" w:eastAsia="Arial" w:hAnsi="Arial"/>
          <w:sz w:val="18"/>
          <w:szCs w:val="18"/>
          <w:color w:val="auto"/>
        </w:rPr>
        <w:t>3.3.4 cause or permit the Corporation or any of its subsidiaries to sell, issue, sponsor, create or distribute any digital tokens, cryptocurrency or other blockchain-based assets (collectively, “</w:t>
      </w:r>
      <w:r>
        <w:rPr>
          <w:rFonts w:ascii="Arial" w:cs="Arial" w:eastAsia="Arial" w:hAnsi="Arial"/>
          <w:sz w:val="18"/>
          <w:szCs w:val="18"/>
          <w:b w:val="1"/>
          <w:bCs w:val="1"/>
          <w:color w:val="auto"/>
        </w:rPr>
        <w:t>Tokens</w:t>
      </w:r>
      <w:r>
        <w:rPr>
          <w:rFonts w:ascii="Arial" w:cs="Arial" w:eastAsia="Arial" w:hAnsi="Arial"/>
          <w:sz w:val="18"/>
          <w:szCs w:val="18"/>
          <w:color w:val="auto"/>
        </w:rPr>
        <w:t>”), including through a pre-sale, initial coin offering, token distribution event or crowdfunding, or through the issuance of any instrument convertible into or exchangeable for Tokens;</w:t>
      </w:r>
    </w:p>
    <w:p>
      <w:pPr>
        <w:spacing w:after="0" w:line="184" w:lineRule="exact"/>
        <w:rPr>
          <w:sz w:val="20"/>
          <w:szCs w:val="20"/>
          <w:color w:val="auto"/>
        </w:rPr>
      </w:pPr>
    </w:p>
    <w:p>
      <w:pPr>
        <w:ind w:left="4" w:right="180" w:firstLine="1432"/>
        <w:spacing w:after="0" w:line="259" w:lineRule="auto"/>
        <w:rPr>
          <w:sz w:val="20"/>
          <w:szCs w:val="20"/>
          <w:color w:val="auto"/>
        </w:rPr>
      </w:pPr>
      <w:r>
        <w:rPr>
          <w:rFonts w:ascii="Arial" w:cs="Arial" w:eastAsia="Arial" w:hAnsi="Arial"/>
          <w:sz w:val="18"/>
          <w:szCs w:val="18"/>
          <w:color w:val="auto"/>
        </w:rPr>
        <w:t>3.3.5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87" w:lineRule="exact"/>
        <w:rPr>
          <w:sz w:val="20"/>
          <w:szCs w:val="20"/>
          <w:color w:val="auto"/>
        </w:rPr>
      </w:pPr>
    </w:p>
    <w:p>
      <w:pPr>
        <w:ind w:left="4" w:right="160" w:firstLine="1432"/>
        <w:spacing w:after="0" w:line="287" w:lineRule="auto"/>
        <w:rPr>
          <w:sz w:val="20"/>
          <w:szCs w:val="20"/>
          <w:color w:val="auto"/>
        </w:rPr>
      </w:pPr>
      <w:r>
        <w:rPr>
          <w:rFonts w:ascii="Arial" w:cs="Arial" w:eastAsia="Arial" w:hAnsi="Arial"/>
          <w:sz w:val="16"/>
          <w:szCs w:val="16"/>
          <w:color w:val="auto"/>
        </w:rPr>
        <w:t>3.3.6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w:t>
      </w:r>
    </w:p>
    <w:p>
      <w:pPr>
        <w:spacing w:after="0" w:line="2" w:lineRule="exact"/>
        <w:rPr>
          <w:sz w:val="20"/>
          <w:szCs w:val="20"/>
          <w:color w:val="auto"/>
        </w:rPr>
      </w:pPr>
    </w:p>
    <w:p>
      <w:pPr>
        <w:ind w:left="324" w:hanging="324"/>
        <w:spacing w:after="0"/>
        <w:tabs>
          <w:tab w:leader="none" w:pos="324"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repurchases of stock from former employees, officers, directors, consultants or other persons who performed services for the Corporation or any</w:t>
      </w:r>
    </w:p>
    <w:p>
      <w:pPr>
        <w:spacing w:after="0" w:line="32" w:lineRule="exact"/>
        <w:rPr>
          <w:rFonts w:ascii="Arial" w:cs="Arial" w:eastAsia="Arial" w:hAnsi="Arial"/>
          <w:sz w:val="16"/>
          <w:szCs w:val="16"/>
          <w:color w:val="auto"/>
        </w:rPr>
      </w:pPr>
    </w:p>
    <w:p>
      <w:pPr>
        <w:ind w:left="4"/>
        <w:spacing w:after="0" w:line="260" w:lineRule="auto"/>
        <w:rPr>
          <w:rFonts w:ascii="Arial" w:cs="Arial" w:eastAsia="Arial" w:hAnsi="Arial"/>
          <w:sz w:val="16"/>
          <w:szCs w:val="16"/>
          <w:color w:val="auto"/>
        </w:rPr>
      </w:pPr>
      <w:r>
        <w:rPr>
          <w:rFonts w:ascii="Arial" w:cs="Arial" w:eastAsia="Arial" w:hAnsi="Arial"/>
          <w:sz w:val="18"/>
          <w:szCs w:val="18"/>
          <w:color w:val="auto"/>
        </w:rPr>
        <w:t>subsidiary in connection with the cessation of such employment or service at no greater than the original purchase price or (iv) as approved by the Board of Directors;</w:t>
      </w:r>
    </w:p>
    <w:p>
      <w:pPr>
        <w:spacing w:after="0" w:line="185" w:lineRule="exact"/>
        <w:rPr>
          <w:sz w:val="20"/>
          <w:szCs w:val="20"/>
          <w:color w:val="auto"/>
        </w:rPr>
      </w:pPr>
    </w:p>
    <w:p>
      <w:pPr>
        <w:ind w:left="4" w:right="40" w:firstLine="1432"/>
        <w:spacing w:after="0" w:line="293" w:lineRule="auto"/>
        <w:rPr>
          <w:sz w:val="20"/>
          <w:szCs w:val="20"/>
          <w:color w:val="auto"/>
        </w:rPr>
      </w:pPr>
      <w:r>
        <w:rPr>
          <w:rFonts w:ascii="Arial" w:cs="Arial" w:eastAsia="Arial" w:hAnsi="Arial"/>
          <w:sz w:val="16"/>
          <w:szCs w:val="16"/>
          <w:color w:val="auto"/>
        </w:rPr>
        <w:t>3.3.7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$500,000 other than equipment leases, bank lines of credit or trade payables incurred in the ordinary course;</w:t>
      </w:r>
    </w:p>
    <w:p>
      <w:pPr>
        <w:spacing w:after="0" w:line="164" w:lineRule="exact"/>
        <w:rPr>
          <w:sz w:val="20"/>
          <w:szCs w:val="20"/>
          <w:color w:val="auto"/>
        </w:rPr>
      </w:pPr>
    </w:p>
    <w:p>
      <w:pPr>
        <w:ind w:left="4" w:right="60" w:firstLine="1432"/>
        <w:spacing w:after="0" w:line="257" w:lineRule="auto"/>
        <w:rPr>
          <w:sz w:val="20"/>
          <w:szCs w:val="20"/>
          <w:color w:val="auto"/>
        </w:rPr>
      </w:pPr>
      <w:r>
        <w:rPr>
          <w:rFonts w:ascii="Arial" w:cs="Arial" w:eastAsia="Arial" w:hAnsi="Arial"/>
          <w:sz w:val="18"/>
          <w:szCs w:val="18"/>
          <w:color w:val="auto"/>
        </w:rPr>
        <w:t>3.3.8 create, or hold capital stock in, any subsidiary that is not wholly owned (either directly or through one (1)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4"/>
          </w:cols>
          <w:pgMar w:left="436" w:top="274" w:right="459" w:bottom="1440" w:gutter="0" w:footer="0" w:header="0"/>
        </w:sectPr>
      </w:pPr>
    </w:p>
    <w:bookmarkStart w:id="261" w:name="page262"/>
    <w:bookmarkEnd w:id="261"/>
    <w:p>
      <w:pPr>
        <w:ind w:right="26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3.3.9 effect any acquisition of the capital stock of another entity which results in the consolidation of that entity into the results of operations of the Corporation or acquisition or all or substantially all of the assets of another entity.</w:t>
      </w:r>
    </w:p>
    <w:p>
      <w:pPr>
        <w:spacing w:after="0" w:line="170" w:lineRule="exact"/>
        <w:rPr>
          <w:sz w:val="20"/>
          <w:szCs w:val="20"/>
          <w:color w:val="auto"/>
        </w:rPr>
      </w:pPr>
    </w:p>
    <w:p>
      <w:pPr>
        <w:ind w:left="1160" w:hanging="173"/>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ind w:right="40" w:firstLine="1432"/>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Ratios</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w:t>
      </w:r>
      <w:r>
        <w:rPr>
          <w:rFonts w:ascii="Arial" w:cs="Arial" w:eastAsia="Arial" w:hAnsi="Arial"/>
          <w:sz w:val="17"/>
          <w:szCs w:val="17"/>
          <w:b w:val="1"/>
          <w:bCs w:val="1"/>
          <w:color w:val="auto"/>
        </w:rPr>
        <w:t>Applicable Conversion Price</w:t>
      </w:r>
      <w:r>
        <w:rPr>
          <w:rFonts w:ascii="Arial" w:cs="Arial" w:eastAsia="Arial" w:hAnsi="Arial"/>
          <w:sz w:val="17"/>
          <w:szCs w:val="17"/>
          <w:color w:val="auto"/>
        </w:rPr>
        <w:t xml:space="preserve">” shall mean, in the case of the Series A Preferred Stock, a per share amount initially equal to $8.00, in the case of the Series B Preferred Stock, a per share amount initially equal to $56.72 and in the case of the Series C Preferred Stock, a per share amount initially equal to $78.08578, in each case subject to adjustment as provided in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78"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xml:space="preserve">. In the event of a notice of redemption of any shares of Preferred Stock pursuant to </w:t>
      </w:r>
      <w:r>
        <w:rPr>
          <w:rFonts w:ascii="Arial" w:cs="Arial" w:eastAsia="Arial" w:hAnsi="Arial"/>
          <w:sz w:val="18"/>
          <w:szCs w:val="18"/>
          <w:u w:val="single" w:color="auto"/>
          <w:color w:val="auto"/>
        </w:rPr>
        <w:t>Subsection 2.3.2(b)</w:t>
      </w:r>
      <w:r>
        <w:rPr>
          <w:rFonts w:ascii="Arial" w:cs="Arial" w:eastAsia="Arial" w:hAnsi="Arial"/>
          <w:sz w:val="18"/>
          <w:szCs w:val="18"/>
          <w:color w:val="auto"/>
        </w:rPr>
        <w:t>,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4" w:right="459" w:bottom="1440" w:gutter="0" w:footer="0" w:header="0"/>
        </w:sectPr>
      </w:pPr>
    </w:p>
    <w:bookmarkStart w:id="262" w:name="page263"/>
    <w:bookmarkEnd w:id="26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right="60" w:firstLine="1432"/>
        <w:spacing w:after="0" w:line="284"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xml:space="preserve">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(x) in the event such shares are certificated,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and (y) in the event such shares are uncertificated, a notice of issuance of uncertificated shares and may, upon written request, issue and deliver a certificate for the number of full shares of Common Stock issuable upon such conversion in accordance with the provisions hereof and may, if applicable and upon written request, issue and deliver a certificate for the number (if any) of shares of Preferred Stock represented by any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178" w:lineRule="exact"/>
        <w:rPr>
          <w:sz w:val="20"/>
          <w:szCs w:val="20"/>
          <w:color w:val="auto"/>
        </w:rPr>
      </w:pPr>
    </w:p>
    <w:p>
      <w:pPr>
        <w:ind w:firstLine="1432"/>
        <w:spacing w:after="0" w:line="28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0"/>
          </w:cols>
          <w:pgMar w:left="440" w:top="274" w:right="459" w:bottom="1440" w:gutter="0" w:footer="0" w:header="0"/>
        </w:sectPr>
      </w:pPr>
    </w:p>
    <w:bookmarkStart w:id="263" w:name="page264"/>
    <w:bookmarkEnd w:id="263"/>
    <w:p>
      <w:pPr>
        <w:ind w:firstLine="143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such series of Preferred Stock accordingly.</w:t>
      </w:r>
    </w:p>
    <w:p>
      <w:pPr>
        <w:spacing w:after="0" w:line="195" w:lineRule="exact"/>
        <w:rPr>
          <w:sz w:val="20"/>
          <w:szCs w:val="20"/>
          <w:color w:val="auto"/>
        </w:rPr>
      </w:pPr>
    </w:p>
    <w:p>
      <w:pPr>
        <w:ind w:right="220" w:firstLine="1432"/>
        <w:spacing w:after="0" w:line="308"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No Further Adjustment</w:t>
      </w:r>
      <w:r>
        <w:rPr>
          <w:rFonts w:ascii="Arial" w:cs="Arial" w:eastAsia="Arial" w:hAnsi="Arial"/>
          <w:sz w:val="17"/>
          <w:szCs w:val="17"/>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46" w:lineRule="exact"/>
        <w:rPr>
          <w:sz w:val="20"/>
          <w:szCs w:val="20"/>
          <w:color w:val="auto"/>
        </w:rPr>
      </w:pPr>
    </w:p>
    <w:p>
      <w:pPr>
        <w:ind w:right="160" w:firstLine="1432"/>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Applicable Conversion Price for Diluting Issues</w:t>
      </w:r>
      <w:r>
        <w:rPr>
          <w:rFonts w:ascii="Arial" w:cs="Arial" w:eastAsia="Arial" w:hAnsi="Arial"/>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Option</w:t>
      </w:r>
      <w:r>
        <w:rPr>
          <w:rFonts w:ascii="Arial" w:cs="Arial" w:eastAsia="Arial" w:hAnsi="Arial"/>
          <w:sz w:val="17"/>
          <w:szCs w:val="17"/>
          <w:color w:val="auto"/>
        </w:rPr>
        <w:t>” shall mean rights, options or warrants to subscribe for, purchase or otherwise acquire Common Stock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240" w:hanging="261"/>
        <w:spacing w:after="0"/>
        <w:tabs>
          <w:tab w:leader="none" w:pos="2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shall mean the date on which the first share of Series C Preferred Stock was issued.</w:t>
      </w:r>
    </w:p>
    <w:p>
      <w:pPr>
        <w:spacing w:after="0" w:line="225" w:lineRule="exact"/>
        <w:rPr>
          <w:rFonts w:ascii="Arial" w:cs="Arial" w:eastAsia="Arial" w:hAnsi="Arial"/>
          <w:sz w:val="18"/>
          <w:szCs w:val="18"/>
          <w:color w:val="auto"/>
        </w:rPr>
      </w:pPr>
    </w:p>
    <w:p>
      <w:pPr>
        <w:ind w:right="460" w:firstLine="1979"/>
        <w:spacing w:after="0" w:line="282" w:lineRule="auto"/>
        <w:tabs>
          <w:tab w:leader="none" w:pos="222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1" w:lineRule="exact"/>
        <w:rPr>
          <w:rFonts w:ascii="Arial" w:cs="Arial" w:eastAsia="Arial" w:hAnsi="Arial"/>
          <w:sz w:val="18"/>
          <w:szCs w:val="18"/>
          <w:color w:val="auto"/>
        </w:rPr>
      </w:pPr>
    </w:p>
    <w:p>
      <w:pPr>
        <w:ind w:right="20" w:firstLine="1979"/>
        <w:spacing w:after="0" w:line="314" w:lineRule="auto"/>
        <w:tabs>
          <w:tab w:leader="none" w:pos="223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6"/>
          <w:szCs w:val="16"/>
          <w:b w:val="1"/>
          <w:bCs w:val="1"/>
          <w:color w:val="auto"/>
        </w:rPr>
        <w:t>Exempted Securities</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2640" w:hanging="221"/>
        <w:spacing w:after="0"/>
        <w:tabs>
          <w:tab w:leader="none" w:pos="264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Preferred Stock;</w:t>
      </w:r>
    </w:p>
    <w:p>
      <w:pPr>
        <w:spacing w:after="0" w:line="180" w:lineRule="exact"/>
        <w:rPr>
          <w:rFonts w:ascii="Arial" w:cs="Arial" w:eastAsia="Arial" w:hAnsi="Arial"/>
          <w:sz w:val="16"/>
          <w:szCs w:val="16"/>
          <w:color w:val="auto"/>
        </w:rPr>
      </w:pPr>
    </w:p>
    <w:p>
      <w:pPr>
        <w:ind w:left="5420" w:hanging="108"/>
        <w:spacing w:after="0"/>
        <w:tabs>
          <w:tab w:leader="none" w:pos="5420" w:val="left"/>
        </w:tabs>
        <w:numPr>
          <w:ilvl w:val="2"/>
          <w:numId w:val="16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0"/>
          </w:cols>
          <w:pgMar w:left="440" w:top="274" w:right="459" w:bottom="1440" w:gutter="0" w:footer="0" w:header="0"/>
        </w:sectPr>
      </w:pPr>
    </w:p>
    <w:bookmarkStart w:id="264" w:name="page265"/>
    <w:bookmarkEnd w:id="264"/>
    <w:p>
      <w:pPr>
        <w:ind w:right="120" w:firstLine="2419"/>
        <w:spacing w:after="0" w:line="277" w:lineRule="auto"/>
        <w:tabs>
          <w:tab w:leader="none" w:pos="2688"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60" w:firstLine="2419"/>
        <w:spacing w:after="0" w:line="308" w:lineRule="auto"/>
        <w:tabs>
          <w:tab w:leader="none" w:pos="273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shares of Common Stock or Options issued to employees or directors of, or consultants or advisors to, the Corporation or any of its subsidiaries pursuant to a plan, agreement or arrangement approved by the Board of Directors;</w:t>
      </w:r>
    </w:p>
    <w:p>
      <w:pPr>
        <w:spacing w:after="0" w:line="146" w:lineRule="exact"/>
        <w:rPr>
          <w:rFonts w:ascii="Arial" w:cs="Arial" w:eastAsia="Arial" w:hAnsi="Arial"/>
          <w:sz w:val="17"/>
          <w:szCs w:val="17"/>
          <w:color w:val="auto"/>
        </w:rPr>
      </w:pPr>
    </w:p>
    <w:p>
      <w:pPr>
        <w:ind w:right="100" w:firstLine="2419"/>
        <w:spacing w:after="0" w:line="263" w:lineRule="auto"/>
        <w:tabs>
          <w:tab w:leader="none" w:pos="272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83" w:lineRule="exact"/>
        <w:rPr>
          <w:rFonts w:ascii="Arial" w:cs="Arial" w:eastAsia="Arial" w:hAnsi="Arial"/>
          <w:sz w:val="18"/>
          <w:szCs w:val="18"/>
          <w:color w:val="auto"/>
        </w:rPr>
      </w:pPr>
    </w:p>
    <w:p>
      <w:pPr>
        <w:ind w:firstLine="2419"/>
        <w:spacing w:after="0" w:line="277" w:lineRule="auto"/>
        <w:tabs>
          <w:tab w:leader="none" w:pos="267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shares of Common Stock issued in connection with the Corporation’s first underwritten public offering of Common Stock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40" w:firstLine="2419"/>
        <w:spacing w:after="0" w:line="263" w:lineRule="auto"/>
        <w:tabs>
          <w:tab w:leader="none" w:pos="272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or</w:t>
      </w:r>
    </w:p>
    <w:p>
      <w:pPr>
        <w:spacing w:after="0" w:line="183" w:lineRule="exact"/>
        <w:rPr>
          <w:rFonts w:ascii="Arial" w:cs="Arial" w:eastAsia="Arial" w:hAnsi="Arial"/>
          <w:sz w:val="18"/>
          <w:szCs w:val="18"/>
          <w:color w:val="auto"/>
        </w:rPr>
      </w:pPr>
    </w:p>
    <w:p>
      <w:pPr>
        <w:ind w:right="440" w:firstLine="2419"/>
        <w:spacing w:after="0" w:line="263" w:lineRule="auto"/>
        <w:tabs>
          <w:tab w:leader="none" w:pos="2778"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original equipment manufacturing, marketing or other similar agreements or strategic partnerships approved by the Board of Directors.</w:t>
      </w:r>
    </w:p>
    <w:p>
      <w:pPr>
        <w:spacing w:after="0" w:line="184" w:lineRule="exact"/>
        <w:rPr>
          <w:sz w:val="20"/>
          <w:szCs w:val="20"/>
          <w:color w:val="auto"/>
        </w:rPr>
      </w:pPr>
    </w:p>
    <w:p>
      <w:pPr>
        <w:ind w:right="80" w:firstLine="1432"/>
        <w:spacing w:after="0" w:line="269"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Applicable Conversion Price</w:t>
      </w:r>
      <w:r>
        <w:rPr>
          <w:rFonts w:ascii="Arial" w:cs="Arial" w:eastAsia="Arial" w:hAnsi="Arial"/>
          <w:sz w:val="17"/>
          <w:szCs w:val="17"/>
          <w:color w:val="auto"/>
        </w:rPr>
        <w:t>. No adjustment in the Applicable Conversion Price shall be made with respect to the Series A Preferred Stock as the result of the issuance or deemed issuance of Additional Shares of Common Stock if the Corporation receives written notice from the holders of a majority of the then outstanding shares of Series A Preferred Stock agreeing that no such adjustment shall be made as the result of the issuance or deemed issuance of such Additional Shares of Common Stock. No adjustment in the Applicable Conversion Price shall be made with respect to the Series B Preferred Stock as the result of the issuance or deemed issuance of Additional Shares of Common Stock if the Corporation receives written notice from the Requisite Series B Holders agreeing that no such adjustment shall be made as the result of the issuance or deemed issuance of such Additional Shares of Common Stock. No adjustment in the Applicable Conversion Price shall be made with respect to the Series C Preferred Stock as the result of the issuance or deemed issuance of Additional Shares of Common Stock if the Corporation receives written notice from the Requisite Series C Holders agreeing that no such adjustment shall be made as the result of the issuance or deemed issuance of such Additional Shares of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0"/>
          </w:cols>
          <w:pgMar w:left="440" w:top="274" w:right="459" w:bottom="1440" w:gutter="0" w:footer="0" w:header="0"/>
        </w:sectPr>
      </w:pPr>
    </w:p>
    <w:bookmarkStart w:id="265" w:name="page266"/>
    <w:bookmarkEnd w:id="26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5" w:lineRule="exact"/>
        <w:rPr>
          <w:sz w:val="20"/>
          <w:szCs w:val="20"/>
          <w:color w:val="auto"/>
        </w:rPr>
      </w:pPr>
    </w:p>
    <w:p>
      <w:pPr>
        <w:ind w:left="-1000" w:right="40" w:firstLine="1979"/>
        <w:spacing w:after="0" w:line="291" w:lineRule="auto"/>
        <w:tabs>
          <w:tab w:leader="none" w:pos="122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66" w:lineRule="exact"/>
        <w:rPr>
          <w:rFonts w:ascii="Arial" w:cs="Arial" w:eastAsia="Arial" w:hAnsi="Arial"/>
          <w:sz w:val="16"/>
          <w:szCs w:val="16"/>
          <w:color w:val="auto"/>
        </w:rPr>
      </w:pPr>
    </w:p>
    <w:p>
      <w:pPr>
        <w:ind w:left="-1000" w:firstLine="1979"/>
        <w:spacing w:after="0" w:line="286" w:lineRule="auto"/>
        <w:tabs>
          <w:tab w:leader="none" w:pos="1238"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Applicable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been obtained had such revised terms been in effect upon the original date of issuance of such Option or Convertible Security. Notwithstanding the foregoing, no readjustment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3" w:lineRule="exact"/>
        <w:rPr>
          <w:rFonts w:ascii="Arial" w:cs="Arial" w:eastAsia="Arial" w:hAnsi="Arial"/>
          <w:sz w:val="16"/>
          <w:szCs w:val="16"/>
          <w:color w:val="auto"/>
        </w:rPr>
      </w:pPr>
    </w:p>
    <w:p>
      <w:pPr>
        <w:ind w:left="-1000" w:firstLine="1979"/>
        <w:spacing w:after="0" w:line="271" w:lineRule="auto"/>
        <w:tabs>
          <w:tab w:leader="none" w:pos="122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w:t>
      </w:r>
    </w:p>
    <w:p>
      <w:pPr>
        <w:spacing w:after="0" w:line="110" w:lineRule="exact"/>
        <w:rPr>
          <w:rFonts w:ascii="Arial" w:cs="Arial" w:eastAsia="Arial" w:hAnsi="Arial"/>
          <w:sz w:val="17"/>
          <w:szCs w:val="17"/>
          <w:color w:val="auto"/>
        </w:rPr>
      </w:pPr>
    </w:p>
    <w:p>
      <w:pPr>
        <w:ind w:left="4420" w:hanging="111"/>
        <w:spacing w:after="0"/>
        <w:tabs>
          <w:tab w:leader="none" w:pos="44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9980"/>
          </w:cols>
          <w:pgMar w:left="1440" w:top="274" w:right="479" w:bottom="1440" w:gutter="0" w:footer="0" w:header="0"/>
        </w:sectPr>
      </w:pPr>
    </w:p>
    <w:bookmarkStart w:id="266" w:name="page267"/>
    <w:bookmarkEnd w:id="266"/>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8"/>
          <w:szCs w:val="18"/>
          <w:u w:val="single" w:color="auto"/>
          <w:color w:val="auto"/>
        </w:rPr>
        <w:t>Subsection 4.4.3(a)</w:t>
      </w:r>
      <w:r>
        <w:rPr>
          <w:rFonts w:ascii="Arial" w:cs="Arial" w:eastAsia="Arial" w:hAnsi="Arial"/>
          <w:sz w:val="18"/>
          <w:szCs w:val="18"/>
          <w:color w:val="auto"/>
        </w:rPr>
        <w:t xml:space="preserve"> shall be deemed to have been issued effective upon such increase or decrease becoming effective.</w:t>
      </w:r>
    </w:p>
    <w:p>
      <w:pPr>
        <w:spacing w:after="0" w:line="184" w:lineRule="exact"/>
        <w:rPr>
          <w:sz w:val="20"/>
          <w:szCs w:val="20"/>
          <w:color w:val="auto"/>
        </w:rPr>
      </w:pPr>
    </w:p>
    <w:p>
      <w:pPr>
        <w:ind w:right="60" w:firstLine="1979"/>
        <w:spacing w:after="0" w:line="279" w:lineRule="auto"/>
        <w:tabs>
          <w:tab w:leader="none" w:pos="223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the Applicable Conversion Price shall be readjusted to such Applicable Conversion Price as would have been obtained had such Option or Convertible Security (or portion thereof) never been issued.</w:t>
      </w:r>
    </w:p>
    <w:p>
      <w:pPr>
        <w:spacing w:after="0" w:line="171" w:lineRule="exact"/>
        <w:rPr>
          <w:rFonts w:ascii="Arial" w:cs="Arial" w:eastAsia="Arial" w:hAnsi="Arial"/>
          <w:sz w:val="17"/>
          <w:szCs w:val="17"/>
          <w:color w:val="auto"/>
        </w:rPr>
      </w:pPr>
    </w:p>
    <w:p>
      <w:pPr>
        <w:ind w:firstLine="1979"/>
        <w:spacing w:after="0" w:line="287" w:lineRule="auto"/>
        <w:tabs>
          <w:tab w:leader="none" w:pos="222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72" w:lineRule="exact"/>
        <w:rPr>
          <w:sz w:val="20"/>
          <w:szCs w:val="20"/>
          <w:color w:val="auto"/>
        </w:rPr>
      </w:pPr>
    </w:p>
    <w:p>
      <w:pPr>
        <w:ind w:right="40" w:firstLine="1432"/>
        <w:spacing w:after="0" w:line="296" w:lineRule="auto"/>
        <w:rPr>
          <w:sz w:val="20"/>
          <w:szCs w:val="20"/>
          <w:color w:val="auto"/>
        </w:rPr>
      </w:pPr>
      <w:r>
        <w:rPr>
          <w:rFonts w:ascii="Arial" w:cs="Arial" w:eastAsia="Arial" w:hAnsi="Arial"/>
          <w:sz w:val="16"/>
          <w:szCs w:val="16"/>
          <w:color w:val="auto"/>
        </w:rPr>
        <w:t xml:space="preserve">4.4.4 </w:t>
      </w:r>
      <w:r>
        <w:rPr>
          <w:rFonts w:ascii="Arial" w:cs="Arial" w:eastAsia="Arial" w:hAnsi="Arial"/>
          <w:sz w:val="16"/>
          <w:szCs w:val="16"/>
          <w:u w:val="single" w:color="auto"/>
          <w:color w:val="auto"/>
        </w:rPr>
        <w:t>Adjustment of Applicable Conversion Price Upon Issuance of Additional Shares of Common Stock</w:t>
      </w:r>
      <w:r>
        <w:rPr>
          <w:rFonts w:ascii="Arial" w:cs="Arial" w:eastAsia="Arial" w:hAnsi="Arial"/>
          <w:sz w:val="16"/>
          <w:szCs w:val="16"/>
          <w:color w:val="auto"/>
        </w:rPr>
        <w:t xml:space="preserve">. In the event the Corporation shall at any time or from time to time after the Original Issue Date issue Additional Shares of Common Stock (including Additional Shares of Common Stock deemed to be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without consideration or for a consideration per share less than the Applicable Conversion Price in effect immediately prior to such issuance or deemed issuance, then the Applicable Conversion Price shall be reduced, concurrently with such issue, to a price (calculated to the nearest one-hundredth of a cent) determined in accordance with the following formula:</w:t>
      </w:r>
    </w:p>
    <w:p>
      <w:pPr>
        <w:spacing w:after="0" w:line="16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right="440" w:firstLine="1979"/>
        <w:spacing w:after="0" w:line="277" w:lineRule="auto"/>
        <w:tabs>
          <w:tab w:leader="none" w:pos="222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Conversion Price in effect immediately after such issuance or deemed issuance of Additional Shares of Common Stock;</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60"/>
          </w:cols>
          <w:pgMar w:left="440" w:top="274" w:right="499" w:bottom="1440" w:gutter="0" w:footer="0" w:header="0"/>
        </w:sectPr>
      </w:pPr>
    </w:p>
    <w:bookmarkStart w:id="267" w:name="page268"/>
    <w:bookmarkEnd w:id="267"/>
    <w:p>
      <w:pPr>
        <w:ind w:right="280" w:firstLine="1979"/>
        <w:spacing w:after="0" w:line="277" w:lineRule="auto"/>
        <w:tabs>
          <w:tab w:leader="none" w:pos="2238"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“CP</w:t>
      </w:r>
      <w:r>
        <w:rPr>
          <w:rFonts w:ascii="Arial" w:cs="Arial" w:eastAsia="Arial" w:hAnsi="Arial"/>
          <w:sz w:val="15"/>
          <w:szCs w:val="15"/>
          <w:color w:val="auto"/>
        </w:rPr>
        <w:t>1</w:t>
      </w:r>
      <w:r>
        <w:rPr>
          <w:rFonts w:ascii="Arial" w:cs="Arial" w:eastAsia="Arial" w:hAnsi="Arial"/>
          <w:sz w:val="18"/>
          <w:szCs w:val="18"/>
          <w:color w:val="auto"/>
        </w:rPr>
        <w:t>” shall mean the Applicable Conversion Price in effect immediately prior to such issuance or deemed issuance of Additional Shares of Common Stock;</w:t>
      </w:r>
    </w:p>
    <w:p>
      <w:pPr>
        <w:spacing w:after="0" w:line="170" w:lineRule="exact"/>
        <w:rPr>
          <w:rFonts w:ascii="Arial" w:cs="Arial" w:eastAsia="Arial" w:hAnsi="Arial"/>
          <w:sz w:val="18"/>
          <w:szCs w:val="18"/>
          <w:color w:val="auto"/>
        </w:rPr>
      </w:pPr>
    </w:p>
    <w:p>
      <w:pPr>
        <w:ind w:right="20" w:firstLine="1979"/>
        <w:spacing w:after="0" w:line="279" w:lineRule="auto"/>
        <w:tabs>
          <w:tab w:leader="none" w:pos="222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right="80" w:firstLine="1979"/>
        <w:spacing w:after="0" w:line="275" w:lineRule="auto"/>
        <w:tabs>
          <w:tab w:leader="none" w:pos="223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220" w:hanging="241"/>
        <w:spacing w:after="0"/>
        <w:tabs>
          <w:tab w:leader="none" w:pos="2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340" w:firstLine="1432"/>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62" w:lineRule="exact"/>
        <w:rPr>
          <w:sz w:val="20"/>
          <w:szCs w:val="20"/>
          <w:color w:val="auto"/>
        </w:rPr>
      </w:pPr>
    </w:p>
    <w:p>
      <w:pPr>
        <w:ind w:left="2220" w:hanging="241"/>
        <w:spacing w:after="0"/>
        <w:tabs>
          <w:tab w:leader="none" w:pos="222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17" w:lineRule="exact"/>
        <w:rPr>
          <w:rFonts w:ascii="Arial" w:cs="Arial" w:eastAsia="Arial" w:hAnsi="Arial"/>
          <w:sz w:val="18"/>
          <w:szCs w:val="18"/>
          <w:color w:val="auto"/>
        </w:rPr>
      </w:pPr>
    </w:p>
    <w:p>
      <w:pPr>
        <w:ind w:right="160" w:firstLine="2419"/>
        <w:spacing w:after="0" w:line="277" w:lineRule="auto"/>
        <w:tabs>
          <w:tab w:leader="none" w:pos="263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right="220" w:firstLine="2419"/>
        <w:spacing w:after="0" w:line="277" w:lineRule="auto"/>
        <w:tabs>
          <w:tab w:leader="none" w:pos="268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and</w:t>
      </w:r>
    </w:p>
    <w:p>
      <w:pPr>
        <w:spacing w:after="0" w:line="170" w:lineRule="exact"/>
        <w:rPr>
          <w:rFonts w:ascii="Arial" w:cs="Arial" w:eastAsia="Arial" w:hAnsi="Arial"/>
          <w:sz w:val="18"/>
          <w:szCs w:val="18"/>
          <w:color w:val="auto"/>
        </w:rPr>
      </w:pPr>
    </w:p>
    <w:p>
      <w:pPr>
        <w:jc w:val="both"/>
        <w:ind w:right="60" w:firstLine="2419"/>
        <w:spacing w:after="0" w:line="263" w:lineRule="auto"/>
        <w:tabs>
          <w:tab w:leader="none" w:pos="273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as determined in good faith by the Board of Directors.</w:t>
      </w:r>
    </w:p>
    <w:p>
      <w:pPr>
        <w:spacing w:after="0" w:line="183" w:lineRule="exact"/>
        <w:rPr>
          <w:rFonts w:ascii="Arial" w:cs="Arial" w:eastAsia="Arial" w:hAnsi="Arial"/>
          <w:sz w:val="18"/>
          <w:szCs w:val="18"/>
          <w:color w:val="auto"/>
        </w:rPr>
      </w:pPr>
    </w:p>
    <w:p>
      <w:pPr>
        <w:ind w:right="320" w:firstLine="1979"/>
        <w:spacing w:after="0" w:line="263" w:lineRule="auto"/>
        <w:tabs>
          <w:tab w:leader="none" w:pos="2237"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183" w:lineRule="exact"/>
        <w:rPr>
          <w:rFonts w:ascii="Arial" w:cs="Arial" w:eastAsia="Arial" w:hAnsi="Arial"/>
          <w:sz w:val="18"/>
          <w:szCs w:val="18"/>
          <w:color w:val="auto"/>
        </w:rPr>
      </w:pPr>
    </w:p>
    <w:p>
      <w:pPr>
        <w:ind w:firstLine="2419"/>
        <w:spacing w:after="0" w:line="257" w:lineRule="auto"/>
        <w:tabs>
          <w:tab w:leader="none" w:pos="263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00"/>
          </w:cols>
          <w:pgMar w:left="440" w:top="274" w:right="459" w:bottom="1440" w:gutter="0" w:footer="0" w:header="0"/>
        </w:sectPr>
      </w:pPr>
    </w:p>
    <w:bookmarkStart w:id="268" w:name="page269"/>
    <w:bookmarkEnd w:id="268"/>
    <w:p>
      <w:pPr>
        <w:ind w:right="20" w:firstLine="2419"/>
        <w:spacing w:after="0" w:line="259" w:lineRule="auto"/>
        <w:tabs>
          <w:tab w:leader="none" w:pos="2688"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7" w:lineRule="exact"/>
        <w:rPr>
          <w:sz w:val="20"/>
          <w:szCs w:val="20"/>
          <w:color w:val="auto"/>
        </w:rPr>
      </w:pPr>
    </w:p>
    <w:p>
      <w:pPr>
        <w:ind w:right="80" w:firstLine="1432"/>
        <w:spacing w:after="0" w:line="255"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2"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Original Issue Date effect a subdivision of the outstanding Common Stock, the Applicable Conversion Price in effect immediately before such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Applicable Conversion Price in effect immediately before such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6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76" w:lineRule="exact"/>
        <w:rPr>
          <w:sz w:val="20"/>
          <w:szCs w:val="20"/>
          <w:color w:val="auto"/>
        </w:rPr>
      </w:pPr>
    </w:p>
    <w:p>
      <w:pPr>
        <w:ind w:right="280" w:firstLine="1428"/>
        <w:spacing w:after="0" w:line="277" w:lineRule="auto"/>
        <w:tabs>
          <w:tab w:leader="none" w:pos="168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00"/>
          </w:cols>
          <w:pgMar w:left="440" w:top="274" w:right="459" w:bottom="1440" w:gutter="0" w:footer="0" w:header="0"/>
        </w:sectPr>
      </w:pPr>
    </w:p>
    <w:bookmarkStart w:id="269" w:name="page270"/>
    <w:bookmarkEnd w:id="269"/>
    <w:p>
      <w:pPr>
        <w:jc w:val="both"/>
        <w:ind w:right="120" w:firstLine="1428"/>
        <w:spacing w:after="0" w:line="263" w:lineRule="auto"/>
        <w:tabs>
          <w:tab w:leader="none" w:pos="1687"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 (b) no such adjustment shall be made if the holders of the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2"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7"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6"/>
          <w:szCs w:val="16"/>
          <w:u w:val="single" w:color="auto"/>
          <w:color w:val="auto"/>
        </w:rPr>
        <w:t>Subsections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00"/>
          </w:cols>
          <w:pgMar w:left="440" w:top="274" w:right="459" w:bottom="1440" w:gutter="0" w:footer="0" w:header="0"/>
        </w:sectPr>
      </w:pPr>
    </w:p>
    <w:bookmarkStart w:id="270" w:name="page271"/>
    <w:bookmarkEnd w:id="270"/>
    <w:p>
      <w:pPr>
        <w:ind w:right="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xml:space="preserve">. Upon the occurrence of each adjustment or readjustment of the Applicable Conversion Price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ind w:right="20" w:firstLine="1979"/>
        <w:spacing w:after="0" w:line="311" w:lineRule="auto"/>
        <w:tabs>
          <w:tab w:leader="none" w:pos="2227"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240" w:hanging="261"/>
        <w:spacing w:after="0"/>
        <w:tabs>
          <w:tab w:leader="none" w:pos="22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Deemed Liquidation Event; or</w:t>
      </w:r>
    </w:p>
    <w:p>
      <w:pPr>
        <w:spacing w:after="0" w:line="210" w:lineRule="exact"/>
        <w:rPr>
          <w:rFonts w:ascii="Arial" w:cs="Arial" w:eastAsia="Arial" w:hAnsi="Arial"/>
          <w:sz w:val="16"/>
          <w:szCs w:val="16"/>
          <w:color w:val="auto"/>
        </w:rPr>
      </w:pPr>
    </w:p>
    <w:p>
      <w:pPr>
        <w:ind w:firstLine="1979"/>
        <w:spacing w:after="0" w:line="270" w:lineRule="auto"/>
        <w:tabs>
          <w:tab w:leader="none" w:pos="222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Corporation, 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13" w:lineRule="exact"/>
        <w:rPr>
          <w:rFonts w:ascii="Arial" w:cs="Arial" w:eastAsia="Arial" w:hAnsi="Arial"/>
          <w:sz w:val="17"/>
          <w:szCs w:val="17"/>
          <w:color w:val="auto"/>
        </w:rPr>
      </w:pPr>
    </w:p>
    <w:p>
      <w:pPr>
        <w:ind w:left="5420" w:hanging="111"/>
        <w:spacing w:after="0"/>
        <w:tabs>
          <w:tab w:leader="none" w:pos="54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60"/>
          </w:cols>
          <w:pgMar w:left="440" w:top="274" w:right="499" w:bottom="1440" w:gutter="0" w:footer="0" w:header="0"/>
        </w:sectPr>
      </w:pPr>
    </w:p>
    <w:bookmarkStart w:id="271" w:name="page272"/>
    <w:bookmarkEnd w:id="271"/>
    <w:p>
      <w:pPr>
        <w:ind w:left="1164" w:hanging="173"/>
        <w:spacing w:after="0"/>
        <w:tabs>
          <w:tab w:leader="none" w:pos="1164"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Conversion</w:t>
      </w:r>
      <w:r>
        <w:rPr>
          <w:rFonts w:ascii="Arial" w:cs="Arial" w:eastAsia="Arial" w:hAnsi="Arial"/>
          <w:sz w:val="18"/>
          <w:szCs w:val="18"/>
          <w:color w:val="auto"/>
        </w:rPr>
        <w:t>.</w:t>
      </w:r>
    </w:p>
    <w:p>
      <w:pPr>
        <w:spacing w:after="0" w:line="225" w:lineRule="exact"/>
        <w:rPr>
          <w:sz w:val="20"/>
          <w:szCs w:val="20"/>
          <w:color w:val="auto"/>
        </w:rPr>
      </w:pPr>
    </w:p>
    <w:p>
      <w:pPr>
        <w:ind w:left="4" w:right="60" w:firstLine="991"/>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at a price of at least $85.08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resulting in at least $75,000,000 of gross proceeds to the Corporation, or (b) the date and time, or the occurrence of an event, specified by vote or written consent of the Requisite Holders and, if the Series C Preferred Stock is being converted, the Requisite Series C Holders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xml:space="preserve">”), then (i) all outstanding shares of Preferred Stock shall automatically be converted into shares of Common Stock, at the then effective conversion rate as calculated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and (ii) such shares may not be reissued by the Corporation.</w:t>
      </w:r>
    </w:p>
    <w:p>
      <w:pPr>
        <w:spacing w:after="0" w:line="165"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a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As soon as practicable after the Mandatory Conversion Time and, if applicable, the surrender of any certificate or certificates (or lost certificate affidavit and agreement) for Preferred Stock, the Corporation shall (a) (x) in the event that such shares are certificated, issue and deliver to such holder, or to his, her or its nominees, a certificate or certificates for the number of full shares of Common Stock issuable on such conversion in accordance with the provisions hereof, or</w:t>
      </w:r>
    </w:p>
    <w:p>
      <w:pPr>
        <w:ind w:left="4" w:right="40" w:hanging="4"/>
        <w:spacing w:after="0" w:line="252" w:lineRule="auto"/>
        <w:tabs>
          <w:tab w:leader="none" w:pos="25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in the event that such shares are uncertificated, issue and deliver to such holder, or to his, her or its nominee, a notice of issuance of uncertificated shares and may, upon written request, issue and deliver a certificate for the number of full shares of Common Stock issuable upon such conversion in accordance with the provisions hereof, and (b) pay cash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each applicable series of Preferred Stock accordingly.</w:t>
      </w:r>
    </w:p>
    <w:p>
      <w:pPr>
        <w:spacing w:after="0" w:line="192" w:lineRule="exact"/>
        <w:rPr>
          <w:rFonts w:ascii="Arial" w:cs="Arial" w:eastAsia="Arial" w:hAnsi="Arial"/>
          <w:sz w:val="18"/>
          <w:szCs w:val="18"/>
          <w:color w:val="auto"/>
        </w:rPr>
      </w:pPr>
    </w:p>
    <w:p>
      <w:pPr>
        <w:ind w:left="1164" w:hanging="173"/>
        <w:spacing w:after="0"/>
        <w:tabs>
          <w:tab w:leader="none" w:pos="1164"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Redemption</w:t>
      </w:r>
      <w:r>
        <w:rPr>
          <w:rFonts w:ascii="Arial" w:cs="Arial" w:eastAsia="Arial" w:hAnsi="Arial"/>
          <w:sz w:val="17"/>
          <w:szCs w:val="17"/>
          <w:color w:val="auto"/>
        </w:rPr>
        <w:t>. Other than as set forth in Section 2.3.2(b), the Preferred Stock is not redeemable at the option of the holder or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Corporation.</w:t>
      </w:r>
    </w:p>
    <w:p>
      <w:pPr>
        <w:spacing w:after="0" w:line="210" w:lineRule="exact"/>
        <w:rPr>
          <w:rFonts w:ascii="Arial" w:cs="Arial" w:eastAsia="Arial" w:hAnsi="Arial"/>
          <w:sz w:val="17"/>
          <w:szCs w:val="17"/>
          <w:color w:val="auto"/>
        </w:rPr>
      </w:pPr>
    </w:p>
    <w:p>
      <w:pPr>
        <w:ind w:left="4" w:right="60" w:firstLine="987"/>
        <w:spacing w:after="0" w:line="259" w:lineRule="auto"/>
        <w:tabs>
          <w:tab w:leader="none" w:pos="1175"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Redeemed or Otherwise Acquired Shares</w:t>
      </w:r>
      <w:r>
        <w:rPr>
          <w:rFonts w:ascii="Arial" w:cs="Arial" w:eastAsia="Arial" w:hAnsi="Arial"/>
          <w:sz w:val="18"/>
          <w:szCs w:val="18"/>
          <w:color w:val="auto"/>
        </w:rPr>
        <w:t>.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2"/>
          <w:numId w:val="174"/>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04"/>
          </w:cols>
          <w:pgMar w:left="436" w:top="274" w:right="459" w:bottom="1440" w:gutter="0" w:footer="0" w:header="0"/>
        </w:sectPr>
      </w:pPr>
    </w:p>
    <w:bookmarkStart w:id="272" w:name="page273"/>
    <w:bookmarkEnd w:id="272"/>
    <w:p>
      <w:pPr>
        <w:ind w:firstLine="987"/>
        <w:spacing w:after="0" w:line="270" w:lineRule="auto"/>
        <w:tabs>
          <w:tab w:leader="none" w:pos="1171"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w:t>
      </w:r>
      <w:r>
        <w:rPr>
          <w:rFonts w:ascii="Arial" w:cs="Arial" w:eastAsia="Arial" w:hAnsi="Arial"/>
          <w:sz w:val="17"/>
          <w:szCs w:val="17"/>
          <w:color w:val="auto"/>
        </w:rPr>
        <w:t>. Any of the rights, powers, preferences and other terms of the Series A Preferred Stock set forth herein may be waived, either prospectively or retrospectively, on behalf of all holders of Series A Preferred Stock by the affirmative written consent or vote of the holders of a majority of the shares of Series A Preferred Stock then outstanding. Any of the rights, powers, preferences and other terms of the Series B Preferred Stock set forth herein may be waived, either prospectively or retrospectively, on behalf of all holders of Series B Preferred Stock by the affirmative written consent or vote of the Requisite Series B Holders. Any of the rights, powers, preferences and other terms of the Series C Preferred Stock set forth herein may be waived, either prospectively or retrospectively, on behalf of all holders of Series C Preferred Stock by the affirmative written consent or vote of the Requisite Series C Holders. Any of the rights, powers, preferences and other terms of the Preferred Stock set forth herein, except as otherwise provided in this Section 7, may be waived, either prospectively or retrospectively, on behalf of all holders of Preferred Stock by the affirmative written consent or vote of the Requisite Holders.</w:t>
      </w:r>
    </w:p>
    <w:p>
      <w:pPr>
        <w:spacing w:after="0" w:line="180" w:lineRule="exact"/>
        <w:rPr>
          <w:rFonts w:ascii="Arial" w:cs="Arial" w:eastAsia="Arial" w:hAnsi="Arial"/>
          <w:sz w:val="17"/>
          <w:szCs w:val="17"/>
          <w:color w:val="auto"/>
        </w:rPr>
      </w:pPr>
    </w:p>
    <w:p>
      <w:pPr>
        <w:ind w:right="140" w:firstLine="987"/>
        <w:spacing w:after="0" w:line="311" w:lineRule="auto"/>
        <w:tabs>
          <w:tab w:leader="none" w:pos="1171"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Amended and Restated Certificate of Incorporation or Bylaws of the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and not in limitation of the 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ind w:right="300" w:firstLine="440"/>
        <w:spacing w:after="0" w:line="274" w:lineRule="auto"/>
        <w:rPr>
          <w:sz w:val="20"/>
          <w:szCs w:val="20"/>
          <w:color w:val="auto"/>
        </w:rPr>
      </w:pPr>
      <w:r>
        <w:rPr>
          <w:rFonts w:ascii="Arial" w:cs="Arial" w:eastAsia="Arial" w:hAnsi="Arial"/>
          <w:sz w:val="17"/>
          <w:szCs w:val="17"/>
          <w:b w:val="1"/>
          <w:bCs w:val="1"/>
          <w:color w:val="auto"/>
        </w:rPr>
        <w:t xml:space="preserve">SIXTH: </w:t>
      </w:r>
      <w:r>
        <w:rPr>
          <w:rFonts w:ascii="Arial" w:cs="Arial" w:eastAsia="Arial" w:hAnsi="Arial"/>
          <w:sz w:val="17"/>
          <w:szCs w:val="17"/>
          <w:color w:val="auto"/>
        </w:rPr>
        <w:t>Subject to any additional vote required by this Amended and Restated Certificate of Incorporation, the number of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shall be determined in the manner set forth in the Bylaws of the Corporation. Each director shall be entitled to one vote on each matter presented to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so long as the holders of Series A Preferred Stock are entitled to elect the Series A Directors, the affirmative vote of a majority of the Series A Directors shall be required for the authorization by the Board of Directors of any of the matters set forth in Section 5.4 of the Investors’ Rights Agreement, dated on or about the date hereof, by and among the Corporation and the other parties thereto, as such agreement may be amended and/or restated from time to time.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of Directors or in the Bylaws of the Corporation.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880"/>
          </w:cols>
          <w:pgMar w:left="440" w:top="274" w:right="579" w:bottom="1440" w:gutter="0" w:footer="0" w:header="0"/>
        </w:sectPr>
      </w:pPr>
    </w:p>
    <w:bookmarkStart w:id="273" w:name="page274"/>
    <w:bookmarkEnd w:id="273"/>
    <w:p>
      <w:pPr>
        <w:ind w:left="4" w:right="20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NINTH: </w:t>
      </w:r>
      <w:r>
        <w:rPr>
          <w:rFonts w:ascii="Arial" w:cs="Arial" w:eastAsia="Arial" w:hAnsi="Arial"/>
          <w:sz w:val="18"/>
          <w:szCs w:val="18"/>
          <w:color w:val="auto"/>
        </w:rPr>
        <w:t>To the fullest extent permitted by law, a director of the Corporation shall not be personally liable to the Corporation or its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The Corporation renounces, to the fullest extent permitted by law, any interest or expectancy of the Corporation in, or in being offered</w:t>
      </w:r>
      <w:r>
        <w:rPr>
          <w:rFonts w:ascii="Arial" w:cs="Arial" w:eastAsia="Arial" w:hAnsi="Arial"/>
          <w:sz w:val="16"/>
          <w:szCs w:val="16"/>
          <w:b w:val="1"/>
          <w:bCs w:val="1"/>
          <w:color w:val="auto"/>
        </w:rPr>
        <w:t xml:space="preserve"> </w:t>
      </w:r>
      <w:r>
        <w:rPr>
          <w:rFonts w:ascii="Arial" w:cs="Arial" w:eastAsia="Arial" w:hAnsi="Arial"/>
          <w:sz w:val="16"/>
          <w:szCs w:val="16"/>
          <w:color w:val="auto"/>
        </w:rPr>
        <w:t>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(a) any director of the Corporation who is not an employee of the Corporation or any of its subsidiaries, or (b) any holder of Preferred Stock or any partner, member, director, stockholder, employee, affiliate or agent of any such holder, other than someone who is an employee of the Corporation or any of its subsidiaries (collectively, the persons referred to in clauses</w:t>
      </w:r>
    </w:p>
    <w:p>
      <w:pPr>
        <w:spacing w:after="0" w:line="2" w:lineRule="exact"/>
        <w:rPr>
          <w:sz w:val="20"/>
          <w:szCs w:val="20"/>
          <w:color w:val="auto"/>
        </w:rPr>
      </w:pPr>
    </w:p>
    <w:p>
      <w:pPr>
        <w:ind w:left="4" w:hanging="4"/>
        <w:spacing w:after="0" w:line="270" w:lineRule="auto"/>
        <w:tabs>
          <w:tab w:leader="none" w:pos="24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and (b) are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Tenth will only be prospective and will not affect the rights under this Article Tenth in effect at the time of the occurrence of any actions or omissions to act giving rise to liability. Notwithstanding anything to the contrary contained elsewhere in this Amended and Restated Certificate of Incorporation, the affirmative vote of the Requisite Holders will be required to amend or repeal, or to adopt any provisions inconsistent with this Article Tenth.</w:t>
      </w:r>
    </w:p>
    <w:p>
      <w:pPr>
        <w:spacing w:after="0" w:line="174"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3" w:lineRule="exact"/>
        <w:rPr>
          <w:sz w:val="20"/>
          <w:szCs w:val="20"/>
          <w:color w:val="auto"/>
        </w:rPr>
      </w:pPr>
    </w:p>
    <w:p>
      <w:pPr>
        <w:ind w:left="4" w:right="160" w:hanging="4"/>
        <w:spacing w:after="0" w:line="253" w:lineRule="auto"/>
        <w:tabs>
          <w:tab w:leader="none" w:pos="21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4"/>
          </w:cols>
          <w:pgMar w:left="436" w:top="270" w:right="459" w:bottom="1440" w:gutter="0" w:footer="0" w:header="0"/>
        </w:sectPr>
      </w:pPr>
    </w:p>
    <w:bookmarkStart w:id="274" w:name="page275"/>
    <w:bookmarkEnd w:id="274"/>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TWELFTH: </w:t>
      </w:r>
      <w:r>
        <w:rPr>
          <w:rFonts w:ascii="Arial" w:cs="Arial" w:eastAsia="Arial" w:hAnsi="Arial"/>
          <w:sz w:val="18"/>
          <w:szCs w:val="18"/>
          <w:color w:val="auto"/>
        </w:rPr>
        <w:t>The following indemnification provisions shall apply to the persons enumerated below.</w:t>
      </w:r>
    </w:p>
    <w:p>
      <w:pPr>
        <w:spacing w:after="0" w:line="229" w:lineRule="exact"/>
        <w:rPr>
          <w:sz w:val="20"/>
          <w:szCs w:val="20"/>
          <w:color w:val="auto"/>
        </w:rPr>
      </w:pPr>
    </w:p>
    <w:p>
      <w:pPr>
        <w:ind w:firstLine="987"/>
        <w:spacing w:after="0" w:line="288" w:lineRule="auto"/>
        <w:tabs>
          <w:tab w:leader="none" w:pos="1171"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Right to Indemnification of Directors and Officers</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(an “</w:t>
      </w:r>
      <w:r>
        <w:rPr>
          <w:rFonts w:ascii="Arial" w:cs="Arial" w:eastAsia="Arial" w:hAnsi="Arial"/>
          <w:sz w:val="16"/>
          <w:szCs w:val="16"/>
          <w:b w:val="1"/>
          <w:bCs w:val="1"/>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Article Twelfth,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68" w:lineRule="exact"/>
        <w:rPr>
          <w:rFonts w:ascii="Arial" w:cs="Arial" w:eastAsia="Arial" w:hAnsi="Arial"/>
          <w:sz w:val="16"/>
          <w:szCs w:val="16"/>
          <w:color w:val="auto"/>
        </w:rPr>
      </w:pPr>
    </w:p>
    <w:p>
      <w:pPr>
        <w:ind w:firstLine="987"/>
        <w:spacing w:after="0" w:line="257" w:lineRule="auto"/>
        <w:tabs>
          <w:tab w:leader="none" w:pos="1171"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Prepayment of Expenses of Directors and Officers</w:t>
      </w:r>
      <w:r>
        <w:rPr>
          <w:rFonts w:ascii="Arial" w:cs="Arial" w:eastAsia="Arial" w:hAnsi="Arial"/>
          <w:sz w:val="18"/>
          <w:szCs w:val="18"/>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Twelfth or otherwise.</w:t>
      </w:r>
    </w:p>
    <w:p>
      <w:pPr>
        <w:spacing w:after="0" w:line="187" w:lineRule="exact"/>
        <w:rPr>
          <w:rFonts w:ascii="Arial" w:cs="Arial" w:eastAsia="Arial" w:hAnsi="Arial"/>
          <w:sz w:val="18"/>
          <w:szCs w:val="18"/>
          <w:color w:val="auto"/>
        </w:rPr>
      </w:pPr>
    </w:p>
    <w:p>
      <w:pPr>
        <w:ind w:firstLine="987"/>
        <w:spacing w:after="0" w:line="257" w:lineRule="auto"/>
        <w:tabs>
          <w:tab w:leader="none" w:pos="1171"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Claims by Directors and Officers</w:t>
      </w:r>
      <w:r>
        <w:rPr>
          <w:rFonts w:ascii="Arial" w:cs="Arial" w:eastAsia="Arial" w:hAnsi="Arial"/>
          <w:sz w:val="18"/>
          <w:szCs w:val="18"/>
          <w:color w:val="auto"/>
        </w:rPr>
        <w:t>. If a claim for indemnification or advancement of expenses under this Article Twelfth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80"/>
          </w:cols>
          <w:pgMar w:left="440" w:top="274" w:right="479" w:bottom="1440" w:gutter="0" w:footer="0" w:header="0"/>
        </w:sectPr>
      </w:pPr>
    </w:p>
    <w:bookmarkStart w:id="275" w:name="page276"/>
    <w:bookmarkEnd w:id="275"/>
    <w:p>
      <w:pPr>
        <w:ind w:left="-987" w:firstLine="987"/>
        <w:spacing w:after="0" w:line="270" w:lineRule="auto"/>
        <w:tabs>
          <w:tab w:leader="none" w:pos="184"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Employees and Agents</w:t>
      </w:r>
      <w:r>
        <w:rPr>
          <w:rFonts w:ascii="Arial" w:cs="Arial" w:eastAsia="Arial" w:hAnsi="Arial"/>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80" w:lineRule="exact"/>
        <w:rPr>
          <w:rFonts w:ascii="Arial" w:cs="Arial" w:eastAsia="Arial" w:hAnsi="Arial"/>
          <w:sz w:val="17"/>
          <w:szCs w:val="17"/>
          <w:color w:val="auto"/>
        </w:rPr>
      </w:pPr>
    </w:p>
    <w:p>
      <w:pPr>
        <w:ind w:left="-987" w:right="80" w:firstLine="987"/>
        <w:spacing w:after="0" w:line="263" w:lineRule="auto"/>
        <w:tabs>
          <w:tab w:leader="none" w:pos="18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83" w:lineRule="exact"/>
        <w:rPr>
          <w:rFonts w:ascii="Arial" w:cs="Arial" w:eastAsia="Arial" w:hAnsi="Arial"/>
          <w:sz w:val="18"/>
          <w:szCs w:val="18"/>
          <w:color w:val="auto"/>
        </w:rPr>
      </w:pPr>
    </w:p>
    <w:p>
      <w:pPr>
        <w:ind w:left="-987" w:right="180" w:firstLine="987"/>
        <w:spacing w:after="0" w:line="286" w:lineRule="auto"/>
        <w:tabs>
          <w:tab w:leader="none" w:pos="184"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conferred on any person by this Article Twelfth shall not be exclusive of any other rights which such person may have or hereafter acquire under any statute, provision of this Amended and Restated Certificate of Incorporation, the Bylaws of the Corporation, or any agreement, or pursuant to any vote of stockholders or disinterested directors or otherwise.</w:t>
      </w:r>
    </w:p>
    <w:p>
      <w:pPr>
        <w:spacing w:after="0" w:line="165" w:lineRule="exact"/>
        <w:rPr>
          <w:rFonts w:ascii="Arial" w:cs="Arial" w:eastAsia="Arial" w:hAnsi="Arial"/>
          <w:sz w:val="17"/>
          <w:szCs w:val="17"/>
          <w:color w:val="auto"/>
        </w:rPr>
      </w:pPr>
    </w:p>
    <w:p>
      <w:pPr>
        <w:jc w:val="both"/>
        <w:ind w:left="-987" w:right="100" w:firstLine="987"/>
        <w:spacing w:after="0" w:line="259" w:lineRule="auto"/>
        <w:tabs>
          <w:tab w:leader="none" w:pos="18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6" w:lineRule="exact"/>
        <w:rPr>
          <w:rFonts w:ascii="Arial" w:cs="Arial" w:eastAsia="Arial" w:hAnsi="Arial"/>
          <w:sz w:val="18"/>
          <w:szCs w:val="18"/>
          <w:color w:val="auto"/>
        </w:rPr>
      </w:pPr>
    </w:p>
    <w:p>
      <w:pPr>
        <w:ind w:left="-987" w:firstLine="987"/>
        <w:spacing w:after="0" w:line="257" w:lineRule="auto"/>
        <w:tabs>
          <w:tab w:leader="none" w:pos="18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Twelfth; and (b) to indemnify or insure directors, officers and employees against liability in instances in which they may not otherwise be indemnified by the Corporation under the provisions of this Article Twelfth.</w:t>
      </w:r>
    </w:p>
    <w:p>
      <w:pPr>
        <w:spacing w:after="0" w:line="187" w:lineRule="exact"/>
        <w:rPr>
          <w:rFonts w:ascii="Arial" w:cs="Arial" w:eastAsia="Arial" w:hAnsi="Arial"/>
          <w:sz w:val="18"/>
          <w:szCs w:val="18"/>
          <w:color w:val="auto"/>
        </w:rPr>
      </w:pPr>
    </w:p>
    <w:p>
      <w:pPr>
        <w:ind w:left="-987" w:right="340" w:firstLine="987"/>
        <w:spacing w:after="0" w:line="286" w:lineRule="auto"/>
        <w:tabs>
          <w:tab w:leader="none" w:pos="184"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foregoing provisions of this Article Twelfth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65" w:lineRule="exact"/>
        <w:rPr>
          <w:rFonts w:ascii="Arial" w:cs="Arial" w:eastAsia="Arial" w:hAnsi="Arial"/>
          <w:sz w:val="17"/>
          <w:szCs w:val="17"/>
          <w:color w:val="auto"/>
        </w:rPr>
      </w:pPr>
    </w:p>
    <w:p>
      <w:pPr>
        <w:ind w:left="4193"/>
        <w:spacing w:after="0"/>
        <w:rPr>
          <w:rFonts w:ascii="Arial" w:cs="Arial" w:eastAsia="Arial" w:hAnsi="Arial"/>
          <w:sz w:val="17"/>
          <w:szCs w:val="17"/>
          <w:color w:val="auto"/>
        </w:rPr>
      </w:pPr>
      <w:r>
        <w:rPr>
          <w:rFonts w:ascii="Arial" w:cs="Arial" w:eastAsia="Arial" w:hAnsi="Arial"/>
          <w:sz w:val="18"/>
          <w:szCs w:val="18"/>
          <w:color w:val="auto"/>
        </w:rPr>
        <w:t>*  *  *</w:t>
      </w:r>
    </w:p>
    <w:p>
      <w:pPr>
        <w:spacing w:after="0" w:line="157" w:lineRule="exact"/>
        <w:rPr>
          <w:rFonts w:ascii="Arial" w:cs="Arial" w:eastAsia="Arial" w:hAnsi="Arial"/>
          <w:sz w:val="17"/>
          <w:szCs w:val="17"/>
          <w:color w:val="auto"/>
        </w:rPr>
      </w:pPr>
    </w:p>
    <w:p>
      <w:pPr>
        <w:ind w:left="4433" w:hanging="111"/>
        <w:spacing w:after="0"/>
        <w:tabs>
          <w:tab w:leader="none" w:pos="4433" w:val="left"/>
        </w:tabs>
        <w:numPr>
          <w:ilvl w:val="2"/>
          <w:numId w:val="179"/>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9993"/>
          </w:cols>
          <w:pgMar w:left="1427" w:top="274" w:right="479" w:bottom="1440" w:gutter="0" w:footer="0" w:header="0"/>
        </w:sectPr>
      </w:pPr>
    </w:p>
    <w:bookmarkStart w:id="276" w:name="page277"/>
    <w:bookmarkEnd w:id="276"/>
    <w:p>
      <w:pPr>
        <w:ind w:left="-60" w:firstLine="436"/>
        <w:spacing w:after="0" w:line="277" w:lineRule="auto"/>
        <w:tabs>
          <w:tab w:leader="none" w:pos="560"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jc w:val="both"/>
        <w:ind w:left="-60" w:right="800" w:firstLine="436"/>
        <w:spacing w:after="0" w:line="342" w:lineRule="auto"/>
        <w:tabs>
          <w:tab w:leader="none" w:pos="560" w:val="left"/>
        </w:tabs>
        <w:numPr>
          <w:ilvl w:val="0"/>
          <w:numId w:val="180"/>
        </w:numPr>
        <w:rPr>
          <w:rFonts w:ascii="Arial" w:cs="Arial" w:eastAsia="Arial" w:hAnsi="Arial"/>
          <w:sz w:val="16"/>
          <w:szCs w:val="16"/>
          <w:b w:val="1"/>
          <w:bCs w:val="1"/>
          <w:color w:val="auto"/>
        </w:rPr>
      </w:pPr>
      <w:r>
        <w:rPr>
          <w:rFonts w:ascii="Arial" w:cs="Arial" w:eastAsia="Arial" w:hAnsi="Arial"/>
          <w:sz w:val="16"/>
          <w:szCs w:val="16"/>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880"/>
          </w:cols>
          <w:pgMar w:left="500" w:top="274" w:right="519" w:bottom="1440" w:gutter="0" w:footer="0" w:header="0"/>
        </w:sectPr>
      </w:pPr>
    </w:p>
    <w:bookmarkStart w:id="277" w:name="page278"/>
    <w:bookmarkEnd w:id="27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15</w:t>
      </w:r>
      <w:r>
        <w:rPr>
          <w:rFonts w:ascii="Arial" w:cs="Arial" w:eastAsia="Arial" w:hAnsi="Arial"/>
          <w:sz w:val="15"/>
          <w:szCs w:val="15"/>
          <w:color w:val="auto"/>
        </w:rPr>
        <w:t>th</w:t>
      </w:r>
      <w:r>
        <w:rPr>
          <w:rFonts w:ascii="Arial" w:cs="Arial" w:eastAsia="Arial" w:hAnsi="Arial"/>
          <w:sz w:val="18"/>
          <w:szCs w:val="18"/>
          <w:color w:val="auto"/>
        </w:rPr>
        <w:t xml:space="preserve"> day of April,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Tillman U. Gerngross, Ph.D.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460"/>
          </w:cols>
          <w:pgMar w:left="440" w:top="270" w:right="99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BYLAWS</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 Delaware corporation)</w:t>
      </w:r>
    </w:p>
    <w:p>
      <w:pPr>
        <w:spacing w:after="0" w:line="9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Adopted on June 3, 2020</w:t>
      </w:r>
    </w:p>
    <w:p>
      <w:pPr>
        <w:sectPr>
          <w:pgSz w:w="11900" w:h="16838" w:orient="portrait"/>
          <w:cols w:equalWidth="0" w:num="1">
            <w:col w:w="10020"/>
          </w:cols>
          <w:pgMar w:left="1440" w:top="121" w:right="43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9240" w:type="dxa"/>
            <w:vAlign w:val="bottom"/>
          </w:tcPr>
          <w:p>
            <w:pPr>
              <w:ind w:left="316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IDENTIFICATION; OFFICES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NAME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PRINCIPAL AND BUSINESS OFFICES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REGISTERED AGENT AND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40"/>
              <w:spacing w:after="0"/>
              <w:rPr>
                <w:sz w:val="20"/>
                <w:szCs w:val="20"/>
                <w:color w:val="auto"/>
              </w:rPr>
            </w:pPr>
            <w:r>
              <w:rPr>
                <w:rFonts w:ascii="Arial" w:cs="Arial" w:eastAsia="Arial" w:hAnsi="Arial"/>
                <w:sz w:val="18"/>
                <w:szCs w:val="18"/>
                <w:color w:val="auto"/>
              </w:rPr>
              <w:t>CORPORATE RECORDS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ANNUAL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SPECIAL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PLACE OF STOCKHOLDER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40"/>
              <w:spacing w:after="0"/>
              <w:rPr>
                <w:sz w:val="20"/>
                <w:szCs w:val="20"/>
                <w:color w:val="auto"/>
              </w:rPr>
            </w:pPr>
            <w:r>
              <w:rPr>
                <w:rFonts w:ascii="Arial" w:cs="Arial" w:eastAsia="Arial" w:hAnsi="Arial"/>
                <w:sz w:val="18"/>
                <w:szCs w:val="18"/>
                <w:color w:val="auto"/>
              </w:rPr>
              <w:t>NOTICE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9240" w:type="dxa"/>
            <w:vAlign w:val="bottom"/>
          </w:tcPr>
          <w:p>
            <w:pPr>
              <w:ind w:left="40"/>
              <w:spacing w:after="0"/>
              <w:rPr>
                <w:sz w:val="20"/>
                <w:szCs w:val="20"/>
                <w:color w:val="auto"/>
              </w:rPr>
            </w:pPr>
            <w:r>
              <w:rPr>
                <w:rFonts w:ascii="Arial" w:cs="Arial" w:eastAsia="Arial" w:hAnsi="Arial"/>
                <w:sz w:val="18"/>
                <w:szCs w:val="18"/>
                <w:color w:val="auto"/>
              </w:rPr>
              <w:t>QUORUM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9240" w:type="dxa"/>
            <w:vAlign w:val="bottom"/>
          </w:tcPr>
          <w:p>
            <w:pPr>
              <w:ind w:left="40"/>
              <w:spacing w:after="0"/>
              <w:rPr>
                <w:sz w:val="20"/>
                <w:szCs w:val="20"/>
                <w:color w:val="auto"/>
              </w:rPr>
            </w:pPr>
            <w:r>
              <w:rPr>
                <w:rFonts w:ascii="Arial" w:cs="Arial" w:eastAsia="Arial" w:hAnsi="Arial"/>
                <w:sz w:val="18"/>
                <w:szCs w:val="18"/>
                <w:color w:val="auto"/>
              </w:rPr>
              <w:t>ADJOURNED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9240" w:type="dxa"/>
            <w:vAlign w:val="bottom"/>
          </w:tcPr>
          <w:p>
            <w:pPr>
              <w:ind w:left="40"/>
              <w:spacing w:after="0"/>
              <w:rPr>
                <w:sz w:val="20"/>
                <w:szCs w:val="20"/>
                <w:color w:val="auto"/>
              </w:rPr>
            </w:pPr>
            <w:r>
              <w:rPr>
                <w:rFonts w:ascii="Arial" w:cs="Arial" w:eastAsia="Arial" w:hAnsi="Arial"/>
                <w:sz w:val="18"/>
                <w:szCs w:val="18"/>
                <w:color w:val="auto"/>
              </w:rPr>
              <w:t>FIXING OF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9240" w:type="dxa"/>
            <w:vAlign w:val="bottom"/>
          </w:tcPr>
          <w:p>
            <w:pPr>
              <w:ind w:left="40"/>
              <w:spacing w:after="0"/>
              <w:rPr>
                <w:sz w:val="20"/>
                <w:szCs w:val="20"/>
                <w:color w:val="auto"/>
              </w:rPr>
            </w:pPr>
            <w:r>
              <w:rPr>
                <w:rFonts w:ascii="Arial" w:cs="Arial" w:eastAsia="Arial" w:hAnsi="Arial"/>
                <w:sz w:val="18"/>
                <w:szCs w:val="18"/>
                <w:color w:val="auto"/>
              </w:rPr>
              <w:t>VOTING LIST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9240" w:type="dxa"/>
            <w:vAlign w:val="bottom"/>
          </w:tcPr>
          <w:p>
            <w:pPr>
              <w:ind w:left="40"/>
              <w:spacing w:after="0"/>
              <w:rPr>
                <w:sz w:val="20"/>
                <w:szCs w:val="20"/>
                <w:color w:val="auto"/>
              </w:rPr>
            </w:pPr>
            <w:r>
              <w:rPr>
                <w:rFonts w:ascii="Arial" w:cs="Arial" w:eastAsia="Arial" w:hAnsi="Arial"/>
                <w:sz w:val="18"/>
                <w:szCs w:val="18"/>
                <w:color w:val="auto"/>
              </w:rPr>
              <w:t>VOTING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9240" w:type="dxa"/>
            <w:vAlign w:val="bottom"/>
          </w:tcPr>
          <w:p>
            <w:pPr>
              <w:ind w:left="40"/>
              <w:spacing w:after="0"/>
              <w:rPr>
                <w:sz w:val="20"/>
                <w:szCs w:val="20"/>
                <w:color w:val="auto"/>
              </w:rPr>
            </w:pPr>
            <w:r>
              <w:rPr>
                <w:rFonts w:ascii="Arial" w:cs="Arial" w:eastAsia="Arial" w:hAnsi="Arial"/>
                <w:sz w:val="18"/>
                <w:szCs w:val="18"/>
                <w:color w:val="auto"/>
              </w:rPr>
              <w:t>PROXIES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9240" w:type="dxa"/>
            <w:vAlign w:val="bottom"/>
          </w:tcPr>
          <w:p>
            <w:pPr>
              <w:ind w:left="40"/>
              <w:spacing w:after="0"/>
              <w:rPr>
                <w:sz w:val="20"/>
                <w:szCs w:val="20"/>
                <w:color w:val="auto"/>
              </w:rPr>
            </w:pPr>
            <w:r>
              <w:rPr>
                <w:rFonts w:ascii="Arial" w:cs="Arial" w:eastAsia="Arial" w:hAnsi="Arial"/>
                <w:sz w:val="18"/>
                <w:szCs w:val="18"/>
                <w:color w:val="auto"/>
              </w:rPr>
              <w:t>RATIFICATION OF ACTS OF DIRECTORS AND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9240" w:type="dxa"/>
            <w:vAlign w:val="bottom"/>
          </w:tcPr>
          <w:p>
            <w:pPr>
              <w:ind w:left="40"/>
              <w:spacing w:after="0"/>
              <w:rPr>
                <w:sz w:val="20"/>
                <w:szCs w:val="20"/>
                <w:color w:val="auto"/>
              </w:rPr>
            </w:pPr>
            <w:r>
              <w:rPr>
                <w:rFonts w:ascii="Arial" w:cs="Arial" w:eastAsia="Arial" w:hAnsi="Arial"/>
                <w:sz w:val="18"/>
                <w:szCs w:val="18"/>
                <w:color w:val="auto"/>
              </w:rPr>
              <w:t>CONDUCT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9240" w:type="dxa"/>
            <w:vAlign w:val="bottom"/>
          </w:tcPr>
          <w:p>
            <w:pPr>
              <w:ind w:left="40"/>
              <w:spacing w:after="0"/>
              <w:rPr>
                <w:sz w:val="20"/>
                <w:szCs w:val="20"/>
                <w:color w:val="auto"/>
              </w:rPr>
            </w:pPr>
            <w:r>
              <w:rPr>
                <w:rFonts w:ascii="Arial" w:cs="Arial" w:eastAsia="Arial" w:hAnsi="Arial"/>
                <w:sz w:val="18"/>
                <w:szCs w:val="18"/>
                <w:color w:val="auto"/>
              </w:rPr>
              <w:t>ACTION WITHOUT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GENERAL POWERS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NUMBER AND TENURE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ELECTION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40"/>
              <w:spacing w:after="0"/>
              <w:rPr>
                <w:sz w:val="20"/>
                <w:szCs w:val="20"/>
                <w:color w:val="auto"/>
              </w:rPr>
            </w:pPr>
            <w:r>
              <w:rPr>
                <w:rFonts w:ascii="Arial" w:cs="Arial" w:eastAsia="Arial" w:hAnsi="Arial"/>
                <w:sz w:val="18"/>
                <w:szCs w:val="18"/>
                <w:color w:val="auto"/>
              </w:rPr>
              <w:t>CHAIRMAN OF THE BOARD; VICE CHAIRMAN OF THE BOARD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9240" w:type="dxa"/>
            <w:vAlign w:val="bottom"/>
          </w:tcPr>
          <w:p>
            <w:pPr>
              <w:ind w:left="40"/>
              <w:spacing w:after="0"/>
              <w:rPr>
                <w:sz w:val="20"/>
                <w:szCs w:val="20"/>
                <w:color w:val="auto"/>
              </w:rPr>
            </w:pPr>
            <w:r>
              <w:rPr>
                <w:rFonts w:ascii="Arial" w:cs="Arial" w:eastAsia="Arial" w:hAnsi="Arial"/>
                <w:sz w:val="18"/>
                <w:szCs w:val="18"/>
                <w:color w:val="auto"/>
              </w:rPr>
              <w:t>QUORUM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9240" w:type="dxa"/>
            <w:vAlign w:val="bottom"/>
          </w:tcPr>
          <w:p>
            <w:pPr>
              <w:ind w:left="40"/>
              <w:spacing w:after="0"/>
              <w:rPr>
                <w:sz w:val="20"/>
                <w:szCs w:val="20"/>
                <w:color w:val="auto"/>
              </w:rPr>
            </w:pPr>
            <w:r>
              <w:rPr>
                <w:rFonts w:ascii="Arial" w:cs="Arial" w:eastAsia="Arial" w:hAnsi="Arial"/>
                <w:sz w:val="18"/>
                <w:szCs w:val="18"/>
                <w:color w:val="auto"/>
              </w:rPr>
              <w:t>VOTING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9240" w:type="dxa"/>
            <w:vAlign w:val="bottom"/>
          </w:tcPr>
          <w:p>
            <w:pPr>
              <w:ind w:left="40"/>
              <w:spacing w:after="0"/>
              <w:rPr>
                <w:sz w:val="20"/>
                <w:szCs w:val="20"/>
                <w:color w:val="auto"/>
              </w:rPr>
            </w:pPr>
            <w:r>
              <w:rPr>
                <w:rFonts w:ascii="Arial" w:cs="Arial" w:eastAsia="Arial" w:hAnsi="Arial"/>
                <w:sz w:val="18"/>
                <w:szCs w:val="18"/>
                <w:color w:val="auto"/>
              </w:rPr>
              <w:t>VACANCIES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9240" w:type="dxa"/>
            <w:vAlign w:val="bottom"/>
          </w:tcPr>
          <w:p>
            <w:pPr>
              <w:ind w:left="40"/>
              <w:spacing w:after="0"/>
              <w:rPr>
                <w:sz w:val="20"/>
                <w:szCs w:val="20"/>
                <w:color w:val="auto"/>
              </w:rPr>
            </w:pPr>
            <w:r>
              <w:rPr>
                <w:rFonts w:ascii="Arial" w:cs="Arial" w:eastAsia="Arial" w:hAnsi="Arial"/>
                <w:sz w:val="18"/>
                <w:szCs w:val="18"/>
                <w:color w:val="auto"/>
              </w:rPr>
              <w:t>REMOVAL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9240" w:type="dxa"/>
            <w:vAlign w:val="bottom"/>
          </w:tcPr>
          <w:p>
            <w:pPr>
              <w:ind w:left="40"/>
              <w:spacing w:after="0"/>
              <w:rPr>
                <w:sz w:val="20"/>
                <w:szCs w:val="20"/>
                <w:color w:val="auto"/>
              </w:rPr>
            </w:pPr>
            <w:r>
              <w:rPr>
                <w:rFonts w:ascii="Arial" w:cs="Arial" w:eastAsia="Arial" w:hAnsi="Arial"/>
                <w:sz w:val="18"/>
                <w:szCs w:val="18"/>
                <w:color w:val="auto"/>
              </w:rPr>
              <w:t>RESIGNATION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9240" w:type="dxa"/>
            <w:vAlign w:val="bottom"/>
          </w:tcPr>
          <w:p>
            <w:pPr>
              <w:ind w:left="40"/>
              <w:spacing w:after="0"/>
              <w:rPr>
                <w:sz w:val="20"/>
                <w:szCs w:val="20"/>
                <w:color w:val="auto"/>
              </w:rPr>
            </w:pPr>
            <w:r>
              <w:rPr>
                <w:rFonts w:ascii="Arial" w:cs="Arial" w:eastAsia="Arial" w:hAnsi="Arial"/>
                <w:sz w:val="18"/>
                <w:szCs w:val="18"/>
                <w:color w:val="auto"/>
              </w:rPr>
              <w:t>REGULAR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92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9240" w:type="dxa"/>
            <w:vAlign w:val="bottom"/>
          </w:tcPr>
          <w:p>
            <w:pPr>
              <w:ind w:left="40"/>
              <w:spacing w:after="0"/>
              <w:rPr>
                <w:sz w:val="20"/>
                <w:szCs w:val="20"/>
                <w:color w:val="auto"/>
              </w:rPr>
            </w:pPr>
            <w:r>
              <w:rPr>
                <w:rFonts w:ascii="Arial" w:cs="Arial" w:eastAsia="Arial" w:hAnsi="Arial"/>
                <w:sz w:val="18"/>
                <w:szCs w:val="18"/>
                <w:color w:val="auto"/>
              </w:rPr>
              <w:t>NOTICE OF SPECIAL MEETINGS OF THE BOARD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9240" w:type="dxa"/>
            <w:vAlign w:val="bottom"/>
          </w:tcPr>
          <w:p>
            <w:pPr>
              <w:ind w:left="40"/>
              <w:spacing w:after="0"/>
              <w:rPr>
                <w:sz w:val="20"/>
                <w:szCs w:val="20"/>
                <w:color w:val="auto"/>
              </w:rPr>
            </w:pPr>
            <w:r>
              <w:rPr>
                <w:rFonts w:ascii="Arial" w:cs="Arial" w:eastAsia="Arial" w:hAnsi="Arial"/>
                <w:sz w:val="18"/>
                <w:szCs w:val="18"/>
                <w:color w:val="auto"/>
              </w:rPr>
              <w:t>WRITTEN ACTION BY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9240" w:type="dxa"/>
            <w:vAlign w:val="bottom"/>
          </w:tcPr>
          <w:p>
            <w:pPr>
              <w:ind w:left="40"/>
              <w:spacing w:after="0"/>
              <w:rPr>
                <w:sz w:val="20"/>
                <w:szCs w:val="20"/>
                <w:color w:val="auto"/>
              </w:rPr>
            </w:pPr>
            <w:r>
              <w:rPr>
                <w:rFonts w:ascii="Arial" w:cs="Arial" w:eastAsia="Arial" w:hAnsi="Arial"/>
                <w:sz w:val="18"/>
                <w:szCs w:val="18"/>
                <w:color w:val="auto"/>
              </w:rPr>
              <w:t>PARTICIPATION BY CONFERENCE TELEPHONE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w:t>
            </w:r>
          </w:p>
        </w:tc>
        <w:tc>
          <w:tcPr>
            <w:tcW w:w="924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16.</w:t>
            </w:r>
          </w:p>
        </w:tc>
        <w:tc>
          <w:tcPr>
            <w:tcW w:w="9240" w:type="dxa"/>
            <w:vAlign w:val="bottom"/>
          </w:tcPr>
          <w:p>
            <w:pPr>
              <w:ind w:left="40"/>
              <w:spacing w:after="0"/>
              <w:rPr>
                <w:sz w:val="20"/>
                <w:szCs w:val="20"/>
                <w:color w:val="auto"/>
              </w:rPr>
            </w:pPr>
            <w:r>
              <w:rPr>
                <w:rFonts w:ascii="Arial" w:cs="Arial" w:eastAsia="Arial" w:hAnsi="Arial"/>
                <w:sz w:val="18"/>
                <w:szCs w:val="18"/>
                <w:color w:val="auto"/>
              </w:rPr>
              <w:t>COMPENSATION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GENERAL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ELECTION AND TERM OF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RESIGNATION AND REMOVAL OF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0" w:name="page281"/>
    <w:bookmarkEnd w:id="280"/>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VACANCIES</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THE CHIEF EXECUTIVE OFFICER</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THE PRESIDENT</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THE VICE PRESIDENT</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THE SECRETARY</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660" w:type="dxa"/>
            <w:vAlign w:val="bottom"/>
          </w:tcPr>
          <w:p>
            <w:pPr>
              <w:ind w:left="40"/>
              <w:spacing w:after="0"/>
              <w:rPr>
                <w:sz w:val="20"/>
                <w:szCs w:val="20"/>
                <w:color w:val="auto"/>
              </w:rPr>
            </w:pPr>
            <w:r>
              <w:rPr>
                <w:rFonts w:ascii="Arial" w:cs="Arial" w:eastAsia="Arial" w:hAnsi="Arial"/>
                <w:sz w:val="18"/>
                <w:szCs w:val="18"/>
                <w:color w:val="auto"/>
              </w:rPr>
              <w:t>THE ASSISTANT SECRETARY</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7660" w:type="dxa"/>
            <w:vAlign w:val="bottom"/>
          </w:tcPr>
          <w:p>
            <w:pPr>
              <w:ind w:left="40"/>
              <w:spacing w:after="0"/>
              <w:rPr>
                <w:sz w:val="20"/>
                <w:szCs w:val="20"/>
                <w:color w:val="auto"/>
              </w:rPr>
            </w:pPr>
            <w:r>
              <w:rPr>
                <w:rFonts w:ascii="Arial" w:cs="Arial" w:eastAsia="Arial" w:hAnsi="Arial"/>
                <w:sz w:val="18"/>
                <w:szCs w:val="18"/>
                <w:color w:val="auto"/>
              </w:rPr>
              <w:t>THE TREASURER</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7660" w:type="dxa"/>
            <w:vAlign w:val="bottom"/>
          </w:tcPr>
          <w:p>
            <w:pPr>
              <w:ind w:left="40"/>
              <w:spacing w:after="0"/>
              <w:rPr>
                <w:sz w:val="20"/>
                <w:szCs w:val="20"/>
                <w:color w:val="auto"/>
              </w:rPr>
            </w:pPr>
            <w:r>
              <w:rPr>
                <w:rFonts w:ascii="Arial" w:cs="Arial" w:eastAsia="Arial" w:hAnsi="Arial"/>
                <w:sz w:val="18"/>
                <w:szCs w:val="18"/>
                <w:color w:val="auto"/>
              </w:rPr>
              <w:t>THE ASSISTANT TREASURER</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7660" w:type="dxa"/>
            <w:vAlign w:val="bottom"/>
          </w:tcPr>
          <w:p>
            <w:pPr>
              <w:ind w:left="40"/>
              <w:spacing w:after="0"/>
              <w:rPr>
                <w:sz w:val="20"/>
                <w:szCs w:val="20"/>
                <w:color w:val="auto"/>
              </w:rPr>
            </w:pPr>
            <w:r>
              <w:rPr>
                <w:rFonts w:ascii="Arial" w:cs="Arial" w:eastAsia="Arial" w:hAnsi="Arial"/>
                <w:sz w:val="18"/>
                <w:szCs w:val="18"/>
                <w:color w:val="auto"/>
              </w:rPr>
              <w:t>OTHER OFFICERS, ASSISTANT OFFICERS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7660" w:type="dxa"/>
            <w:vAlign w:val="bottom"/>
          </w:tcPr>
          <w:p>
            <w:pPr>
              <w:ind w:left="40"/>
              <w:spacing w:after="0"/>
              <w:rPr>
                <w:sz w:val="20"/>
                <w:szCs w:val="20"/>
                <w:color w:val="auto"/>
              </w:rPr>
            </w:pPr>
            <w:r>
              <w:rPr>
                <w:rFonts w:ascii="Arial" w:cs="Arial" w:eastAsia="Arial" w:hAnsi="Arial"/>
                <w:sz w:val="18"/>
                <w:szCs w:val="18"/>
                <w:color w:val="auto"/>
              </w:rPr>
              <w:t>ABSENCE OF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766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 CAPITAL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ISSUANCE OF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CERTIFICATES OF SHARES; UNCERTIFICATED SHARES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SIGNATURES OF FORMER OFFICER, TRANSFER AGENT OR REGISTRAR</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TRANSFER OF SHARES</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LOST, DESTROYED OR STOLEN CERTIFICATES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REGULATIONS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 RESTRICTIONS ON TRANSFER AND RIGHT OF FIRST REFUSAL</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TRANSFERS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CONSENT TO TRANSFER</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RIGHT OF FIRST REFUSAL</w:t>
            </w: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EXCEPTIONS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VOID TRANSFERS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LEGENDS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CONFLICTS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RIGHT TO INDEMNIFICATION OF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PREPAYMENT OF EXPENSES OF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CLAIMS BY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INDEMNIFICATION OF EMPLOYEES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ADVANCEMENT OF EXPENSES OF EMPLOYEES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NON-EXCLUSIVITY OF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OTHER INDEMNIFICATION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66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VIII. DIVIDENDS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DECLARATIONS OF DIVIDENDS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SPECIAL PURPOSES RESERVES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ARTICLE IX. NOTICE BY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NOTICE BY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DEFINITION OF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600" w:type="dxa"/>
            <w:vAlign w:val="bottom"/>
          </w:tcPr>
          <w:p>
            <w:pPr>
              <w:ind w:left="40"/>
              <w:spacing w:after="0"/>
              <w:rPr>
                <w:sz w:val="20"/>
                <w:szCs w:val="20"/>
                <w:color w:val="auto"/>
              </w:rPr>
            </w:pPr>
            <w:r>
              <w:rPr>
                <w:rFonts w:ascii="Arial" w:cs="Arial" w:eastAsia="Arial" w:hAnsi="Arial"/>
                <w:sz w:val="18"/>
                <w:szCs w:val="18"/>
                <w:color w:val="auto"/>
              </w:rPr>
              <w:t>INAPPLICABILITY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X. GENERAL PROVISIONS</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SEAL</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600" w:type="dxa"/>
            <w:vAlign w:val="bottom"/>
          </w:tcPr>
          <w:p>
            <w:pPr>
              <w:ind w:left="40"/>
              <w:spacing w:after="0"/>
              <w:rPr>
                <w:sz w:val="20"/>
                <w:szCs w:val="20"/>
                <w:color w:val="auto"/>
              </w:rPr>
            </w:pPr>
            <w:r>
              <w:rPr>
                <w:rFonts w:ascii="Arial" w:cs="Arial" w:eastAsia="Arial" w:hAnsi="Arial"/>
                <w:sz w:val="18"/>
                <w:szCs w:val="18"/>
                <w:color w:val="auto"/>
              </w:rPr>
              <w:t>WRITTEN WAIVER OF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6600" w:type="dxa"/>
            <w:vAlign w:val="bottom"/>
          </w:tcPr>
          <w:p>
            <w:pPr>
              <w:ind w:left="40"/>
              <w:spacing w:after="0"/>
              <w:rPr>
                <w:sz w:val="20"/>
                <w:szCs w:val="20"/>
                <w:color w:val="auto"/>
              </w:rPr>
            </w:pPr>
            <w:r>
              <w:rPr>
                <w:rFonts w:ascii="Arial" w:cs="Arial" w:eastAsia="Arial" w:hAnsi="Arial"/>
                <w:sz w:val="18"/>
                <w:szCs w:val="18"/>
                <w:color w:val="auto"/>
              </w:rPr>
              <w:t>ATTENDANCE AS WAIVER OF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6600" w:type="dxa"/>
            <w:vAlign w:val="bottom"/>
          </w:tcPr>
          <w:p>
            <w:pPr>
              <w:ind w:left="40"/>
              <w:spacing w:after="0"/>
              <w:rPr>
                <w:sz w:val="20"/>
                <w:szCs w:val="20"/>
                <w:color w:val="auto"/>
              </w:rPr>
            </w:pPr>
            <w:r>
              <w:rPr>
                <w:rFonts w:ascii="Arial" w:cs="Arial" w:eastAsia="Arial" w:hAnsi="Arial"/>
                <w:sz w:val="18"/>
                <w:szCs w:val="18"/>
                <w:color w:val="auto"/>
              </w:rPr>
              <w:t>WAIVER OF SECTION 1501</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66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6600" w:type="dxa"/>
            <w:vAlign w:val="bottom"/>
          </w:tcPr>
          <w:p>
            <w:pPr>
              <w:ind w:left="40"/>
              <w:spacing w:after="0"/>
              <w:rPr>
                <w:sz w:val="20"/>
                <w:szCs w:val="20"/>
                <w:color w:val="auto"/>
              </w:rPr>
            </w:pPr>
            <w:r>
              <w:rPr>
                <w:rFonts w:ascii="Arial" w:cs="Arial" w:eastAsia="Arial" w:hAnsi="Arial"/>
                <w:sz w:val="18"/>
                <w:szCs w:val="18"/>
                <w:color w:val="auto"/>
              </w:rPr>
              <w:t>LOANS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6600" w:type="dxa"/>
            <w:vAlign w:val="bottom"/>
          </w:tcPr>
          <w:p>
            <w:pPr>
              <w:ind w:left="40"/>
              <w:spacing w:after="0"/>
              <w:rPr>
                <w:sz w:val="20"/>
                <w:szCs w:val="20"/>
                <w:color w:val="auto"/>
              </w:rPr>
            </w:pPr>
            <w:r>
              <w:rPr>
                <w:rFonts w:ascii="Arial" w:cs="Arial" w:eastAsia="Arial" w:hAnsi="Arial"/>
                <w:sz w:val="18"/>
                <w:szCs w:val="18"/>
                <w:color w:val="auto"/>
              </w:rPr>
              <w:t>CHECKS, DRAFTS, ETC</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6600" w:type="dxa"/>
            <w:vAlign w:val="bottom"/>
          </w:tcPr>
          <w:p>
            <w:pPr>
              <w:ind w:left="40"/>
              <w:spacing w:after="0"/>
              <w:rPr>
                <w:sz w:val="20"/>
                <w:szCs w:val="20"/>
                <w:color w:val="auto"/>
              </w:rPr>
            </w:pPr>
            <w:r>
              <w:rPr>
                <w:rFonts w:ascii="Arial" w:cs="Arial" w:eastAsia="Arial" w:hAnsi="Arial"/>
                <w:sz w:val="18"/>
                <w:szCs w:val="18"/>
                <w:color w:val="auto"/>
              </w:rPr>
              <w:t>DEPOSITS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6600" w:type="dxa"/>
            <w:vAlign w:val="bottom"/>
          </w:tcPr>
          <w:p>
            <w:pPr>
              <w:ind w:left="40"/>
              <w:spacing w:after="0"/>
              <w:rPr>
                <w:sz w:val="20"/>
                <w:szCs w:val="20"/>
                <w:color w:val="auto"/>
              </w:rPr>
            </w:pPr>
            <w:r>
              <w:rPr>
                <w:rFonts w:ascii="Arial" w:cs="Arial" w:eastAsia="Arial" w:hAnsi="Arial"/>
                <w:sz w:val="18"/>
                <w:szCs w:val="18"/>
                <w:color w:val="auto"/>
              </w:rPr>
              <w:t>ANNUAL STATEMENT</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6600" w:type="dxa"/>
            <w:vAlign w:val="bottom"/>
          </w:tcPr>
          <w:p>
            <w:pPr>
              <w:ind w:left="40"/>
              <w:spacing w:after="0"/>
              <w:rPr>
                <w:sz w:val="20"/>
                <w:szCs w:val="20"/>
                <w:color w:val="auto"/>
              </w:rPr>
            </w:pPr>
            <w:r>
              <w:rPr>
                <w:rFonts w:ascii="Arial" w:cs="Arial" w:eastAsia="Arial" w:hAnsi="Arial"/>
                <w:sz w:val="18"/>
                <w:szCs w:val="18"/>
                <w:color w:val="auto"/>
              </w:rPr>
              <w:t>VOTING OF SECURITIES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6600" w:type="dxa"/>
            <w:vAlign w:val="bottom"/>
          </w:tcPr>
          <w:p>
            <w:pPr>
              <w:ind w:left="40"/>
              <w:spacing w:after="0"/>
              <w:rPr>
                <w:sz w:val="20"/>
                <w:szCs w:val="20"/>
                <w:color w:val="auto"/>
              </w:rPr>
            </w:pPr>
            <w:r>
              <w:rPr>
                <w:rFonts w:ascii="Arial" w:cs="Arial" w:eastAsia="Arial" w:hAnsi="Arial"/>
                <w:sz w:val="18"/>
                <w:szCs w:val="18"/>
                <w:color w:val="auto"/>
              </w:rPr>
              <w:t>EVIDENCE OF AUTHORITY</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6600" w:type="dxa"/>
            <w:vAlign w:val="bottom"/>
          </w:tcPr>
          <w:p>
            <w:pPr>
              <w:ind w:left="40"/>
              <w:spacing w:after="0"/>
              <w:rPr>
                <w:sz w:val="20"/>
                <w:szCs w:val="20"/>
                <w:color w:val="auto"/>
              </w:rPr>
            </w:pPr>
            <w:r>
              <w:rPr>
                <w:rFonts w:ascii="Arial" w:cs="Arial" w:eastAsia="Arial" w:hAnsi="Arial"/>
                <w:sz w:val="18"/>
                <w:szCs w:val="18"/>
                <w:color w:val="auto"/>
              </w:rPr>
              <w:t>CERTIFICATE OF INCORPORATION</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66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w:t>
            </w:r>
          </w:p>
        </w:tc>
        <w:tc>
          <w:tcPr>
            <w:tcW w:w="6600" w:type="dxa"/>
            <w:vAlign w:val="bottom"/>
          </w:tcPr>
          <w:p>
            <w:pPr>
              <w:ind w:left="40"/>
              <w:spacing w:after="0"/>
              <w:rPr>
                <w:sz w:val="20"/>
                <w:szCs w:val="20"/>
                <w:color w:val="auto"/>
              </w:rPr>
            </w:pPr>
            <w:r>
              <w:rPr>
                <w:rFonts w:ascii="Arial" w:cs="Arial" w:eastAsia="Arial" w:hAnsi="Arial"/>
                <w:sz w:val="18"/>
                <w:szCs w:val="18"/>
                <w:color w:val="auto"/>
              </w:rPr>
              <w:t>PRONOUNS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XI. AMENDMENTS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BY THE BOARD OF DIRECTORS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BY THE STOCKHOLDERS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282" w:name="page283"/>
    <w:bookmarkEnd w:id="2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IDENTIFICATION; OFFICES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NAME. The name of the corporation is Adagio Therapeutics,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SECTION 2. PRINCIPAL AND BUSINESS OFFICES. The Corporation may have such principal and other business offices, either within or outside of the state of Delaware, as the Board of Directors may designate or as the Corporation’s business may require from time to time.</w:t>
      </w:r>
    </w:p>
    <w:p>
      <w:pPr>
        <w:spacing w:after="0" w:line="124" w:lineRule="exact"/>
        <w:rPr>
          <w:sz w:val="20"/>
          <w:szCs w:val="20"/>
          <w:color w:val="auto"/>
        </w:rPr>
      </w:pPr>
    </w:p>
    <w:p>
      <w:pPr>
        <w:ind w:right="340" w:firstLine="440"/>
        <w:spacing w:after="0" w:line="275" w:lineRule="auto"/>
        <w:rPr>
          <w:sz w:val="20"/>
          <w:szCs w:val="20"/>
          <w:color w:val="auto"/>
        </w:rPr>
      </w:pPr>
      <w:r>
        <w:rPr>
          <w:rFonts w:ascii="Arial" w:cs="Arial" w:eastAsia="Arial" w:hAnsi="Arial"/>
          <w:sz w:val="17"/>
          <w:szCs w:val="17"/>
          <w:color w:val="auto"/>
        </w:rPr>
        <w:t>SECTION 3. REGISTERED AGENT AND OFFICE. The Corporation’s registered agent may be changed from time to time by or under the authority of the Board of Directors. The address of the Corporation’s registered agent may change from time to time by or under the authority of the Board of Directors, or the registered agent. The business office of the Corporation’s registered agent shall be identical to the registered office. The Corporation’s registered office may be but need not be identical with the Corporation’s principal office in the state of Delaware. The Corporation’s initial registered office shall be in the City of Wilmington, County of New Castle, State of Delaware.</w:t>
      </w:r>
    </w:p>
    <w:p>
      <w:pPr>
        <w:spacing w:after="0" w:line="176"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SECTION 4. CORPORATE RECORDS. Any records and documents required by law to be kept by the Corporation permanently or administered by the Corporation in the regular course of business may be kept on, or by means of, or be in the form of, any information storage device, method, or one more electronic networks or databases, provided that the records so kept can be converted into clearly legible paper form within a reasonable time and, with respect to the stock ledger, the records so kept comply with Section 224 of the Delaware General Corporation Law. The Corporation shall so convert any records so kept upon the request of any person entitled to inspect such records pursuant to applicable law.</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1. ANNUAL MEETING. An annual meeting of the stockholders shall be held on such date as may be designated by the Board of Directors, the Chairman of the Board, the Chief Executive Officer or the President. At each annual meeting, the stockholders shall elect directors to hold office for the term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Article III of these Bylaws and transact such other business as may properly be brought before the meeting.</w:t>
      </w:r>
    </w:p>
    <w:p>
      <w:pPr>
        <w:spacing w:after="0" w:line="149"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SECTION 2. SPECIAL MEETING. A special meeting of the stockholders for any purpose or purposes may be called at any time only by the President, the Board of Directors, the Chairman of the Board, the Chief Executive Officer or any other person designated by the Board of Directors.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7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SECTION 3. PLACE OF STOCKHOLDER MEETINGS. The Board of Directors, the Chairman of the Board, the Chief Executive Officer or the President may designate any place, either within or without the State of Delaware, as the place of meeting for any annual meeting or for any special meeting. If no such place is designated by the Board of Directors, the place of meeting will be the principal business office of the Corporation or the Board of Directors may, in its sole discretion, determine that the meeting shall not be held at any place, but will instead be held solely by means of remote communication as provided under Section 211 of the Delaware General Corporation Law.</w:t>
      </w:r>
    </w:p>
    <w:p>
      <w:pPr>
        <w:sectPr>
          <w:pgSz w:w="11900" w:h="16838" w:orient="portrait"/>
          <w:cols w:equalWidth="0" w:num="1">
            <w:col w:w="10980"/>
          </w:cols>
          <w:pgMar w:left="440" w:top="270" w:right="479" w:bottom="1440" w:gutter="0" w:footer="0" w:header="0"/>
        </w:sectPr>
      </w:pPr>
    </w:p>
    <w:bookmarkStart w:id="283" w:name="page284"/>
    <w:bookmarkEnd w:id="283"/>
    <w:p>
      <w:pPr>
        <w:ind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NOTICE OF MEETINGS. Except as otherwise provided by law or waived as herein provided, whenever stockholders are required or permitted to take any action at a meeting, whether annual or special, notice of the meeting shall be given stating the place, if any, date and hour of the meeting, the means of remote communications, if any, by which stockholders may be deemed to be present in person and vote at such meeting and, in the case of a special meeting, the purpose or purposes for which the meeting is called. Such notice shall be given unless otherwise required by law not less than 10 days nor more than 60 days before the date of the meeting to each stockholder entitled to vote at the meeting.</w:t>
      </w:r>
    </w:p>
    <w:p>
      <w:pPr>
        <w:spacing w:after="0" w:line="16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When a meeting is adjourned to reconvene at the same or another place, if any, or by means of remote communications, if any, in accordance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Article II of these Bylaws, notice need not be given of the adjourned meeting if the time and place thereof are announced at the meeting at which the adjournment is taken.</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5. QUORUM. Unless otherwise provided by law, the Corporation’s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If a quorum is present in person or represented by proxy at such meeting, such stockholders may continue to transact business until adjournment, notwithstanding the withdrawal of such number of stockholders as may leave less than a quorum.</w:t>
      </w:r>
    </w:p>
    <w:p>
      <w:pPr>
        <w:spacing w:after="0" w:line="166"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SECTION 6. ADJOURNED MEETINGS. Any meeting of stockholders may be adjourned from time to time to any other time and to any other place (or by means of remote communications, if any) at which a meeting of stockholders may be held under these Bylaws by the chairman of the meeting or by a majority of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84" w:name="page285"/>
    <w:bookmarkEnd w:id="2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FIXING OF RECORD DATE.</w:t>
      </w:r>
    </w:p>
    <w:p>
      <w:pPr>
        <w:spacing w:after="0" w:line="225" w:lineRule="exact"/>
        <w:rPr>
          <w:sz w:val="20"/>
          <w:szCs w:val="20"/>
          <w:color w:val="auto"/>
        </w:rPr>
      </w:pPr>
    </w:p>
    <w:p>
      <w:pPr>
        <w:ind w:right="40" w:firstLine="987"/>
        <w:spacing w:after="0" w:line="254" w:lineRule="auto"/>
        <w:tabs>
          <w:tab w:leader="none" w:pos="12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Board of Directors may fix in advance a date as a record date for the determination of the stockholders entitled to notice of or to vote at any meeting of stockholders or any adjournment thereof. Such record date shall not precede the date upon which the resolution fixing the record date is adopted by the Board of Directors, and which record date shall not be more than 60 days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of Directors may fix a new record date for the adjourned meeting.</w:t>
      </w:r>
    </w:p>
    <w:p>
      <w:pPr>
        <w:spacing w:after="0" w:line="191" w:lineRule="exact"/>
        <w:rPr>
          <w:rFonts w:ascii="Arial" w:cs="Arial" w:eastAsia="Arial" w:hAnsi="Arial"/>
          <w:sz w:val="18"/>
          <w:szCs w:val="18"/>
          <w:color w:val="auto"/>
        </w:rPr>
      </w:pPr>
    </w:p>
    <w:p>
      <w:pPr>
        <w:ind w:firstLine="987"/>
        <w:spacing w:after="0" w:line="269" w:lineRule="auto"/>
        <w:tabs>
          <w:tab w:leader="none" w:pos="1246" w:val="left"/>
        </w:tabs>
        <w:numPr>
          <w:ilvl w:val="0"/>
          <w:numId w:val="181"/>
        </w:numPr>
        <w:rPr>
          <w:rFonts w:ascii="Arial" w:cs="Arial" w:eastAsia="Arial" w:hAnsi="Arial"/>
          <w:sz w:val="17"/>
          <w:szCs w:val="17"/>
          <w:color w:val="auto"/>
        </w:rPr>
      </w:pPr>
      <w:r>
        <w:rPr>
          <w:rFonts w:ascii="Arial" w:cs="Arial" w:eastAsia="Arial" w:hAnsi="Arial"/>
          <w:sz w:val="17"/>
          <w:szCs w:val="17"/>
          <w:color w:val="auto"/>
        </w:rPr>
        <w:t>For the purpose of determining stockholders entitled to consent to corporate action in writing without a meeting, the Board of Directors may fix a record date, which record date shall not precede the date upon which the resolution fixing the record date is established by the Board of Directors, and which date shall not be more than 10 days after the date 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office, or an officer or agent of the Corporation having custody of the book in which the proceedings of meetings of stockholders are recorded. Delivery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consent to corporate action in writing without a meeting shall be the close of business on the day on which the Board of Directors adopts the resolution taking such prior action.</w:t>
      </w:r>
    </w:p>
    <w:p>
      <w:pPr>
        <w:spacing w:after="0" w:line="181" w:lineRule="exact"/>
        <w:rPr>
          <w:rFonts w:ascii="Arial" w:cs="Arial" w:eastAsia="Arial" w:hAnsi="Arial"/>
          <w:sz w:val="17"/>
          <w:szCs w:val="17"/>
          <w:color w:val="auto"/>
        </w:rPr>
      </w:pPr>
    </w:p>
    <w:p>
      <w:pPr>
        <w:ind w:right="20" w:firstLine="987"/>
        <w:spacing w:after="0" w:line="296" w:lineRule="auto"/>
        <w:tabs>
          <w:tab w:leader="none" w:pos="1236" w:val="left"/>
        </w:tabs>
        <w:numPr>
          <w:ilvl w:val="0"/>
          <w:numId w:val="181"/>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receive payment of any dividend or other distribution or allotment of any rights or the stockholders entitled to exercise any rights in respect to any change, conversion or exchange of stock, or for the purpose of any other lawful action, the Board of Directors may fix the record date, which record date shall not precede the date upon which the resolution fixing the record date is adopted, and which record date shall be not more than 60 days prior to such action. If no record date is fixed, the record date for determining the stockholders for any such purpose shall be the close of business on the day on which the Board of Directors adopts the resolution relating thereto.</w:t>
      </w:r>
    </w:p>
    <w:p>
      <w:pPr>
        <w:spacing w:after="0" w:line="161"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SECTION 8. VOTING LIST. The officer who has charge of the stock ledger of the Corporation shall prepare and make, at least 10 days before every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(i) by a reasonably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85" w:name="page286"/>
    <w:bookmarkEnd w:id="285"/>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the identity of stockholders entitled to examine the list of stockholders required by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to vote in person or by proxy at any meeting of the stockholders. The Corporation shall not be required to include electronic mail addresses or other electronic contact information on such list.</w:t>
      </w:r>
    </w:p>
    <w:p>
      <w:pPr>
        <w:spacing w:after="0" w:line="19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SECTION 9. VOTING. Unless otherwise provided by the Certificate of Incorporation, each stockholder shall be entitled to one vote for each share of capital stock held by each stockholder. When a quorum is present at any meeting, in all matters other than the election of directors, the affirmative vote of the majority of shares present in person or represented by proxy at the meeting and entitled to vote on the subject matter shall be the act of the stockholders, except when a different vote is required by law, the Certificate of Incorporation or these Bylaws. When a quorum is present at any meeting, directors shall be elected by plurality of the votes of the shares present in person or represented by a proxy at the meeting entitled to vote on the election of directors.</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SECTION 10. PROXIES. Each stockholder entitled to vote at a meeting of stockholders or to express consent or dissent to corporate action in writing without a meeting (including by means of remote communications, if any, by which stockholders may be deemed to be present in person and vote at such meeting) may authorize another person or persons to act for him by proxy (executed or transmitted in a manner permitted by the Delaware General Corporation Law),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remain irrevocable regardless of whether the interest with which it is coupled is an interest in the stock itself or an interest in the Corporation generally.</w:t>
      </w:r>
    </w:p>
    <w:p>
      <w:pPr>
        <w:spacing w:after="0" w:line="17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SECTION 11. RATIFICATION OF ACTS OF DIRECTORS AND OFFICERS. Except as otherwise provided by law or by the Certificate of Incorporation of the Corporation, any transaction or contract or act of the Corporation or of the directors or the officers of the Corporation may be ratified by the affirmative vote of the holders of the number of shares which would have been necessary to approve such transaction, contract or act at a meeting of stockholders, or by the written consent of stockholders in lieu of a meeting.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86" w:name="page287"/>
    <w:bookmarkEnd w:id="286"/>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 CONDUCT OF MEETINGS.</w:t>
      </w:r>
    </w:p>
    <w:p>
      <w:pPr>
        <w:spacing w:after="0" w:line="225" w:lineRule="exact"/>
        <w:rPr>
          <w:sz w:val="20"/>
          <w:szCs w:val="20"/>
          <w:color w:val="auto"/>
        </w:rPr>
      </w:pPr>
    </w:p>
    <w:p>
      <w:pPr>
        <w:ind w:left="4" w:firstLine="987"/>
        <w:spacing w:after="0" w:line="296" w:lineRule="auto"/>
        <w:tabs>
          <w:tab w:leader="none" w:pos="1240"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Chairman of Meeting</w:t>
      </w:r>
      <w:r>
        <w:rPr>
          <w:rFonts w:ascii="Arial" w:cs="Arial" w:eastAsia="Arial" w:hAnsi="Arial"/>
          <w:sz w:val="16"/>
          <w:szCs w:val="16"/>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161" w:lineRule="exact"/>
        <w:rPr>
          <w:rFonts w:ascii="Arial" w:cs="Arial" w:eastAsia="Arial" w:hAnsi="Arial"/>
          <w:sz w:val="16"/>
          <w:szCs w:val="16"/>
          <w:color w:val="auto"/>
        </w:rPr>
      </w:pPr>
    </w:p>
    <w:p>
      <w:pPr>
        <w:ind w:left="4" w:right="20" w:firstLine="987"/>
        <w:spacing w:after="0" w:line="283" w:lineRule="auto"/>
        <w:tabs>
          <w:tab w:leader="none" w:pos="1250"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Rules, Regulations and Procedures</w:t>
      </w:r>
      <w:r>
        <w:rPr>
          <w:rFonts w:ascii="Arial" w:cs="Arial" w:eastAsia="Arial" w:hAnsi="Arial"/>
          <w:sz w:val="16"/>
          <w:szCs w:val="16"/>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w:t>
      </w:r>
    </w:p>
    <w:p>
      <w:pPr>
        <w:spacing w:after="0" w:line="5" w:lineRule="exact"/>
        <w:rPr>
          <w:rFonts w:ascii="Arial" w:cs="Arial" w:eastAsia="Arial" w:hAnsi="Arial"/>
          <w:sz w:val="16"/>
          <w:szCs w:val="16"/>
          <w:color w:val="auto"/>
        </w:rPr>
      </w:pPr>
    </w:p>
    <w:p>
      <w:pPr>
        <w:ind w:left="4" w:right="80" w:hanging="4"/>
        <w:spacing w:after="0" w:line="255" w:lineRule="auto"/>
        <w:tabs>
          <w:tab w:leader="none" w:pos="30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13. ACTION WITHOUT MEETING.</w:t>
      </w:r>
    </w:p>
    <w:p>
      <w:pPr>
        <w:spacing w:after="0" w:line="225" w:lineRule="exact"/>
        <w:rPr>
          <w:sz w:val="20"/>
          <w:szCs w:val="20"/>
          <w:color w:val="auto"/>
        </w:rPr>
      </w:pPr>
    </w:p>
    <w:p>
      <w:pPr>
        <w:ind w:left="4" w:right="40" w:firstLine="987"/>
        <w:spacing w:after="0" w:line="259" w:lineRule="auto"/>
        <w:tabs>
          <w:tab w:leader="none" w:pos="12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action required or permitted to be taken at any annual or special meeting of stockholders of the Corporation, may be taken without a meeting, without prior notice and without a vote, if a consent or consents in writing, setting forth the action so taken, shall be delivered to the Corporation signed by the holders of outstanding stock having not less than the minimum number of votes that would be necessary to authorize or take such action at a meeting at which all shares entitled to vote thereon were present and voted.</w:t>
      </w:r>
    </w:p>
    <w:p>
      <w:pPr>
        <w:spacing w:after="0" w:line="186" w:lineRule="exact"/>
        <w:rPr>
          <w:rFonts w:ascii="Arial" w:cs="Arial" w:eastAsia="Arial" w:hAnsi="Arial"/>
          <w:sz w:val="18"/>
          <w:szCs w:val="18"/>
          <w:color w:val="auto"/>
        </w:rPr>
      </w:pPr>
    </w:p>
    <w:p>
      <w:pPr>
        <w:ind w:left="4" w:right="80" w:firstLine="987"/>
        <w:spacing w:after="0" w:line="259" w:lineRule="auto"/>
        <w:tabs>
          <w:tab w:leader="none" w:pos="125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287" w:name="page288"/>
    <w:bookmarkEnd w:id="287"/>
    <w:p>
      <w:pPr>
        <w:ind w:left="4" w:right="280" w:firstLine="987"/>
        <w:spacing w:after="0" w:line="286" w:lineRule="auto"/>
        <w:tabs>
          <w:tab w:leader="none" w:pos="1240" w:val="left"/>
        </w:tabs>
        <w:numPr>
          <w:ilvl w:val="1"/>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electronic transmission consenting to an action to be taken and transmitted by a stockholder or proxy holder, or by a person or persons authorized to act for a stockholder or proxy holder, shall be deemed to be written, signed and dated for the purposes of this section, provided that any such electronic transmission sets forth or is delivered with information from which the Corporation can determine (i) that the electronic transmission was transmitted by the stockholder or proxy holder or by a person or persons authorized to act for the stockholder or proxy holder and</w:t>
      </w:r>
    </w:p>
    <w:p>
      <w:pPr>
        <w:spacing w:after="0" w:line="1" w:lineRule="exact"/>
        <w:rPr>
          <w:rFonts w:ascii="Arial" w:cs="Arial" w:eastAsia="Arial" w:hAnsi="Arial"/>
          <w:sz w:val="16"/>
          <w:szCs w:val="16"/>
          <w:color w:val="auto"/>
        </w:rPr>
      </w:pPr>
    </w:p>
    <w:p>
      <w:pPr>
        <w:ind w:left="4" w:right="20" w:hanging="4"/>
        <w:spacing w:after="0" w:line="268" w:lineRule="auto"/>
        <w:tabs>
          <w:tab w:leader="none" w:pos="26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date on which such stockholder or proxy holder or authorized person or persons transmitted such electronic transmission. A consent given by electronic transmission is delivered to the Corporation upon the earliest of: (i) when the consent enters an information processing system, if any, designated by the Corporation for receiving consents, so long as the electronic transmission is in a form capable of being processed by that system and the Corporation is able to retrieve that electronic transmission; (ii) when a paper reproduction of the consent is delivered to the Corporation’s principal place of business or an officer or agent of the Corporation having custody of the book in which proceedings of meetings of stockholders or members are recorded; (iii) when a paper reproduction of the consent is delivered to the Corporation’s registered office in this State by hand or by certified or registered mail, return receipt requested; or (iv) when delivered in such other manner, if any, provided by resolution of the Board of Directors or governing body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391" w:lineRule="exact"/>
        <w:rPr>
          <w:sz w:val="20"/>
          <w:szCs w:val="20"/>
          <w:color w:val="auto"/>
        </w:rPr>
      </w:pPr>
    </w:p>
    <w:p>
      <w:pPr>
        <w:ind w:left="4944"/>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84"/>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left="4" w:right="620" w:firstLine="440"/>
        <w:spacing w:after="0" w:line="342" w:lineRule="auto"/>
        <w:rPr>
          <w:sz w:val="20"/>
          <w:szCs w:val="20"/>
          <w:color w:val="auto"/>
        </w:rPr>
      </w:pPr>
      <w:r>
        <w:rPr>
          <w:rFonts w:ascii="Arial" w:cs="Arial" w:eastAsia="Arial" w:hAnsi="Arial"/>
          <w:sz w:val="16"/>
          <w:szCs w:val="16"/>
          <w:color w:val="auto"/>
        </w:rPr>
        <w:t>SECTION 1. GENERAL POWERS. The business and affairs of the Corporation shall be managed by or under the direction of a Board of Directors, who may exercise all of the powers of the Corporation except as otherwise provided by law or the Certificate of Incorporation.</w:t>
      </w:r>
    </w:p>
    <w:p>
      <w:pPr>
        <w:spacing w:after="0" w:line="12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SECTION 2. NUMBER AND TENURE OF DIRECTORS. Subject to the rights of holders of any class or series of capital stock of the Corporation to elect directors, the number of directors of the Corporation shall be determined from time to time by the stockholders or the Board of Directors in a resolution adopted by the Board of Directors. Each director shall hold office until the next annual meeting of stockholders and until such director’s successor is elected and qualified or until such director’s earlier death, resignation or removal.</w:t>
      </w:r>
    </w:p>
    <w:p>
      <w:pPr>
        <w:spacing w:after="0" w:line="18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SECTION 3. ELECTION OF DIRECTORS. Except as otherwise provided in these Bylaws, directors shall be elected at the annual meeting of stockholders by such stockholders as have the right to vote on such election. Directors need not be residents of the State of Delaware. Directors need not be stockholders of the Corporation. Elections of directors need not be by written ballot.</w:t>
      </w:r>
    </w:p>
    <w:p>
      <w:pPr>
        <w:spacing w:after="0" w:line="184"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SECTION 4. CHAIRMAN OF THE BOARD; VICE CHAIRMAN OF THE BOARD. The Board of Directors may appoint from its members a Chairman of the Board and a Vice Chairman of the Board, neither of whom need be an employee or officer of the Corporation. If the Board of Directors appoints a Chairman of the Board, such Chairman shall perform such duties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288" w:name="page289"/>
    <w:bookmarkEnd w:id="28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possess such powers as are assigned by the Board of Directors.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5. QUORUM. The greater of (a) a majority of the directors at any time in office and (b) one-third of the number of directors fixed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Article III of these Bylaws shall constitute a quorum of the Board of Directors. If less than a quorum are present at a meeting of the Board of Directors, a majority of the directors present may adjourn the meeting from time to time without further notice other than announcement at the meeting, until such quorum shall be present.</w:t>
      </w:r>
    </w:p>
    <w:p>
      <w:pPr>
        <w:spacing w:after="0" w:line="187"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SECTION 6. VOTING. The vote of the majority of the directors present at a meeting at which a quorum is present shall be the act of the Board of Directors, unless the Delaware General Corporation Law or the Certificate of Incorporation requires a vote of a greater number.</w:t>
      </w:r>
    </w:p>
    <w:p>
      <w:pPr>
        <w:spacing w:after="0" w:line="146" w:lineRule="exact"/>
        <w:rPr>
          <w:sz w:val="20"/>
          <w:szCs w:val="20"/>
          <w:color w:val="auto"/>
        </w:rPr>
      </w:pPr>
    </w:p>
    <w:p>
      <w:pPr>
        <w:ind w:right="300" w:firstLine="440"/>
        <w:spacing w:after="0" w:line="255" w:lineRule="auto"/>
        <w:rPr>
          <w:sz w:val="20"/>
          <w:szCs w:val="20"/>
          <w:color w:val="auto"/>
        </w:rPr>
      </w:pPr>
      <w:r>
        <w:rPr>
          <w:rFonts w:ascii="Arial" w:cs="Arial" w:eastAsia="Arial" w:hAnsi="Arial"/>
          <w:sz w:val="18"/>
          <w:szCs w:val="18"/>
          <w:color w:val="auto"/>
        </w:rPr>
        <w:t>SECTION 7. VACANCIES.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8. REMOVAL OF DIRECTORS. Except as otherwise provided by the General Corporation Law of the State of Delaware, a director, or the entire Board of Directors,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187"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SECTION 9. RESIGNATION.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10. REGULAR MEETINGS. Regular meetings of the Board of Directors may be held without notice at such time, place and manner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89" w:name="page290"/>
    <w:bookmarkEnd w:id="289"/>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 SPECIAL MEETINGS. Special meetings of the Board of Directors may be called by or at the request of the Chairman of the Board, the Chief Executive Officer, the President, two or more directors or by one director in the event that there is only a single director in office. The person or persons authorized to call special meetings of the Board of Directors may fix any time, date or place, either within or without the State of Delaware, for holding any special meeting of the Board of Directors called by them.</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SECTION 12. NOTICE OF SPECIAL MEETINGS OF THE BOARD OF DIRECTORS. Notice of the date, place, if any, and time of any special meeting of the Board of Directors shall be given to each director by the Secretary or by the officer or one of the directors calling the meeting. Notice shall be duly given to each director (a) in person, by telephone, fax or by electronic transmission at least 24 hours in advance of the meeting, (b) by sending written notice by reputable overnight courier or delivering written notice by hand, to such director’s last known business, home or facsimile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9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SECTION 13. WRITTEN ACTION BY DIRECTORS.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Without limiting the manner by which consent may be given, members of the Board of Directors may consent by delivery of an electronic transmission when such transmission is directed to a facsimile number or electronic mail address at which the Corporation has consented to receive such electronic transmissions, and copies of the electronic transmissions are filed with the minutes of proceedings of the Board of Directors or committee. After an action is taken, the consent or consents relating thereto shall be filed with the minutes of the proceedings of the Board of Directors, or the committee thereof, in the same paper or electronic form as the minutes are maintained.</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SECTION 14. PARTICIPATION BY CONFERENCE TELEPHONE. Members of the Board of Directors, or any committee designated by such board, may participate in a meeting of the Board of Directors, or committee thereof, by means of conference telephone or similar communications equipment as long as all persons participating in the meeting can speak with and hear each other, and participation by a director pursuant to this section shall constitute presence in person at such meeting.</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SECTION 15. COMMITTEES.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may designate one or more directors as alternate members of any committee, who may replace any absent or disqualified member at any meeting of the committee. In the absence or disqualification of a member at any meeting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90" w:name="page291"/>
    <w:bookmarkEnd w:id="290"/>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law to be submitted to stockholders for approval or (ii) adopting, amending or repealing any bylaw of the Corporation.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82"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SECTION 16. COMPENSATION OF DIRECTORS.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380" w:firstLine="440"/>
        <w:spacing w:after="0" w:line="296" w:lineRule="auto"/>
        <w:rPr>
          <w:sz w:val="20"/>
          <w:szCs w:val="20"/>
          <w:color w:val="auto"/>
        </w:rPr>
      </w:pPr>
      <w:r>
        <w:rPr>
          <w:rFonts w:ascii="Arial" w:cs="Arial" w:eastAsia="Arial" w:hAnsi="Arial"/>
          <w:sz w:val="16"/>
          <w:szCs w:val="16"/>
          <w:color w:val="auto"/>
        </w:rPr>
        <w:t>SECTION 1. GENERAL PROVISIONS.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 No officer need be a stockholder. Any two or more offices may be held by the same person. The officers elected by the Board of Directors shall have such duties as are hereafter described and such additional duties as the Board of Directors may from time to time prescribe.</w:t>
      </w:r>
    </w:p>
    <w:p>
      <w:pPr>
        <w:spacing w:after="0" w:line="16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SECTION 2. ELECTION AND TERM OF OFFICE. The Chief Executive Officer, President, Treasurer and Secretary shall be elected annually by the Board of Directors at the regular meeting of the Board of Directors held after each annual meeting of the stockholders. If the election of officers is not held at such meeting, such election shall be held as soon thereafter as may be convenient. Other officers may be appointed at any time, at a meeting or by the written consent of the Board of Directors. Except as otherwise provided by law, by the Certificate of Incorporation or by these Bylaws, each officer shall hold office until his successor has been duly elected and qualified, unless a different term is specified in the resolution electing or appointing such officer, or until his earlier death, resignation or removal. Election or appointment of an officer or agent shall not of itself create contract rights.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91" w:name="page292"/>
    <w:bookmarkEnd w:id="291"/>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RESIGNATION AND REMOVAL OF OFFICERS.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7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SECTION 4. VACANCIES.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187" w:lineRule="exact"/>
        <w:rPr>
          <w:sz w:val="20"/>
          <w:szCs w:val="20"/>
          <w:color w:val="auto"/>
        </w:rPr>
      </w:pPr>
    </w:p>
    <w:p>
      <w:pPr>
        <w:ind w:right="140" w:firstLine="440"/>
        <w:spacing w:after="0" w:line="288" w:lineRule="auto"/>
        <w:rPr>
          <w:sz w:val="20"/>
          <w:szCs w:val="20"/>
          <w:color w:val="auto"/>
        </w:rPr>
      </w:pPr>
      <w:r>
        <w:rPr>
          <w:rFonts w:ascii="Arial" w:cs="Arial" w:eastAsia="Arial" w:hAnsi="Arial"/>
          <w:sz w:val="16"/>
          <w:szCs w:val="16"/>
          <w:color w:val="auto"/>
        </w:rPr>
        <w:t>SECTION 5. THE CHIEF EXECUTIVE OFFICER. Unless the Board of Directors has designated another person as the Corporation’s Chief Executive Officer, the President shall be the Chief Executive Officer of the Corporation. The Chief Executive Officer shall have general charge and supervision of the business and affairs of the Corporation subject to the direction of the Board of Directors, and shall perform all duties and have all powers that are commonly incident to the office of chief executive or that are delegated to such officer by the Board of Directors. The Chief Executive Officer shall preside at all meetings of the Board of Directors and shall see that orders and resolutions of the Board of Directors are carried into effect. The Chief Executive Officer may sign bonds, mortgages, certificates for shares and all other contracts and documents whether or not under the seal of the Corporation except in cases where the signing and execution thereof shall be expressly delegated by law, by the Board of Directors or by these Bylaws to some other officer or agent of the Corporation. The Chief Executive Officer shall have general powers of supervision and shall be the final arbiter of all differences between officers of the Corporation and his decision as to any matter affecting the Corporation shall be final and binding as between the officers of the Corporation subject only to the Board of Directors.</w:t>
      </w:r>
    </w:p>
    <w:p>
      <w:pPr>
        <w:spacing w:after="0" w:line="16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SECTION 6. THE PRESIDENT. In the absence of the Chief Executive Officer or in the event of his inability or refusal to act, the President shall perform the duties of the Chief Executive Officer, and when so acting, shall have all the powers of and be subject to all the restrictions upon the Chief Executive Officer. At all other times the President shall have the active management of the business of the Corporation under the general supervision of the Chief Executive Officer or the Board of Directors. The President shall have concurrent power with the Chief Executive Officer to sign bonds, mortgages, certificates for shares and other contracts and documents, whether or not under the seal of the Corporation except in cases where the signing and execution thereof shall be expressly delegated by law, by the Board of Directors, or by these Bylaws to some other officer or agent of the Corporation. In general, the President shall perform all duties incident to the office of president and such other duties as the Chief Executive Officer (if the President is not the Chief Executive Officer) or the Board of Directors may from time to time prescribe.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92" w:name="page293"/>
    <w:bookmarkEnd w:id="292"/>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THE VICE PRESIDENT. In the absence of the President or in the event of his inability or refusal to act, the Vice President (or in the event there be more than one Vice President, the Executive Vice President and then the other Vice President or Vice Presidents in the order designated,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Chief Executive Officer or the Board of Directors may from time to time prescribe.</w:t>
      </w:r>
    </w:p>
    <w:p>
      <w:pPr>
        <w:spacing w:after="0" w:line="176"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SECTION 8. THE SECRETARY. The Secretary shall perform such duties and shall have such powers as the Board of Directors or the Chief Executive Officer may from time to time prescribe. The Secretary shall perform such duties and have such powers as are incident to the office of the secretary, including without limitation the duty and power to attend all meetings of the Board of Directors and all meetings of the stockholders and record all the proceedings in a book to be kept for that purpose and shall perform like duties for the standing committees when required and to maintain a stock ledger and prepare lists of stockholders and their addresses as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he shall be. The Secretary shall have custody of the corporate records and the corporate seal of the Corporation and the Secretary,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9. THE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Chief Executive Officer, the Board of Directors or the Secretary may from time to time prescribe. In the absence of the Secretary or any Assistant Secretary at any meeting of stockholders or directors, the chairman of the meeting shall designate a temporary secretary to keep a record of the meeting.</w:t>
      </w:r>
    </w:p>
    <w:p>
      <w:pPr>
        <w:spacing w:after="0" w:line="192"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SECTION 10. THE TREASURER.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have the custody of the corporate funds and securities and to keep full and accurate accounts of receipts and disbursements in books belonging to the Corporation and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93" w:name="page294"/>
    <w:bookmarkEnd w:id="293"/>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President and the Board of Directors, as required by the Board of Directors, an account of all his transactions as Treasurer and of the financial condition of the Corporation.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61"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SECTION 11. THE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Chief Executive Officer, the Board of Directors or the Treasurer may from time to time prescribe.</w:t>
      </w:r>
    </w:p>
    <w:p>
      <w:pPr>
        <w:spacing w:after="0" w:line="17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SECTION 12. OTHER OFFICERS, ASSISTANT OFFICERS AND AGENTS. Officers, Assistant Officers and Agents, if any, other than those whose duties are provided for in these Bylaws, shall have such authority and perform such duties as may from time to time be prescribed by resolution of the Board of Directors.</w:t>
      </w:r>
    </w:p>
    <w:p>
      <w:pPr>
        <w:spacing w:after="0" w:line="18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SECTION 13. ABSENCE OF OFFICERS, DELEGATION OF AUTHORITY. In the absence of any officer of the Corporation, or for any other reason the Board of Directors may deem sufficient, the Board of Directors may from time to time delegate the powers or duties, or any of such powers or duties, of any officers or officer to any other officer or to any director.</w:t>
      </w:r>
    </w:p>
    <w:p>
      <w:pPr>
        <w:spacing w:after="0" w:line="184" w:lineRule="exact"/>
        <w:rPr>
          <w:sz w:val="20"/>
          <w:szCs w:val="20"/>
          <w:color w:val="auto"/>
        </w:rPr>
      </w:pPr>
    </w:p>
    <w:p>
      <w:pPr>
        <w:ind w:right="1060" w:firstLine="440"/>
        <w:spacing w:after="0" w:line="277" w:lineRule="auto"/>
        <w:rPr>
          <w:sz w:val="20"/>
          <w:szCs w:val="20"/>
          <w:color w:val="auto"/>
        </w:rPr>
      </w:pPr>
      <w:r>
        <w:rPr>
          <w:rFonts w:ascii="Arial" w:cs="Arial" w:eastAsia="Arial" w:hAnsi="Arial"/>
          <w:sz w:val="18"/>
          <w:szCs w:val="18"/>
          <w:color w:val="auto"/>
        </w:rPr>
        <w:t>SECTION 14. COMPENSATION. The Board of Directors shall have the authority to establish reasonable salaries, compensation or reimbursement of all officers for services to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1. ISSUANCE OF STOCK.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CERTIFICATES OF SHARES; UNCERTIFICATED SHARES.</w:t>
      </w:r>
    </w:p>
    <w:p>
      <w:pPr>
        <w:spacing w:after="0" w:line="225" w:lineRule="exact"/>
        <w:rPr>
          <w:sz w:val="20"/>
          <w:szCs w:val="20"/>
          <w:color w:val="auto"/>
        </w:rPr>
      </w:pPr>
    </w:p>
    <w:p>
      <w:pPr>
        <w:ind w:firstLine="987"/>
        <w:spacing w:after="0" w:line="255" w:lineRule="auto"/>
        <w:tabs>
          <w:tab w:leader="none" w:pos="123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signed in a manner that complies with Section 158 of the Delaware General Corporation Law, representing the number of shares held by such holder registered in certificate form. Any or all the signatures on the certificate may be a facsimile or pdf.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94" w:name="page295"/>
    <w:bookmarkEnd w:id="294"/>
    <w:p>
      <w:pPr>
        <w:ind w:right="280" w:firstLine="987"/>
        <w:spacing w:after="0" w:line="311" w:lineRule="auto"/>
        <w:tabs>
          <w:tab w:leader="none" w:pos="1246" w:val="left"/>
        </w:tabs>
        <w:numPr>
          <w:ilvl w:val="0"/>
          <w:numId w:val="1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48" w:lineRule="exact"/>
        <w:rPr>
          <w:rFonts w:ascii="Arial" w:cs="Arial" w:eastAsia="Arial" w:hAnsi="Arial"/>
          <w:sz w:val="16"/>
          <w:szCs w:val="16"/>
          <w:color w:val="auto"/>
        </w:rPr>
      </w:pPr>
    </w:p>
    <w:p>
      <w:pPr>
        <w:ind w:right="220" w:firstLine="987"/>
        <w:spacing w:after="0" w:line="272" w:lineRule="auto"/>
        <w:tabs>
          <w:tab w:leader="none" w:pos="123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77" w:lineRule="exact"/>
        <w:rPr>
          <w:rFonts w:ascii="Arial" w:cs="Arial" w:eastAsia="Arial" w:hAnsi="Arial"/>
          <w:sz w:val="17"/>
          <w:szCs w:val="17"/>
          <w:color w:val="auto"/>
        </w:rPr>
      </w:pPr>
    </w:p>
    <w:p>
      <w:pPr>
        <w:ind w:right="60" w:firstLine="987"/>
        <w:spacing w:after="0" w:line="296" w:lineRule="auto"/>
        <w:tabs>
          <w:tab w:leader="none" w:pos="1246" w:val="left"/>
        </w:tabs>
        <w:numPr>
          <w:ilvl w:val="0"/>
          <w:numId w:val="188"/>
        </w:numPr>
        <w:rPr>
          <w:rFonts w:ascii="Arial" w:cs="Arial" w:eastAsia="Arial" w:hAnsi="Arial"/>
          <w:sz w:val="16"/>
          <w:szCs w:val="16"/>
          <w:color w:val="auto"/>
        </w:rPr>
      </w:pPr>
      <w:r>
        <w:rPr>
          <w:rFonts w:ascii="Arial" w:cs="Arial" w:eastAsia="Arial" w:hAnsi="Arial"/>
          <w:sz w:val="16"/>
          <w:szCs w:val="16"/>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3. SIGNATURES OF FORMER OFFICER,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or entity were such officer, transfer agent or registrar at the date of issue.</w:t>
      </w:r>
    </w:p>
    <w:p>
      <w:pPr>
        <w:spacing w:after="0" w:line="18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SECTION 4. TRANSFER OF SHARES. Transfers of shares of the Corporation shall be made only on the books of the Corporation, or by transfer agents designated to transfer shares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95" w:name="page296"/>
    <w:bookmarkEnd w:id="295"/>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LOST, DESTROYED OR STOLEN CERTIFICATES. Whenever a certificate representing shares of the Corporation has been lost, destroyed or stolen, the holder thereof may file in the office of the Corporation an affidavit setting forth, to the best of his knowledge and belief, the time, place, and circumstance of such loss, destruction or theft together with a statement of indemnity and posting of such bond sufficient in the opinion of the Board of Directors to indemnify the Corporation against any claim that may be made against it on account of the alleged loss of any such certificate. Thereupon the Board may cause to be issued to such person or such person’s legal representative a new certificate or a duplicate of the certificate alleged to have been lost, destroyed or stolen. In the exercise of its discretion, the Board of Directors may waive the indemnification and bond requirements provided herein.</w:t>
      </w:r>
    </w:p>
    <w:p>
      <w:pPr>
        <w:spacing w:after="0" w:line="19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SECTION 6. REGULATIONS. The issue, transfer, conversion and registration of shares of stock of the Corporation shall be governed by such other regulations as the Board of Directors may establish.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TRANSFER AND RIGHT OF FIRST REFUSAL.</w:t>
      </w:r>
    </w:p>
    <w:p>
      <w:pPr>
        <w:spacing w:after="0" w:line="211"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SECTION 1. TRANSFERS. If a holder of any shares of stock of the Corporation (a “</w:t>
      </w:r>
      <w:r>
        <w:rPr>
          <w:rFonts w:ascii="Arial" w:cs="Arial" w:eastAsia="Arial" w:hAnsi="Arial"/>
          <w:sz w:val="16"/>
          <w:szCs w:val="16"/>
          <w:u w:val="single" w:color="auto"/>
          <w:color w:val="auto"/>
        </w:rPr>
        <w:t>Holder</w:t>
      </w:r>
      <w:r>
        <w:rPr>
          <w:rFonts w:ascii="Arial" w:cs="Arial" w:eastAsia="Arial" w:hAnsi="Arial"/>
          <w:sz w:val="16"/>
          <w:szCs w:val="16"/>
          <w:color w:val="auto"/>
        </w:rPr>
        <w:t>”) proposes to, directly or indirectly, sell, assign, transfer, pledge, hypothecate or otherwise dispose of, by operation of law or otherwise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any such shares, or any right or interest therein (including, without limitation, the entering into of any swap or other arrangement that Transfers to another, in whole or in part, any of the economic consequences of ownership of the common stock of the Corporation, whether any such transaction described above is to be settled by delivery of common stock of the Corporation or other securities, in cash or otherwise), pursuant to a bona fide offer acceptable to such Holder, then Holder shall first give written notice of the proposed Transfer (the “</w:t>
      </w:r>
      <w:r>
        <w:rPr>
          <w:rFonts w:ascii="Arial" w:cs="Arial" w:eastAsia="Arial" w:hAnsi="Arial"/>
          <w:sz w:val="16"/>
          <w:szCs w:val="16"/>
          <w:u w:val="single" w:color="auto"/>
          <w:color w:val="auto"/>
        </w:rPr>
        <w:t>Transfer Notice</w:t>
      </w:r>
      <w:r>
        <w:rPr>
          <w:rFonts w:ascii="Arial" w:cs="Arial" w:eastAsia="Arial" w:hAnsi="Arial"/>
          <w:sz w:val="16"/>
          <w:szCs w:val="16"/>
          <w:color w:val="auto"/>
        </w:rPr>
        <w:t>”) to the Corporation. The Transfer Notice shall state the name of the proposed transferee, the number of shares Holder proposes to Transfer (the “</w:t>
      </w:r>
      <w:r>
        <w:rPr>
          <w:rFonts w:ascii="Arial" w:cs="Arial" w:eastAsia="Arial" w:hAnsi="Arial"/>
          <w:sz w:val="16"/>
          <w:szCs w:val="16"/>
          <w:u w:val="single" w:color="auto"/>
          <w:color w:val="auto"/>
        </w:rPr>
        <w:t>Offered Shares</w:t>
      </w:r>
      <w:r>
        <w:rPr>
          <w:rFonts w:ascii="Arial" w:cs="Arial" w:eastAsia="Arial" w:hAnsi="Arial"/>
          <w:sz w:val="16"/>
          <w:szCs w:val="16"/>
          <w:color w:val="auto"/>
        </w:rPr>
        <w:t>”), whether the Offered Shares are vested or unvested shares, the price per share and all other material terms and conditions of the Transfer, including any available exemption set forth in Section 4 below from the restrictions set forth in Sections 2 and 3 below and shall include a confirmation from the Holder that the proposed transferee is an accredited investor as defined in Rule 501(a) of Regulation D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68" w:lineRule="exact"/>
        <w:rPr>
          <w:sz w:val="20"/>
          <w:szCs w:val="20"/>
          <w:color w:val="auto"/>
        </w:rPr>
      </w:pPr>
    </w:p>
    <w:p>
      <w:pPr>
        <w:ind w:right="440" w:firstLine="440"/>
        <w:spacing w:after="0" w:line="255" w:lineRule="auto"/>
        <w:rPr>
          <w:sz w:val="20"/>
          <w:szCs w:val="20"/>
          <w:color w:val="auto"/>
        </w:rPr>
      </w:pPr>
      <w:r>
        <w:rPr>
          <w:rFonts w:ascii="Arial" w:cs="Arial" w:eastAsia="Arial" w:hAnsi="Arial"/>
          <w:sz w:val="18"/>
          <w:szCs w:val="18"/>
          <w:color w:val="auto"/>
        </w:rPr>
        <w:t xml:space="preserve">SECTION 2. CONSENT TO TRANSFER. Following receipt of the Transfer Notice, the prior written consent of the Corporation (upon duly authorized action of its Board of Directors) shall be required (and such consent may be withheld) if such Transfer (a) would be to an individual, company or any other form of entity identified by the Corporation as a competitor or potential competitor; (b) increases the risk of the Corporation having a class of equity security (other than an exempted security) held of record by either (i) 2,000 or more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restriction shall only apply after the Corporation has a class of equity security (other than an exempted security) held of record by more than 1,000 persons or (ii) 500 or more persons who are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96" w:name="page297"/>
    <w:bookmarkEnd w:id="29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accredited investors, as described in Section 12(g) of the Securities and Exchange Act of 1934 (the “</w:t>
      </w:r>
      <w:r>
        <w:rPr>
          <w:rFonts w:ascii="Arial" w:cs="Arial" w:eastAsia="Arial" w:hAnsi="Arial"/>
          <w:sz w:val="17"/>
          <w:szCs w:val="17"/>
          <w:u w:val="single" w:color="auto"/>
          <w:color w:val="auto"/>
        </w:rPr>
        <w:t>1934 Act</w:t>
      </w:r>
      <w:r>
        <w:rPr>
          <w:rFonts w:ascii="Arial" w:cs="Arial" w:eastAsia="Arial" w:hAnsi="Arial"/>
          <w:sz w:val="17"/>
          <w:szCs w:val="17"/>
          <w:color w:val="auto"/>
        </w:rPr>
        <w:t>”), and Rule 12g5-1 promulgated thereunder, or otherwise requiring the Corporation to register any class of securities under the 1934 Act; (c) would result in the loss of any federal or state securities law exemption relied upon by the Corporation in connection with the initial issuance of such shares or the issuance of any other securities; (d) is facilitated in any manner by any public posting, message board, trading portal, internet site or similar method of communication, including without limitation any trading portal or internet site intended to facilitate secondary transfers of securities; (e) is to be effected in a brokered transaction; (f) represents a Transfer of less than all of the shares then held by the stockholder and its affiliates or is to be made to more than a single transferee or (g) is determined by the Corporation’s Board of Directors to require such consent for any legitimate corporate purpose. The provisions of subsections (f) and (g) of this Section 2 shall not apply to any Transfer of Preferred Stock of the Corporation or the shares of Common Stock issued upon conversion thereof. The Corporation shall notify Holder within 30 days of receipt of the Transfer Notice indicating whether the proposed transfer requires such consent and if so, whether such consent has been provided (a “</w:t>
      </w:r>
      <w:r>
        <w:rPr>
          <w:rFonts w:ascii="Arial" w:cs="Arial" w:eastAsia="Arial" w:hAnsi="Arial"/>
          <w:sz w:val="17"/>
          <w:szCs w:val="17"/>
          <w:u w:val="single" w:color="auto"/>
          <w:color w:val="auto"/>
        </w:rPr>
        <w:t>Transfer Approval</w:t>
      </w:r>
      <w:r>
        <w:rPr>
          <w:rFonts w:ascii="Arial" w:cs="Arial" w:eastAsia="Arial" w:hAnsi="Arial"/>
          <w:sz w:val="17"/>
          <w:szCs w:val="17"/>
          <w:color w:val="auto"/>
        </w:rPr>
        <w:t>”) or withheld (a “Transfer Denial” and together with “Transfer Approval”, the “</w:t>
      </w:r>
      <w:r>
        <w:rPr>
          <w:rFonts w:ascii="Arial" w:cs="Arial" w:eastAsia="Arial" w:hAnsi="Arial"/>
          <w:sz w:val="17"/>
          <w:szCs w:val="17"/>
          <w:u w:val="single" w:color="auto"/>
          <w:color w:val="auto"/>
        </w:rPr>
        <w:t>Transfer Determination</w:t>
      </w:r>
      <w:r>
        <w:rPr>
          <w:rFonts w:ascii="Arial" w:cs="Arial" w:eastAsia="Arial" w:hAnsi="Arial"/>
          <w:sz w:val="17"/>
          <w:szCs w:val="17"/>
          <w:color w:val="auto"/>
        </w:rPr>
        <w:t>”). For purposes of clarity, (i) if the Corporation determines no consent is required for the proposed Transfer, then this determination shall constitute a Transfer Approval and (ii) a Holder shall not be entitled to transfer any shares if such proposed Transfer results in a Transfer Denial. Any Transfer made following a Transfer Determination that results in a Transfer Approval shall be effected pursuant to a transfer agreement in a form reasonably acceptable to the Corporation (which form shall include, without limitation, a release in favor of the Corporation and representations from the Holder and transferee that the Corporation is not a party to the transaction and has made no representations to the transferee).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 RIGHT OF FIRST REFUSAL.</w:t>
      </w:r>
    </w:p>
    <w:p>
      <w:pPr>
        <w:spacing w:after="0" w:line="225" w:lineRule="exact"/>
        <w:rPr>
          <w:sz w:val="20"/>
          <w:szCs w:val="20"/>
          <w:color w:val="auto"/>
        </w:rPr>
      </w:pPr>
    </w:p>
    <w:p>
      <w:pPr>
        <w:ind w:right="20" w:firstLine="987"/>
        <w:spacing w:after="0" w:line="269" w:lineRule="auto"/>
        <w:tabs>
          <w:tab w:leader="none" w:pos="123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Subject to the exceptions set forth in Section 3(e) below, for 30 days following a Transfer Determination that results in a Transfer Approval, the Corporation or its assigns shall have the option to purchase all or part of the Offered Shares at the price and upon the terms set forth in the Transfer Notice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xml:space="preserve">”). In the event the Corporation or its assigns, as applicable, elects to purchase all or part of the Offered Shares, it shall give written notice of such election to the Holder within such 30 day period. Within 10 days after Holder’s receipt of such notice, Holder shall tender to the Corporation at its principal offices the certificate or certificates representing the Offered Shares to be purchased by the Corporation, duly endorsed in blank by Holder or with duly endorsed stock powers attached thereto, all in a form suitable for Transfer of the Offered Shares to the Corporation. Promptly following receipt of such certificate or certificates, the Corporation or its assigns, as applicable, shall deliver or mail to Holder a check in payment of the purchase price for such Offered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terms of payment set forth in the Transfer Notice were other than cash against delivery, the Corporation or its assigns, as applicable, may pay for the Offered Shares on the same terms and conditions as were set forth in the Transfer Notice.</w:t>
      </w:r>
    </w:p>
    <w:p>
      <w:pPr>
        <w:spacing w:after="0" w:line="185" w:lineRule="exact"/>
        <w:rPr>
          <w:rFonts w:ascii="Arial" w:cs="Arial" w:eastAsia="Arial" w:hAnsi="Arial"/>
          <w:sz w:val="17"/>
          <w:szCs w:val="17"/>
          <w:color w:val="auto"/>
        </w:rPr>
      </w:pPr>
    </w:p>
    <w:p>
      <w:pPr>
        <w:ind w:right="120" w:firstLine="987"/>
        <w:spacing w:after="0" w:line="263" w:lineRule="auto"/>
        <w:tabs>
          <w:tab w:leader="none" w:pos="1246"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If the Corporation or its assigns, as applicable, does not elect to acquire any of the Offered Shares, Holder may, within the 30-day period following the expiration of the option granted to the Corporation under Section 3(a) above, Transfer the Offered Shares that the Corporation has not elected to acquire to the proposed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Transfer shall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97" w:name="page298"/>
    <w:bookmarkEnd w:id="29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be on terms and conditions more favorable to the transferee than those contained in the Transfer Notice, such Transfer shall be only to a prospective transferee that is an accredited investor as defined in Rule 501(a) of Regulation D promulgated under the Securities Act and such Transfer shall comply with the Securities Act. Notwithstanding any of the above, all Offered Shares transferred pursuant to this Section 3 shall remain subject to these Bylaws and any equity grant agreement such Offered Shares were subject to and such transferee shall, as a condition to such Transfer, deliver to the Corporation a written instrument confirming that such transferee shall be bound by all of the terms and conditions of these Bylaws and any applicable equity grant agreement.</w:t>
      </w:r>
    </w:p>
    <w:p>
      <w:pPr>
        <w:spacing w:after="0" w:line="192" w:lineRule="exact"/>
        <w:rPr>
          <w:sz w:val="20"/>
          <w:szCs w:val="20"/>
          <w:color w:val="auto"/>
        </w:rPr>
      </w:pPr>
    </w:p>
    <w:p>
      <w:pPr>
        <w:jc w:val="both"/>
        <w:ind w:right="140" w:firstLine="987"/>
        <w:spacing w:after="0" w:line="259"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After the time at which the Offered Shares are required to be delivered to the Corporation for Transfer to the Corporation pursuant to subsection 3(a) above, the Corporation shall not pay any dividend to Holder on account of such Offered Shares or permit Holder to exercise any of the privileges or rights of a stockholder with respect to such Offered Shares, but shall, insofar as permitted by law, treat the Corporation as the owner of such Offered Shares.</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Corporation may assign its Right of First Refusal in any particular transaction under this Section 3 to one or more persons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entities.</w:t>
      </w:r>
    </w:p>
    <w:p>
      <w:pPr>
        <w:spacing w:after="0" w:line="210" w:lineRule="exact"/>
        <w:rPr>
          <w:rFonts w:ascii="Arial" w:cs="Arial" w:eastAsia="Arial" w:hAnsi="Arial"/>
          <w:sz w:val="17"/>
          <w:szCs w:val="17"/>
          <w:color w:val="auto"/>
        </w:rPr>
      </w:pPr>
    </w:p>
    <w:p>
      <w:pPr>
        <w:ind w:right="140" w:firstLine="987"/>
        <w:spacing w:after="0" w:line="277"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provisions of this Section 3 shall not apply to any Transfer of Preferred Stock of the Corporation or the shares of Common Stock issued upon conversion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EXCEPTIONS.</w:t>
      </w:r>
    </w:p>
    <w:p>
      <w:pPr>
        <w:spacing w:after="0" w:line="225" w:lineRule="exact"/>
        <w:rPr>
          <w:sz w:val="20"/>
          <w:szCs w:val="20"/>
          <w:color w:val="auto"/>
        </w:rPr>
      </w:pPr>
    </w:p>
    <w:p>
      <w:pPr>
        <w:ind w:left="1240" w:hanging="253"/>
        <w:spacing w:after="0"/>
        <w:tabs>
          <w:tab w:leader="none" w:pos="124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provisions of this Article VI may be waived with respect to any Transfer upon duly authorized action of its Board of Directors.</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following transactions shall be exempt from the restrictions set forth in Article VI, Section 3:</w:t>
      </w:r>
    </w:p>
    <w:p>
      <w:pPr>
        <w:spacing w:after="0" w:line="117" w:lineRule="exact"/>
        <w:rPr>
          <w:rFonts w:ascii="Arial" w:cs="Arial" w:eastAsia="Arial" w:hAnsi="Arial"/>
          <w:sz w:val="18"/>
          <w:szCs w:val="18"/>
          <w:color w:val="auto"/>
        </w:rPr>
      </w:pPr>
    </w:p>
    <w:p>
      <w:pPr>
        <w:ind w:right="160" w:firstLine="1428"/>
        <w:spacing w:after="0" w:line="257" w:lineRule="auto"/>
        <w:tabs>
          <w:tab w:leader="none" w:pos="172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Transfer to or for the benefit of (i) any spouse, children, parents, uncles, aunts, siblings or grandchildren of the Holder or any other relatives of the Holder that have been approved by the Board of Directors (collectively, “</w:t>
      </w:r>
      <w:r>
        <w:rPr>
          <w:rFonts w:ascii="Arial" w:cs="Arial" w:eastAsia="Arial" w:hAnsi="Arial"/>
          <w:sz w:val="18"/>
          <w:szCs w:val="18"/>
          <w:u w:val="single" w:color="auto"/>
          <w:color w:val="auto"/>
        </w:rPr>
        <w:t>Approved Relatives</w:t>
      </w:r>
      <w:r>
        <w:rPr>
          <w:rFonts w:ascii="Arial" w:cs="Arial" w:eastAsia="Arial" w:hAnsi="Arial"/>
          <w:sz w:val="18"/>
          <w:szCs w:val="18"/>
          <w:color w:val="auto"/>
        </w:rPr>
        <w:t>”), (ii) a trust established solely for the benefit of the Holder and/or Approved Relatives or (iii) where the Holder is a trust, (x) a trust established solely for the benefit of one or more beneficiaries of the Holder trust and/or Approved Relatives of any such beneficiaries or (y) one or more beneficiaries of the Holder trust and/or Approved Relatives of any such beneficiaries;</w:t>
      </w:r>
    </w:p>
    <w:p>
      <w:pPr>
        <w:spacing w:after="0" w:line="187" w:lineRule="exact"/>
        <w:rPr>
          <w:rFonts w:ascii="Arial" w:cs="Arial" w:eastAsia="Arial" w:hAnsi="Arial"/>
          <w:sz w:val="18"/>
          <w:szCs w:val="18"/>
          <w:color w:val="auto"/>
        </w:rPr>
      </w:pPr>
    </w:p>
    <w:p>
      <w:pPr>
        <w:ind w:right="540" w:firstLine="1428"/>
        <w:spacing w:after="0" w:line="277" w:lineRule="auto"/>
        <w:tabs>
          <w:tab w:leader="none" w:pos="1717"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Transfer made as part of the sale of all or substantially all of the shares of capital stock of the Corporation (including pursuant to a merger or consolidation);</w:t>
      </w:r>
    </w:p>
    <w:p>
      <w:pPr>
        <w:spacing w:after="0" w:line="170" w:lineRule="exact"/>
        <w:rPr>
          <w:rFonts w:ascii="Arial" w:cs="Arial" w:eastAsia="Arial" w:hAnsi="Arial"/>
          <w:sz w:val="18"/>
          <w:szCs w:val="18"/>
          <w:color w:val="auto"/>
        </w:rPr>
      </w:pPr>
    </w:p>
    <w:p>
      <w:pPr>
        <w:ind w:left="1720" w:hanging="292"/>
        <w:spacing w:after="0"/>
        <w:tabs>
          <w:tab w:leader="none" w:pos="17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any Transfer pursuant to an effective registration statement filed by the Corporation under the Securities Act;</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stockholder’s bona fide pledge or mortgage of any Common Stock with a commercial lending institution;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98" w:name="page299"/>
    <w:bookmarkEnd w:id="298"/>
    <w:p>
      <w:pPr>
        <w:ind w:right="180" w:firstLine="1428"/>
        <w:spacing w:after="0" w:line="263" w:lineRule="auto"/>
        <w:tabs>
          <w:tab w:leader="none" w:pos="1707" w:val="left"/>
        </w:tabs>
        <w:numPr>
          <w:ilvl w:val="1"/>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corporate stockholder’s Transfer of any or all of its shares pursuant to and in accordance with the terms of any merger, consolidation, reclassification of common stock or capital reorganization of the corporate stockholder, or pursuant to a sale of all or substantially all of the stock or assets of a corporate stockholder;</w:t>
      </w:r>
    </w:p>
    <w:p>
      <w:pPr>
        <w:spacing w:after="0" w:line="183" w:lineRule="exact"/>
        <w:rPr>
          <w:rFonts w:ascii="Arial" w:cs="Arial" w:eastAsia="Arial" w:hAnsi="Arial"/>
          <w:sz w:val="18"/>
          <w:szCs w:val="18"/>
          <w:color w:val="auto"/>
        </w:rPr>
      </w:pPr>
    </w:p>
    <w:p>
      <w:pPr>
        <w:ind w:left="1700" w:hanging="272"/>
        <w:spacing w:after="0"/>
        <w:tabs>
          <w:tab w:leader="none" w:pos="170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 and</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 Transfer of any or all of the shares held by a stockholder which is a limited or general partnership to any or all of its partners.</w:t>
      </w:r>
    </w:p>
    <w:p>
      <w:pPr>
        <w:spacing w:after="0" w:line="248" w:lineRule="exact"/>
        <w:rPr>
          <w:rFonts w:ascii="Arial" w:cs="Arial" w:eastAsia="Arial" w:hAnsi="Arial"/>
          <w:sz w:val="16"/>
          <w:szCs w:val="16"/>
          <w:color w:val="auto"/>
        </w:rPr>
      </w:pPr>
    </w:p>
    <w:p>
      <w:pPr>
        <w:ind w:right="20" w:firstLine="987"/>
        <w:spacing w:after="0" w:line="259" w:lineRule="auto"/>
        <w:tabs>
          <w:tab w:leader="none" w:pos="123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 case of a Transfer pursuant to Sections 4(b)(A) and (D)-(G) above, such shares shall remain subject to these Bylaws and any existing equity grant agreement and such transferee shall, as a condition to such Transfer, deliver to the Corporation a written instrument confirming that such transferee shall be bound by all of the terms and conditions of these Bylaws and any applicable equity grant agreement and there shall be no further Transfer of such shares except in accordance with these Bylaws.</w:t>
      </w:r>
    </w:p>
    <w:p>
      <w:pPr>
        <w:spacing w:after="0" w:line="187" w:lineRule="exact"/>
        <w:rPr>
          <w:sz w:val="20"/>
          <w:szCs w:val="20"/>
          <w:color w:val="auto"/>
        </w:rPr>
      </w:pPr>
    </w:p>
    <w:p>
      <w:pPr>
        <w:ind w:right="700" w:firstLine="440"/>
        <w:spacing w:after="0" w:line="308" w:lineRule="auto"/>
        <w:rPr>
          <w:sz w:val="20"/>
          <w:szCs w:val="20"/>
          <w:color w:val="auto"/>
        </w:rPr>
      </w:pPr>
      <w:r>
        <w:rPr>
          <w:rFonts w:ascii="Arial" w:cs="Arial" w:eastAsia="Arial" w:hAnsi="Arial"/>
          <w:sz w:val="17"/>
          <w:szCs w:val="17"/>
          <w:color w:val="auto"/>
        </w:rPr>
        <w:t>SECTION 5. TERMINATION. The provisions of Article VI shall terminate upon the closing of the sale of shares of common stock in an underwritten public offering pursuant to an effective registration statement filed by the Corporation under the Securities Act.</w:t>
      </w:r>
    </w:p>
    <w:p>
      <w:pPr>
        <w:spacing w:after="0" w:line="146"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SECTION 6. VOID TRANSFERS. The Corporation shall not be required (a) to Transfer on its books any shares which shall have been sold or otherwise transferred in violation of any of the provisions of this Article VI or (b) to treat as owner of such shares or to accord the right to vote or pay dividends to any purchaser or other transferee to whom any such shares shall have been so sold or transferred.</w:t>
      </w:r>
    </w:p>
    <w:p>
      <w:pPr>
        <w:spacing w:after="0" w:line="16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SECTION 7. LEGENDS. The books and records of the Corporation and any certificates representing shares of stock of the Corporation shall contain or bear the following legend so long as the foregoing Transfer restrictions are in effect:</w:t>
      </w:r>
    </w:p>
    <w:p>
      <w:pPr>
        <w:spacing w:after="0" w:line="62"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SHARES REPRESENTED BY THIS CERTIFICATE ARE SUBJECT TO (i) TRANSFER RESTRICTIONS AND (ii) A RIGHT OF FIRST REFUSAL OPTION IN FAVOR OF THE CORPORATION AND/OR ITS ASSIGNEE(S), EACH AS PROVIDED IN THE BYLAWS OF THE CORPORATION.</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SECTION 8. CONFLICTS. To the extent the Corporation has entered into any written agreement with the stockholder attempting to Transfer shares that contains terms restricting such Transfer and grants the Corporation a right of first refusal with respect thereto (“</w:t>
      </w:r>
      <w:r>
        <w:rPr>
          <w:rFonts w:ascii="Arial" w:cs="Arial" w:eastAsia="Arial" w:hAnsi="Arial"/>
          <w:sz w:val="17"/>
          <w:szCs w:val="17"/>
          <w:u w:val="single" w:color="auto"/>
          <w:color w:val="auto"/>
        </w:rPr>
        <w:t>Separate ROFR Terms</w:t>
      </w:r>
      <w:r>
        <w:rPr>
          <w:rFonts w:ascii="Arial" w:cs="Arial" w:eastAsia="Arial" w:hAnsi="Arial"/>
          <w:sz w:val="17"/>
          <w:szCs w:val="17"/>
          <w:color w:val="auto"/>
        </w:rPr>
        <w:t>”), then such Separate ROFR Terms shall supersede this Article VI and shall control such stockholder’s proposed Transfer of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99" w:name="page300"/>
    <w:bookmarkEnd w:id="2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SECTION 1. RIGHT TO INDEMNIFICATION OF DIRECTORS AND OFFICERS. The Corporation shall indemnify and hold harmless, to the fullest extent permitted by applicable law as it presently exists or may hereafter be amended, any person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VII,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6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2. PREPAYMENT OF EXPENSES OF DIRECTORS AND OFFICERS.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VII or otherwise.</w:t>
      </w:r>
    </w:p>
    <w:p>
      <w:pPr>
        <w:spacing w:after="0" w:line="188"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SECTION 3. CLAIMS BY DIRECTORS AND OFFICERS. If a claim for indemnification or advancement of expenses under this Article VII is not paid in full within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SECTION 4. INDEMNIFICATION OF EMPLOYEES AND AGENTS.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300" w:name="page301"/>
    <w:bookmarkEnd w:id="300"/>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ADVANCEMENT OF EXPENSES OF EMPLOYEES AND AGENTS. The Corporation may pay the expenses (including attorneys’ fees) incurred by an employee or agent in defending any Proceeding in advance of its final disposition on such terms and conditions as may be determined by the Board of Directors.</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SECTION 6. NON-EXCLUSIVITY OF RIGHTS. The rights conferred on any person by this Article VII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7. OTHER INDEMNIFICATION.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SECTION 8. INSURANCE.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VII; and (b) to indemnify or insure directors, officers and employees against liability in instances in which they may not otherwise be indemnified by the Corporation under the provisions of this Article VII.</w:t>
      </w:r>
    </w:p>
    <w:p>
      <w:pPr>
        <w:spacing w:after="0" w:line="188"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SECTION 9. AMENDMENT OR REPEAL. Any repeal or modification of the foregoing provisions of this Article VII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SECTION 1. DECLARATIONS OF DIVIDENDS.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SECTION 2. SPECIAL PURPOSES RESERVES. The Board of Directors may set apart out of any of the funds of the Corporation available for dividends a reserve or reserves for any proper purpose and may abolish any such reserve.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01" w:name="page302"/>
    <w:bookmarkEnd w:id="30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BY ELECTRONIC TRANSMISSION</w:t>
      </w:r>
    </w:p>
    <w:p>
      <w:pPr>
        <w:spacing w:after="0" w:line="211"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SECTION 1. NOTICE BY ELECTRONIC TRANSMISSION. Without limiting the manner by which notice otherwise may be given effectively to stockholders, any notice to stockholders given by the Corporation under the Delaware General Corporation Law,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or such notice is prohibited by Section 3 of this Article. A notice by electronic mail must include a prominent legend that the communication is an important notice regarding the Corporation.</w:t>
      </w:r>
    </w:p>
    <w:p>
      <w:pPr>
        <w:spacing w:after="0" w:line="57" w:lineRule="exact"/>
        <w:rPr>
          <w:sz w:val="20"/>
          <w:szCs w:val="20"/>
          <w:color w:val="auto"/>
        </w:rPr>
      </w:pPr>
    </w:p>
    <w:p>
      <w:pPr>
        <w:ind w:left="4" w:right="180" w:firstLine="991"/>
        <w:spacing w:after="0" w:line="279" w:lineRule="auto"/>
        <w:rPr>
          <w:sz w:val="20"/>
          <w:szCs w:val="20"/>
          <w:color w:val="auto"/>
        </w:rPr>
      </w:pPr>
      <w:r>
        <w:rPr>
          <w:rFonts w:ascii="Arial" w:cs="Arial" w:eastAsia="Arial" w:hAnsi="Arial"/>
          <w:sz w:val="17"/>
          <w:szCs w:val="17"/>
          <w:color w:val="auto"/>
        </w:rPr>
        <w:t>Without limiting the manner by which notice otherwise may be given effectively to stockholders, but subject to Section 3 of this Article, any notice to stockholders given by the Corporation under any provision of the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17" w:lineRule="exact"/>
        <w:rPr>
          <w:sz w:val="20"/>
          <w:szCs w:val="20"/>
          <w:color w:val="auto"/>
        </w:rPr>
      </w:pPr>
    </w:p>
    <w:p>
      <w:pPr>
        <w:ind w:left="1244" w:hanging="253"/>
        <w:spacing w:after="0"/>
        <w:tabs>
          <w:tab w:leader="none" w:pos="1244"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if by a posting on an electronic network together with separate notice to the stockholder of such specific posting, upon the later of</w:t>
      </w:r>
    </w:p>
    <w:p>
      <w:pPr>
        <w:spacing w:after="0" w:line="34" w:lineRule="exact"/>
        <w:rPr>
          <w:rFonts w:ascii="Arial" w:cs="Arial" w:eastAsia="Arial" w:hAnsi="Arial"/>
          <w:sz w:val="17"/>
          <w:szCs w:val="17"/>
          <w:color w:val="auto"/>
        </w:rPr>
      </w:pPr>
    </w:p>
    <w:p>
      <w:pPr>
        <w:ind w:left="304" w:hanging="304"/>
        <w:spacing w:after="0"/>
        <w:tabs>
          <w:tab w:leader="none" w:pos="30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210" w:lineRule="exact"/>
        <w:rPr>
          <w:rFonts w:ascii="Arial" w:cs="Arial" w:eastAsia="Arial" w:hAnsi="Arial"/>
          <w:sz w:val="18"/>
          <w:szCs w:val="18"/>
          <w:color w:val="auto"/>
        </w:rPr>
      </w:pPr>
    </w:p>
    <w:p>
      <w:pPr>
        <w:ind w:left="1244" w:hanging="253"/>
        <w:spacing w:after="0"/>
        <w:tabs>
          <w:tab w:leader="none" w:pos="124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Notwithstanding the foregoing, a notice may not be given by an electronic transmission from and after the time that (1) the Corporation is unable to deliver by such electronic transmission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7"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302" w:name="page303"/>
    <w:bookmarkEnd w:id="302"/>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DEFINITION OF ELECTRONIC TRANSMISSION; ELECTRONIC MAIL; ELECTRONIC MAIL ADDRESS.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9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SECTION 3. INAPPLICABILITY. Notice by a form of electronic transmission shall not apply to Sections 164, 296, 311, 312 or 324 of the Delaware General Corporation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FISCAL YEAR. The fiscal year of the Corporation shall be fixed by resolution of the Board of Directors.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2. SEAL. The corporate seal shall have inscribed thereon the name of the Corporation, the year of its organization and the words “Corporate Seal, Delaware” or such other form as shall be approved by the Board of Directors. Said seal may be used by causing it or a facsimile thereof to be impressed or affixed or reproduced or otherwise.</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SECTION 3. WRITTEN WAIVER OF NOTICE. A written waiver of any notice required to be given by law, the Certificate of Incorporation or by these Bylaws, signed by or electronically transmitted by the person entitled to notice, whether before, at or after the time of the event for which notice is to be given, shall be deemed equivalent to notice required to be given to such person. Neither the business to be transacted at, nor the purpose of, any regular or special meeting of stockholders, directors or members of a committee of directors need be specified in any written waiver of notice.</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4. ATTENDANCE AS WAIVER OF NOTICE. Attendance of a person at a meeting shall constitute a waiver of notice of such meeting, except when the person attends a meeting for the express purpose of objecting at the beginning of the meeting, and objects, to the transaction of any business because the meeting is not lawfully called or convened.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WAIVER OF SECTION 1501.</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To the fullest extent provided by the law, the Corporation shall not be required to cause annual reports to be delivered to its stockholders under Section 1501 of the California General Corporation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03" w:name="page304"/>
    <w:bookmarkEnd w:id="303"/>
    <w:p>
      <w:pPr>
        <w:ind w:right="2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2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SECTION 7. LOANS.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4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SECTION 8. CHECKS, DRAFTS, ETC. All checks, drafts or other orders for the payment of money, notes or other evidences of indebtedness issued in the name of the Corporation shall be signed by one or more officers or agents of the Corporation and in such manner as shall from time to time be determined by resolution of the Board of Directors.</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SECTION 9. DEPOSITS. The funds of the Corporation may be deposited or invested in such bank account, in such investments or with such other depositaries as determined by the Board of Directors.</w:t>
      </w:r>
    </w:p>
    <w:p>
      <w:pPr>
        <w:spacing w:after="0" w:line="170" w:lineRule="exact"/>
        <w:rPr>
          <w:sz w:val="20"/>
          <w:szCs w:val="20"/>
          <w:color w:val="auto"/>
        </w:rPr>
      </w:pPr>
    </w:p>
    <w:p>
      <w:pPr>
        <w:ind w:right="820" w:firstLine="440"/>
        <w:spacing w:after="0" w:line="342" w:lineRule="auto"/>
        <w:rPr>
          <w:sz w:val="20"/>
          <w:szCs w:val="20"/>
          <w:color w:val="auto"/>
        </w:rPr>
      </w:pPr>
      <w:r>
        <w:rPr>
          <w:rFonts w:ascii="Arial" w:cs="Arial" w:eastAsia="Arial" w:hAnsi="Arial"/>
          <w:sz w:val="16"/>
          <w:szCs w:val="16"/>
          <w:color w:val="auto"/>
        </w:rPr>
        <w:t>SECTION 10. ANNUAL STATEMENT. The Board of Directors shall present at each annual meeting, and at any special meeting of the stockholders when called for by vote of the stockholders, a full and clear statement of the business and condition of the Corporation.</w:t>
      </w:r>
    </w:p>
    <w:p>
      <w:pPr>
        <w:spacing w:after="0" w:line="124"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SECTION 11. VOTING OF SECURITIES.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8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SECTION 12. EVIDENCE OF AUTHORITY.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SECTION 13. CERTIFICATE OF INCORPORATION.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14. SEVERABILITY.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15. PRONOUNS. All pronouns used in these Bylaws shall be deemed to refer to the masculine, feminine or neuter, singular or plural, as the identity of the person or persons may require.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SECTION 1. BY THE BOARD OF DIRECTORS. These Bylaws may be altered, amended or repealed, in whole or in part, or new Bylaws may be adopted by the Board of Directors, when such power is conferred upon the Board of Directors by the Certificate of Incorporation.</w:t>
      </w:r>
    </w:p>
    <w:p>
      <w:pPr>
        <w:spacing w:after="0" w:line="146"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SECTION 2. BY THE STOCKHOLDERS.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305" w:name="page306"/>
    <w:bookmarkEnd w:id="30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INVESTORS’ RIGHTS AGREEMENT</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THIS SECOND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April 16, 2021, by and among Adagio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 and any Additional Purchaser (as defined in the Purchase Agreement) that becomes a party to this Agreement in accordance with Section 6.9 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possess registration rights, information rights, rights of first offer,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 Amended and Restated Investors’ Rights Agreement, dated as of October 30, 2020, by and among the Company and such Existing Investors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76"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who have sufficient shares to amend and restate the Prior Agreement in accordance with its terms, desire to</w:t>
      </w:r>
      <w:r>
        <w:rPr>
          <w:rFonts w:ascii="Arial" w:cs="Arial" w:eastAsia="Arial" w:hAnsi="Arial"/>
          <w:sz w:val="18"/>
          <w:szCs w:val="18"/>
          <w:b w:val="1"/>
          <w:bCs w:val="1"/>
          <w:color w:val="auto"/>
        </w:rPr>
        <w:t xml:space="preserve"> </w:t>
      </w:r>
      <w:r>
        <w:rPr>
          <w:rFonts w:ascii="Arial" w:cs="Arial" w:eastAsia="Arial" w:hAnsi="Arial"/>
          <w:sz w:val="18"/>
          <w:szCs w:val="18"/>
          <w:color w:val="auto"/>
        </w:rPr>
        <w:t>amend and restate the Prior Agreement in its entirety and to accept the rights created pursuant to this Agreement in lieu of the rights granted to them under the Prior Agreement;</w:t>
      </w:r>
    </w:p>
    <w:p>
      <w:pPr>
        <w:spacing w:after="0" w:line="176" w:lineRule="exact"/>
        <w:rPr>
          <w:sz w:val="20"/>
          <w:szCs w:val="20"/>
          <w:color w:val="auto"/>
        </w:rPr>
      </w:pPr>
    </w:p>
    <w:p>
      <w:pPr>
        <w:ind w:right="50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certain of the Investors are parties to that certain Series C Preferred Stock Purchase Agreement of even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herewith (as the same may be amended and/or restated from time to time, the “</w:t>
      </w:r>
      <w:r>
        <w:rPr>
          <w:rFonts w:ascii="Arial" w:cs="Arial" w:eastAsia="Arial" w:hAnsi="Arial"/>
          <w:sz w:val="17"/>
          <w:szCs w:val="17"/>
          <w:b w:val="1"/>
          <w:bCs w:val="1"/>
          <w:color w:val="auto"/>
        </w:rPr>
        <w:t>Purchase Agreement</w:t>
      </w:r>
      <w:r>
        <w:rPr>
          <w:rFonts w:ascii="Arial" w:cs="Arial" w:eastAsia="Arial" w:hAnsi="Arial"/>
          <w:sz w:val="17"/>
          <w:szCs w:val="17"/>
          <w:color w:val="auto"/>
        </w:rPr>
        <w:t>”); and</w:t>
      </w:r>
    </w:p>
    <w:p>
      <w:pPr>
        <w:spacing w:after="0" w:line="140"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induce the Company to enter into the Purchase Agreement and to induce certain of the Investors to invest funds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pursuant to the Purchase Agreement, the Investors and the Company hereby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w:t>
      </w:r>
    </w:p>
    <w:p>
      <w:pPr>
        <w:spacing w:after="0" w:line="16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and the Existing Investors hereby agree to amend and restate the Prior Agreement in its entirety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all of the parties hereto further agree as follows: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sz w:val="20"/>
          <w:szCs w:val="20"/>
          <w:color w:val="auto"/>
        </w:rPr>
      </w:pPr>
    </w:p>
    <w:p>
      <w:pPr>
        <w:ind w:right="120" w:firstLine="991"/>
        <w:spacing w:after="0" w:line="291"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registered investment company or fund or any other entity now or hereafter existing that is controlled by one or more general partners, managing members or investment adviser of, or shares the same management company or investment adviser with, such Person. For the avoidance of doubt, each of Fidelity Mt. Vernon Street Trust: Fidelity Series Growth Company Fund, Fidelity Mt. Vernon Street Trust: Fidelity Growth Company Fund, Fidelity Growth Company Commingled Pool, Fidelity Mt. Vernon Street Trust: Fidelity Growth Company K6 Fund and Fidelity Select Portfolios: Biotechnology Portfolio (each, a “</w:t>
      </w:r>
      <w:r>
        <w:rPr>
          <w:rFonts w:ascii="Arial" w:cs="Arial" w:eastAsia="Arial" w:hAnsi="Arial"/>
          <w:sz w:val="16"/>
          <w:szCs w:val="16"/>
          <w:b w:val="1"/>
          <w:bCs w:val="1"/>
          <w:color w:val="auto"/>
        </w:rPr>
        <w:t>Fidelity Investor</w:t>
      </w:r>
      <w:r>
        <w:rPr>
          <w:rFonts w:ascii="Arial" w:cs="Arial" w:eastAsia="Arial" w:hAnsi="Arial"/>
          <w:sz w:val="16"/>
          <w:szCs w:val="16"/>
          <w:color w:val="auto"/>
        </w:rPr>
        <w:t>,” and together, the “</w:t>
      </w:r>
      <w:r>
        <w:rPr>
          <w:rFonts w:ascii="Arial" w:cs="Arial" w:eastAsia="Arial" w:hAnsi="Arial"/>
          <w:sz w:val="16"/>
          <w:szCs w:val="16"/>
          <w:b w:val="1"/>
          <w:bCs w:val="1"/>
          <w:color w:val="auto"/>
        </w:rPr>
        <w:t>Fidelity Investors</w:t>
      </w:r>
      <w:r>
        <w:rPr>
          <w:rFonts w:ascii="Arial" w:cs="Arial" w:eastAsia="Arial" w:hAnsi="Arial"/>
          <w:sz w:val="16"/>
          <w:szCs w:val="16"/>
          <w:color w:val="auto"/>
        </w:rPr>
        <w:t>”) and any other fund or account that is an entity advised or sub-advised by Fidelity Management &amp; Research Company LLC shall be deemed Affiliates of each other.</w:t>
      </w:r>
    </w:p>
    <w:p>
      <w:pPr>
        <w:sectPr>
          <w:pgSz w:w="11900" w:h="16838" w:orient="portrait"/>
          <w:cols w:equalWidth="0" w:num="1">
            <w:col w:w="11020"/>
          </w:cols>
          <w:pgMar w:left="440" w:top="121" w:right="439" w:bottom="1440" w:gutter="0" w:footer="0" w:header="0"/>
        </w:sectPr>
      </w:pPr>
    </w:p>
    <w:bookmarkStart w:id="306" w:name="page307"/>
    <w:bookmarkEnd w:id="30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Amended and Restated Certificate of Incorporation, as amended and/or restated from time to time.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$0.0001 per share.</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1.8 “</w:t>
      </w:r>
      <w:r>
        <w:rPr>
          <w:rFonts w:ascii="Arial" w:cs="Arial" w:eastAsia="Arial" w:hAnsi="Arial"/>
          <w:sz w:val="17"/>
          <w:szCs w:val="17"/>
          <w:b w:val="1"/>
          <w:bCs w:val="1"/>
          <w:color w:val="auto"/>
        </w:rPr>
        <w:t>Excluded Registration</w:t>
      </w:r>
      <w:r>
        <w:rPr>
          <w:rFonts w:ascii="Arial" w:cs="Arial" w:eastAsia="Arial" w:hAnsi="Arial"/>
          <w:sz w:val="17"/>
          <w:szCs w:val="17"/>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(iv) a registration in which the only Common Stock being registered is Common Stock issuable upon conversion of debt securities that are also being registered; or (v) a registration relating to the IPO.</w:t>
      </w:r>
    </w:p>
    <w:p>
      <w:pPr>
        <w:spacing w:after="0" w:line="168"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07" w:name="page308"/>
    <w:bookmarkEnd w:id="30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life partner or similar statutorily-recognized domestic partner, sibling, mother-in-law, father-in-law, son-in-law, daughter-in-law, brother-in-law, or sister-in-law, including adoptive relationships, of a natural person referred to herein.</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225"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76" w:lineRule="exact"/>
        <w:rPr>
          <w:sz w:val="20"/>
          <w:szCs w:val="20"/>
          <w:color w:val="auto"/>
        </w:rPr>
      </w:pPr>
    </w:p>
    <w:p>
      <w:pPr>
        <w:ind w:right="80" w:firstLine="991"/>
        <w:spacing w:after="0" w:line="292"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b w:val="1"/>
          <w:bCs w:val="1"/>
          <w:color w:val="auto"/>
        </w:rPr>
        <w:t>Major Investor</w:t>
      </w:r>
      <w:r>
        <w:rPr>
          <w:rFonts w:ascii="Arial" w:cs="Arial" w:eastAsia="Arial" w:hAnsi="Arial"/>
          <w:sz w:val="16"/>
          <w:szCs w:val="16"/>
          <w:color w:val="auto"/>
        </w:rPr>
        <w:t>” means any Investor that, individually or together with such Investor’s Affiliates, continues to hold (i) at least 10% of the shares of Series A Preferred Stock acquired from the Company pursuant to that certain Series A Preferred Stock Purchase Agreement dated as of July 9, 2020, as the same may be amended and/or restated from time to time, or, in the case of Adimab, LLC, at least 500,000 shares of Series A Preferred Stock (in each case, as adjusted for any stock split, stock dividend, combination, or other recapitalization or reclassification effected after the date hereof); (ii) at least 10% of the shares of Series B Preferred Stock acquired by such Investor from the Company pursuant to the Series B Purchase Agreement dated as of October 30, 2020, as the same may be amended and/or restated from time to time or (iii) at least 128,064 shares of Series C Preferred Stock (as adjusted for any stock split, stock dividend, combination, or other recapitalization or reclassification effected after the date hereof).</w:t>
      </w:r>
    </w:p>
    <w:p>
      <w:pPr>
        <w:spacing w:after="0" w:line="161"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right="680" w:firstLine="991"/>
        <w:spacing w:after="0" w:line="282"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shares of the Series A Preferred Stock, the Series B Preferred Stock and the Series C Preferred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08" w:name="page309"/>
    <w:bookmarkEnd w:id="308"/>
    <w:p>
      <w:pPr>
        <w:ind w:left="4"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1.21 “</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(i) the Common Stock issuable or issued upon conversion of the Preferred Stock; (ii) any Common Stock, or any Common Stock issued or issuable (directly or indirectly) upon conversion and/or exercise of any other securities of the Company, acquired by the Investors prior to the IPO;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w:t>
      </w:r>
    </w:p>
    <w:p>
      <w:pPr>
        <w:spacing w:after="0" w:line="2" w:lineRule="exact"/>
        <w:rPr>
          <w:sz w:val="20"/>
          <w:szCs w:val="20"/>
          <w:color w:val="auto"/>
        </w:rPr>
      </w:pPr>
    </w:p>
    <w:p>
      <w:pPr>
        <w:ind w:left="4" w:right="40" w:hanging="4"/>
        <w:spacing w:after="0" w:line="255" w:lineRule="auto"/>
        <w:tabs>
          <w:tab w:leader="none" w:pos="269" w:val="left"/>
        </w:tabs>
        <w:numPr>
          <w:ilvl w:val="0"/>
          <w:numId w:val="196"/>
        </w:numPr>
        <w:rPr>
          <w:rFonts w:ascii="Arial" w:cs="Arial" w:eastAsia="Arial" w:hAnsi="Arial"/>
          <w:sz w:val="18"/>
          <w:szCs w:val="18"/>
          <w:u w:val="single" w:color="auto"/>
          <w:color w:val="auto"/>
        </w:rPr>
      </w:pPr>
      <w:r>
        <w:rPr>
          <w:rFonts w:ascii="Arial" w:cs="Arial" w:eastAsia="Arial" w:hAnsi="Arial"/>
          <w:sz w:val="18"/>
          <w:szCs w:val="18"/>
          <w:color w:val="auto"/>
        </w:rPr>
        <w:t xml:space="preserve">above; excluding in all cases, however, any Registrable Securities sold by a Person in a transaction in which the applicable rights under this Agreement are not assigned pursuant to </w:t>
      </w:r>
      <w:r>
        <w:rPr>
          <w:rFonts w:ascii="Arial" w:cs="Arial" w:eastAsia="Arial" w:hAnsi="Arial"/>
          <w:sz w:val="18"/>
          <w:szCs w:val="18"/>
          <w:u w:val="single" w:color="auto"/>
          <w:color w:val="auto"/>
        </w:rPr>
        <w:t>Subsection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of this Agreement.</w:t>
      </w:r>
    </w:p>
    <w:p>
      <w:pPr>
        <w:spacing w:after="0" w:line="186" w:lineRule="exact"/>
        <w:rPr>
          <w:sz w:val="20"/>
          <w:szCs w:val="20"/>
          <w:color w:val="auto"/>
        </w:rPr>
      </w:pPr>
    </w:p>
    <w:p>
      <w:pPr>
        <w:jc w:val="both"/>
        <w:ind w:left="4" w:right="140" w:firstLine="991"/>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1.23 “</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 2.12(b)</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 w:right="40" w:firstLine="991"/>
        <w:spacing w:after="0" w:line="266"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176" w:lineRule="exact"/>
        <w:rPr>
          <w:sz w:val="20"/>
          <w:szCs w:val="20"/>
          <w:color w:val="auto"/>
        </w:rPr>
      </w:pPr>
    </w:p>
    <w:p>
      <w:pPr>
        <w:ind w:left="4" w:right="300" w:firstLine="991"/>
        <w:spacing w:after="0" w:line="282"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Series A Director</w:t>
      </w:r>
      <w:r>
        <w:rPr>
          <w:rFonts w:ascii="Arial" w:cs="Arial" w:eastAsia="Arial" w:hAnsi="Arial"/>
          <w:sz w:val="18"/>
          <w:szCs w:val="18"/>
          <w:color w:val="auto"/>
        </w:rPr>
        <w:t>” means each director of the Company that the holders of record of the Series A Preferred Stock are entitled to elect, exclusively and as a separate class, pursuant to the Certificate of Incorporation.</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Company’s Series A Preferred Stock, par value $0.0001 per share.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Company’s Series B Preferred Stock, par value $0.0001 per share.</w:t>
      </w:r>
    </w:p>
    <w:p>
      <w:pPr>
        <w:spacing w:after="0" w:line="225"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shares of the Company’s Series C Preferred Stock, par value $0.0001 per share.</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09" w:name="page310"/>
    <w:bookmarkEnd w:id="309"/>
    <w:p>
      <w:pPr>
        <w:ind w:left="984" w:right="5480" w:hanging="544"/>
        <w:spacing w:after="0" w:line="402" w:lineRule="auto"/>
        <w:tabs>
          <w:tab w:leader="none" w:pos="613"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2"/>
          <w:numId w:val="197"/>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five (5) years after the date of this Agreement or (ii) one hundred eighty</w:t>
      </w:r>
    </w:p>
    <w:p>
      <w:pPr>
        <w:spacing w:after="0" w:line="46" w:lineRule="exact"/>
        <w:rPr>
          <w:rFonts w:ascii="Arial" w:cs="Arial" w:eastAsia="Arial" w:hAnsi="Arial"/>
          <w:sz w:val="16"/>
          <w:szCs w:val="16"/>
          <w:color w:val="auto"/>
        </w:rPr>
      </w:pPr>
    </w:p>
    <w:p>
      <w:pPr>
        <w:ind w:left="4" w:right="20" w:hanging="4"/>
        <w:spacing w:after="0" w:line="268" w:lineRule="auto"/>
        <w:tabs>
          <w:tab w:leader="none" w:pos="43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days after the effective date of the registration statement for the IPO, the Company receives a request from Holders of a majority of the Registrable Securities then outstanding that the Company file a Form S-1 registration statement for which the anticipated aggregate offering price would exceed $10 million, then the Company shall (i)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(ii)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2.3</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4" w:right="40" w:firstLine="1428"/>
        <w:spacing w:after="0" w:line="271" w:lineRule="auto"/>
        <w:tabs>
          <w:tab w:leader="none" w:pos="1691" w:val="left"/>
        </w:tabs>
        <w:numPr>
          <w:ilvl w:val="2"/>
          <w:numId w:val="198"/>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of at least $1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firstLine="1428"/>
        <w:spacing w:after="0" w:line="269" w:lineRule="auto"/>
        <w:tabs>
          <w:tab w:leader="none" w:pos="1681" w:val="left"/>
        </w:tabs>
        <w:numPr>
          <w:ilvl w:val="2"/>
          <w:numId w:val="198"/>
        </w:numPr>
        <w:rPr>
          <w:rFonts w:ascii="Arial" w:cs="Arial" w:eastAsia="Arial" w:hAnsi="Arial"/>
          <w:sz w:val="17"/>
          <w:szCs w:val="17"/>
          <w:color w:val="auto"/>
        </w:rPr>
      </w:pPr>
      <w:r>
        <w:rPr>
          <w:rFonts w:ascii="Arial" w:cs="Arial" w:eastAsia="Arial" w:hAnsi="Arial"/>
          <w:sz w:val="17"/>
          <w:szCs w:val="17"/>
          <w:color w:val="auto"/>
        </w:rPr>
        <w:t xml:space="preserve">Notwithstanding the foregoing obligations, if the Company furnishes to Holders requesting a registration pursuant to this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not invoke this right more than once in any twelve (12) month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register any securities for its own account or that of any other stockholder during such ninety (90) day period other than an Excluded Registration.</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10" w:name="page311"/>
    <w:bookmarkEnd w:id="310"/>
    <w:p>
      <w:pPr>
        <w:ind w:left="4" w:firstLine="1428"/>
        <w:spacing w:after="0" w:line="291" w:lineRule="auto"/>
        <w:tabs>
          <w:tab w:leader="none" w:pos="1691" w:val="left"/>
        </w:tabs>
        <w:numPr>
          <w:ilvl w:val="1"/>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2.1(a)(i)</w:t>
      </w:r>
      <w:r>
        <w:rPr>
          <w:rFonts w:ascii="Arial" w:cs="Arial" w:eastAsia="Arial" w:hAnsi="Arial"/>
          <w:sz w:val="16"/>
          <w:szCs w:val="16"/>
          <w:color w:val="auto"/>
        </w:rPr>
        <w:t xml:space="preserve"> during the period that is sixty (60) days before the Company’s good faith estimate of the date of filing of, and ending on a date that is one hundred eighty</w:t>
      </w:r>
    </w:p>
    <w:p>
      <w:pPr>
        <w:ind w:left="4" w:hanging="4"/>
        <w:spacing w:after="0" w:line="281" w:lineRule="auto"/>
        <w:tabs>
          <w:tab w:leader="none" w:pos="439" w:val="left"/>
        </w:tabs>
        <w:numPr>
          <w:ilvl w:val="0"/>
          <w:numId w:val="200"/>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2.1(a)</w:t>
      </w:r>
      <w:r>
        <w:rPr>
          <w:rFonts w:ascii="Arial" w:cs="Arial" w:eastAsia="Arial" w:hAnsi="Arial"/>
          <w:sz w:val="16"/>
          <w:szCs w:val="16"/>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provided, that if such withdrawal is during a period the Company has deferred taking action pursuant to </w:t>
      </w:r>
      <w:r>
        <w:rPr>
          <w:rFonts w:ascii="Arial" w:cs="Arial" w:eastAsia="Arial" w:hAnsi="Arial"/>
          <w:sz w:val="16"/>
          <w:szCs w:val="16"/>
          <w:u w:val="single" w:color="auto"/>
          <w:color w:val="auto"/>
        </w:rPr>
        <w:t>Subsection</w:t>
      </w:r>
    </w:p>
    <w:p>
      <w:pPr>
        <w:spacing w:after="0" w:line="7" w:lineRule="exact"/>
        <w:rPr>
          <w:rFonts w:ascii="Arial" w:cs="Arial" w:eastAsia="Arial" w:hAnsi="Arial"/>
          <w:sz w:val="16"/>
          <w:szCs w:val="16"/>
          <w:color w:val="auto"/>
        </w:rPr>
      </w:pPr>
    </w:p>
    <w:p>
      <w:pPr>
        <w:ind w:left="4" w:right="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2.1(c)</w:t>
      </w:r>
      <w:r>
        <w:rPr>
          <w:rFonts w:ascii="Arial" w:cs="Arial" w:eastAsia="Arial" w:hAnsi="Arial"/>
          <w:sz w:val="18"/>
          <w:szCs w:val="18"/>
          <w:color w:val="auto"/>
        </w:rPr>
        <w:t xml:space="preserve">, then the Initiating Holders may withdraw their request for registration and such registration will not be counted as “effected” for purposes of this </w:t>
      </w:r>
      <w:r>
        <w:rPr>
          <w:rFonts w:ascii="Arial" w:cs="Arial" w:eastAsia="Arial" w:hAnsi="Arial"/>
          <w:sz w:val="18"/>
          <w:szCs w:val="18"/>
          <w:u w:val="single" w:color="auto"/>
          <w:color w:val="auto"/>
        </w:rPr>
        <w:t>Subsection 2.1(d)</w:t>
      </w:r>
      <w:r>
        <w:rPr>
          <w:rFonts w:ascii="Arial" w:cs="Arial" w:eastAsia="Arial" w:hAnsi="Arial"/>
          <w:sz w:val="18"/>
          <w:szCs w:val="18"/>
          <w:color w:val="auto"/>
        </w:rPr>
        <w:t>.</w:t>
      </w:r>
    </w:p>
    <w:p>
      <w:pPr>
        <w:spacing w:after="0" w:line="185" w:lineRule="exact"/>
        <w:rPr>
          <w:sz w:val="20"/>
          <w:szCs w:val="20"/>
          <w:color w:val="auto"/>
        </w:rPr>
      </w:pPr>
    </w:p>
    <w:p>
      <w:pPr>
        <w:ind w:left="4" w:right="20" w:firstLine="99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Subsection 2.6</w:t>
      </w:r>
      <w:r>
        <w:rPr>
          <w:rFonts w:ascii="Arial" w:cs="Arial" w:eastAsia="Arial" w:hAnsi="Arial"/>
          <w:sz w:val="17"/>
          <w:szCs w:val="17"/>
          <w:color w:val="auto"/>
        </w:rPr>
        <w:t>.</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5" w:lineRule="exact"/>
        <w:rPr>
          <w:sz w:val="20"/>
          <w:szCs w:val="20"/>
          <w:color w:val="auto"/>
        </w:rPr>
      </w:pPr>
    </w:p>
    <w:p>
      <w:pPr>
        <w:ind w:left="4" w:right="60" w:firstLine="1428"/>
        <w:spacing w:after="0" w:line="257" w:lineRule="auto"/>
        <w:tabs>
          <w:tab w:leader="none" w:pos="168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If,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11" w:name="page312"/>
    <w:bookmarkEnd w:id="31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Subsection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82" w:lineRule="exact"/>
        <w:rPr>
          <w:sz w:val="20"/>
          <w:szCs w:val="20"/>
          <w:color w:val="auto"/>
        </w:rPr>
      </w:pPr>
    </w:p>
    <w:p>
      <w:pPr>
        <w:ind w:firstLine="1428"/>
        <w:spacing w:after="0" w:line="284" w:lineRule="auto"/>
        <w:tabs>
          <w:tab w:leader="none" w:pos="168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12" w:name="page313"/>
    <w:bookmarkEnd w:id="312"/>
    <w:p>
      <w:pPr>
        <w:ind w:right="60" w:firstLine="1428"/>
        <w:spacing w:after="0" w:line="263" w:lineRule="auto"/>
        <w:tabs>
          <w:tab w:leader="none" w:pos="1677"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xml:space="preserve">. Whenever required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effect the registration of any Registrable Securities,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3" w:lineRule="exact"/>
        <w:rPr>
          <w:sz w:val="20"/>
          <w:szCs w:val="20"/>
          <w:color w:val="auto"/>
        </w:rPr>
      </w:pPr>
    </w:p>
    <w:p>
      <w:pPr>
        <w:ind w:right="40" w:firstLine="1428"/>
        <w:spacing w:after="0" w:line="290" w:lineRule="auto"/>
        <w:tabs>
          <w:tab w:leader="none" w:pos="167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165" w:lineRule="exact"/>
        <w:rPr>
          <w:rFonts w:ascii="Arial" w:cs="Arial" w:eastAsia="Arial" w:hAnsi="Arial"/>
          <w:sz w:val="16"/>
          <w:szCs w:val="16"/>
          <w:color w:val="auto"/>
        </w:rPr>
      </w:pPr>
    </w:p>
    <w:p>
      <w:pPr>
        <w:ind w:right="260" w:firstLine="1428"/>
        <w:spacing w:after="0" w:line="263" w:lineRule="auto"/>
        <w:tabs>
          <w:tab w:leader="none" w:pos="168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right="240" w:firstLine="1428"/>
        <w:spacing w:after="0" w:line="342" w:lineRule="auto"/>
        <w:tabs>
          <w:tab w:leader="none" w:pos="1677" w:val="left"/>
        </w:tabs>
        <w:numPr>
          <w:ilvl w:val="0"/>
          <w:numId w:val="204"/>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jc w:val="both"/>
        <w:ind w:right="180" w:firstLine="1428"/>
        <w:spacing w:after="0" w:line="279" w:lineRule="auto"/>
        <w:tabs>
          <w:tab w:leader="none" w:pos="168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firstLine="1428"/>
        <w:spacing w:after="0" w:line="277" w:lineRule="auto"/>
        <w:tabs>
          <w:tab w:leader="none" w:pos="1677"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313" w:name="page314"/>
    <w:bookmarkEnd w:id="313"/>
    <w:p>
      <w:pPr>
        <w:ind w:right="40" w:firstLine="1428"/>
        <w:spacing w:after="0" w:line="263" w:lineRule="auto"/>
        <w:tabs>
          <w:tab w:leader="none" w:pos="1657"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240" w:firstLine="1428"/>
        <w:spacing w:after="0" w:line="277" w:lineRule="auto"/>
        <w:tabs>
          <w:tab w:leader="none" w:pos="16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140" w:firstLine="1428"/>
        <w:spacing w:after="0" w:line="255" w:lineRule="auto"/>
        <w:tabs>
          <w:tab w:leader="none" w:pos="16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right="120" w:firstLine="1428"/>
        <w:spacing w:after="0" w:line="308" w:lineRule="auto"/>
        <w:tabs>
          <w:tab w:leader="none" w:pos="164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6" w:lineRule="exact"/>
        <w:rPr>
          <w:rFonts w:ascii="Arial" w:cs="Arial" w:eastAsia="Arial" w:hAnsi="Arial"/>
          <w:sz w:val="17"/>
          <w:szCs w:val="17"/>
          <w:color w:val="auto"/>
        </w:rPr>
      </w:pPr>
    </w:p>
    <w:p>
      <w:pPr>
        <w:ind w:right="500" w:firstLine="1428"/>
        <w:spacing w:after="0" w:line="277" w:lineRule="auto"/>
        <w:tabs>
          <w:tab w:leader="none" w:pos="16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expenses (other than Selling Expenses) incurred in connection with registrations, filings, or qualifications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including all registration, filing, and qualification fees; printers’ and accounting fees; fees and disbursements of counsel for the Company; and the reasonable fees and disbursements of one counsel for the selling Holders selected by the Holders of a majority of the Registrable Securities to be registered (“</w:t>
      </w:r>
      <w:r>
        <w:rPr>
          <w:rFonts w:ascii="Arial" w:cs="Arial" w:eastAsia="Arial" w:hAnsi="Arial"/>
          <w:sz w:val="18"/>
          <w:szCs w:val="18"/>
          <w:b w:val="1"/>
          <w:bCs w:val="1"/>
          <w:color w:val="auto"/>
        </w:rPr>
        <w:t>Selling Holder Counsel</w:t>
      </w:r>
      <w:r>
        <w:rPr>
          <w:rFonts w:ascii="Arial" w:cs="Arial" w:eastAsia="Arial" w:hAnsi="Arial"/>
          <w:sz w:val="18"/>
          <w:szCs w:val="18"/>
          <w:color w:val="auto"/>
        </w:rPr>
        <w:t xml:space="preserve">”), shall be borne and paid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to pay for any expenses of any registration proceeding begun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if the registration request is subsequently withdrawn at the request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14" w:name="page315"/>
    <w:bookmarkEnd w:id="31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Subsection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Subsection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78"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No Holder shall have any right to obtain or seek an injunction restraining or otherwise delaying any registration pursuant to this Agreement as the result of any controversy that might arise with respect to the interpretation or implementation of this Section 2.</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right="140" w:firstLine="1428"/>
        <w:spacing w:after="0" w:line="288" w:lineRule="auto"/>
        <w:tabs>
          <w:tab w:leader="none" w:pos="167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68" w:lineRule="exact"/>
        <w:rPr>
          <w:rFonts w:ascii="Arial" w:cs="Arial" w:eastAsia="Arial" w:hAnsi="Arial"/>
          <w:sz w:val="16"/>
          <w:szCs w:val="16"/>
          <w:color w:val="auto"/>
        </w:rPr>
      </w:pPr>
    </w:p>
    <w:p>
      <w:pPr>
        <w:ind w:right="140" w:firstLine="1428"/>
        <w:spacing w:after="0" w:line="272" w:lineRule="auto"/>
        <w:tabs>
          <w:tab w:leader="none" w:pos="168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15" w:name="page316"/>
    <w:bookmarkEnd w:id="315"/>
    <w:p>
      <w:pPr>
        <w:ind w:left="4"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2.8(b)</w:t>
      </w:r>
      <w:r>
        <w:rPr>
          <w:rFonts w:ascii="Arial" w:cs="Arial" w:eastAsia="Arial" w:hAnsi="Arial"/>
          <w:sz w:val="17"/>
          <w:szCs w:val="17"/>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aggregate amounts payable by any Holder by way of indemnity or contribution under </w:t>
      </w:r>
      <w:r>
        <w:rPr>
          <w:rFonts w:ascii="Arial" w:cs="Arial" w:eastAsia="Arial" w:hAnsi="Arial"/>
          <w:sz w:val="17"/>
          <w:szCs w:val="17"/>
          <w:u w:val="single" w:color="auto"/>
          <w:color w:val="auto"/>
        </w:rPr>
        <w:t>Subsection 2.8(b)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exceed the proceeds from the offering received by such Holder (net of any Selling Expenses paid by such Holder), except in the case of fraud or willful misconduct by such Holder.</w:t>
      </w:r>
    </w:p>
    <w:p>
      <w:pPr>
        <w:spacing w:after="0" w:line="178" w:lineRule="exact"/>
        <w:rPr>
          <w:sz w:val="20"/>
          <w:szCs w:val="20"/>
          <w:color w:val="auto"/>
        </w:rPr>
      </w:pPr>
    </w:p>
    <w:p>
      <w:pPr>
        <w:ind w:left="4" w:firstLine="1428"/>
        <w:spacing w:after="0" w:line="269" w:lineRule="auto"/>
        <w:tabs>
          <w:tab w:leader="none" w:pos="1681" w:val="left"/>
        </w:tabs>
        <w:numPr>
          <w:ilvl w:val="1"/>
          <w:numId w:val="207"/>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right="100" w:firstLine="1428"/>
        <w:spacing w:after="0" w:line="286" w:lineRule="auto"/>
        <w:tabs>
          <w:tab w:leader="none" w:pos="169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w:t>
      </w:r>
    </w:p>
    <w:p>
      <w:pPr>
        <w:spacing w:after="0" w:line="32" w:lineRule="exact"/>
        <w:rPr>
          <w:sz w:val="20"/>
          <w:szCs w:val="20"/>
          <w:color w:val="auto"/>
        </w:rPr>
      </w:pPr>
    </w:p>
    <w:p>
      <w:pPr>
        <w:ind w:left="4"/>
        <w:spacing w:after="0" w:line="290" w:lineRule="auto"/>
        <w:rPr>
          <w:sz w:val="20"/>
          <w:szCs w:val="20"/>
          <w:color w:val="auto"/>
        </w:rPr>
      </w:pPr>
      <w:r>
        <w:rPr>
          <w:rFonts w:ascii="Arial" w:cs="Arial" w:eastAsia="Arial" w:hAnsi="Arial"/>
          <w:sz w:val="16"/>
          <w:szCs w:val="16"/>
          <w:u w:val="single" w:color="auto"/>
          <w:color w:val="auto"/>
        </w:rPr>
        <w:t>2.8</w:t>
      </w:r>
      <w:r>
        <w:rPr>
          <w:rFonts w:ascii="Arial" w:cs="Arial" w:eastAsia="Arial" w:hAnsi="Arial"/>
          <w:sz w:val="16"/>
          <w:szCs w:val="16"/>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16" w:name="page317"/>
    <w:bookmarkEnd w:id="316"/>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information, and opportunity to correct or prevent such statement or omission;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 Holder’s liability pursuant to this </w:t>
      </w:r>
      <w:r>
        <w:rPr>
          <w:rFonts w:ascii="Arial" w:cs="Arial" w:eastAsia="Arial" w:hAnsi="Arial"/>
          <w:sz w:val="18"/>
          <w:szCs w:val="18"/>
          <w:u w:val="single" w:color="auto"/>
          <w:color w:val="auto"/>
        </w:rPr>
        <w:t>Subsection 2.8(d)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Subsection 2.8(b)</w:t>
      </w:r>
      <w:r>
        <w:rPr>
          <w:rFonts w:ascii="Arial" w:cs="Arial" w:eastAsia="Arial" w:hAnsi="Arial"/>
          <w:sz w:val="18"/>
          <w:szCs w:val="18"/>
          <w:color w:val="auto"/>
        </w:rPr>
        <w:t>, exceed the proceeds from the offering received by such Holder (net of any Selling Expenses paid by such Holder), except in the case of willful misconduct or fraud by such Holder.</w:t>
      </w:r>
    </w:p>
    <w:p>
      <w:pPr>
        <w:spacing w:after="0" w:line="195" w:lineRule="exact"/>
        <w:rPr>
          <w:sz w:val="20"/>
          <w:szCs w:val="20"/>
          <w:color w:val="auto"/>
        </w:rPr>
      </w:pPr>
    </w:p>
    <w:p>
      <w:pPr>
        <w:ind w:right="120" w:firstLine="1428"/>
        <w:spacing w:after="0" w:line="263" w:lineRule="auto"/>
        <w:tabs>
          <w:tab w:leader="none" w:pos="167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3" w:lineRule="exact"/>
        <w:rPr>
          <w:rFonts w:ascii="Arial" w:cs="Arial" w:eastAsia="Arial" w:hAnsi="Arial"/>
          <w:sz w:val="18"/>
          <w:szCs w:val="18"/>
          <w:color w:val="auto"/>
        </w:rPr>
      </w:pPr>
    </w:p>
    <w:p>
      <w:pPr>
        <w:ind w:firstLine="1428"/>
        <w:spacing w:after="0" w:line="263" w:lineRule="auto"/>
        <w:tabs>
          <w:tab w:leader="none" w:pos="165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4"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76" w:lineRule="exact"/>
        <w:rPr>
          <w:sz w:val="20"/>
          <w:szCs w:val="20"/>
          <w:color w:val="auto"/>
        </w:rPr>
      </w:pPr>
    </w:p>
    <w:p>
      <w:pPr>
        <w:ind w:right="100" w:firstLine="1428"/>
        <w:spacing w:after="0" w:line="277" w:lineRule="auto"/>
        <w:tabs>
          <w:tab w:leader="none" w:pos="167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400" w:firstLine="1428"/>
        <w:spacing w:after="0" w:line="342" w:lineRule="auto"/>
        <w:tabs>
          <w:tab w:leader="none" w:pos="168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firstLine="1428"/>
        <w:spacing w:after="0" w:line="290" w:lineRule="auto"/>
        <w:tabs>
          <w:tab w:leader="none" w:pos="1677" w:val="left"/>
        </w:tabs>
        <w:numPr>
          <w:ilvl w:val="0"/>
          <w:numId w:val="210"/>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317" w:name="page318"/>
    <w:bookmarkEnd w:id="317"/>
    <w:p>
      <w:pPr>
        <w:ind w:left="4" w:right="2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(i)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limitation shall not apply to Registrable Securities acquired by any additional Investor that becomes a party to this Agreement in accordance with </w:t>
      </w:r>
      <w:r>
        <w:rPr>
          <w:rFonts w:ascii="Arial" w:cs="Arial" w:eastAsia="Arial" w:hAnsi="Arial"/>
          <w:sz w:val="16"/>
          <w:szCs w:val="16"/>
          <w:u w:val="single" w:color="auto"/>
          <w:color w:val="auto"/>
        </w:rPr>
        <w:t>Subsection 6.9</w:t>
      </w:r>
      <w:r>
        <w:rPr>
          <w:rFonts w:ascii="Arial" w:cs="Arial" w:eastAsia="Arial" w:hAnsi="Arial"/>
          <w:sz w:val="16"/>
          <w:szCs w:val="16"/>
          <w:color w:val="auto"/>
        </w:rPr>
        <w:t>.</w:t>
      </w:r>
    </w:p>
    <w:p>
      <w:pPr>
        <w:spacing w:after="0" w:line="166"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w:t>
      </w:r>
    </w:p>
    <w:p>
      <w:pPr>
        <w:spacing w:after="0" w:line="2" w:lineRule="exact"/>
        <w:rPr>
          <w:sz w:val="20"/>
          <w:szCs w:val="20"/>
          <w:color w:val="auto"/>
        </w:rPr>
      </w:pPr>
    </w:p>
    <w:p>
      <w:pPr>
        <w:ind w:left="4" w:hanging="4"/>
        <w:spacing w:after="0" w:line="284" w:lineRule="auto"/>
        <w:tabs>
          <w:tab w:leader="none" w:pos="269" w:val="left"/>
        </w:tabs>
        <w:numPr>
          <w:ilvl w:val="0"/>
          <w:numId w:val="211"/>
        </w:numPr>
        <w:rPr>
          <w:rFonts w:ascii="Arial" w:cs="Arial" w:eastAsia="Arial" w:hAnsi="Arial"/>
          <w:sz w:val="16"/>
          <w:szCs w:val="16"/>
          <w:color w:val="auto"/>
        </w:rPr>
      </w:pPr>
      <w:r>
        <w:rPr>
          <w:rFonts w:ascii="Arial" w:cs="Arial" w:eastAsia="Arial" w:hAnsi="Arial"/>
          <w:sz w:val="16"/>
          <w:szCs w:val="16"/>
          <w:color w:val="auto"/>
        </w:rPr>
        <w:t xml:space="preserve">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apply only to the IPO, shall not apply to the sale of any shares to an underwriter pursuant to an underwriting agreement for such IPO, and shall be applicable to the Holders only if all officers and directors are subject to the same restrictions and the Company uses commercially reasonable efforts to obtain a similar agreement from all stockholders individually owning more than one percent (1%) of the outstanding Common Stock (after giving effect to conversion into Common Stock of all outstanding shares of Preferred Stock). If any of the obligations described in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are waived or terminated with respect to any of the securities of any officer, director or greater than one-percent stockholder (in any such case, the “</w:t>
      </w:r>
      <w:r>
        <w:rPr>
          <w:rFonts w:ascii="Arial" w:cs="Arial" w:eastAsia="Arial" w:hAnsi="Arial"/>
          <w:sz w:val="16"/>
          <w:szCs w:val="16"/>
          <w:b w:val="1"/>
          <w:bCs w:val="1"/>
          <w:color w:val="auto"/>
        </w:rPr>
        <w:t>Released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the restrictions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 2.11</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waived or terminated with respect to the Fidelity Investors, as applicable, to the same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with respect to the same percentage of securities of each Fidelity Investor as the percentage of Released Securities represent with respect to the securities held by the applicable officer, director or greater than one-percent stockholder. The underwriters in connection with such registration are intended third 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Company stockholders that are subject to such agreements, based on the number of shares subject to such agreements.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318" w:name="page319"/>
    <w:bookmarkEnd w:id="31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firstLine="1428"/>
        <w:spacing w:after="0" w:line="272" w:lineRule="auto"/>
        <w:tabs>
          <w:tab w:leader="none" w:pos="1677"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in violation of this Agreement,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177" w:lineRule="exact"/>
        <w:rPr>
          <w:rFonts w:ascii="Arial" w:cs="Arial" w:eastAsia="Arial" w:hAnsi="Arial"/>
          <w:sz w:val="17"/>
          <w:szCs w:val="17"/>
          <w:color w:val="auto"/>
        </w:rPr>
      </w:pPr>
    </w:p>
    <w:p>
      <w:pPr>
        <w:ind w:firstLine="1428"/>
        <w:spacing w:after="0" w:line="311" w:lineRule="auto"/>
        <w:tabs>
          <w:tab w:leader="none" w:pos="1687"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Subsection 2.12(c)</w:t>
      </w:r>
      <w:r>
        <w:rPr>
          <w:rFonts w:ascii="Arial" w:cs="Arial" w:eastAsia="Arial" w:hAnsi="Arial"/>
          <w:sz w:val="16"/>
          <w:szCs w:val="16"/>
          <w:color w:val="auto"/>
        </w:rPr>
        <w:t>) be notated with a legend substantially in the following form:</w:t>
      </w:r>
    </w:p>
    <w:p>
      <w:pPr>
        <w:spacing w:after="0" w:line="41" w:lineRule="exact"/>
        <w:rPr>
          <w:sz w:val="20"/>
          <w:szCs w:val="20"/>
          <w:color w:val="auto"/>
        </w:rPr>
      </w:pPr>
    </w:p>
    <w:p>
      <w:pPr>
        <w:ind w:left="440" w:right="40" w:firstLine="423"/>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180" w:firstLine="423"/>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0" w:lineRule="exact"/>
        <w:rPr>
          <w:sz w:val="20"/>
          <w:szCs w:val="20"/>
          <w:color w:val="auto"/>
        </w:rPr>
      </w:pPr>
    </w:p>
    <w:p>
      <w:pPr>
        <w:ind w:firstLine="1428"/>
        <w:spacing w:after="0" w:line="254" w:lineRule="auto"/>
        <w:tabs>
          <w:tab w:leader="none" w:pos="1677"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holder of such Restricted Securities, by acceptance of ownership thereof, agrees to comply in all respects with the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provided that no such notice shall be required in connection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19" w:name="page320"/>
    <w:bookmarkEnd w:id="319"/>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spacing w:after="0" w:line="2" w:lineRule="exact"/>
        <w:rPr>
          <w:sz w:val="20"/>
          <w:szCs w:val="20"/>
          <w:color w:val="auto"/>
        </w:rPr>
      </w:pPr>
    </w:p>
    <w:p>
      <w:pPr>
        <w:ind w:left="4" w:hanging="4"/>
        <w:spacing w:after="0" w:line="267" w:lineRule="auto"/>
        <w:tabs>
          <w:tab w:leader="none" w:pos="31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(or for consideration with respect to Redmile Biopharma Investments III, L.P. and RAF, L.P.);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other than in connection with a transaction in compliance with SEC Rule 144 following the IPO, each transferee agrees in writing to be subject to the terms of this </w:t>
      </w:r>
      <w:r>
        <w:rPr>
          <w:rFonts w:ascii="Arial" w:cs="Arial" w:eastAsia="Arial" w:hAnsi="Arial"/>
          <w:sz w:val="17"/>
          <w:szCs w:val="17"/>
          <w:u w:val="single" w:color="auto"/>
          <w:color w:val="auto"/>
        </w:rPr>
        <w:t>Subsection 2.12</w:t>
      </w:r>
      <w:r>
        <w:rPr>
          <w:rFonts w:ascii="Arial" w:cs="Arial" w:eastAsia="Arial" w:hAnsi="Arial"/>
          <w:sz w:val="17"/>
          <w:szCs w:val="17"/>
          <w:color w:val="auto"/>
        </w:rPr>
        <w:t xml:space="preserve">.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 </w:t>
      </w:r>
      <w:r>
        <w:rPr>
          <w:rFonts w:ascii="Arial" w:cs="Arial" w:eastAsia="Arial" w:hAnsi="Arial"/>
          <w:sz w:val="17"/>
          <w:szCs w:val="17"/>
          <w:u w:val="single" w:color="auto"/>
          <w:color w:val="auto"/>
        </w:rPr>
        <w:t>Subsection 2.12(b)</w:t>
      </w:r>
      <w:r>
        <w:rPr>
          <w:rFonts w:ascii="Arial" w:cs="Arial" w:eastAsia="Arial" w:hAnsi="Arial"/>
          <w:sz w:val="17"/>
          <w:szCs w:val="17"/>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86" w:lineRule="exact"/>
        <w:rPr>
          <w:sz w:val="20"/>
          <w:szCs w:val="20"/>
          <w:color w:val="auto"/>
        </w:rPr>
      </w:pPr>
    </w:p>
    <w:p>
      <w:pPr>
        <w:ind w:left="4" w:right="50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shall terminate upon the earliest to occur of:</w:t>
      </w:r>
    </w:p>
    <w:p>
      <w:pPr>
        <w:spacing w:after="0" w:line="62" w:lineRule="exact"/>
        <w:rPr>
          <w:sz w:val="20"/>
          <w:szCs w:val="20"/>
          <w:color w:val="auto"/>
        </w:rPr>
      </w:pPr>
    </w:p>
    <w:p>
      <w:pPr>
        <w:ind w:left="1684" w:hanging="252"/>
        <w:spacing w:after="0"/>
        <w:tabs>
          <w:tab w:leader="none" w:pos="1684" w:val="left"/>
        </w:tabs>
        <w:numPr>
          <w:ilvl w:val="1"/>
          <w:numId w:val="215"/>
        </w:numPr>
        <w:rPr>
          <w:rFonts w:ascii="Arial" w:cs="Arial" w:eastAsia="Arial" w:hAnsi="Arial"/>
          <w:sz w:val="17"/>
          <w:szCs w:val="17"/>
          <w:color w:val="auto"/>
        </w:rPr>
      </w:pPr>
      <w:r>
        <w:rPr>
          <w:rFonts w:ascii="Arial" w:cs="Arial" w:eastAsia="Arial" w:hAnsi="Arial"/>
          <w:sz w:val="17"/>
          <w:szCs w:val="17"/>
          <w:color w:val="auto"/>
        </w:rPr>
        <w:t>immediately before the closing of a Deemed Liquidation Event, as such term is defined in the Certificate of Incorporation;</w:t>
      </w:r>
    </w:p>
    <w:p>
      <w:pPr>
        <w:spacing w:after="0" w:line="236" w:lineRule="exact"/>
        <w:rPr>
          <w:rFonts w:ascii="Arial" w:cs="Arial" w:eastAsia="Arial" w:hAnsi="Arial"/>
          <w:sz w:val="17"/>
          <w:szCs w:val="17"/>
          <w:color w:val="auto"/>
        </w:rPr>
      </w:pPr>
    </w:p>
    <w:p>
      <w:pPr>
        <w:ind w:left="4" w:right="40" w:firstLine="1428"/>
        <w:spacing w:after="0" w:line="277" w:lineRule="auto"/>
        <w:tabs>
          <w:tab w:leader="none" w:pos="169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such time after consummation of the IPO as SEC Rule 144 or another similar exemption under the Securities Act is available for the sale of all of such Holder’s shares without limitation during a three-month period without registration; and</w:t>
      </w:r>
    </w:p>
    <w:p>
      <w:pPr>
        <w:spacing w:after="0" w:line="170" w:lineRule="exact"/>
        <w:rPr>
          <w:rFonts w:ascii="Arial" w:cs="Arial" w:eastAsia="Arial" w:hAnsi="Arial"/>
          <w:sz w:val="18"/>
          <w:szCs w:val="18"/>
          <w:color w:val="auto"/>
        </w:rPr>
      </w:pPr>
    </w:p>
    <w:p>
      <w:pPr>
        <w:ind w:left="1684" w:hanging="252"/>
        <w:spacing w:after="0"/>
        <w:tabs>
          <w:tab w:leader="none" w:pos="1684"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fifth (5</w:t>
      </w:r>
      <w:r>
        <w:rPr>
          <w:rFonts w:ascii="Arial" w:cs="Arial" w:eastAsia="Arial" w:hAnsi="Arial"/>
          <w:sz w:val="15"/>
          <w:szCs w:val="15"/>
          <w:color w:val="auto"/>
        </w:rPr>
        <w:t>th</w:t>
      </w:r>
      <w:r>
        <w:rPr>
          <w:rFonts w:ascii="Arial" w:cs="Arial" w:eastAsia="Arial" w:hAnsi="Arial"/>
          <w:sz w:val="18"/>
          <w:szCs w:val="18"/>
          <w:color w:val="auto"/>
        </w:rPr>
        <w:t>) anniversary of the IPO.</w:t>
      </w:r>
    </w:p>
    <w:p>
      <w:pPr>
        <w:spacing w:after="0" w:line="225" w:lineRule="exact"/>
        <w:rPr>
          <w:rFonts w:ascii="Arial" w:cs="Arial" w:eastAsia="Arial" w:hAnsi="Arial"/>
          <w:sz w:val="18"/>
          <w:szCs w:val="18"/>
          <w:color w:val="auto"/>
        </w:rPr>
      </w:pPr>
    </w:p>
    <w:p>
      <w:pPr>
        <w:ind w:left="624" w:hanging="184"/>
        <w:spacing w:after="0"/>
        <w:tabs>
          <w:tab w:leader="none" w:pos="624"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25" w:lineRule="exact"/>
        <w:rPr>
          <w:sz w:val="20"/>
          <w:szCs w:val="20"/>
          <w:color w:val="auto"/>
        </w:rPr>
      </w:pPr>
    </w:p>
    <w:p>
      <w:pPr>
        <w:ind w:left="4" w:right="100" w:firstLine="991"/>
        <w:spacing w:after="0" w:line="30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Delivery of Financial Statements</w:t>
      </w:r>
      <w:r>
        <w:rPr>
          <w:rFonts w:ascii="Arial" w:cs="Arial" w:eastAsia="Arial" w:hAnsi="Arial"/>
          <w:sz w:val="16"/>
          <w:szCs w:val="16"/>
          <w:color w:val="auto"/>
        </w:rPr>
        <w:t xml:space="preserve">. So long as at least 2,250,000 shares of Registrable Securities (subject to appropriate adjustment in the event of any stock dividend, stock split, combination or other similar recapitalization with respect to the Registrable Securities) are outstanding, the Company shall deliver to each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has not reasonably determined that such Major Investor is a competitor of the Company (provided that the Fidelity Investors shall not be deemed or determined to be competitors of the Company):</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320" w:name="page321"/>
    <w:bookmarkEnd w:id="320"/>
    <w:p>
      <w:pPr>
        <w:ind w:left="4" w:right="80" w:firstLine="1428"/>
        <w:spacing w:after="0" w:line="273" w:lineRule="auto"/>
        <w:tabs>
          <w:tab w:leader="none" w:pos="1681" w:val="left"/>
        </w:tabs>
        <w:numPr>
          <w:ilvl w:val="1"/>
          <w:numId w:val="2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practicable, but in any event within 90 days after the end of each fiscal year of the Company beginning with the fiscal year ending December 31, 2020 (or such other time as approved by the Board), (i) a balance sheet as of the end of such year, (ii) statements of income and of cash flows for such year, and a comparison between (x) the actual amounts as of and for such fiscal year and (y) the comparable amounts for the prior year, with an explanation of any material differences between such amounts and a schedule as to the sources and applications of funds for such year, and (iii) a statement of stockholders’ equity as of the end of such year, all such financial statements audited and certified by independent public accountants of recognized standing selected by the Company;</w:t>
      </w:r>
    </w:p>
    <w:p>
      <w:pPr>
        <w:spacing w:after="0" w:line="177" w:lineRule="exact"/>
        <w:rPr>
          <w:rFonts w:ascii="Arial" w:cs="Arial" w:eastAsia="Arial" w:hAnsi="Arial"/>
          <w:sz w:val="17"/>
          <w:szCs w:val="17"/>
          <w:color w:val="auto"/>
        </w:rPr>
      </w:pPr>
    </w:p>
    <w:p>
      <w:pPr>
        <w:ind w:left="4" w:firstLine="1428"/>
        <w:spacing w:after="0" w:line="259" w:lineRule="auto"/>
        <w:tabs>
          <w:tab w:leader="none" w:pos="169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 and</w:t>
      </w:r>
    </w:p>
    <w:p>
      <w:pPr>
        <w:spacing w:after="0" w:line="186" w:lineRule="exact"/>
        <w:rPr>
          <w:rFonts w:ascii="Arial" w:cs="Arial" w:eastAsia="Arial" w:hAnsi="Arial"/>
          <w:sz w:val="18"/>
          <w:szCs w:val="18"/>
          <w:color w:val="auto"/>
        </w:rPr>
      </w:pPr>
    </w:p>
    <w:p>
      <w:pPr>
        <w:ind w:left="4" w:right="60" w:firstLine="1428"/>
        <w:spacing w:after="0" w:line="291" w:lineRule="auto"/>
        <w:tabs>
          <w:tab w:leader="none" w:pos="1681"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as soon as practicable, but in any event within thirty (30) days of the end of each month, an unaudited income statement for such month, and an unaudited balance sheet as of the end of such month, all prepared in accordance with GAAP (except that such financial statements may</w:t>
      </w:r>
    </w:p>
    <w:p>
      <w:pPr>
        <w:ind w:left="224" w:hanging="224"/>
        <w:spacing w:after="0"/>
        <w:tabs>
          <w:tab w:leader="none" w:pos="2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be subject to normal year-end audit adjustments and (ii) not contain all notes thereto that may be required in accordance with GAAP).</w:t>
      </w:r>
    </w:p>
    <w:p>
      <w:pPr>
        <w:spacing w:after="0" w:line="211"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4" w:lineRule="exact"/>
        <w:rPr>
          <w:sz w:val="20"/>
          <w:szCs w:val="20"/>
          <w:color w:val="auto"/>
        </w:rPr>
      </w:pPr>
    </w:p>
    <w:p>
      <w:pPr>
        <w:ind w:left="4" w:right="640" w:firstLine="440"/>
        <w:spacing w:after="0" w:line="275" w:lineRule="auto"/>
        <w:rPr>
          <w:sz w:val="20"/>
          <w:szCs w:val="20"/>
          <w:color w:val="auto"/>
        </w:rPr>
      </w:pPr>
      <w:r>
        <w:rPr>
          <w:rFonts w:ascii="Arial" w:cs="Arial" w:eastAsia="Arial" w:hAnsi="Arial"/>
          <w:sz w:val="17"/>
          <w:szCs w:val="17"/>
          <w:color w:val="auto"/>
        </w:rPr>
        <w:t xml:space="preserve">Notwithstanding anything else in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the contrary, the Company may cease providing the information set forth in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during the period starting with the date sixty (60) days before the Company’s good-faith estimate of the date of submission of a registration statement if it reasonably concludes it must do so to comply with the SEC rules applicable to such registration statement and related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Company’s covenants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shall be reinstated at such time as the Company is no longer actively employing its commercially reasonable efforts to cause such registration statement to become effective.</w:t>
      </w:r>
    </w:p>
    <w:p>
      <w:pPr>
        <w:spacing w:after="0" w:line="176" w:lineRule="exact"/>
        <w:rPr>
          <w:sz w:val="20"/>
          <w:szCs w:val="20"/>
          <w:color w:val="auto"/>
        </w:rPr>
      </w:pPr>
    </w:p>
    <w:p>
      <w:pPr>
        <w:ind w:left="4" w:right="80" w:firstLine="991"/>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So long as at least 2,250,000 shares of Registrable Securities (subject to appropriate adjustment in the event of any stock dividend, stock split, combination or other similar recapitalization with respect to the Registrable Securities) are outstanding, the Company shall permit each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has not reasonably determined that such Major Investor is a competitor of the Company;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Fidelity Investors shall not be deemed or determined to be competitors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21" w:name="page322"/>
    <w:bookmarkEnd w:id="321"/>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8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(iii) to any existing or prospective Affiliate, partner, member, stockholder, or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 confidentiality of such information; or (iv) as may otherwise be required by law, regulation, rule, court order or subpoena,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promptly notifies the Company of such disclosure and takes reasonable steps to minimize the extent of any such required disclosure.</w:t>
      </w:r>
    </w:p>
    <w:p>
      <w:pPr>
        <w:spacing w:after="0" w:line="186" w:lineRule="exact"/>
        <w:rPr>
          <w:sz w:val="20"/>
          <w:szCs w:val="20"/>
          <w:color w:val="auto"/>
        </w:rPr>
      </w:pPr>
    </w:p>
    <w:p>
      <w:pPr>
        <w:ind w:left="620" w:hanging="184"/>
        <w:spacing w:after="0"/>
        <w:tabs>
          <w:tab w:leader="none" w:pos="62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Subsection 4.1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among itself and its Affiliates in such proportions as it deems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Affiliate agrees to enter into this Agreement and each of the Second Amended and Restated Voting Agreement of even date herewith among the Company, the Investors and the other parties named therein (as it may be amended and/or restated from time to time, the “</w:t>
      </w:r>
      <w:r>
        <w:rPr>
          <w:rFonts w:ascii="Arial" w:cs="Arial" w:eastAsia="Arial" w:hAnsi="Arial"/>
          <w:sz w:val="17"/>
          <w:szCs w:val="17"/>
          <w:b w:val="1"/>
          <w:bCs w:val="1"/>
          <w:color w:val="auto"/>
        </w:rPr>
        <w:t>Voting Agreement</w:t>
      </w:r>
      <w:r>
        <w:rPr>
          <w:rFonts w:ascii="Arial" w:cs="Arial" w:eastAsia="Arial" w:hAnsi="Arial"/>
          <w:sz w:val="17"/>
          <w:szCs w:val="17"/>
          <w:color w:val="auto"/>
        </w:rPr>
        <w:t>”) and the Second Amended and Restated Right of First Refusal and Co-Sale Agreement of even date herewith among the Company, the Investors and the other parties named therein, as an “</w:t>
      </w:r>
      <w:r>
        <w:rPr>
          <w:rFonts w:ascii="Arial" w:cs="Arial" w:eastAsia="Arial" w:hAnsi="Arial"/>
          <w:sz w:val="17"/>
          <w:szCs w:val="17"/>
          <w:b w:val="1"/>
          <w:bCs w:val="1"/>
          <w:color w:val="auto"/>
        </w:rPr>
        <w:t>Investor</w:t>
      </w:r>
      <w:r>
        <w:rPr>
          <w:rFonts w:ascii="Arial" w:cs="Arial" w:eastAsia="Arial" w:hAnsi="Arial"/>
          <w:sz w:val="17"/>
          <w:szCs w:val="17"/>
          <w:color w:val="auto"/>
        </w:rPr>
        <w:t>” under each such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22" w:name="page323"/>
    <w:bookmarkEnd w:id="322"/>
    <w:p>
      <w:pPr>
        <w:ind w:right="120" w:firstLine="1428"/>
        <w:spacing w:after="0" w:line="266" w:lineRule="auto"/>
        <w:tabs>
          <w:tab w:leader="none" w:pos="16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ind w:firstLine="1428"/>
        <w:spacing w:after="0" w:line="286" w:lineRule="auto"/>
        <w:tabs>
          <w:tab w:leader="none" w:pos="168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any other Derivative Securities then outstanding).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shall occur within the later of ninety (90) days of the date that the Offer Notice is given and the date of initial sale of New Securities pursuant to </w:t>
      </w:r>
      <w:r>
        <w:rPr>
          <w:rFonts w:ascii="Arial" w:cs="Arial" w:eastAsia="Arial" w:hAnsi="Arial"/>
          <w:sz w:val="16"/>
          <w:szCs w:val="16"/>
          <w:u w:val="single" w:color="auto"/>
          <w:color w:val="auto"/>
        </w:rPr>
        <w:t>Subsection 4.1(c)</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right="80" w:firstLine="1428"/>
        <w:spacing w:after="0" w:line="293" w:lineRule="auto"/>
        <w:tabs>
          <w:tab w:leader="none" w:pos="1677"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If all New Securities referred to in the Offer Notice are not elected to be purchased or acquired as provided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6"/>
          <w:szCs w:val="16"/>
          <w:u w:val="single" w:color="auto"/>
          <w:color w:val="auto"/>
        </w:rPr>
        <w:t>Subsection 4.1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60" w:firstLine="1428"/>
        <w:spacing w:after="0" w:line="263" w:lineRule="auto"/>
        <w:tabs>
          <w:tab w:leader="none" w:pos="168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defined in the Certificate of Incorporation); (ii) shares of Common Stock issued in the IPO; or (iii) the issuance of shares of Series C Preferred Stock to Additional Purchasers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1.3 of the Purchase Agreement.</w:t>
      </w:r>
    </w:p>
    <w:p>
      <w:pPr>
        <w:spacing w:after="0" w:line="183" w:lineRule="exact"/>
        <w:rPr>
          <w:rFonts w:ascii="Arial" w:cs="Arial" w:eastAsia="Arial" w:hAnsi="Arial"/>
          <w:sz w:val="18"/>
          <w:szCs w:val="18"/>
          <w:color w:val="auto"/>
        </w:rPr>
      </w:pPr>
    </w:p>
    <w:p>
      <w:pPr>
        <w:ind w:right="20" w:firstLine="1428"/>
        <w:spacing w:after="0" w:line="257" w:lineRule="auto"/>
        <w:tabs>
          <w:tab w:leader="none" w:pos="167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hereof to the contrary, in lieu of complying with the provisions of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the Company may elect to give notice to the Major Investors within thirty (30) days after the issuance of New Securities. Such notice shall describe the type, price, and terms of the New Securities. Each Major Investor shall have twenty (20) days from the date notice is given to elect to purchase up to the number of New Securities that would, if purchased by such Major Investor, maintain such Major Investor’s percentage-ownership position, calculated as set forth in </w:t>
      </w:r>
      <w:r>
        <w:rPr>
          <w:rFonts w:ascii="Arial" w:cs="Arial" w:eastAsia="Arial" w:hAnsi="Arial"/>
          <w:sz w:val="18"/>
          <w:szCs w:val="18"/>
          <w:u w:val="single" w:color="auto"/>
          <w:color w:val="auto"/>
        </w:rPr>
        <w:t>Subsection 4.1(b)</w:t>
      </w:r>
      <w:r>
        <w:rPr>
          <w:rFonts w:ascii="Arial" w:cs="Arial" w:eastAsia="Arial" w:hAnsi="Arial"/>
          <w:sz w:val="18"/>
          <w:szCs w:val="18"/>
          <w:color w:val="auto"/>
        </w:rPr>
        <w:t xml:space="preserve"> before giving effect to the issuance of such New Securities.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23" w:name="page324"/>
    <w:bookmarkEnd w:id="323"/>
    <w:p>
      <w:pPr>
        <w:ind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shall terminate and be of no further force or effect (a) immediately before the consummation of the IPO, (b) when the Company first becomes subject to the periodic reporting requirements of Section 12(g) or 15(d) of the Exchange Act or (c) upon the closing of a Deemed Liquidation Event, as such term is defined in the Certificate of Incorporation, whichever event occurs first.</w:t>
      </w:r>
    </w:p>
    <w:p>
      <w:pPr>
        <w:spacing w:after="0" w:line="149" w:lineRule="exact"/>
        <w:rPr>
          <w:sz w:val="20"/>
          <w:szCs w:val="20"/>
          <w:color w:val="auto"/>
        </w:rPr>
      </w:pPr>
    </w:p>
    <w:p>
      <w:pPr>
        <w:ind w:left="620" w:hanging="184"/>
        <w:spacing w:after="0"/>
        <w:tabs>
          <w:tab w:leader="none" w:pos="620"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shall obtain, within ninety (90) days of the date hereof, from financially sound and reputable insurers, Directors and Officers liability insurance in an amount and on terms and conditions satisfactory to the Board, and will use commercially reasonable efforts to cause such insurance policy to be maintained until such time as the Board determines that such insurance should be discontinued. The policy shall not be cancelable by the Company without prior approval by the Board.</w:t>
      </w:r>
    </w:p>
    <w:p>
      <w:pPr>
        <w:spacing w:after="0" w:line="18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(i) each Person now or hereafter employed by it or by any subsidiary (or engaged by the Company or any subsidiary as a consultant or independent contractor) with access to confidential information and/or trade secrets to enter into a nondisclosure and proprietary rights assignment agreement and (ii) each Key Employee to enter into a one (1) year (or lesser duration as required by applicable law) noncompetition and nonsolicitation agreement, each in a form acceptable to the Board, including a majority of the Series A Directors. In addition, the Company shall not amend, modify, terminate, waive, or otherwise alter, in whole or in part, any of the above-referenced agreements or any restricted stock agreement between the Company and any employee, without the prior approval of the Board, including a majority of the Series A Directors.</w:t>
      </w:r>
    </w:p>
    <w:p>
      <w:pPr>
        <w:spacing w:after="0" w:line="195"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xml:space="preserve">. Unless otherwise approved by the Board, including a majority of the Series A Directors, or the Compensation Committee of the Board, including the Mithril Designee (as defined in the Voting Agreement) or the Polaris Designee (as defined in the Voting Agreement),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subject to acceleration upon a change of control, and (ii) a market stand-off provision substantially similar to that in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Without the prior approval by the Board, including a majority of the Series A Directors, or the Compensation Committee of the Board, including the Mithril Designee (as defined in the Voting Agreement) or the Polaris Designee (as defined in the Voting Agreement),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Arial" w:cs="Arial" w:eastAsia="Arial" w:hAnsi="Arial"/>
          <w:sz w:val="16"/>
          <w:szCs w:val="16"/>
          <w:u w:val="single" w:color="auto"/>
          <w:color w:val="auto"/>
        </w:rPr>
        <w:t>Subsection 5.3</w:t>
      </w:r>
      <w:r>
        <w:rPr>
          <w:rFonts w:ascii="Arial" w:cs="Arial" w:eastAsia="Arial" w:hAnsi="Arial"/>
          <w:sz w:val="16"/>
          <w:szCs w:val="16"/>
          <w:color w:val="auto"/>
        </w:rPr>
        <w:t>. In addition, unless otherwise approved by the Board, including a majority of the Series A Directors,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24" w:name="page325"/>
    <w:bookmarkEnd w:id="324"/>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 Compensation Committee of the Board, including the Mithril Designee (as defined in the Voting Agreement) or the Polaris Designee (as defined in the Voting Agreement), the Company shall retain (and not waive) a “right of first refusal” on employee transfers until the IPO and shall have the right to repurchase unvested shares at cost upon termination of employment of a holder of restricted stock.</w:t>
      </w:r>
    </w:p>
    <w:p>
      <w:pPr>
        <w:spacing w:after="0" w:line="165"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Matters Requiring Series A Director Approval</w:t>
      </w:r>
      <w:r>
        <w:rPr>
          <w:rFonts w:ascii="Arial" w:cs="Arial" w:eastAsia="Arial" w:hAnsi="Arial"/>
          <w:sz w:val="18"/>
          <w:szCs w:val="18"/>
          <w:color w:val="auto"/>
        </w:rPr>
        <w:t>. So long as the holders of Series A Preferred Stock are entitled, as a separate class, to elect a Series A Director, the Company hereby covenants and agrees with the Investors that it shall not, without approval of the Board, which approval must include the affirmative vote of a majority of the Series A Directors:</w:t>
      </w:r>
    </w:p>
    <w:p>
      <w:pPr>
        <w:spacing w:after="0" w:line="76" w:lineRule="exact"/>
        <w:rPr>
          <w:sz w:val="20"/>
          <w:szCs w:val="20"/>
          <w:color w:val="auto"/>
        </w:rPr>
      </w:pPr>
    </w:p>
    <w:p>
      <w:pPr>
        <w:ind w:left="1680" w:hanging="252"/>
        <w:spacing w:after="0"/>
        <w:tabs>
          <w:tab w:leader="none" w:pos="16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incur any indebtedness for borrowed money in excess of $500,000 in a single or series of related transactions; or</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increase the shares of Common Stock reserved for issuance under the Company’s 2020 Equity Incentive Plan or adopt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equity incentive plan.</w:t>
      </w:r>
    </w:p>
    <w:p>
      <w:pPr>
        <w:spacing w:after="0" w:line="211"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Board Matters</w:t>
      </w:r>
      <w:r>
        <w:rPr>
          <w:rFonts w:ascii="Arial" w:cs="Arial" w:eastAsia="Arial" w:hAnsi="Arial"/>
          <w:sz w:val="16"/>
          <w:szCs w:val="16"/>
          <w:color w:val="auto"/>
        </w:rPr>
        <w:t>. Unless otherwise determined by the vote of a majority of the directors then in office, the Board shall meet at least quarterly in accordance with an agreed-upon schedule. The Company shall reimburse the nonemployee directors for all reasonable out-of-pocket travel expenses incurred (consistent with the Company’s travel policy) in connection with attending meetings of the Board. The Company shall cause to be established, as soon as practicable after request of the Board and will maintain, an audit and compensation committee, each of which shall consist solely of non-management directors. Each non-employee director shall be entitled in such person’s discretion to be a member of any committee of the Board.</w:t>
      </w:r>
    </w:p>
    <w:p>
      <w:pPr>
        <w:spacing w:after="0" w:line="16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Certificate of Incorporation, or elsewhere, as the case may be.</w:t>
      </w:r>
    </w:p>
    <w:p>
      <w:pPr>
        <w:spacing w:after="0" w:line="188"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directors nominated to serve on the Board by the Investors (each an “</w:t>
      </w:r>
      <w:r>
        <w:rPr>
          <w:rFonts w:ascii="Arial" w:cs="Arial" w:eastAsia="Arial" w:hAnsi="Arial"/>
          <w:sz w:val="16"/>
          <w:szCs w:val="16"/>
          <w:b w:val="1"/>
          <w:bCs w:val="1"/>
          <w:color w:val="auto"/>
        </w:rPr>
        <w:t>Investor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Investor Indemnitors</w:t>
      </w:r>
      <w:r>
        <w:rPr>
          <w:rFonts w:ascii="Arial" w:cs="Arial" w:eastAsia="Arial" w:hAnsi="Arial"/>
          <w:sz w:val="16"/>
          <w:szCs w:val="16"/>
          <w:color w:val="auto"/>
        </w:rPr>
        <w:t>”). The Company hereby agrees (a) that it is the indemnitor of first resort (i.e., its obligations to any such Investor Director are primary and any obligation of the Investor 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Certificate of Incorporation or Bylaws of the Company (or any agreement between the Company and such Investor Director), without regard to any rights such Investor Director may have against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325" w:name="page326"/>
    <w:bookmarkEnd w:id="325"/>
    <w:p>
      <w:pPr>
        <w:ind w:left="4"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 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third-party beneficiaries of this </w:t>
      </w:r>
      <w:r>
        <w:rPr>
          <w:rFonts w:ascii="Arial" w:cs="Arial" w:eastAsia="Arial" w:hAnsi="Arial"/>
          <w:sz w:val="17"/>
          <w:szCs w:val="17"/>
          <w:u w:val="single" w:color="auto"/>
          <w:color w:val="auto"/>
        </w:rPr>
        <w:t>Subsection 5.7</w:t>
      </w:r>
      <w:r>
        <w:rPr>
          <w:rFonts w:ascii="Arial" w:cs="Arial" w:eastAsia="Arial" w:hAnsi="Arial"/>
          <w:sz w:val="17"/>
          <w:szCs w:val="17"/>
          <w:color w:val="auto"/>
        </w:rPr>
        <w:t xml:space="preserve"> and shall have the right, power and authority to enforce the provisions of this </w:t>
      </w:r>
      <w:r>
        <w:rPr>
          <w:rFonts w:ascii="Arial" w:cs="Arial" w:eastAsia="Arial" w:hAnsi="Arial"/>
          <w:sz w:val="17"/>
          <w:szCs w:val="17"/>
          <w:u w:val="single" w:color="auto"/>
          <w:color w:val="auto"/>
        </w:rPr>
        <w:t>Subsection 5.7</w:t>
      </w:r>
      <w:r>
        <w:rPr>
          <w:rFonts w:ascii="Arial" w:cs="Arial" w:eastAsia="Arial" w:hAnsi="Arial"/>
          <w:sz w:val="17"/>
          <w:szCs w:val="17"/>
          <w:color w:val="auto"/>
        </w:rPr>
        <w:t xml:space="preserve"> as though they were a party to this Agreement.</w:t>
      </w:r>
    </w:p>
    <w:p>
      <w:pPr>
        <w:spacing w:after="0" w:line="177" w:lineRule="exact"/>
        <w:rPr>
          <w:sz w:val="20"/>
          <w:szCs w:val="20"/>
          <w:color w:val="auto"/>
        </w:rPr>
      </w:pPr>
    </w:p>
    <w:p>
      <w:pPr>
        <w:ind w:left="4" w:right="40" w:firstLine="991"/>
        <w:spacing w:after="0" w:line="283"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Right to Conduct Activities</w:t>
      </w:r>
      <w:r>
        <w:rPr>
          <w:rFonts w:ascii="Arial" w:cs="Arial" w:eastAsia="Arial" w:hAnsi="Arial"/>
          <w:sz w:val="16"/>
          <w:szCs w:val="16"/>
          <w:color w:val="auto"/>
        </w:rPr>
        <w:t xml:space="preserve">. The Company hereby agrees and acknowledges that certain of the Investors (including without limitation, each Fidelity Investor, RA Capital, BCIP Life Sciences Associates, LP, Bain Capital Life Sciences Fund II, L.P., Redmile Biopharma Investments III, L.P., RAF, L.P., Polaris Venture Partners Entrepreneurs’ Fund V, L.P., Polaris Venture Partners Founders’ Fund V, L.P., Polaris Venture Partners Special Founders’ Fund V, L.P., Polaris Venture Partners V, L.P., Polaris Partners IX, L.P., Polaris Healthcare Technology Opportunities Fund, L.P., Mithril II LP and their Affiliates) are a professional investment organization and that such Investors (together with their Affiliates) review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such Investors (and their Affiliates) shall not be liable to the Company for any claim arising out of, or based upon, (i) the investment by such Investors (or their Affiliates) in any entity competitive with the Company, or (ii) actions taken by any partner, officer, employee or other representative of such Investors (or their Affiliates)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relieve</w:t>
      </w:r>
    </w:p>
    <w:p>
      <w:pPr>
        <w:spacing w:after="0" w:line="4" w:lineRule="exact"/>
        <w:rPr>
          <w:sz w:val="20"/>
          <w:szCs w:val="20"/>
          <w:color w:val="auto"/>
        </w:rPr>
      </w:pPr>
    </w:p>
    <w:p>
      <w:pPr>
        <w:ind w:left="4" w:right="240" w:hanging="4"/>
        <w:spacing w:after="0" w:line="290" w:lineRule="auto"/>
        <w:tabs>
          <w:tab w:leader="none" w:pos="259"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61"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Disclosure of Side Letters</w:t>
      </w:r>
      <w:r>
        <w:rPr>
          <w:rFonts w:ascii="Arial" w:cs="Arial" w:eastAsia="Arial" w:hAnsi="Arial"/>
          <w:sz w:val="18"/>
          <w:szCs w:val="18"/>
          <w:color w:val="auto"/>
        </w:rPr>
        <w:t>. If subsequent to the date hereof, the Company enters into any side letter or similar agreement with any other Investor, such letter or similar agreement shall be disclosed to RA Capital.</w:t>
      </w:r>
    </w:p>
    <w:p>
      <w:pPr>
        <w:spacing w:after="0" w:line="170"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Subsection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5.7</w:t>
      </w:r>
      <w:r>
        <w:rPr>
          <w:rFonts w:ascii="Arial" w:cs="Arial" w:eastAsia="Arial" w:hAnsi="Arial"/>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immediately prior to a Deemed Liquidation Event, as such term is defined in the Certificate of Incorporation, whichever event occurs first.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326" w:name="page327"/>
    <w:bookmarkEnd w:id="326"/>
    <w:p>
      <w:pPr>
        <w:jc w:val="both"/>
        <w:ind w:right="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Arial" w:cs="Arial" w:eastAsia="Arial" w:hAnsi="Arial"/>
          <w:sz w:val="16"/>
          <w:szCs w:val="16"/>
          <w:u w:val="single" w:color="auto"/>
          <w:color w:val="auto"/>
        </w:rPr>
        <w:t>Anti-Harassment Policy</w:t>
      </w:r>
      <w:r>
        <w:rPr>
          <w:rFonts w:ascii="Arial" w:cs="Arial" w:eastAsia="Arial" w:hAnsi="Arial"/>
          <w:sz w:val="16"/>
          <w:szCs w:val="16"/>
          <w:color w:val="auto"/>
        </w:rPr>
        <w:t>. The Company shall, within ninety (90) days following the Closing (as defined in the Purchase Agreement), adopt and thereafter maintain in effect (i) a Code of Conduct governing appropriate workplace behavior and (ii) an Anti-Harassment and Discrimination Policy prohibiting discrimination and harassment at the Company. Such policy shall be reviewed and approved by the Board of Directors.</w:t>
      </w:r>
    </w:p>
    <w:p>
      <w:pPr>
        <w:spacing w:after="0" w:line="149"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FCPA</w:t>
      </w:r>
      <w:r>
        <w:rPr>
          <w:rFonts w:ascii="Arial" w:cs="Arial" w:eastAsia="Arial" w:hAnsi="Arial"/>
          <w:sz w:val="17"/>
          <w:szCs w:val="17"/>
          <w:color w:val="auto"/>
        </w:rPr>
        <w:t>. The Company covenants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in each case, in violation of the FCPA, the U.K. Bribery Act, or any other applicable anti-bribery or anti-corruption law. The Company further covenants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covenants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82" w:lineRule="exact"/>
        <w:rPr>
          <w:sz w:val="20"/>
          <w:szCs w:val="20"/>
          <w:color w:val="auto"/>
        </w:rPr>
      </w:pPr>
    </w:p>
    <w:p>
      <w:pPr>
        <w:ind w:right="80" w:firstLine="991"/>
        <w:spacing w:after="0" w:line="270"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Cybersecurity</w:t>
      </w:r>
      <w:r>
        <w:rPr>
          <w:rFonts w:ascii="Arial" w:cs="Arial" w:eastAsia="Arial" w:hAnsi="Arial"/>
          <w:sz w:val="17"/>
          <w:szCs w:val="17"/>
          <w:color w:val="auto"/>
        </w:rPr>
        <w:t>. The Company shall, within one hundred eighty (180) days following the Closing (as defined in the Purchase Agreement), use commercially reasonable efforts to (a) identify and restrict access (including through physical and/or technical controls) to the Company’s confidential business information and trade secrets and any information about identified or identifiable natural persons maintained by or on behalf of the Company (collectively, “</w:t>
      </w:r>
      <w:r>
        <w:rPr>
          <w:rFonts w:ascii="Arial" w:cs="Arial" w:eastAsia="Arial" w:hAnsi="Arial"/>
          <w:sz w:val="17"/>
          <w:szCs w:val="17"/>
          <w:b w:val="1"/>
          <w:bCs w:val="1"/>
          <w:color w:val="auto"/>
        </w:rPr>
        <w:t>Protected Data</w:t>
      </w:r>
      <w:r>
        <w:rPr>
          <w:rFonts w:ascii="Arial" w:cs="Arial" w:eastAsia="Arial" w:hAnsi="Arial"/>
          <w:sz w:val="17"/>
          <w:szCs w:val="17"/>
          <w:color w:val="auto"/>
        </w:rPr>
        <w:t>”) to those individuals who have a need to access it and (b) implement reasonable physical, technical and administrative safeguards designed to protect the confidentiality, integrity and availability of its technology and systems (including servers, laptops, desktops, cloud, containers, virtual environments and data centers) and all Protected Data. The Company shall evaluate on a periodic basis at least annually whether such safeguards should be updated to maintain a level of security appropriate to the risk posed to Company systems and Protected Data. The Company shall educate its employees about the proper use and storage of Protected Data, including periodic training as determined reasonably necessary by the Company or the Board of Directors.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27" w:name="page328"/>
    <w:bookmarkEnd w:id="327"/>
    <w:p>
      <w:pPr>
        <w:ind w:left="620" w:hanging="184"/>
        <w:spacing w:after="0"/>
        <w:tabs>
          <w:tab w:leader="none" w:pos="62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175,000 shares of Registrable Securities (subject to appropriate adjustment for stock splits, stock dividends, combinations, and other recapitalizations);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the Company is, within a reasonable time after such transfer, furnished with written notice of the name and address of such transferee and the Registrable Securities with respect to which such rights are being transferred; (y) such transferee is not a competitor of the Company (provided that the Fidelity Investors shall not be deemed or determined to be competitors of the Company); and (z)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controversy arising out of or relating to this Agreement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84"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80" w:firstLine="1428"/>
        <w:spacing w:after="0" w:line="255" w:lineRule="auto"/>
        <w:tabs>
          <w:tab w:leader="none" w:pos="1677"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28" w:name="page329"/>
    <w:bookmarkEnd w:id="328"/>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respective parties at their addresses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or as on the books of the Company, or to the principal office of the Company and to the attention of the Chief Executive Officer, in the case of the Company, or to such electronic mail address or address as subsequently modified by written notice given in accordance with this </w:t>
      </w:r>
      <w:r>
        <w:rPr>
          <w:rFonts w:ascii="Arial" w:cs="Arial" w:eastAsia="Arial" w:hAnsi="Arial"/>
          <w:sz w:val="17"/>
          <w:szCs w:val="17"/>
          <w:u w:val="single" w:color="auto"/>
          <w:color w:val="auto"/>
        </w:rPr>
        <w:t>Subsection 6.5</w:t>
      </w:r>
      <w:r>
        <w:rPr>
          <w:rFonts w:ascii="Arial" w:cs="Arial" w:eastAsia="Arial" w:hAnsi="Arial"/>
          <w:sz w:val="17"/>
          <w:szCs w:val="17"/>
          <w:color w:val="auto"/>
        </w:rPr>
        <w:t>. If notice is given to the Company, it shall be sent to 303 Wyman Street, Unit 303, Waltham, Massachusetts 02451, Attention: Tillman U. Gerngross; Email: tillman.gerngross@adimab.com and a copy (which shall not constitute notice) shall also be sent to Cooley LLP, 500 Boylston Street, 14th Floor, Boston, MA 02116-3736, Attention: Ryan S Sansom, Email: rsansom@cooley.com and if notice is given to the Purchasers, a copy (which shall not constitute notice) shall also be given to Wilmer Cutler Pickering Hale and Dorr LLP, 60 State Street, Boston, MA 02109, Attention: Jason L. Kropp, Email: jason.kropp@wilmerhale.com.</w:t>
      </w:r>
    </w:p>
    <w:p>
      <w:pPr>
        <w:spacing w:after="0" w:line="177" w:lineRule="exact"/>
        <w:rPr>
          <w:sz w:val="20"/>
          <w:szCs w:val="20"/>
          <w:color w:val="auto"/>
        </w:rPr>
      </w:pPr>
    </w:p>
    <w:p>
      <w:pPr>
        <w:ind w:right="180" w:firstLine="1428"/>
        <w:spacing w:after="0" w:line="275" w:lineRule="auto"/>
        <w:tabs>
          <w:tab w:leader="none" w:pos="1687"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Consent to Electronic Notice</w:t>
      </w:r>
      <w:r>
        <w:rPr>
          <w:rFonts w:ascii="Arial" w:cs="Arial" w:eastAsia="Arial" w:hAnsi="Arial"/>
          <w:sz w:val="17"/>
          <w:szCs w:val="17"/>
          <w:color w:val="auto"/>
        </w:rPr>
        <w:t>. Each Investor consents to the delivery of any stockholder notice pursuant to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xml:space="preserve">”), as amended or superseded from time to time, by electronic transmission pursuant to Section 232 of the DGCL (or any successor thereto) at the electronic mail address set forth below such Investor’s name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as updated from time to time by notice to the Company, or as on the books of the Company. Each Investor agrees to promptly notify the Company of any change in such stockholder’s electronic mail address, and that failure to do so shall not affect the foregoing.</w:t>
      </w:r>
    </w:p>
    <w:p>
      <w:pPr>
        <w:spacing w:after="0" w:line="176"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(b)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any other section of this Agreement applicable to the Major Investors (including this clause (b) of this </w:t>
      </w:r>
      <w:r>
        <w:rPr>
          <w:rFonts w:ascii="Arial" w:cs="Arial" w:eastAsia="Arial" w:hAnsi="Arial"/>
          <w:sz w:val="16"/>
          <w:szCs w:val="16"/>
          <w:u w:val="single" w:color="auto"/>
          <w:color w:val="auto"/>
        </w:rPr>
        <w:t>Subsection</w:t>
      </w:r>
    </w:p>
    <w:p>
      <w:pPr>
        <w:spacing w:after="0" w:line="4"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6.6</w:t>
      </w:r>
      <w:r>
        <w:rPr>
          <w:rFonts w:ascii="Arial" w:cs="Arial" w:eastAsia="Arial" w:hAnsi="Arial"/>
          <w:sz w:val="17"/>
          <w:szCs w:val="17"/>
          <w:color w:val="auto"/>
        </w:rPr>
        <w:t>) may not be amended, modified, terminated or waived without the written consent of the holders of a majority of the Registrable Securities then outstanding and held by the Major Investors, (c) any amendment, waiver or termination of any provision of this Agreement that references the Fidelity Investors and adversely affects the Fidelity Investors will not be effective as it relates to the Fidelity Investors without the prior written consent of the Fidelity Investors holding a majority of the Registrable Securities held by the Fidelity Investors (the “</w:t>
      </w:r>
      <w:r>
        <w:rPr>
          <w:rFonts w:ascii="Arial" w:cs="Arial" w:eastAsia="Arial" w:hAnsi="Arial"/>
          <w:sz w:val="17"/>
          <w:szCs w:val="17"/>
          <w:b w:val="1"/>
          <w:bCs w:val="1"/>
          <w:color w:val="auto"/>
        </w:rPr>
        <w:t>Requisite Fidelity Consent</w:t>
      </w:r>
      <w:r>
        <w:rPr>
          <w:rFonts w:ascii="Arial" w:cs="Arial" w:eastAsia="Arial" w:hAnsi="Arial"/>
          <w:sz w:val="17"/>
          <w:szCs w:val="17"/>
          <w:color w:val="auto"/>
        </w:rPr>
        <w:t xml:space="preserve">”), (d) if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are waived with respect to a particular offering of New Securities by Major Investors constituting the required parties to effect such a waiver (each, a “</w:t>
      </w:r>
      <w:r>
        <w:rPr>
          <w:rFonts w:ascii="Arial" w:cs="Arial" w:eastAsia="Arial" w:hAnsi="Arial"/>
          <w:sz w:val="17"/>
          <w:szCs w:val="17"/>
          <w:b w:val="1"/>
          <w:bCs w:val="1"/>
          <w:color w:val="auto"/>
        </w:rPr>
        <w:t>Waiving Major Investor</w:t>
      </w:r>
      <w:r>
        <w:rPr>
          <w:rFonts w:ascii="Arial" w:cs="Arial" w:eastAsia="Arial" w:hAnsi="Arial"/>
          <w:sz w:val="17"/>
          <w:szCs w:val="17"/>
          <w:color w:val="auto"/>
        </w:rPr>
        <w:t>”) and without the Requisite Fidelity Consent, and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29" w:name="page330"/>
    <w:bookmarkEnd w:id="329"/>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Waiving Major Investor then purchases New Securities in such offering, then the Company shall, after such offering, provide each Fidelity Investor with the right to elect to purchase up to the number of New Securities that are allocated for purchase by the Major Investors equal to each such Fidelity Investor’s percentage-ownership position, calculated as set forth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before giving effect to the issuance of such New Securities multiplied by the total number of New Securities that are allocated for purchase by the Major Investors, (e) if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waived with respect to a particular offering of New Securities by the Waiving Major Investors and without the prior written consent of BCIP Life Sciences Associates, LP and Bain Capital Life Sciences Fund II, L.P., and any such Waiving Major Investor then purchases New Securities in such offering, then the Company shall, after such offering, provide BCIP Life Sciences Associates, LP and Bain Capital Life Sciences Fund II, L.P. with the right to elect to purchase up to the number of New Securities that are allocated for purchase by the Major Investors equal to each of BCIP Life Sciences Associates, LP and Bain Capital Life Sciences Fund II, L.P’s percentage-ownership position, calculated as set forth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before giving effect to the issuance of such New Securities multiplied by the total number of New Securities that are allocated for purchase by the Major Investors and (f) if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waived with respect to a particular offering of New Securities by the Waiving Major Investors and without the prior written consent of Redmile Biopharma Investments III, L.P. and RAF, L.P., and any such Waiving Major Investor then purchases New Securities in such offering, then the Company shall, after such offering, provide Redmile Biopharma Investments III, L.P. and RAF, L.P. with the right to elect to purchase up to the number of New Securities that are allocated for purchase by the Major Investors equal to each of Redmile Biopharma Investments III, L.P. and RAF, L.P’s percentage-ownership position, calculated as set forth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before giving effect to the issuance of such New Securities multiplied by the total number of New Securities that are allocated for purchase by the Major Investors. Notwithstanding the foregoing,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be amended by the Company from time to time to add transferees of any Registrable Securities in compliance with the terms of this Agreement without the consent of the other parties; and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Arial" w:cs="Arial" w:eastAsia="Arial" w:hAnsi="Arial"/>
          <w:sz w:val="16"/>
          <w:szCs w:val="16"/>
          <w:u w:val="single" w:color="auto"/>
          <w:color w:val="auto"/>
        </w:rPr>
        <w:t>Subsection 6.9</w:t>
      </w:r>
      <w:r>
        <w:rPr>
          <w:rFonts w:ascii="Arial" w:cs="Arial" w:eastAsia="Arial" w:hAnsi="Arial"/>
          <w:sz w:val="16"/>
          <w:szCs w:val="16"/>
          <w:color w:val="auto"/>
        </w:rPr>
        <w:t xml:space="preserve">. Any amendment, modification,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8"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30" w:name="page331"/>
    <w:bookmarkEnd w:id="330"/>
    <w:p>
      <w:pPr>
        <w:ind w:right="1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6.9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additional shares of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6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7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 hereby irrevocably and unconditionally submit to the jurisdiction of the state courts of the Commonwealth of Massachusetts and to the jurisdiction of the United States District Court for the District of Massachusetts for the purpose of any suit, action or other proceeding arising out of or based upon this Agreement, (b) agree not to commence any suit, action or other proceeding arising out of or based upon this Agreement except in the state courts of the Commonwealth of Massachusetts or the United States District Court for the District of Massachusetts,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31" w:name="page332"/>
    <w:bookmarkEnd w:id="331"/>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Massachusetts Business Trust</w:t>
      </w:r>
      <w:r>
        <w:rPr>
          <w:rFonts w:ascii="Arial" w:cs="Arial" w:eastAsia="Arial" w:hAnsi="Arial"/>
          <w:sz w:val="18"/>
          <w:szCs w:val="18"/>
          <w:color w:val="auto"/>
        </w:rPr>
        <w:t>. A copy of the Declaration of Trust of each Fidelity Investor or any Affiliate thereof is on file with the Secretary of State of the Commonwealth of Massachusetts and notice is hereby given that this Agreement has been executed on behalf of the trustees of such Fidelity Investor or any Affiliate thereof as trustees and not individually and that the obligations of this Agreement are not binding on any of the trustees, officers or stockholders of such Fidelity Investor or any Affiliate thereof individually but are binding only upon such Fidelity Investor or any Affiliate thereof and its assets and property.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32" w:name="page333"/>
    <w:bookmarkEnd w:id="33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ADAGIO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154305</wp:posOffset>
            </wp:positionV>
            <wp:extent cx="2459990" cy="2482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459990" cy="248285"/>
                    </a:xfrm>
                    <a:prstGeom prst="rect">
                      <a:avLst/>
                    </a:prstGeom>
                    <a:noFill/>
                  </pic:spPr>
                </pic:pic>
              </a:graphicData>
            </a:graphic>
          </wp:anchor>
        </w:drawing>
      </w:r>
    </w:p>
    <w:p>
      <w:pPr>
        <w:spacing w:after="0" w:line="37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Tillman U. Gerngross, Ph.D.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33" w:name="page334"/>
    <w:bookmarkEnd w:id="333"/>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 CAPITAL HEALTHCARE FUND,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RA Capital Healthcare Fund GP, LLC, its General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3429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597150" cy="34290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 CAPITAL NEXUS FUND II, L.P.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RA Capital Nexus Fund II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151765</wp:posOffset>
            </wp:positionV>
            <wp:extent cx="2597150" cy="3429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597150" cy="3429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Manager</w:t>
      </w:r>
    </w:p>
    <w:p>
      <w:pPr>
        <w:sectPr>
          <w:pgSz w:w="11900" w:h="16838" w:orient="portrait"/>
          <w:cols w:equalWidth="0" w:num="1">
            <w:col w:w="10940"/>
          </w:cols>
          <w:pgMar w:left="440" w:top="274" w:right="519" w:bottom="1440" w:gutter="0" w:footer="0" w:header="0"/>
        </w:sectPr>
      </w:pPr>
    </w:p>
    <w:bookmarkStart w:id="334" w:name="page335"/>
    <w:bookmarkEnd w:id="33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ADIMAB,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154305</wp:posOffset>
            </wp:positionV>
            <wp:extent cx="2597150" cy="2482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97150" cy="248285"/>
                    </a:xfrm>
                    <a:prstGeom prst="rect">
                      <a:avLst/>
                    </a:prstGeom>
                    <a:noFill/>
                  </pic:spPr>
                </pic:pic>
              </a:graphicData>
            </a:graphic>
          </wp:anchor>
        </w:drawing>
      </w:r>
    </w:p>
    <w:p>
      <w:pPr>
        <w:spacing w:after="0" w:line="37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Tillman U. Gerngross,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35" w:name="page336"/>
    <w:bookmarkEnd w:id="33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FEDERATED HERMES KAUFMANN SMALL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CAP FUND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Federated Global Investment Management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 as attorney-in-fact for Federated Hermes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Kaufmann Small Cap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portfolio of Federated Hermes Equity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142875</wp:posOffset>
            </wp:positionV>
            <wp:extent cx="1791335" cy="2743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Van Meter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and Chief Compliance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FEDERATED HERMES KAUFMANN FUND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Federated Global Investment Management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 as attorney-in-fact for Federated Hermes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Kaufmann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portfolio of Federated Hermes Equity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142875</wp:posOffset>
            </wp:positionV>
            <wp:extent cx="1791335" cy="2743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Van Meter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and Chief Compliance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FEDERATED HERMES KAUFMANN FUND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Federated Global Investment Management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 as attorney-in-fact for Federated Hermes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Kaufmann Fund II,</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portfolio of Federated Hermes Equity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142875</wp:posOffset>
            </wp:positionV>
            <wp:extent cx="1791335" cy="2743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Van Meter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and Chief Compliance Officer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36" w:name="page337"/>
    <w:bookmarkEnd w:id="33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OMEGA FUND VI,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Omega Fund VI GP, L.P., its General Partner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Omega Fund VI GP Manager, Ltd., its General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286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597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Otello Stampacchia</w:t>
      </w:r>
    </w:p>
    <w:p>
      <w:pPr>
        <w:spacing w:after="0" w:line="23" w:lineRule="exact"/>
        <w:rPr>
          <w:sz w:val="20"/>
          <w:szCs w:val="20"/>
          <w:color w:val="auto"/>
        </w:rPr>
      </w:pPr>
    </w:p>
    <w:p>
      <w:pPr>
        <w:ind w:left="6620"/>
        <w:spacing w:after="0"/>
        <w:tabs>
          <w:tab w:leader="none" w:pos="7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ectPr>
          <w:pgSz w:w="11900" w:h="16838" w:orient="portrait"/>
          <w:cols w:equalWidth="0" w:num="1">
            <w:col w:w="10860"/>
          </w:cols>
          <w:pgMar w:left="440" w:top="274" w:right="599" w:bottom="1440" w:gutter="0" w:footer="0" w:header="0"/>
        </w:sectPr>
      </w:pPr>
    </w:p>
    <w:bookmarkStart w:id="337" w:name="page338"/>
    <w:bookmarkEnd w:id="33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MERIDIAN SMALL CAP GROWTH FUND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142875</wp:posOffset>
            </wp:positionV>
            <wp:extent cx="2606040" cy="5568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60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MERIDIAN GROWTH FUND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142875</wp:posOffset>
            </wp:positionV>
            <wp:extent cx="2606040" cy="55689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6060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ARROWMARK FUNDAMENTAL OPPORTUNITY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Partners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159385</wp:posOffset>
            </wp:positionV>
            <wp:extent cx="1568450" cy="548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5684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LOOKFAR INVESTMENTS,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142875</wp:posOffset>
            </wp:positionV>
            <wp:extent cx="2606040" cy="5568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060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ectPr>
          <w:pgSz w:w="11900" w:h="16838" w:orient="portrait"/>
          <w:cols w:equalWidth="0" w:num="1">
            <w:col w:w="10860"/>
          </w:cols>
          <w:pgMar w:left="440" w:top="274" w:right="599" w:bottom="1440" w:gutter="0" w:footer="0" w:header="0"/>
        </w:sectPr>
      </w:pPr>
    </w:p>
    <w:bookmarkStart w:id="338" w:name="page339"/>
    <w:bookmarkEnd w:id="33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CF ASCENT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5568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5971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ARROWMARK LIFE SCIENCE FUND,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5568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971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IRON HORSE INVESTMENT,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5568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971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ectPr>
          <w:pgSz w:w="11900" w:h="16838" w:orient="portrait"/>
          <w:cols w:equalWidth="0" w:num="1">
            <w:col w:w="10860"/>
          </w:cols>
          <w:pgMar w:left="440" w:top="274" w:right="599" w:bottom="1440" w:gutter="0" w:footer="0" w:header="0"/>
        </w:sectPr>
      </w:pPr>
    </w:p>
    <w:bookmarkStart w:id="339" w:name="page340"/>
    <w:bookmarkEnd w:id="339"/>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BAIN CAPITAL LIFE SCIENCES FUND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Bain Capital Life Sciences Investors II, LLC, its general</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Bain Capital Life Sciences Investors,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157480</wp:posOffset>
            </wp:positionV>
            <wp:extent cx="2459990" cy="43688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4599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Hack</w:t>
      </w:r>
    </w:p>
    <w:p>
      <w:pPr>
        <w:spacing w:after="0" w:line="23"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BCIP LIFE SCIENCES ASSOCIATES,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Boylston Coinvestors,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142875</wp:posOffset>
            </wp:positionV>
            <wp:extent cx="865505" cy="4286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655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Hack</w:t>
      </w:r>
    </w:p>
    <w:p>
      <w:pPr>
        <w:spacing w:after="0" w:line="23"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980"/>
          </w:cols>
          <w:pgMar w:left="440" w:top="274" w:right="479" w:bottom="1440" w:gutter="0" w:footer="0" w:header="0"/>
        </w:sectPr>
      </w:pPr>
    </w:p>
    <w:bookmarkStart w:id="340" w:name="page341"/>
    <w:bookmarkEnd w:id="34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SERIES GROWTH COMPANY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142875</wp:posOffset>
            </wp:positionV>
            <wp:extent cx="2459990" cy="419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599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GROWTH COMPANY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142875</wp:posOffset>
            </wp:positionV>
            <wp:extent cx="874395" cy="41148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GROWTH COMPANY COMMINGLED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POOL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Fidelity Management Trust Company,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151765</wp:posOffset>
            </wp:positionV>
            <wp:extent cx="2459990" cy="419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599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GROWTH COMPANY K6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142875</wp:posOffset>
            </wp:positionV>
            <wp:extent cx="874395" cy="4114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SELECT PORTFOLIOS: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142875</wp:posOffset>
            </wp:positionV>
            <wp:extent cx="2459990" cy="419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599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0860"/>
          </w:cols>
          <w:pgMar w:left="440" w:top="274" w:right="599" w:bottom="1440" w:gutter="0" w:footer="0" w:header="0"/>
        </w:sectPr>
      </w:pPr>
    </w:p>
    <w:bookmarkStart w:id="341" w:name="page342"/>
    <w:bookmarkEnd w:id="34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FORESITE CAPITAL FUND 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Foresite Capital Management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142875</wp:posOffset>
            </wp:positionV>
            <wp:extent cx="2459990" cy="419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4599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Dennis D. Ryan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Offer</w:t>
      </w:r>
    </w:p>
    <w:p>
      <w:pPr>
        <w:sectPr>
          <w:pgSz w:w="11900" w:h="16838" w:orient="portrait"/>
          <w:cols w:equalWidth="0" w:num="1">
            <w:col w:w="10860"/>
          </w:cols>
          <w:pgMar w:left="440" w:top="274" w:right="599" w:bottom="1440" w:gutter="0" w:footer="0" w:header="0"/>
        </w:sectPr>
      </w:pPr>
    </w:p>
    <w:bookmarkStart w:id="342" w:name="page343"/>
    <w:bookmarkEnd w:id="34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GC&amp;H INVESTMENTS,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GC&amp;H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151765</wp:posOffset>
            </wp:positionV>
            <wp:extent cx="2597150" cy="1968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97150" cy="196850"/>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Jim Kindler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GC&amp;H INVESTMENTS A1,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GC&amp;H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151765</wp:posOffset>
            </wp:positionV>
            <wp:extent cx="728980" cy="1885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Jim Kindler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43" w:name="page344"/>
    <w:bookmarkEnd w:id="34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GV 2021,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GV 2021 GP,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GV 2021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286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597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Daphne M. Chang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GV 2019,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GV 2019 GP,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GV 2019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286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97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Daphne M. Chang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44" w:name="page345"/>
    <w:bookmarkEnd w:id="34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HASHAM TRADERS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154305</wp:posOffset>
            </wp:positionV>
            <wp:extent cx="2597150" cy="419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Manoj Jaiswal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CFO and Operating Partner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45" w:name="page346"/>
    <w:bookmarkEnd w:id="34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GP LP, its General Partner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UGP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2311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97150" cy="231140"/>
                    </a:xfrm>
                    <a:prstGeom prst="rect">
                      <a:avLst/>
                    </a:prstGeom>
                    <a:noFill/>
                  </pic:spPr>
                </pic:pic>
              </a:graphicData>
            </a:graphic>
          </wp:anchor>
        </w:drawing>
      </w:r>
    </w:p>
    <w:p>
      <w:pPr>
        <w:spacing w:after="0" w:line="32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Ajay Royan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46" w:name="page347"/>
    <w:bookmarkEnd w:id="34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ORBIMED PRIVATE INVESTMENTS VII,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OrbiMed Capital GP VII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Carl Gordon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47" w:name="page348"/>
    <w:bookmarkEnd w:id="347"/>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PARTNERS IX,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Partners GP IX,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POLARIS VENTURE PARTNERS FOUNDERS’ FUND</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Attorney-in-Fact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VENTURE PARTNERS 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 xml:space="preserve">[ </w:t>
      </w:r>
      <w:r>
        <w:rPr>
          <w:sz w:val="1"/>
          <w:szCs w:val="1"/>
          <w:color w:val="auto"/>
        </w:rPr>
        <w:drawing>
          <wp:inline distT="0" distB="0" distL="0" distR="0">
            <wp:extent cx="1045845" cy="41148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45845" cy="4114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10160</wp:posOffset>
            </wp:positionV>
            <wp:extent cx="259715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Attorney-in-Fact</w:t>
      </w:r>
    </w:p>
    <w:p>
      <w:pPr>
        <w:sectPr>
          <w:pgSz w:w="11900" w:h="16838" w:orient="portrait"/>
          <w:cols w:equalWidth="0" w:num="1">
            <w:col w:w="10980"/>
          </w:cols>
          <w:pgMar w:left="440" w:top="274" w:right="479" w:bottom="1440" w:gutter="0" w:footer="0" w:header="0"/>
        </w:sectPr>
      </w:pPr>
    </w:p>
    <w:bookmarkStart w:id="348" w:name="page349"/>
    <w:bookmarkEnd w:id="34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VENTURE PARTNERS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ENTREPRENEURS’ FUND V,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-121920</wp:posOffset>
            </wp:positionV>
            <wp:extent cx="2597150" cy="419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Attorney-in-Fact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VENTURE PARTNERS SPECIAL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FOUNDERS’ FUND V,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-121920</wp:posOffset>
            </wp:positionV>
            <wp:extent cx="2597150" cy="419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Attorney-in-Fact</w:t>
      </w:r>
    </w:p>
    <w:p>
      <w:pPr>
        <w:sectPr>
          <w:pgSz w:w="11900" w:h="16838" w:orient="portrait"/>
          <w:cols w:equalWidth="0" w:num="1">
            <w:col w:w="10860"/>
          </w:cols>
          <w:pgMar w:left="440" w:top="274" w:right="599" w:bottom="1440" w:gutter="0" w:footer="0" w:header="0"/>
        </w:sectPr>
      </w:pPr>
    </w:p>
    <w:bookmarkStart w:id="349" w:name="page350"/>
    <w:bookmarkEnd w:id="349"/>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POPULATION HEALTH EQUITY PARTNERS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Population Health Equity Partners III GP, LLC, its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2654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97150" cy="265430"/>
                    </a:xfrm>
                    <a:prstGeom prst="rect">
                      <a:avLst/>
                    </a:prstGeom>
                    <a:noFill/>
                  </pic:spPr>
                </pic:pic>
              </a:graphicData>
            </a:graphic>
          </wp:anchor>
        </w:drawing>
      </w:r>
    </w:p>
    <w:p>
      <w:pPr>
        <w:spacing w:after="0" w:line="3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Cox</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000"/>
          </w:cols>
          <w:pgMar w:left="440" w:top="274" w:right="459" w:bottom="1440" w:gutter="0" w:footer="0" w:header="0"/>
        </w:sectPr>
      </w:pPr>
    </w:p>
    <w:bookmarkStart w:id="350" w:name="page351"/>
    <w:bookmarkEnd w:id="35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POPULATION HEALTH EQUITY PARTNERS VII,</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Population Health Equity Partners VII GP, LLC, its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2654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97150" cy="265430"/>
                    </a:xfrm>
                    <a:prstGeom prst="rect">
                      <a:avLst/>
                    </a:prstGeom>
                    <a:noFill/>
                  </pic:spPr>
                </pic:pic>
              </a:graphicData>
            </a:graphic>
          </wp:anchor>
        </w:drawing>
      </w:r>
    </w:p>
    <w:p>
      <w:pPr>
        <w:spacing w:after="0" w:line="3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Cox</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860"/>
          </w:cols>
          <w:pgMar w:left="440" w:top="274" w:right="599" w:bottom="1440" w:gutter="0" w:footer="0" w:header="0"/>
        </w:sectPr>
      </w:pPr>
    </w:p>
    <w:bookmarkStart w:id="351" w:name="page352"/>
    <w:bookmarkEnd w:id="35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REDMILE BIOPHARMA INVESTMENTS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Redmile Biopharma Investments III (GP), LLC, its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Joshua Garcia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RAF,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RAF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151765</wp:posOffset>
            </wp:positionV>
            <wp:extent cx="2597150" cy="419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Joshua Garcia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52" w:name="page353"/>
    <w:bookmarkEnd w:id="352"/>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HEALTHCARE TECHNOLOGY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OPPORTUNITIES FUND,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Polaris Healthcare Technology Opportunities Fund GP,</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80"/>
          </w:cols>
          <w:pgMar w:left="440" w:top="274" w:right="579" w:bottom="1440" w:gutter="0" w:footer="0" w:header="0"/>
        </w:sectPr>
      </w:pPr>
    </w:p>
    <w:bookmarkStart w:id="353" w:name="page354"/>
    <w:bookmarkEnd w:id="353"/>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and Address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Adimab,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Fidelity Mt. Vernon Street Trust: Fidelity Growth Company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Fidelity Growth Company Commingled Pool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Fidelity Mt. Vernon Street Trust: Fidelity Growth Company K6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4819"/>
        <w:spacing w:after="0" w:line="277" w:lineRule="auto"/>
        <w:rPr>
          <w:sz w:val="20"/>
          <w:szCs w:val="20"/>
          <w:color w:val="auto"/>
        </w:rPr>
      </w:pPr>
      <w:r>
        <w:rPr>
          <w:rFonts w:ascii="Arial" w:cs="Arial" w:eastAsia="Arial" w:hAnsi="Arial"/>
          <w:sz w:val="18"/>
          <w:szCs w:val="18"/>
          <w:color w:val="auto"/>
        </w:rPr>
        <w:t>Fidelity Mt. Vernon Street Trust: Fidelity Series Growth Company Fund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Fidelity Select Portfolios: Biotechnology Portfolio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Jeffrey E. Florman,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GV 2021,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GV 2019,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MRL Ventures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Mithril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M28 Capital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Veltro Argento,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OrbiMed Private Investments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Polaris Partners IX,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Polaris Venture Partners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Polaris Venture Partners Entrepreneurs’ Fund V,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Polaris Venture Partners Founders’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Polaris Venture Partners Special Founders’ Fund V,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Polaris Healthcare Technology Opportunities Fund,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VP Company Investments 2018,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Dikigoros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Paul G. Ambrose, Pharm.D.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Matthew R. Conway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Tim Downing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Yaroslav Faybishenko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Sabah Oney,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Andrew Siegel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Omega Fund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Population Health Equity Partners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Population Health Equity Partners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 Capital NEXUS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GC&amp;H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GC&amp;H Investments A1,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Bain Capital Life Sciences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BCIP Life Sciences Associates,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Redmile Biopharma Investments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RAF,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Hasham Traders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Meridian Small Cap Growth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Meridian Growth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ArrowMark Fundamental Opportunity Fund,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Lookfar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CF Ascent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ArrowMark Life Science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Iron Horse Investment,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Foresite Capital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Federated Hermes Kaufmann Small Cap Fund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Federated Hermes Kaufmann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Federated Hermes Kaufmann Fund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2020 EQUITY INCENTIVE PLAN</w:t>
      </w:r>
    </w:p>
    <w:p>
      <w:pPr>
        <w:spacing w:after="0" w:line="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purpose of the Plan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Capitalized terms used in the Plan are defined in Article XI below.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DELEGATION.</w:t>
      </w:r>
    </w:p>
    <w:p>
      <w:pPr>
        <w:spacing w:after="0" w:line="21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will be administered by the Administrator. The Administrator shall have authority to determine which Service Providers will receive Awards, to grant Awards and to set all terms and conditions of Awards (including, but not limited to, vesting, exercise and forfeiture provisions). In addition, the Administrator shall have the authority to take all actions and make all determinations contemplated by the Plan and to adopt, amend and repeal such administrative rules, guidelines and practices relating to the Plan as it shall deem advisable. The Administrator may correct any defect or ambiguity, supply any omission or reconcile any inconsistency in the Plan or any Award in the manner and to the extent it shall deem necessary or appropriate to carry the Plan and any Awards into effect, as determined by the Administrator. The Administrator shall make all determinations under the Plan in the Administrator’s sole discretion and all such determinations shall be final and binding on all persons having or claiming any interest in the Plan or in any Award.</w:t>
      </w:r>
    </w:p>
    <w:p>
      <w:pPr>
        <w:spacing w:after="0" w:line="192"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Appointment of Committees</w:t>
      </w:r>
      <w:r>
        <w:rPr>
          <w:rFonts w:ascii="Arial" w:cs="Arial" w:eastAsia="Arial" w:hAnsi="Arial"/>
          <w:sz w:val="17"/>
          <w:szCs w:val="17"/>
          <w:i w:val="1"/>
          <w:iCs w:val="1"/>
          <w:color w:val="auto"/>
        </w:rPr>
        <w:t>.</w:t>
      </w:r>
      <w:r>
        <w:rPr>
          <w:rFonts w:ascii="Arial" w:cs="Arial" w:eastAsia="Arial" w:hAnsi="Arial"/>
          <w:sz w:val="17"/>
          <w:szCs w:val="17"/>
          <w:color w:val="auto"/>
        </w:rPr>
        <w:t xml:space="preserve"> To the extent permitted by Applicable Laws, the Board may delegate any or all of its powers under the Plan to one or more Committees. The Board may abolish any Committee at any time and re-vest in itself any previously delegated authority.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AVAILABLE FOR AWARDS.</w:t>
      </w:r>
    </w:p>
    <w:p>
      <w:pPr>
        <w:spacing w:after="0" w:line="21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Number of Shares</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adjustment under Article VIII hereof, Awards may be made under the Plan covering up to 1,985,294 shares of Common Stock. If any Award expires or lapses or is terminated, surrendered or canceled without having been fully exercised or is forfeited in whole or in part (including, without limitation,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without limitation, shares retained by the</w:t>
      </w:r>
    </w:p>
    <w:p>
      <w:pPr>
        <w:sectPr>
          <w:pgSz w:w="11900" w:h="16838" w:orient="portrait"/>
          <w:cols w:equalWidth="0" w:num="1">
            <w:col w:w="11020"/>
          </w:cols>
          <w:pgMar w:left="440" w:top="121" w:right="439" w:bottom="1440" w:gutter="0" w:footer="0" w:header="0"/>
        </w:sectPr>
      </w:pPr>
    </w:p>
    <w:bookmarkStart w:id="358" w:name="page359"/>
    <w:bookmarkEnd w:id="358"/>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from the Award being exercised or purchased and/or creating the tax obligation) shall be added to the number of shares of Common Stock available for the grant of Awards under the Plan. However, in the case of Incentive Stock Options,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Substitute Awards</w:t>
      </w:r>
      <w:r>
        <w:rPr>
          <w:rFonts w:ascii="Arial" w:cs="Arial" w:eastAsia="Arial" w:hAnsi="Arial"/>
          <w:sz w:val="17"/>
          <w:szCs w:val="17"/>
          <w:color w:val="auto"/>
        </w:rPr>
        <w:t>. In connection with a merger or consolidation of an entity with the Company or the acquisition by the Company of property or stock of an entity, the Administrator may grant Awards in substitution for any options or other stock or stock-based awards granted prior to such merger or consolidation by such entity or an affiliate thereof. Substitute Awards may be granted on such terms as the Administrator deems appropriate in the circumstances, notwithstanding any limitations on Awards contained in the Plan. Substitute Awards shall not count against the overall share limit set forth in Section 4.1 hereof, except as may be required by reason of Section 422 of the Code.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Options to any Service Provider, subject to the limitations on Incentive Stock Options described below. The Administrator shall determine the number of shares of Common Stock to be covered by each Option, the exercise price of each Option and the conditions and limitations applicable to the exercise of each Option, including, without limitation, conditions relating to Applicable Laws, as it considers necessary or advisable.</w:t>
      </w:r>
    </w:p>
    <w:p>
      <w:pPr>
        <w:spacing w:after="0" w:line="187"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Incentive Stock Options</w:t>
      </w:r>
      <w:r>
        <w:rPr>
          <w:rFonts w:ascii="Arial" w:cs="Arial" w:eastAsia="Arial" w:hAnsi="Arial"/>
          <w:sz w:val="17"/>
          <w:szCs w:val="17"/>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All Options intended to qualify as Incentive Stock Options shall be subject to and shall be construed consistently with the requirements of Section 422 of the Code. Neither the Company nor the Administrator shall have any liability to a Participant, or any other party, (i) if an Option (or any part thereof) which is intended to qualify as an Incentive Stock Option fails to qualify as an Incentive Stock Option or (ii) for any action or omission by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Any Option that is intended to qualify as an Incentive Stock Option, but fails to so qualify for any reason, including, without limitation, the portion of any Option becoming exercisable in excess of the $100,000 limitation described in Treasury Regulation Section 1.422-4, shall be treated as a Non-Qualified Stock Option for all purposes.</w:t>
      </w:r>
    </w:p>
    <w:p>
      <w:pPr>
        <w:spacing w:after="0" w:line="182"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Exercise Price</w:t>
      </w:r>
      <w:r>
        <w:rPr>
          <w:rFonts w:ascii="Arial" w:cs="Arial" w:eastAsia="Arial" w:hAnsi="Arial"/>
          <w:sz w:val="18"/>
          <w:szCs w:val="18"/>
          <w:color w:val="auto"/>
        </w:rPr>
        <w:t>. The Administrator shall establish the exercise price of each Option and specify the exercise price in the applicable Award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per share exercise price shall be no less than 110% of the Fair Market Value on the date the Option is granted.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59" w:name="page360"/>
    <w:bookmarkEnd w:id="359"/>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Duration of Options</w:t>
      </w:r>
      <w:r>
        <w:rPr>
          <w:rFonts w:ascii="Arial" w:cs="Arial" w:eastAsia="Arial" w:hAnsi="Arial"/>
          <w:sz w:val="17"/>
          <w:szCs w:val="17"/>
          <w:color w:val="auto"/>
        </w:rPr>
        <w:t>. Each Option shall be exercisable at such times and subject to such terms and conditions as the Administrator may specify in the applicable Award Agreement, provided that the term of any Option shall not exceed ten years.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term of the Option shall not exceed five years.</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Exercise of Option; Notification of Disposition</w:t>
      </w:r>
      <w:r>
        <w:rPr>
          <w:rFonts w:ascii="Arial" w:cs="Arial" w:eastAsia="Arial" w:hAnsi="Arial"/>
          <w:sz w:val="17"/>
          <w:szCs w:val="17"/>
          <w:color w:val="auto"/>
        </w:rPr>
        <w:t>. Options may be exercised by delivery to the Company of a written notice of exercise, in a form approved by the Administrator (which may be an electronic form), signed by the person authorized to exercise the Option, together with payment in full (i) as specified in Section 5.6 hereof for the number of shares for which the Option is exercised and (ii) as specified in Section 9.5 hereof for any applicable withholding taxes. Unless otherwise determined by the Administrator, an Option may not be exercised for a fraction of a share of Common Stock.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Change in Control). Such notice shall specify the date of such disposition or other transfer and the amount realized, in cash, other property, assumption of indebtedness or other consideration, by the Participant in such disposition or other transfer.</w:t>
      </w:r>
    </w:p>
    <w:p>
      <w:pPr>
        <w:spacing w:after="0" w:line="18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Common Stock purchased upon the exercise of an Option granted under the Plan shall be paid for in cash, by wire transfer of immediately available funds or by check, payable to the order of the Company, or, subject to Section 10.8, any Company insider trading policy (including, without limitation, any blackout periods) and Applicable Laws, by:</w:t>
      </w:r>
    </w:p>
    <w:p>
      <w:pPr>
        <w:spacing w:after="0" w:line="76" w:lineRule="exact"/>
        <w:rPr>
          <w:sz w:val="20"/>
          <w:szCs w:val="20"/>
          <w:color w:val="auto"/>
        </w:rPr>
      </w:pPr>
    </w:p>
    <w:p>
      <w:pPr>
        <w:ind w:firstLine="436"/>
        <w:spacing w:after="0" w:line="257" w:lineRule="auto"/>
        <w:tabs>
          <w:tab w:leader="none" w:pos="6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the Company is a Publicly Listed Company, unless the Administrator otherwise determines, (A) delivery of an irrevocable and unconditional undertaking by a broker acceptable to the Company to deliver promptly to the Company sufficient funds to pay the exercise price, or (B) delivery by the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w:t>
      </w:r>
    </w:p>
    <w:p>
      <w:pPr>
        <w:spacing w:after="0" w:line="187" w:lineRule="exact"/>
        <w:rPr>
          <w:rFonts w:ascii="Arial" w:cs="Arial" w:eastAsia="Arial" w:hAnsi="Arial"/>
          <w:sz w:val="18"/>
          <w:szCs w:val="18"/>
          <w:color w:val="auto"/>
        </w:rPr>
      </w:pPr>
    </w:p>
    <w:p>
      <w:pPr>
        <w:ind w:right="20" w:firstLine="436"/>
        <w:spacing w:after="0" w:line="279" w:lineRule="auto"/>
        <w:tabs>
          <w:tab w:leader="none" w:pos="695"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the extent permitted by the Administrator, delivery (either by actual delivery or attestation) of shares of Common Stock owned by the Participant valued at their Fair Market Value, provided (A) such method of payment is then permitted under Applicable Laws, (B) such Common Stock, if acquired directly from the Company, was owned by the Participant for such minimum period of time, if any, as may be established by the Company at any time, and (C) such Common Stock is not subject to any repurchase, forfeiture, unfulfilled vesting or other similar requirements;</w:t>
      </w:r>
    </w:p>
    <w:p>
      <w:pPr>
        <w:spacing w:after="0" w:line="171" w:lineRule="exact"/>
        <w:rPr>
          <w:rFonts w:ascii="Arial" w:cs="Arial" w:eastAsia="Arial" w:hAnsi="Arial"/>
          <w:sz w:val="17"/>
          <w:szCs w:val="17"/>
          <w:color w:val="auto"/>
        </w:rPr>
      </w:pPr>
    </w:p>
    <w:p>
      <w:pPr>
        <w:ind w:right="180" w:firstLine="436"/>
        <w:spacing w:after="0" w:line="277" w:lineRule="auto"/>
        <w:tabs>
          <w:tab w:leader="none" w:pos="6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of Common Stock then issuable upon exercise of the Option valued at their Fair Market Value on the date of exercise;</w:t>
      </w:r>
    </w:p>
    <w:p>
      <w:pPr>
        <w:spacing w:after="0" w:line="170" w:lineRule="exact"/>
        <w:rPr>
          <w:rFonts w:ascii="Arial" w:cs="Arial" w:eastAsia="Arial" w:hAnsi="Arial"/>
          <w:sz w:val="18"/>
          <w:szCs w:val="18"/>
          <w:color w:val="auto"/>
        </w:rPr>
      </w:pPr>
    </w:p>
    <w:p>
      <w:pPr>
        <w:ind w:right="420" w:firstLine="436"/>
        <w:spacing w:after="0" w:line="277" w:lineRule="auto"/>
        <w:tabs>
          <w:tab w:leader="none" w:pos="69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of the Participant to the Company on terms determined by the Administrator;</w:t>
      </w:r>
    </w:p>
    <w:p>
      <w:pPr>
        <w:spacing w:after="0" w:line="170" w:lineRule="exact"/>
        <w:rPr>
          <w:rFonts w:ascii="Arial" w:cs="Arial" w:eastAsia="Arial" w:hAnsi="Arial"/>
          <w:sz w:val="18"/>
          <w:szCs w:val="18"/>
          <w:color w:val="auto"/>
        </w:rPr>
      </w:pPr>
    </w:p>
    <w:p>
      <w:pPr>
        <w:ind w:right="460" w:firstLine="436"/>
        <w:spacing w:after="0" w:line="277" w:lineRule="auto"/>
        <w:tabs>
          <w:tab w:leader="none" w:pos="68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property of any other kind which constitutes good and valuable consideration as determined by the Administrator; or</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any combination of the above permitted forms of payment (including, without limitation, cash or check).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60" w:name="page361"/>
    <w:bookmarkEnd w:id="360"/>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5.7 </w:t>
      </w:r>
      <w:r>
        <w:rPr>
          <w:rFonts w:ascii="Arial" w:cs="Arial" w:eastAsia="Arial" w:hAnsi="Arial"/>
          <w:sz w:val="18"/>
          <w:szCs w:val="18"/>
          <w:u w:val="single" w:color="auto"/>
          <w:color w:val="auto"/>
        </w:rPr>
        <w:t>Early Exercise of Options</w:t>
      </w:r>
      <w:r>
        <w:rPr>
          <w:rFonts w:ascii="Arial" w:cs="Arial" w:eastAsia="Arial" w:hAnsi="Arial"/>
          <w:sz w:val="18"/>
          <w:szCs w:val="18"/>
          <w:color w:val="auto"/>
        </w:rPr>
        <w:t>. The Administrator may provide in the terms of an Award Agreement that the Service Provider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21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Restricted Stock, or the right to purchase Restricted Stock, to any Service Provider, subject to the right of the Company to repurchase all or part of such shares at their issue price or other stated or formula price from the Participant (or to require forfeiture of such shares if issued at no cost) in the event that conditions specified by the Administrator in the applicable Award Agreement are not satisfied prior to the end of the applicable restriction period or periods established by the Administrator for such Award. In addition, the Administrator may grant to Service Providers Restricted Stock Units, which may be subject to vesting and forfeiture conditions during applicable restriction period or periods, as set forth in an applicable Award Agreement.</w:t>
      </w:r>
    </w:p>
    <w:p>
      <w:pPr>
        <w:spacing w:after="0" w:line="192"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Terms and Conditions for All Restricted Stock and Restricted Stock Unit Awards</w:t>
      </w:r>
      <w:r>
        <w:rPr>
          <w:rFonts w:ascii="Arial" w:cs="Arial" w:eastAsia="Arial" w:hAnsi="Arial"/>
          <w:sz w:val="18"/>
          <w:szCs w:val="18"/>
          <w:color w:val="auto"/>
        </w:rPr>
        <w:t>. The Administrator shall determine and set forth in the applicable Award Agreement the terms and conditions applicable to each Restricted Stock and Restricted Stock Unit Award, including, without limitation, the conditions for vesting and repurchase (or forfeiture) and the issue price, in each case, if 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53" w:lineRule="auto"/>
        <w:tabs>
          <w:tab w:leader="none" w:pos="685"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Participants holding shares of Restricted Stock will be entitled to all ordinary cash dividends paid with respect to such shares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such dividends have a record date that is on or after the date on which the Participant to whom such Restricted Stock is granted becomes the record holder of such Restricted Stock, unless otherwise provided by the Administrator in the applicable Award Agreement. In addition,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in no event later than the end of the calendar year in which the dividends are paid to stockholders of that class of stock or, if later, the 15th day of the third month following the later of (A) the date the dividends are paid to stockholders of that class of stock, and (B) the date the dividends are no longer subject to forfeiture.</w:t>
      </w:r>
    </w:p>
    <w:p>
      <w:pPr>
        <w:spacing w:after="0" w:line="196"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Stock Certificates. </w:t>
      </w:r>
      <w:r>
        <w:rPr>
          <w:rFonts w:ascii="Arial" w:cs="Arial" w:eastAsia="Arial" w:hAnsi="Arial"/>
          <w:sz w:val="18"/>
          <w:szCs w:val="18"/>
          <w:color w:val="auto"/>
        </w:rPr>
        <w:t>The Company may require that any stock certificates issued in respect of shares of Restricted Stock be deposited in escrow</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Participant, together with a stock power endorsed in blank, with the Company (or its designee).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Additional Provisions Relating to Restricted Stock Units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7" w:lineRule="auto"/>
        <w:tabs>
          <w:tab w:leader="none" w:pos="685"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Settlement. </w:t>
      </w:r>
      <w:r>
        <w:rPr>
          <w:rFonts w:ascii="Arial" w:cs="Arial" w:eastAsia="Arial" w:hAnsi="Arial"/>
          <w:sz w:val="18"/>
          <w:szCs w:val="18"/>
          <w:color w:val="auto"/>
        </w:rPr>
        <w:t>Upon the vesting of a Restricted Stock Unit, the Participant shall be entitled to receive from the Company one share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an amount of cash or other property equal to the Fair Market Value of one share of Common Stock on the settlement date, as the Administrator shall determine and as provided in the applicable Award Agreement. The Administrator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61" w:name="page362"/>
    <w:bookmarkEnd w:id="361"/>
    <w:p>
      <w:pPr>
        <w:ind w:right="440" w:firstLine="436"/>
        <w:spacing w:after="0" w:line="277" w:lineRule="auto"/>
        <w:tabs>
          <w:tab w:leader="none" w:pos="695"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Voting Rights. </w:t>
      </w:r>
      <w:r>
        <w:rPr>
          <w:rFonts w:ascii="Arial" w:cs="Arial" w:eastAsia="Arial" w:hAnsi="Arial"/>
          <w:sz w:val="18"/>
          <w:szCs w:val="18"/>
          <w:color w:val="auto"/>
        </w:rPr>
        <w:t>A Participant shall have no voting rights with respect to any Restricted Stock Units unless and until shares are delivered in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thereof.</w:t>
      </w:r>
    </w:p>
    <w:p>
      <w:pPr>
        <w:spacing w:after="0" w:line="170" w:lineRule="exact"/>
        <w:rPr>
          <w:rFonts w:ascii="Arial" w:cs="Arial" w:eastAsia="Arial" w:hAnsi="Arial"/>
          <w:sz w:val="18"/>
          <w:szCs w:val="18"/>
          <w:color w:val="auto"/>
        </w:rPr>
      </w:pPr>
    </w:p>
    <w:p>
      <w:pPr>
        <w:ind w:firstLine="436"/>
        <w:spacing w:after="0" w:line="257" w:lineRule="auto"/>
        <w:tabs>
          <w:tab w:leader="none" w:pos="685" w:val="left"/>
        </w:tabs>
        <w:numPr>
          <w:ilvl w:val="0"/>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To the extent provided by the Administrator, a grant of Restricted Stock Units may provide a Participant with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Administrator, subject, in each case, to such terms and conditions as the Administrator shall establish and set forth in the applicable Award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Other Stock-Based Awards may be granted hereunder to Participants, including, without limitation, Awards entitling Participants to receive shares of Common Stock to be delivered in the future. Such Other Stock-Based Awards shall also be available as a form of payment in the settlement of other Awards granted under the Plan, as stand-alone payments and/or as payment in lieu of compensation to which a Participant is otherwise entitled. Other Stock-Based Awards may be paid in shares of Common Stock, cash or other property, as the Administrator shall determine. Subject to the provisions of the Plan, the Administrator shall determine the terms and conditions of each Other Stock-Based Award, including, without limitation, any purchase price, transfer restrictions, vesting conditions and other terms and conditions applicable thereto, which shall be set forth in the applicable Award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FOR CHANGES IN COMMON STOCK AND CERTAIN OTHER EVENTS.</w:t>
      </w:r>
    </w:p>
    <w:p>
      <w:pPr>
        <w:spacing w:after="0" w:line="211"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Certain Transactions or Events</w:t>
      </w:r>
      <w:r>
        <w:rPr>
          <w:rFonts w:ascii="Arial" w:cs="Arial" w:eastAsia="Arial" w:hAnsi="Arial"/>
          <w:sz w:val="16"/>
          <w:szCs w:val="16"/>
          <w:color w:val="auto"/>
        </w:rPr>
        <w:t>. In the event that the Administrator determines that any dividend or other distribution (whether in the form of cash, Common Stock, other securities, or other property), reorganization, merger, consolidation, combination, repurchase, recapitalization, liquidation, dissolution, or sale, transfer, exchange or other disposition of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may, in such manner as it may deem equitable, adjust any or all of:</w:t>
      </w:r>
    </w:p>
    <w:p>
      <w:pPr>
        <w:spacing w:after="0" w:line="58" w:lineRule="exact"/>
        <w:rPr>
          <w:sz w:val="20"/>
          <w:szCs w:val="20"/>
          <w:color w:val="auto"/>
        </w:rPr>
      </w:pPr>
    </w:p>
    <w:p>
      <w:pPr>
        <w:jc w:val="both"/>
        <w:ind w:right="280" w:firstLine="436"/>
        <w:spacing w:after="0" w:line="342" w:lineRule="auto"/>
        <w:tabs>
          <w:tab w:leader="none" w:pos="68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number and kind of shares of Common Stock (or other securities or property) with respect to which Awards may be granted or awarded (including, but not limited to, adjustments of the limitations in Section 4.1 hereof on the maximum number and kind of shares which may be issued);</w:t>
      </w:r>
    </w:p>
    <w:p>
      <w:pPr>
        <w:spacing w:after="0" w:line="123" w:lineRule="exact"/>
        <w:rPr>
          <w:rFonts w:ascii="Arial" w:cs="Arial" w:eastAsia="Arial" w:hAnsi="Arial"/>
          <w:sz w:val="16"/>
          <w:szCs w:val="16"/>
          <w:color w:val="auto"/>
        </w:rPr>
      </w:pPr>
    </w:p>
    <w:p>
      <w:pPr>
        <w:ind w:left="700" w:hanging="264"/>
        <w:spacing w:after="0"/>
        <w:tabs>
          <w:tab w:leader="none" w:pos="7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Awards;</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grant or exercise price with respect to any Award; and</w:t>
      </w:r>
    </w:p>
    <w:p>
      <w:pPr>
        <w:spacing w:after="0" w:line="225"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terms and conditions of any Awards (including, without limitation, any applicable financial or other performance “targets” specified in an Award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62" w:name="page363"/>
    <w:bookmarkEnd w:id="362"/>
    <w:p>
      <w:pPr>
        <w:ind w:right="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Arial" w:cs="Arial" w:eastAsia="Arial" w:hAnsi="Arial"/>
          <w:sz w:val="16"/>
          <w:szCs w:val="16"/>
          <w:u w:val="single" w:color="auto"/>
          <w:color w:val="auto"/>
        </w:rPr>
        <w:t>Additional Transactions or Events</w:t>
      </w:r>
      <w:r>
        <w:rPr>
          <w:rFonts w:ascii="Arial" w:cs="Arial" w:eastAsia="Arial" w:hAnsi="Arial"/>
          <w:sz w:val="16"/>
          <w:szCs w:val="16"/>
          <w:color w:val="auto"/>
        </w:rPr>
        <w:t>. In the event of any transaction or event described in Section 8.1 hereof (including, without limitation any change in control) or any unusual or nonrecurring transaction or event affecting the Company or the financial statements or financial condition of the Company, or any change in any Applicable Laws or accounting principles, the Administrator, on such terms and conditions as it deems appropriate, either by the terms of the Award or by action taken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58" w:lineRule="exact"/>
        <w:rPr>
          <w:sz w:val="20"/>
          <w:szCs w:val="20"/>
          <w:color w:val="auto"/>
        </w:rPr>
      </w:pPr>
    </w:p>
    <w:p>
      <w:pPr>
        <w:ind w:right="100" w:firstLine="436"/>
        <w:spacing w:after="0" w:line="257" w:lineRule="auto"/>
        <w:tabs>
          <w:tab w:leader="none" w:pos="68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vested portion of such Award may be terminated without payment;</w:t>
      </w:r>
    </w:p>
    <w:p>
      <w:pPr>
        <w:spacing w:after="0" w:line="187"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ind w:firstLine="436"/>
        <w:spacing w:after="0" w:line="286" w:lineRule="auto"/>
        <w:tabs>
          <w:tab w:leader="none" w:pos="682"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65" w:lineRule="exact"/>
        <w:rPr>
          <w:rFonts w:ascii="Arial" w:cs="Arial" w:eastAsia="Arial" w:hAnsi="Arial"/>
          <w:sz w:val="17"/>
          <w:szCs w:val="17"/>
          <w:color w:val="auto"/>
        </w:rPr>
      </w:pPr>
    </w:p>
    <w:p>
      <w:pPr>
        <w:ind w:right="480" w:firstLine="436"/>
        <w:spacing w:after="0" w:line="342" w:lineRule="auto"/>
        <w:tabs>
          <w:tab w:leader="none" w:pos="69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To make adjustments in the number and type of shares of Common Stock (or other securities or property) subject to outstanding Awards, and/or in the terms and conditions of (including, without limitation, the grant or exercise price), and the criteria included in, outstanding Awards;</w:t>
      </w:r>
    </w:p>
    <w:p>
      <w:pPr>
        <w:spacing w:after="0" w:line="123" w:lineRule="exact"/>
        <w:rPr>
          <w:rFonts w:ascii="Arial" w:cs="Arial" w:eastAsia="Arial" w:hAnsi="Arial"/>
          <w:sz w:val="16"/>
          <w:szCs w:val="16"/>
          <w:color w:val="auto"/>
        </w:rPr>
      </w:pPr>
    </w:p>
    <w:p>
      <w:pPr>
        <w:ind w:right="380" w:firstLine="436"/>
        <w:spacing w:after="0" w:line="277" w:lineRule="auto"/>
        <w:tabs>
          <w:tab w:leader="none" w:pos="68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 (f) To provide that the Award will terminate and cannot vest, be exercised or become payable after the applicable event.</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Equity Restructurings</w:t>
      </w:r>
      <w:r>
        <w:rPr>
          <w:rFonts w:ascii="Arial" w:cs="Arial" w:eastAsia="Arial" w:hAnsi="Arial"/>
          <w:sz w:val="18"/>
          <w:szCs w:val="18"/>
          <w:color w:val="auto"/>
        </w:rPr>
        <w:t>. In connection with the occurrence of any Equity Restructuring, and notwithstanding anything to the contrary in this Article VIII, the Administrator will equitably adjust each outstanding Award, which adjustments may include adjustments to the number and type of securities subject to each outstanding Award and/or the exercise price or grant price thereof, if applicable, the grant of new Awards to Participants, and/or the making of a cash payment to Participants, as the Administrator deems appropriate to reflect such Equity Restructuring. The adjustments provided under this Section shall be nondiscretionary and shall be final and binding on the affected Participant and the Company; provided that whether an adjustment is equitable shall be determined by the Administrator.</w:t>
      </w:r>
    </w:p>
    <w:p>
      <w:pPr>
        <w:spacing w:after="0" w:line="192"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Administrative Stand Still</w:t>
      </w:r>
      <w:r>
        <w:rPr>
          <w:rFonts w:ascii="Arial" w:cs="Arial" w:eastAsia="Arial" w:hAnsi="Arial"/>
          <w:sz w:val="16"/>
          <w:szCs w:val="16"/>
          <w:color w:val="auto"/>
        </w:rPr>
        <w:t>. In the event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without limitation, any Equity Restructuring, for reasons of administrative convenience the Administrator may refuse to permit the exercise of any Award during a period of up to thirty days prior to the consummation of any such transaction.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63" w:name="page364"/>
    <w:bookmarkEnd w:id="363"/>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8.5 </w:t>
      </w:r>
      <w:r>
        <w:rPr>
          <w:rFonts w:ascii="Arial" w:cs="Arial" w:eastAsia="Arial" w:hAnsi="Arial"/>
          <w:sz w:val="17"/>
          <w:szCs w:val="17"/>
          <w:u w:val="single" w:color="auto"/>
          <w:color w:val="auto"/>
        </w:rPr>
        <w:t>Miscellaneous</w:t>
      </w:r>
      <w:r>
        <w:rPr>
          <w:rFonts w:ascii="Arial" w:cs="Arial" w:eastAsia="Arial" w:hAnsi="Arial"/>
          <w:sz w:val="17"/>
          <w:szCs w:val="17"/>
          <w:color w:val="auto"/>
        </w:rPr>
        <w:t>. Except as expressly provided in the Plan or pursuant to action of the Administrator under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Common Stock subject to an Award or the grant or exercise price of any Award. The existence of the Plan, any Award Agreements and the Awards granted hereunder shall not affect or restrict in any way the right or power of the Company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without limitation, securities with rights superior to those of the Common Stock or which are convertible into or exchangeable for Common Stock. The Administrator may treat Participants and Awards (or portions thereof) differently under this Article VIII.</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21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the Administrator may otherwise determine or provide in an Award Agreement or otherwise, in any case in accordance with Applicable Laws, Awards, including any interest therein, may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an Award Agreement, which may be in such form (written, electronic or otherwise) as the Administrator shall determine. Each Award may contain terms and conditions in addition to those set forth in the Plan.</w:t>
      </w:r>
    </w:p>
    <w:p>
      <w:pPr>
        <w:spacing w:after="0" w:line="170"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Discretion</w:t>
      </w:r>
      <w:r>
        <w:rPr>
          <w:rFonts w:ascii="Arial" w:cs="Arial" w:eastAsia="Arial" w:hAnsi="Arial"/>
          <w:sz w:val="16"/>
          <w:szCs w:val="16"/>
          <w:color w:val="auto"/>
        </w:rPr>
        <w:t>. Except as otherwise provided by the Plan, each Award may be made alone or in addition or in relation to any other Award. The terms of each Award to a Participant need not be identical, and the Administrator need not treat Participants or Awards (or portions thereof) uniformly.</w:t>
      </w:r>
    </w:p>
    <w:p>
      <w:pPr>
        <w:spacing w:after="0" w:line="124"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Administrator shall determine the effect on an Award of the disability, death, retirement, authorized leave of absence or any other change or purported change in a Participant’s Service Provider status and the extent to which, and the period during which, the Participant, the Participant’s legal representative, conservator, guardian or Designated Beneficiary may exercise rights under the Award, if applicable.</w:t>
      </w:r>
    </w:p>
    <w:p>
      <w:pPr>
        <w:spacing w:after="0" w:line="14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Withholding</w:t>
      </w:r>
      <w:r>
        <w:rPr>
          <w:rFonts w:ascii="Arial" w:cs="Arial" w:eastAsia="Arial" w:hAnsi="Arial"/>
          <w:sz w:val="17"/>
          <w:szCs w:val="17"/>
          <w:color w:val="auto"/>
        </w:rPr>
        <w:t>. Each Participant shall pay to the Company, or make provision satisfactory to the Administrator for payment of, any taxes required by law to be withheld in connection with Awards to such Participant no later than the date of the event creating the tax liability. Except as the Administrator may otherwise determine, all such payments shall be made in cash, by wire transfer of immediately available funds or by certified check. Notwithstanding the foregoing, Participants may satisfy such tax obligations, subject to Section 10.8, any Company insider trading policy (including blackout periods) and Applicable Laws, (i) to the extent permitted by the Administrator, in whole or in part by delivery of shares of Common Stock, including shares retained from the Award creating the tax obligation, valued at their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364" w:name="page365"/>
    <w:bookmarkEnd w:id="364"/>
    <w:p>
      <w:pPr>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Fair Market Value, and (ii) if there is a public market for shares of Common Stock at the time the tax obligations are satisfied, unless the Administrator otherwise determines, (A) delivery (including, without limitation, telephonically to the extent permitted by the Company) of an irrevocable and unconditional undertaking by a broker acceptable to the Company to deliver promptly to the Company sufficient funds to satisfy the tax obligations, or</w:t>
      </w:r>
    </w:p>
    <w:p>
      <w:pPr>
        <w:spacing w:after="0" w:line="2" w:lineRule="exact"/>
        <w:rPr>
          <w:sz w:val="20"/>
          <w:szCs w:val="20"/>
          <w:color w:val="auto"/>
        </w:rPr>
      </w:pPr>
    </w:p>
    <w:p>
      <w:pPr>
        <w:ind w:left="4" w:right="80" w:hanging="4"/>
        <w:spacing w:after="0" w:line="253" w:lineRule="auto"/>
        <w:tabs>
          <w:tab w:leader="none" w:pos="28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The Company may, to the extent permitted by Applicable Laws, deduct any such tax obligations based on applicable withholding rates from any payment of any kind otherwise due to a Participant.</w:t>
      </w:r>
    </w:p>
    <w:p>
      <w:pPr>
        <w:spacing w:after="0" w:line="193"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 of Award</w:t>
      </w:r>
      <w:r>
        <w:rPr>
          <w:rFonts w:ascii="Arial" w:cs="Arial" w:eastAsia="Arial" w:hAnsi="Arial"/>
          <w:sz w:val="18"/>
          <w:szCs w:val="18"/>
          <w:color w:val="auto"/>
        </w:rPr>
        <w:t>.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Participant’s consent to such action shall be required unless (i) the Administrator determines that the action, taking into account any related action, would not materially and adversely affect the Participant, or (ii) the change is permitted under Article VIII and Section 10.6 hereof.</w:t>
      </w:r>
    </w:p>
    <w:p>
      <w:pPr>
        <w:spacing w:after="0" w:line="188"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without limitation, any applicable securities laws and any applicable stock exchange or stock market rules and regulations, and</w:t>
      </w:r>
    </w:p>
    <w:p>
      <w:pPr>
        <w:spacing w:after="0" w:line="1" w:lineRule="exact"/>
        <w:rPr>
          <w:sz w:val="20"/>
          <w:szCs w:val="20"/>
          <w:color w:val="auto"/>
        </w:rPr>
      </w:pPr>
    </w:p>
    <w:p>
      <w:pPr>
        <w:ind w:left="4" w:right="80" w:hanging="4"/>
        <w:spacing w:after="0" w:line="295" w:lineRule="auto"/>
        <w:tabs>
          <w:tab w:leader="none" w:pos="31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Participant has executed and delivered to the Company such representations or agreements as the Administrator deems necessary or appropriate to satisfy the requirements of any Applicable Laws. The inability of the Company to obtain authority from any regulatory body having jurisdiction, which authority is determined by the Administrator to be necessary to the lawful issuance and sale of any securities hereunder, shall relieve the Company of any liability in respect of the failure to issue or sell such shares as to which such requisite authority shall not have been obtained.</w:t>
      </w:r>
    </w:p>
    <w:p>
      <w:pPr>
        <w:spacing w:after="0" w:line="16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shall become vested and/or exercisable in full or in part, free of some or all restrictions or conditions, or otherwise realizable in full or in part, as the case may be.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applicable Award Agreement.</w:t>
      </w:r>
    </w:p>
    <w:p>
      <w:pPr>
        <w:spacing w:after="0" w:line="187"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 Rights As Stockholder; Certificates</w:t>
      </w:r>
      <w:r>
        <w:rPr>
          <w:rFonts w:ascii="Arial" w:cs="Arial" w:eastAsia="Arial" w:hAnsi="Arial"/>
          <w:sz w:val="17"/>
          <w:szCs w:val="17"/>
          <w:color w:val="auto"/>
        </w:rPr>
        <w:t>. Subject to the provisions of the applicable Award Agreement,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Administrator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stock certificates issued under the Plan deemed necessary or appropriate by the Administrator in order to comply with Applicable Laws.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65" w:name="page366"/>
    <w:bookmarkEnd w:id="365"/>
    <w:p>
      <w:pPr>
        <w:ind w:left="4"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 </w:t>
      </w: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date on which it is adopted by the Board. No Awards shall be granted under the Plan after the completion of ten years from the earlier of (i) the date on which the Plan was adopted by the Board or (ii) the date the Plan was approved by the Company’s stockholders, but Awards previously granted may extend beyond that date in accordance with the terms of the Plan.</w:t>
      </w:r>
    </w:p>
    <w:p>
      <w:pPr>
        <w:spacing w:after="0" w:line="187"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Amendment of Plan</w:t>
      </w:r>
      <w:r>
        <w:rPr>
          <w:rFonts w:ascii="Arial" w:cs="Arial" w:eastAsia="Arial" w:hAnsi="Arial"/>
          <w:sz w:val="16"/>
          <w:szCs w:val="16"/>
          <w:color w:val="auto"/>
        </w:rPr>
        <w:t>. The Administrator may amend, suspend or terminate the Plan or any portion thereof at any time; provided that no amendment of the Plan shall materially and adversely affect (as determined by the Administrator) any Award outstanding at the time of such amendment without the consent of the affected Participant. Awards outstanding under the Plan at the time of any suspension or termination of the Plan shall continue to be governed in accordance with the terms of the Plan and the applicable Award Agreement, as in effect prior to such suspension or termination. The Board shall obtain stockholder approval of any Plan amendment to the extent necessary to comply with Applicable Laws.</w:t>
      </w:r>
    </w:p>
    <w:p>
      <w:pPr>
        <w:spacing w:after="0" w:line="16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sz w:val="20"/>
          <w:szCs w:val="20"/>
          <w:color w:val="auto"/>
        </w:rPr>
      </w:pPr>
    </w:p>
    <w:p>
      <w:pPr>
        <w:ind w:left="4" w:right="140" w:firstLine="436"/>
        <w:spacing w:after="0" w:line="285" w:lineRule="auto"/>
        <w:tabs>
          <w:tab w:leader="none" w:pos="689" w:val="left"/>
        </w:tabs>
        <w:numPr>
          <w:ilvl w:val="1"/>
          <w:numId w:val="235"/>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Company intends that all Awards be structured in compliance with, or to satisfy an exemption from, Section 409A, such that no</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tax consequences, interest, or penalties under Section 409A apply in connection with any Awards. Notwithstanding anything herein or in any Award Agreement to the contrary, the Administrator may, without a Participant’s prior consent, amend this Plan and/or Awards, adopt policies and procedures, or take any other actions (including, without limitation, amendments, policies, procedures and actions with retroactive effect) as are necessary or appropriate to preserve the intended tax treatment of Awards under the Plan, including, without limitation, any such actions intended to</w:t>
      </w:r>
    </w:p>
    <w:p>
      <w:pPr>
        <w:spacing w:after="0" w:line="1" w:lineRule="exact"/>
        <w:rPr>
          <w:rFonts w:ascii="Arial" w:cs="Arial" w:eastAsia="Arial" w:hAnsi="Arial"/>
          <w:sz w:val="16"/>
          <w:szCs w:val="16"/>
          <w:color w:val="auto"/>
        </w:rPr>
      </w:pPr>
    </w:p>
    <w:p>
      <w:pPr>
        <w:ind w:left="4" w:right="60" w:hanging="4"/>
        <w:spacing w:after="0" w:line="252" w:lineRule="auto"/>
        <w:tabs>
          <w:tab w:leader="none" w:pos="29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exempt this Plan and/or any Award from the application of Section 409A, and/or (B) comply with the requirements of Section 409A, including, without limitation any such regulations, guidance, compliance programs and other interpretative authority that may be issued after the date of grant of any Award. The Company makes no representations or warranties as to the tax treatment of any Award under Section 409A or otherwise. The Company shall have no obligation under this Section 10.6 or otherwise to take any action (whether or not described herein) to avoid the imposition of taxes, penalties or interest under Section 409A with respect to any Award and shall have no liability to any Participant or any other person if any Award, compensation or other benefits under the Plan are determined to constitute non-compliant, “nonqualified deferred compensation” subject to the imposition of taxes, penalties and/or interest under Section 409A.</w:t>
      </w:r>
    </w:p>
    <w:p>
      <w:pPr>
        <w:spacing w:after="0" w:line="192" w:lineRule="exact"/>
        <w:rPr>
          <w:rFonts w:ascii="Arial" w:cs="Arial" w:eastAsia="Arial" w:hAnsi="Arial"/>
          <w:sz w:val="18"/>
          <w:szCs w:val="18"/>
          <w:color w:val="auto"/>
        </w:rPr>
      </w:pPr>
    </w:p>
    <w:p>
      <w:pPr>
        <w:ind w:left="4" w:right="100" w:firstLine="436"/>
        <w:spacing w:after="0" w:line="255" w:lineRule="auto"/>
        <w:tabs>
          <w:tab w:leader="none" w:pos="699" w:val="left"/>
        </w:tabs>
        <w:numPr>
          <w:ilvl w:val="1"/>
          <w:numId w:val="236"/>
        </w:numPr>
        <w:rPr>
          <w:rFonts w:ascii="Arial" w:cs="Arial" w:eastAsia="Arial" w:hAnsi="Arial"/>
          <w:sz w:val="18"/>
          <w:szCs w:val="18"/>
          <w:color w:val="auto"/>
        </w:rPr>
      </w:pPr>
      <w:r>
        <w:rPr>
          <w:rFonts w:ascii="Arial" w:cs="Arial" w:eastAsia="Arial" w:hAnsi="Arial"/>
          <w:sz w:val="18"/>
          <w:szCs w:val="18"/>
          <w:i w:val="1"/>
          <w:iCs w:val="1"/>
          <w:color w:val="auto"/>
        </w:rPr>
        <w:t xml:space="preserve">Separation from Service. </w:t>
      </w:r>
      <w:r>
        <w:rPr>
          <w:rFonts w:ascii="Arial" w:cs="Arial" w:eastAsia="Arial" w:hAnsi="Arial"/>
          <w:sz w:val="18"/>
          <w:szCs w:val="18"/>
          <w:color w:val="auto"/>
        </w:rPr>
        <w:t>With respect to any Award that constitutes “nonqualified deferred compensation” under Section 409A, any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or settlement of such Award that is to be made upon a termination of a Participant’s Service Provider relationship shall, to the extent necessary to avoid the imposition of taxes under Section 409A, be made only upon the Participant’s “separation from service” (within the meaning of Section 409A), whether such “separation from service” occurs upon or subsequent to the termination of the Participant’s Service Provider relationship. For purposes of any such provision of this Plan or any Award Agreement relating to any such payments or benefits, references to a “termination,” “termination of employment” or like terms shall mean “separation from service.”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66" w:name="page367"/>
    <w:bookmarkEnd w:id="366"/>
    <w:p>
      <w:pPr>
        <w:ind w:firstLine="436"/>
        <w:spacing w:after="0" w:line="271" w:lineRule="auto"/>
        <w:tabs>
          <w:tab w:leader="none" w:pos="685" w:val="left"/>
        </w:tabs>
        <w:numPr>
          <w:ilvl w:val="0"/>
          <w:numId w:val="23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Payments to Specified Employees. </w:t>
      </w:r>
      <w:r>
        <w:rPr>
          <w:rFonts w:ascii="Arial" w:cs="Arial" w:eastAsia="Arial" w:hAnsi="Arial"/>
          <w:sz w:val="17"/>
          <w:szCs w:val="17"/>
          <w:color w:val="auto"/>
        </w:rPr>
        <w:t>Notwithstanding any contrary provision in the Plan or any Award Agreement, any 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“nonqualified deferred compensation” that are otherwise required to be made under an Award to a “specified employee” (as defined under Section 409A and determined by the Administrator) as a result of his or her “separation from service” shall, to the extent necessary to avoid the imposition of taxes under Code Section 409A(a)(2)(B)(i), be delayed until the expiration of the six-month period immediately following such “separation from service” (or, if earlier, until the date of death of the specified employee) and shall instead be paid (in a manner set forth in the Award agreement) on the day that immediately follows the end of such six-month period or as soon as administratively practicable thereafter (without interest). Any payments of “nonqualified deferred compensation” under such Award that are, by their terms, payable more than six months following the Participant’s “separation from service” shall be paid at the time or times such payments are otherwise scheduled to be made.</w:t>
      </w:r>
    </w:p>
    <w:p>
      <w:pPr>
        <w:spacing w:after="0" w:line="17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or any Award, nor will such individual be personally liable with respect to the Plan because of any contract or other instrument he or she executes in his or her capacity as an Administrator, director, officer, other employee or agent of the Company. The Company will indemnify and hold harmless each director, officer, other employee and agent of the Company to whom any duty or power relating to the administration or interpretation of the Plan has been or will be granted or delegated, against any cost or expense (including, without limitation, attorneys’ fees) or liability (including, without limitation, any sum paid in settlement of a claim with the Administrator’s approval) arising out of any act or omission to act concerning this Plan unless arising out of such person’s own fraud or bad faith.</w:t>
      </w:r>
    </w:p>
    <w:p>
      <w:pPr>
        <w:spacing w:after="0" w:line="17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Lock-Up Period</w:t>
      </w:r>
      <w:r>
        <w:rPr>
          <w:rFonts w:ascii="Arial" w:cs="Arial" w:eastAsia="Arial" w:hAnsi="Arial"/>
          <w:sz w:val="16"/>
          <w:szCs w:val="16"/>
          <w:color w:val="auto"/>
        </w:rPr>
        <w:t>. By accepting an Award, each Participant agrees that the Participant will not, without the prior written consent of the managing underwriter, during the period commencing on the date of the final prospectus relating to an initial public offering of any of the Company’s securities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2241 or NYSE Rule 472(f)(4)),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Section shall apply only to an initial public offering of the Company’s securities and shall not apply to the sale of any shares to an underwriter pursuant to an underwriting agreement for such initial public offering. The underwriters in connection with such registration are intended third-party beneficiaries of this Section and shall have the right, power, and authority to enforce the provisions hereof as though they were a party hereto. Each Participant further agrees to execute such agreements as may be reasonably requested by the underwriters in connection with such registration that are consistent with this Section or that are necessary to give further effect thereto.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67" w:name="page368"/>
    <w:bookmarkEnd w:id="36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10.9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91" w:lineRule="auto"/>
        <w:tabs>
          <w:tab w:leader="none" w:pos="689" w:val="left"/>
        </w:tabs>
        <w:numPr>
          <w:ilvl w:val="0"/>
          <w:numId w:val="238"/>
        </w:numPr>
        <w:rPr>
          <w:rFonts w:ascii="Arial" w:cs="Arial" w:eastAsia="Arial" w:hAnsi="Arial"/>
          <w:sz w:val="16"/>
          <w:szCs w:val="16"/>
          <w:color w:val="auto"/>
        </w:rPr>
      </w:pPr>
      <w:r>
        <w:rPr>
          <w:rFonts w:ascii="Arial" w:cs="Arial" w:eastAsia="Arial" w:hAnsi="Arial"/>
          <w:sz w:val="16"/>
          <w:szCs w:val="16"/>
          <w:color w:val="auto"/>
        </w:rPr>
        <w:t>Before any shares of Common Stock held by a Participant or any permitted transferee (each,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may be sold, pledged, assigned, hypothecated, transferred, or otherwise disposed of (each,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the Company or its assignee(s) shall have a right of first refusal to purchase the shares of Common Stock proposed to be Transferred on the terms and conditions set forth in this Section 10.9 (the “</w:t>
      </w: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 In the event that the Company’s charter, bylaws and/or a stockholders’ agreement applicable to the shares of Common Stock contain a right of first refusal with respect to the shares of Common Stock, such right of first refusal shall apply to the shares of Common Stock to the extent such provisions are more restrictive than the Right of First Refusal set forth in this Section 10.9 and the Right of First Refusal set forth in this Section 10.9 shall not in any way restrict the operation of the Company’s charter, bylaws or the operation of any applicable stockholders’ agreement.</w:t>
      </w:r>
    </w:p>
    <w:p>
      <w:pPr>
        <w:spacing w:after="0" w:line="166" w:lineRule="exact"/>
        <w:rPr>
          <w:rFonts w:ascii="Arial" w:cs="Arial" w:eastAsia="Arial" w:hAnsi="Arial"/>
          <w:sz w:val="16"/>
          <w:szCs w:val="16"/>
          <w:color w:val="auto"/>
        </w:rPr>
      </w:pPr>
    </w:p>
    <w:p>
      <w:pPr>
        <w:ind w:left="704" w:hanging="264"/>
        <w:spacing w:after="0"/>
        <w:tabs>
          <w:tab w:leader="none" w:pos="70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In the event any Holder desires to Transfer any shares of Common Stock, the Holder shall deliver to the Company a written notice (the</w:t>
      </w:r>
    </w:p>
    <w:p>
      <w:pPr>
        <w:spacing w:after="0" w:line="35" w:lineRule="exact"/>
        <w:rPr>
          <w:sz w:val="20"/>
          <w:szCs w:val="20"/>
          <w:color w:val="auto"/>
        </w:rPr>
      </w:pPr>
    </w:p>
    <w:p>
      <w:pPr>
        <w:ind w:left="4" w:right="1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stating: (A) the Holder’s bona fide intention to sell or otherwise Transfer such shares of Common Stock; (B) the name of each proposed purchaser or other transferee (“</w:t>
      </w:r>
      <w:r>
        <w:rPr>
          <w:rFonts w:ascii="Arial" w:cs="Arial" w:eastAsia="Arial" w:hAnsi="Arial"/>
          <w:sz w:val="16"/>
          <w:szCs w:val="16"/>
          <w:b w:val="1"/>
          <w:bCs w:val="1"/>
          <w:i w:val="1"/>
          <w:iCs w:val="1"/>
          <w:color w:val="auto"/>
        </w:rPr>
        <w:t>Proposed Transferee</w:t>
      </w:r>
      <w:r>
        <w:rPr>
          <w:rFonts w:ascii="Arial" w:cs="Arial" w:eastAsia="Arial" w:hAnsi="Arial"/>
          <w:sz w:val="16"/>
          <w:szCs w:val="16"/>
          <w:color w:val="auto"/>
        </w:rPr>
        <w:t>”); (C) the number of shares of Common Stock to be Transferred to each Proposed Transferee; and</w:t>
      </w:r>
    </w:p>
    <w:p>
      <w:pPr>
        <w:spacing w:after="0" w:line="1" w:lineRule="exact"/>
        <w:rPr>
          <w:sz w:val="20"/>
          <w:szCs w:val="20"/>
          <w:color w:val="auto"/>
        </w:rPr>
      </w:pPr>
    </w:p>
    <w:p>
      <w:pPr>
        <w:ind w:left="4" w:right="300" w:hanging="4"/>
        <w:spacing w:after="0" w:line="260" w:lineRule="auto"/>
        <w:tabs>
          <w:tab w:leader="none" w:pos="29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price for which the Holder proposes to Transfer the shares of Common Stock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the Holder shall offer such shares of Common Stock at the Offered Price to the Company or its assignee(s).</w:t>
      </w:r>
    </w:p>
    <w:p>
      <w:pPr>
        <w:spacing w:after="0" w:line="185" w:lineRule="exact"/>
        <w:rPr>
          <w:rFonts w:ascii="Arial" w:cs="Arial" w:eastAsia="Arial" w:hAnsi="Arial"/>
          <w:sz w:val="18"/>
          <w:szCs w:val="18"/>
          <w:color w:val="auto"/>
        </w:rPr>
      </w:pPr>
    </w:p>
    <w:p>
      <w:pPr>
        <w:jc w:val="both"/>
        <w:ind w:left="4" w:right="40" w:firstLine="436"/>
        <w:spacing w:after="0" w:line="259" w:lineRule="auto"/>
        <w:tabs>
          <w:tab w:leader="none" w:pos="68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Within twenty-five days after receipt of the Notice, the Company and/or its assignee(s) may elect in writing to purchase all, or any portion of the shares of Common Stock proposed to be Transferred to any one or more of the Proposed Transferees by delivery of a written exercise notice to the Holder (a “</w:t>
      </w:r>
      <w:r>
        <w:rPr>
          <w:rFonts w:ascii="Arial" w:cs="Arial" w:eastAsia="Arial" w:hAnsi="Arial"/>
          <w:sz w:val="18"/>
          <w:szCs w:val="18"/>
          <w:b w:val="1"/>
          <w:bCs w:val="1"/>
          <w:i w:val="1"/>
          <w:iCs w:val="1"/>
          <w:color w:val="auto"/>
        </w:rPr>
        <w:t>Company Notice</w:t>
      </w:r>
      <w:r>
        <w:rPr>
          <w:rFonts w:ascii="Arial" w:cs="Arial" w:eastAsia="Arial" w:hAnsi="Arial"/>
          <w:sz w:val="18"/>
          <w:szCs w:val="18"/>
          <w:color w:val="auto"/>
        </w:rPr>
        <w:t>”). The purchase price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for the shares of Common Stock repurchased under this Section 10.9 shall be the Offered Price.</w:t>
      </w:r>
    </w:p>
    <w:p>
      <w:pPr>
        <w:spacing w:after="0" w:line="186" w:lineRule="exact"/>
        <w:rPr>
          <w:rFonts w:ascii="Arial" w:cs="Arial" w:eastAsia="Arial" w:hAnsi="Arial"/>
          <w:sz w:val="18"/>
          <w:szCs w:val="18"/>
          <w:color w:val="auto"/>
        </w:rPr>
      </w:pPr>
    </w:p>
    <w:p>
      <w:pPr>
        <w:ind w:left="4" w:right="60" w:firstLine="436"/>
        <w:spacing w:after="0" w:line="296" w:lineRule="auto"/>
        <w:tabs>
          <w:tab w:leader="none" w:pos="699" w:val="left"/>
        </w:tabs>
        <w:numPr>
          <w:ilvl w:val="1"/>
          <w:numId w:val="239"/>
        </w:numPr>
        <w:rPr>
          <w:rFonts w:ascii="Arial" w:cs="Arial" w:eastAsia="Arial" w:hAnsi="Arial"/>
          <w:sz w:val="16"/>
          <w:szCs w:val="16"/>
          <w:color w:val="auto"/>
        </w:rPr>
      </w:pPr>
      <w:r>
        <w:rPr>
          <w:rFonts w:ascii="Arial" w:cs="Arial" w:eastAsia="Arial" w:hAnsi="Arial"/>
          <w:sz w:val="16"/>
          <w:szCs w:val="16"/>
          <w:color w:val="auto"/>
        </w:rPr>
        <w:t>Payment of the Purchase Price shall be made, at the option of the Company or its assignee(s), in cash (by check or wire transfer), by cancellation of all or a portion of any outstanding indebtedness of the Holder to the Company (or, in the case of repurchase by an assignee, to the assignee), or by any combination thereof, within five days after delivery of the Company Notice or in the manner and at the times mutually agreed to by the Company and the Holder. Should the Offered Price specified in the Notice be payable in property other than cash, the Company or its assignee shall have the right to pay the purchase price in the form of cash equal in amount to the value of such property, as determined by the Administrator.</w:t>
      </w:r>
    </w:p>
    <w:p>
      <w:pPr>
        <w:spacing w:after="0" w:line="161" w:lineRule="exact"/>
        <w:rPr>
          <w:rFonts w:ascii="Arial" w:cs="Arial" w:eastAsia="Arial" w:hAnsi="Arial"/>
          <w:sz w:val="16"/>
          <w:szCs w:val="16"/>
          <w:color w:val="auto"/>
        </w:rPr>
      </w:pPr>
    </w:p>
    <w:p>
      <w:pPr>
        <w:ind w:left="4" w:right="20" w:firstLine="436"/>
        <w:spacing w:after="0" w:line="270" w:lineRule="auto"/>
        <w:tabs>
          <w:tab w:leader="none" w:pos="689" w:val="left"/>
        </w:tabs>
        <w:numPr>
          <w:ilvl w:val="1"/>
          <w:numId w:val="239"/>
        </w:numPr>
        <w:rPr>
          <w:rFonts w:ascii="Arial" w:cs="Arial" w:eastAsia="Arial" w:hAnsi="Arial"/>
          <w:sz w:val="17"/>
          <w:szCs w:val="17"/>
          <w:color w:val="auto"/>
        </w:rPr>
      </w:pPr>
      <w:r>
        <w:rPr>
          <w:rFonts w:ascii="Arial" w:cs="Arial" w:eastAsia="Arial" w:hAnsi="Arial"/>
          <w:sz w:val="17"/>
          <w:szCs w:val="17"/>
          <w:color w:val="auto"/>
        </w:rPr>
        <w:t>If all or a portion of the shares of Common Stock proposed in the Notice to be Transferred are not purchased by the Company and/or its assignee(s) as provided in this Section 10.9, then the Holder may sell or otherwise Transfer such shares of Common Stock to that Proposed Transferee at the Offered Price or at a higher price; provided that such sale or other Transfer is consummated within sixty days after the date of the Notice; and provided, further, that any such sale or other Transfer is effected in accordance with any Applicable Laws and the Proposed Transferee agrees in writing that the provisions of this Plan and the applicable Award Agreement and any other applicable agreements governing the shares of Common Stock to be Transferred shall continue to apply to the shares of Common Stock in the hands of such Proposed Transferee. If the shares of Common Stock described in the Notice are not Transferred to the Proposed Transferee within such sixty-day period, a new Notice shall be given to the Company, and the Company and/or its assignees shall again be offered the Right of First Refusal, as provided herein, before any shares of Common Stock held by the Holder may be sold or otherwise Transferred.</w:t>
      </w:r>
    </w:p>
    <w:p>
      <w:pPr>
        <w:spacing w:after="0" w:line="180" w:lineRule="exact"/>
        <w:rPr>
          <w:rFonts w:ascii="Arial" w:cs="Arial" w:eastAsia="Arial" w:hAnsi="Arial"/>
          <w:sz w:val="17"/>
          <w:szCs w:val="17"/>
          <w:color w:val="auto"/>
        </w:rPr>
      </w:pPr>
    </w:p>
    <w:p>
      <w:pPr>
        <w:jc w:val="both"/>
        <w:ind w:left="4" w:right="20" w:firstLine="436"/>
        <w:spacing w:after="0" w:line="263" w:lineRule="auto"/>
        <w:tabs>
          <w:tab w:leader="none" w:pos="669"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Anything to the contrary contained in this Section 10.9 notwithstanding and to the extent permitted by the Administrator, the Transfer of any or all of the shares of Common Stock during a Participant’s lifetime or upon a Participant’s death by will or intestacy to the Participant’s Immediate Family or a trust for the benefit of the Participant’s Immediate Family shall be exempt from the Right of</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68" w:name="page369"/>
    <w:bookmarkEnd w:id="368"/>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Refusal. As used herein, “</w:t>
      </w:r>
      <w:r>
        <w:rPr>
          <w:rFonts w:ascii="Arial" w:cs="Arial" w:eastAsia="Arial" w:hAnsi="Arial"/>
          <w:sz w:val="17"/>
          <w:szCs w:val="17"/>
          <w:b w:val="1"/>
          <w:bCs w:val="1"/>
          <w:i w:val="1"/>
          <w:iCs w:val="1"/>
          <w:color w:val="auto"/>
        </w:rPr>
        <w:t>Immediat</w:t>
      </w:r>
      <w:r>
        <w:rPr>
          <w:rFonts w:ascii="Arial" w:cs="Arial" w:eastAsia="Arial" w:hAnsi="Arial"/>
          <w:sz w:val="17"/>
          <w:szCs w:val="17"/>
          <w:color w:val="auto"/>
        </w:rPr>
        <w:t xml:space="preserve">e </w:t>
      </w:r>
      <w:r>
        <w:rPr>
          <w:rFonts w:ascii="Arial" w:cs="Arial" w:eastAsia="Arial" w:hAnsi="Arial"/>
          <w:sz w:val="17"/>
          <w:szCs w:val="17"/>
          <w:b w:val="1"/>
          <w:bCs w:val="1"/>
          <w:i w:val="1"/>
          <w:iCs w:val="1"/>
          <w:color w:val="auto"/>
        </w:rPr>
        <w:t>Family</w:t>
      </w:r>
      <w:r>
        <w:rPr>
          <w:rFonts w:ascii="Arial" w:cs="Arial" w:eastAsia="Arial" w:hAnsi="Arial"/>
          <w:sz w:val="17"/>
          <w:szCs w:val="17"/>
          <w:color w:val="auto"/>
        </w:rPr>
        <w:t>” shall mean spouse, lineal descendant or antecedent, father, mother, brother or sister or stepchild (whether or not adopted). In such case, the transferee or other recipient shall receive and hold the shares of Common Stock so Transferred subject to the provisions of this Plan (including, without limitation, the Right of First Refusal), the applicable Award Agreement and any other applicable agreements governing the shares of Common Stock to be Transferred, and there shall be no further Transfer of such shares of Common Stock except in accordance with the terms of this Section 10.9 (or otherwise as expressly provided under the Plan).</w:t>
      </w:r>
    </w:p>
    <w:p>
      <w:pPr>
        <w:spacing w:after="0" w:line="176" w:lineRule="exact"/>
        <w:rPr>
          <w:sz w:val="20"/>
          <w:szCs w:val="20"/>
          <w:color w:val="auto"/>
        </w:rPr>
      </w:pPr>
    </w:p>
    <w:p>
      <w:pPr>
        <w:ind w:right="220" w:firstLine="436"/>
        <w:spacing w:after="0" w:line="277"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Right of First Refusal shall terminate as to all shares of Common Stock if the Company becomes a Publicly Listed Company upon such occurrence.</w:t>
      </w:r>
    </w:p>
    <w:p>
      <w:pPr>
        <w:spacing w:after="0" w:line="170"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without limitation,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Administrator’s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182"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portion of the Plan or any action taken pursuant 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spacing w:after="0" w:line="184" w:lineRule="exact"/>
        <w:rPr>
          <w:sz w:val="20"/>
          <w:szCs w:val="20"/>
          <w:color w:val="auto"/>
        </w:rPr>
      </w:pPr>
    </w:p>
    <w:p>
      <w:pPr>
        <w:jc w:val="both"/>
        <w:ind w:right="460" w:firstLine="440"/>
        <w:spacing w:after="0" w:line="311"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Governing Documents</w:t>
      </w:r>
      <w:r>
        <w:rPr>
          <w:rFonts w:ascii="Arial" w:cs="Arial" w:eastAsia="Arial" w:hAnsi="Arial"/>
          <w:sz w:val="16"/>
          <w:szCs w:val="16"/>
          <w:color w:val="auto"/>
        </w:rPr>
        <w:t>. In the event of any contradiction between the Plan and any Award Agreement or any other written agreement 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69" w:name="page370"/>
    <w:bookmarkEnd w:id="369"/>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10.13 </w:t>
      </w:r>
      <w:r>
        <w:rPr>
          <w:rFonts w:ascii="Arial" w:cs="Arial" w:eastAsia="Arial" w:hAnsi="Arial"/>
          <w:sz w:val="17"/>
          <w:szCs w:val="17"/>
          <w:u w:val="single" w:color="auto"/>
          <w:color w:val="auto"/>
        </w:rPr>
        <w:t>Submission to Jurisdiction; Waiver of Jury Trial</w:t>
      </w:r>
      <w:r>
        <w:rPr>
          <w:rFonts w:ascii="Arial" w:cs="Arial" w:eastAsia="Arial" w:hAnsi="Arial"/>
          <w:sz w:val="17"/>
          <w:szCs w:val="17"/>
          <w:color w:val="auto"/>
        </w:rPr>
        <w:t>.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8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disregarding choice-of-law principles of the law of any state that would require the application of the laws of a jurisdiction other than such state.</w:t>
      </w:r>
    </w:p>
    <w:p>
      <w:pPr>
        <w:spacing w:after="0" w:line="18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Restrictions on Shares; Claw-back Provisions</w:t>
      </w:r>
      <w:r>
        <w:rPr>
          <w:rFonts w:ascii="Arial" w:cs="Arial" w:eastAsia="Arial" w:hAnsi="Arial"/>
          <w:sz w:val="16"/>
          <w:szCs w:val="16"/>
          <w:color w:val="auto"/>
        </w:rPr>
        <w:t>. Awards and shares of Common Stock acquired in respect of Awards shall be subject to such terms and conditions as the Administrator shall determine, including, without limitation, restrictions on the transferability of Awards or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Administrator, be contained in the applicable Award Agreement or in an exercise notice, stockholders’ agreement or in such other agreement as the Administrator shall determine, in each case in a form determined by the Administrator. The issuance of such shares of Common Stock shall be conditioned on the Participant’s consent to such terms and conditions and the Participant’s entering into such agreement or agreements. All Awards (including, without limitation,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6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and all Awards granted hereunder shall be administered only in such a manner as to conform to such laws, rules and regulations. To the extent permitted by Applicable Laws, the Plan and all Award Agreements shall be deemed amended to the extent necessary to conform to such laws, rules and regulations.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370" w:name="page371"/>
    <w:bookmarkEnd w:id="370"/>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170"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i w:val="1"/>
          <w:iCs w:val="1"/>
          <w:color w:val="auto"/>
        </w:rPr>
        <w:t>Applicable Laws</w:t>
      </w:r>
      <w:r>
        <w:rPr>
          <w:rFonts w:ascii="Arial" w:cs="Arial" w:eastAsia="Arial" w:hAnsi="Arial"/>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or issued under the Plan.</w:t>
      </w:r>
    </w:p>
    <w:p>
      <w:pPr>
        <w:spacing w:after="0" w:line="14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Restricted Stock, Restricted Stock Units or Other Stock-Based Awards.</w:t>
      </w:r>
    </w:p>
    <w:p>
      <w:pPr>
        <w:spacing w:after="0" w:line="170"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11.4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evidencing an Award, which agreements may be in electronic medium and shall contain such terms and conditions with respect to an Award as the Administrator shall determine, consistent with and subject to the terms and conditions of the Plan.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(i) a merger or consolidation of the Company with or into any other corporation or other entity or person, (ii) a sale, lease, exchange or other transfer in one transaction or a series of related transactions of all or substantially all of the Company’s assets, or (iii) any other transaction, including, without limitation,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provided that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the Company; (C) an initial public offering of any of the Company’s securities or any other transaction or series of related transactions principally for bona fide equity financing purposes;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Section 1.409A-3(i)(5)) in order to give rise to the payment or settlement event for such Award, to the extent required by Section 409A.</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225"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one or more committees or subcommittees of the Board or the Company, which may be comprised of one or more directors and/or executive officers of the Company, in either case, to the extent permitted in accordance with Applicable Laws.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71" w:name="page372"/>
    <w:bookmarkEnd w:id="3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11.9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Adagio Therapeutics, Inc., a Delaware corporation, or any successor thereto. Except where the context otherwise requires, the term “Company” includes any of the Company’s present or future parent or subsidiary corporations as defined in Sections 424(e) or (f) of the Code and any other business venture (including, without limitation, joint venture or limited liability company) in which the Company has a significant interest, as determined by the Administrator.</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xml:space="preserve">” means any person, including, without limitation, any advisor, engaged by the Company or a parent or subsidiary of the Company to render services to such entity if: (i) the consultant or adviser renders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services to the Company; (ii)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 or such other advisor or consultant as is approved by the Administrator.</w:t>
      </w:r>
    </w:p>
    <w:p>
      <w:pPr>
        <w:spacing w:after="0" w:line="18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designated, in a manner determined by the Administrator, by a Participant to receive amounts due or exercise rights of the Participant in the event of the Participant’s death or incapacity In the absence of an effective designation by a Participant, “Designated Beneficiary” shall mean the Participant’s estate.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within the meaning of Section 22(e)(3) of the Code, as it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pursuant to Section 6.4(c) hereof to receive the equivalent value (in cash or shares of Common Stock) of dividends paid on shares of Common Stock.</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without limitation, officers and Directors, employed by the Company (within the meaning of Section 3401(c) of the Code) or any parent or subsidiary of the Company.</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as determined by the Administrator, a non-reciprocal transaction between the Company and its stockholders, such as a stock dividend, stock split, spin-off or recapitalization through a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11.19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means, as of any date, the value of a share of Common Stock determined as follows: (i) if the Common Stock is listed on any established stock exchange, its Fair Market Value shall be the closing sales price for a share of such Common Stock as quoted on such exchange for such date, or if no sale occurred on such date, the first market trading day immediately prior to such date during which a sale occurred, as reported in </w:t>
      </w:r>
      <w:r>
        <w:rPr>
          <w:rFonts w:ascii="Arial" w:cs="Arial" w:eastAsia="Arial" w:hAnsi="Arial"/>
          <w:sz w:val="17"/>
          <w:szCs w:val="17"/>
          <w:i w:val="1"/>
          <w:iCs w:val="1"/>
          <w:color w:val="auto"/>
        </w:rPr>
        <w:t xml:space="preserve">The Wall Street Journal </w:t>
      </w:r>
      <w:r>
        <w:rPr>
          <w:rFonts w:ascii="Arial" w:cs="Arial" w:eastAsia="Arial" w:hAnsi="Arial"/>
          <w:sz w:val="17"/>
          <w:szCs w:val="17"/>
          <w:color w:val="auto"/>
        </w:rPr>
        <w:t>or such other source as the Administrator deems reliable; (ii) if the Common Stock is not traded on a stock exchange but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quoted on a national market or other quotation system, the last sales price for a share of Common Stock on such date, or if no sales occurred on such date, then on the date immediately prior to such date on which sales prices are reported,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 or (iii) in the absence of an established market for the Common Stock, the Fair Market Value thereof shall be determined by the Administrator in its sole discretion.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72" w:name="page373"/>
    <w:bookmarkEnd w:id="37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11.20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“incentive stock option” as defined in Section 422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11.21 “</w:t>
      </w:r>
      <w:r>
        <w:rPr>
          <w:rFonts w:ascii="Arial" w:cs="Arial" w:eastAsia="Arial" w:hAnsi="Arial"/>
          <w:sz w:val="17"/>
          <w:szCs w:val="17"/>
          <w:b w:val="1"/>
          <w:bCs w:val="1"/>
          <w:i w:val="1"/>
          <w:iCs w:val="1"/>
          <w:color w:val="auto"/>
        </w:rPr>
        <w:t>Non-Qualified Stock Option</w:t>
      </w:r>
      <w:r>
        <w:rPr>
          <w:rFonts w:ascii="Arial" w:cs="Arial" w:eastAsia="Arial" w:hAnsi="Arial"/>
          <w:sz w:val="17"/>
          <w:szCs w:val="17"/>
          <w:color w:val="auto"/>
        </w:rPr>
        <w:t>” means an Option that is not intended to be or otherwise does not qualify as an Incentive Stock Option.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Common Stock.</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other Awards of shares of Common Stock, and other Awards that are valued in whole or in part by reference to, or are otherwise based on, shares of Common Stock or other property.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 under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2020 Equity Incentive Plan.</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i w:val="1"/>
          <w:iCs w:val="1"/>
          <w:color w:val="auto"/>
        </w:rPr>
        <w:t>Publicly Listed Company</w:t>
      </w:r>
      <w:r>
        <w:rPr>
          <w:rFonts w:ascii="Arial" w:cs="Arial" w:eastAsia="Arial" w:hAnsi="Arial"/>
          <w:sz w:val="18"/>
          <w:szCs w:val="18"/>
          <w:color w:val="auto"/>
        </w:rPr>
        <w:t>” means that the Company or its successor (i) is required to file periodic reports pursuant to Section 12 of the Exchange Act and (ii) the Common Stock is listed on one or more National Securities Exchanges (within the meaning of the Exchange Act) or is quoted on NASDAQ or a successor interdealer quotation system.</w:t>
      </w:r>
    </w:p>
    <w:p>
      <w:pPr>
        <w:spacing w:after="0" w:line="184"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Common Stock awarded to a Participant pursuant to Section 6.1 hereof that is subject to certain vesting conditions and other restrictions.</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11.28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of Common Stock or an amount in cash or other consideration determined by the Administrator equal to the value thereof as of such payment date, which right may be subject to certain vesting conditions and other restrictions.</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11.29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11.31 “</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11.32 “</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73" w:name="page374"/>
    <w:bookmarkEnd w:id="373"/>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ADAGIO THERAPEUTICS,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2020 EQUITY INCENTIVE PLAN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CALIFORNIA SUPPLEMENT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supplement is intended to satisfy the requirements of Section 25102(o) of the California Corporations Code and the regulations issued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thereunder (“</w:t>
      </w:r>
      <w:r>
        <w:rPr>
          <w:rFonts w:ascii="Arial" w:cs="Arial" w:eastAsia="Arial" w:hAnsi="Arial"/>
          <w:sz w:val="17"/>
          <w:szCs w:val="17"/>
          <w:b w:val="1"/>
          <w:bCs w:val="1"/>
          <w:i w:val="1"/>
          <w:iCs w:val="1"/>
          <w:color w:val="auto"/>
        </w:rPr>
        <w:t>Section 25102(o)</w:t>
      </w:r>
      <w:r>
        <w:rPr>
          <w:rFonts w:ascii="Arial" w:cs="Arial" w:eastAsia="Arial" w:hAnsi="Arial"/>
          <w:sz w:val="17"/>
          <w:szCs w:val="17"/>
          <w:color w:val="auto"/>
        </w:rPr>
        <w:t>”). Notwithstanding anything to the contrary contained in the Plan and except as otherwise determined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Administrator, the provisions set forth in this supplement shall apply to all Awards granted under the Plan to a Participant who is a resident of the State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California on the date of grant (a “</w:t>
      </w:r>
      <w:r>
        <w:rPr>
          <w:rFonts w:ascii="Arial" w:cs="Arial" w:eastAsia="Arial" w:hAnsi="Arial"/>
          <w:sz w:val="17"/>
          <w:szCs w:val="17"/>
          <w:b w:val="1"/>
          <w:bCs w:val="1"/>
          <w:i w:val="1"/>
          <w:iCs w:val="1"/>
          <w:color w:val="auto"/>
        </w:rPr>
        <w:t>California Participant</w:t>
      </w:r>
      <w:r>
        <w:rPr>
          <w:rFonts w:ascii="Arial" w:cs="Arial" w:eastAsia="Arial" w:hAnsi="Arial"/>
          <w:sz w:val="17"/>
          <w:szCs w:val="17"/>
          <w:color w:val="auto"/>
        </w:rPr>
        <w:t>”) and which are intended to be exempt from registration in California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25102(o), and otherwise to the extent required to comply with applicable law (but only to such extent). Definitions in the Plan are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supplement.</w:t>
      </w:r>
    </w:p>
    <w:p>
      <w:pPr>
        <w:spacing w:after="0" w:line="211" w:lineRule="exact"/>
        <w:rPr>
          <w:sz w:val="20"/>
          <w:szCs w:val="20"/>
          <w:color w:val="auto"/>
        </w:rPr>
      </w:pPr>
    </w:p>
    <w:p>
      <w:pPr>
        <w:ind w:right="120" w:firstLine="436"/>
        <w:spacing w:after="0" w:line="277" w:lineRule="auto"/>
        <w:tabs>
          <w:tab w:leader="none" w:pos="62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Limitation on Securities Issuable under the Plan</w:t>
      </w:r>
      <w:r>
        <w:rPr>
          <w:rFonts w:ascii="Arial" w:cs="Arial" w:eastAsia="Arial" w:hAnsi="Arial"/>
          <w:sz w:val="18"/>
          <w:szCs w:val="18"/>
          <w:color w:val="auto"/>
        </w:rPr>
        <w:t>. The amount of securities issued pursuant to the Plan shall not exceed the amounts permitted under section 260.140.45 of the California Code of Regulations to the extent applicable.</w:t>
      </w:r>
    </w:p>
    <w:p>
      <w:pPr>
        <w:spacing w:after="0" w:line="170" w:lineRule="exact"/>
        <w:rPr>
          <w:rFonts w:ascii="Arial" w:cs="Arial" w:eastAsia="Arial" w:hAnsi="Arial"/>
          <w:sz w:val="18"/>
          <w:szCs w:val="18"/>
          <w:color w:val="auto"/>
        </w:rPr>
      </w:pPr>
    </w:p>
    <w:p>
      <w:pPr>
        <w:ind w:firstLine="436"/>
        <w:spacing w:after="0" w:line="277" w:lineRule="auto"/>
        <w:tabs>
          <w:tab w:leader="none" w:pos="62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Additional Limitations For Grants</w:t>
      </w:r>
      <w:r>
        <w:rPr>
          <w:rFonts w:ascii="Arial" w:cs="Arial" w:eastAsia="Arial" w:hAnsi="Arial"/>
          <w:sz w:val="18"/>
          <w:szCs w:val="18"/>
          <w:color w:val="auto"/>
        </w:rPr>
        <w:t>. The terms of all Awards shall comply, to the extent applicable, with Sections 260.140.41 and 260.140.42 of the California Code of Regulations.</w:t>
      </w:r>
    </w:p>
    <w:p>
      <w:pPr>
        <w:spacing w:after="0" w:line="170" w:lineRule="exact"/>
        <w:rPr>
          <w:rFonts w:ascii="Arial" w:cs="Arial" w:eastAsia="Arial" w:hAnsi="Arial"/>
          <w:sz w:val="18"/>
          <w:szCs w:val="18"/>
          <w:color w:val="auto"/>
        </w:rPr>
      </w:pPr>
    </w:p>
    <w:p>
      <w:pPr>
        <w:ind w:right="60" w:firstLine="436"/>
        <w:spacing w:after="0" w:line="255" w:lineRule="auto"/>
        <w:tabs>
          <w:tab w:leader="none" w:pos="62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Additional Requirement to Provide Information to California Participants</w:t>
      </w:r>
      <w:r>
        <w:rPr>
          <w:rFonts w:ascii="Arial" w:cs="Arial" w:eastAsia="Arial" w:hAnsi="Arial"/>
          <w:sz w:val="18"/>
          <w:szCs w:val="18"/>
          <w:color w:val="auto"/>
        </w:rPr>
        <w:t>. The Company shall provide to each California Participant, not less frequently than annually, copies of annual financial statements (which need not be audited). The Company shall not be required to provide such statements to key persons whose duties in connection with the Company assure their access to equivalent information. In addition, this information requirement shall not apply to any plan or agreement that complies with all conditions of Rule 701 of the Securities Act of 1933, as amended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701</w:t>
      </w:r>
      <w:r>
        <w:rPr>
          <w:rFonts w:ascii="Arial" w:cs="Arial" w:eastAsia="Arial" w:hAnsi="Arial"/>
          <w:sz w:val="18"/>
          <w:szCs w:val="18"/>
          <w:color w:val="auto"/>
        </w:rPr>
        <w:t>”); provided that for purposes of determining such compliance, any registered domestic partner shall be considered a “family member” as that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defined in Rule 701.</w:t>
      </w:r>
    </w:p>
    <w:p>
      <w:pPr>
        <w:spacing w:after="0" w:line="300" w:lineRule="exact"/>
        <w:rPr>
          <w:rFonts w:ascii="Arial" w:cs="Arial" w:eastAsia="Arial" w:hAnsi="Arial"/>
          <w:sz w:val="18"/>
          <w:szCs w:val="18"/>
          <w:color w:val="auto"/>
        </w:rPr>
      </w:pPr>
    </w:p>
    <w:p>
      <w:pPr>
        <w:ind w:left="5180"/>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0900"/>
          </w:cols>
          <w:pgMar w:left="440" w:top="270" w:right="559" w:bottom="1440" w:gutter="0" w:footer="0" w:header="0"/>
        </w:sectPr>
      </w:pPr>
    </w:p>
    <w:bookmarkStart w:id="374" w:name="page375"/>
    <w:bookmarkEnd w:id="374"/>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ADAGIO THERAPEUTICS,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2020 EQUITY INCENTIVE PLAN</w:t>
      </w:r>
    </w:p>
    <w:p>
      <w:pPr>
        <w:spacing w:after="0" w:line="9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STOCK OPTION</w:t>
      </w:r>
    </w:p>
    <w:p>
      <w:pPr>
        <w:spacing w:after="0" w:line="11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GRANT NOTICE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Adagio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granted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participant set forth below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an Option to purchase the number of shares of the Company’s Common Stock (referred to herein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set forth below. The Option is subject to all of the terms and conditions as set forth herein and in the Stock Option Agreement attached 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and the Plan, each of which is incorporated herein by reference. Unless otherwise defined herein,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Plan shall have the same defined meanings in this Stock Option Grant Notice and the Stock Option Agreement.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8380" w:type="dxa"/>
            <w:vAlign w:val="bottom"/>
            <w:tcBorders>
              <w:bottom w:val="single" w:sz="8" w:color="auto"/>
            </w:tcBorders>
          </w:tcPr>
          <w:p>
            <w:pPr>
              <w:spacing w:after="0"/>
              <w:rPr>
                <w:sz w:val="20"/>
                <w:szCs w:val="20"/>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8380" w:type="dxa"/>
            <w:vAlign w:val="bottom"/>
            <w:tcBorders>
              <w:bottom w:val="single" w:sz="8" w:color="auto"/>
            </w:tcBorders>
          </w:tcPr>
          <w:p>
            <w:pPr>
              <w:spacing w:after="0"/>
              <w:rPr>
                <w:sz w:val="24"/>
                <w:szCs w:val="24"/>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8"/>
                <w:szCs w:val="18"/>
                <w:b w:val="1"/>
                <w:bCs w:val="1"/>
                <w:color w:val="auto"/>
              </w:rPr>
              <w:t>Vesting Commencement Date:</w:t>
            </w:r>
          </w:p>
        </w:tc>
        <w:tc>
          <w:tcPr>
            <w:tcW w:w="8380" w:type="dxa"/>
            <w:vAlign w:val="bottom"/>
            <w:tcBorders>
              <w:bottom w:val="single" w:sz="8" w:color="auto"/>
            </w:tcBorders>
          </w:tcPr>
          <w:p>
            <w:pPr>
              <w:spacing w:after="0"/>
              <w:rPr>
                <w:sz w:val="24"/>
                <w:szCs w:val="24"/>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8380" w:type="dxa"/>
            <w:vAlign w:val="bottom"/>
            <w:tcBorders>
              <w:bottom w:val="single" w:sz="8" w:color="auto"/>
            </w:tcBorders>
          </w:tcPr>
          <w:p>
            <w:pPr>
              <w:spacing w:after="0"/>
              <w:rPr>
                <w:sz w:val="24"/>
                <w:szCs w:val="24"/>
                <w:color w:val="auto"/>
              </w:rPr>
            </w:pPr>
          </w:p>
        </w:tc>
      </w:tr>
      <w:tr>
        <w:trPr>
          <w:trHeight w:val="286"/>
        </w:trPr>
        <w:tc>
          <w:tcPr>
            <w:tcW w:w="2640" w:type="dxa"/>
            <w:vAlign w:val="bottom"/>
          </w:tcPr>
          <w:p>
            <w:pPr>
              <w:spacing w:after="0"/>
              <w:rPr>
                <w:sz w:val="20"/>
                <w:szCs w:val="20"/>
                <w:color w:val="auto"/>
              </w:rPr>
            </w:pPr>
            <w:r>
              <w:rPr>
                <w:rFonts w:ascii="Arial" w:cs="Arial" w:eastAsia="Arial" w:hAnsi="Arial"/>
                <w:sz w:val="18"/>
                <w:szCs w:val="18"/>
                <w:b w:val="1"/>
                <w:bCs w:val="1"/>
                <w:color w:val="auto"/>
              </w:rPr>
              <w:t>Total Number of Shares</w:t>
            </w:r>
          </w:p>
        </w:tc>
        <w:tc>
          <w:tcPr>
            <w:tcW w:w="8380" w:type="dxa"/>
            <w:vAlign w:val="bottom"/>
          </w:tcPr>
          <w:p>
            <w:pPr>
              <w:spacing w:after="0"/>
              <w:rPr>
                <w:sz w:val="24"/>
                <w:szCs w:val="24"/>
                <w:color w:val="auto"/>
              </w:rPr>
            </w:pPr>
          </w:p>
        </w:tc>
      </w:tr>
      <w:tr>
        <w:trPr>
          <w:trHeight w:val="241"/>
        </w:trPr>
        <w:tc>
          <w:tcPr>
            <w:tcW w:w="2640" w:type="dxa"/>
            <w:vAlign w:val="bottom"/>
          </w:tcPr>
          <w:p>
            <w:pPr>
              <w:spacing w:after="0"/>
              <w:rPr>
                <w:sz w:val="20"/>
                <w:szCs w:val="20"/>
                <w:color w:val="auto"/>
              </w:rPr>
            </w:pPr>
            <w:r>
              <w:rPr>
                <w:rFonts w:ascii="Arial" w:cs="Arial" w:eastAsia="Arial" w:hAnsi="Arial"/>
                <w:sz w:val="18"/>
                <w:szCs w:val="18"/>
                <w:b w:val="1"/>
                <w:bCs w:val="1"/>
                <w:color w:val="auto"/>
              </w:rPr>
              <w:t>Subject to Option:</w:t>
            </w:r>
          </w:p>
        </w:tc>
        <w:tc>
          <w:tcPr>
            <w:tcW w:w="8380" w:type="dxa"/>
            <w:vAlign w:val="bottom"/>
            <w:tcBorders>
              <w:bottom w:val="single" w:sz="8" w:color="auto"/>
            </w:tcBorders>
          </w:tcPr>
          <w:p>
            <w:pPr>
              <w:spacing w:after="0"/>
              <w:rPr>
                <w:sz w:val="20"/>
                <w:szCs w:val="20"/>
                <w:color w:val="auto"/>
              </w:rPr>
            </w:pPr>
          </w:p>
        </w:tc>
      </w:tr>
      <w:tr>
        <w:trPr>
          <w:trHeight w:val="311"/>
        </w:trPr>
        <w:tc>
          <w:tcPr>
            <w:tcW w:w="26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8380" w:type="dxa"/>
            <w:vAlign w:val="bottom"/>
            <w:tcBorders>
              <w:bottom w:val="single" w:sz="8" w:color="auto"/>
            </w:tcBorders>
          </w:tcPr>
          <w:p>
            <w:pPr>
              <w:spacing w:after="0"/>
              <w:rPr>
                <w:sz w:val="24"/>
                <w:szCs w:val="24"/>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8380" w:type="dxa"/>
            <w:vAlign w:val="bottom"/>
          </w:tcPr>
          <w:p>
            <w:pPr>
              <w:ind w:left="120"/>
              <w:spacing w:after="0"/>
              <w:rPr>
                <w:sz w:val="20"/>
                <w:szCs w:val="20"/>
                <w:color w:val="auto"/>
              </w:rPr>
            </w:pPr>
            <w:r>
              <w:rPr>
                <w:rFonts w:ascii="Arial" w:cs="Arial" w:eastAsia="Arial" w:hAnsi="Arial"/>
                <w:sz w:val="18"/>
                <w:szCs w:val="18"/>
                <w:color w:val="auto"/>
              </w:rPr>
              <w:t>[Incentive Stock Option/Non-Qualified Stock Option]</w:t>
            </w:r>
          </w:p>
        </w:tc>
      </w:tr>
      <w:tr>
        <w:trPr>
          <w:trHeight w:val="306"/>
        </w:trPr>
        <w:tc>
          <w:tcPr>
            <w:tcW w:w="264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380" w:type="dxa"/>
            <w:vAlign w:val="bottom"/>
          </w:tcPr>
          <w:p>
            <w:pPr>
              <w:ind w:left="120"/>
              <w:spacing w:after="0"/>
              <w:rPr>
                <w:sz w:val="20"/>
                <w:szCs w:val="20"/>
                <w:color w:val="auto"/>
              </w:rPr>
            </w:pPr>
            <w:r>
              <w:rPr>
                <w:rFonts w:ascii="Arial" w:cs="Arial" w:eastAsia="Arial" w:hAnsi="Arial"/>
                <w:sz w:val="18"/>
                <w:szCs w:val="18"/>
                <w:color w:val="auto"/>
                <w:w w:val="91"/>
              </w:rPr>
              <w:t>[Subject to the terms of the Agreement, the Option will vest as to 25% of the Shares on the first anniversary of the</w:t>
            </w:r>
          </w:p>
        </w:tc>
      </w:tr>
      <w:tr>
        <w:trPr>
          <w:trHeight w:val="220"/>
        </w:trPr>
        <w:tc>
          <w:tcPr>
            <w:tcW w:w="2640" w:type="dxa"/>
            <w:vAlign w:val="bottom"/>
          </w:tcPr>
          <w:p>
            <w:pPr>
              <w:spacing w:after="0"/>
              <w:rPr>
                <w:sz w:val="19"/>
                <w:szCs w:val="19"/>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w w:val="90"/>
              </w:rPr>
              <w:t>vesting commencement date set forth above (the “</w:t>
            </w:r>
            <w:r>
              <w:rPr>
                <w:rFonts w:ascii="Arial" w:cs="Arial" w:eastAsia="Arial" w:hAnsi="Arial"/>
                <w:sz w:val="18"/>
                <w:szCs w:val="18"/>
                <w:b w:val="1"/>
                <w:bCs w:val="1"/>
                <w:i w:val="1"/>
                <w:iCs w:val="1"/>
                <w:color w:val="auto"/>
                <w:w w:val="90"/>
              </w:rPr>
              <w:t>Vesting Commencement Date</w:t>
            </w:r>
            <w:r>
              <w:rPr>
                <w:rFonts w:ascii="Arial" w:cs="Arial" w:eastAsia="Arial" w:hAnsi="Arial"/>
                <w:sz w:val="18"/>
                <w:szCs w:val="18"/>
                <w:color w:val="auto"/>
                <w:w w:val="90"/>
              </w:rPr>
              <w:t>”</w:t>
            </w:r>
            <w:r>
              <w:rPr>
                <w:rFonts w:ascii="Arial" w:cs="Arial" w:eastAsia="Arial" w:hAnsi="Arial"/>
                <w:sz w:val="18"/>
                <w:szCs w:val="18"/>
                <w:b w:val="1"/>
                <w:bCs w:val="1"/>
                <w:color w:val="auto"/>
                <w:w w:val="90"/>
              </w:rPr>
              <w:t>)</w:t>
            </w:r>
            <w:r>
              <w:rPr>
                <w:rFonts w:ascii="Arial" w:cs="Arial" w:eastAsia="Arial" w:hAnsi="Arial"/>
                <w:sz w:val="18"/>
                <w:szCs w:val="18"/>
                <w:color w:val="auto"/>
                <w:w w:val="90"/>
              </w:rPr>
              <w:t xml:space="preserve"> and as to 1/48th of the Shares</w:t>
            </w:r>
          </w:p>
        </w:tc>
      </w:tr>
      <w:tr>
        <w:trPr>
          <w:trHeight w:val="216"/>
        </w:trPr>
        <w:tc>
          <w:tcPr>
            <w:tcW w:w="264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w w:val="91"/>
              </w:rPr>
              <w:t>upon Participant’s completion of each successive month of continuous service as a Service Provider after the first</w:t>
            </w:r>
          </w:p>
        </w:tc>
      </w:tr>
      <w:tr>
        <w:trPr>
          <w:trHeight w:val="216"/>
        </w:trPr>
        <w:tc>
          <w:tcPr>
            <w:tcW w:w="264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w w:val="96"/>
              </w:rPr>
              <w:t>anniversary of the Vesting Commencement Date.] [Notwithstanding the foregoing, the Option will vest in full</w:t>
            </w:r>
          </w:p>
        </w:tc>
      </w:tr>
      <w:tr>
        <w:trPr>
          <w:trHeight w:val="216"/>
        </w:trPr>
        <w:tc>
          <w:tcPr>
            <w:tcW w:w="264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w w:val="94"/>
              </w:rPr>
              <w:t>immediately prior to a Change in Control, subject to Participant’s continued service as a Service Provider until</w:t>
            </w:r>
          </w:p>
        </w:tc>
      </w:tr>
      <w:tr>
        <w:trPr>
          <w:trHeight w:val="230"/>
        </w:trPr>
        <w:tc>
          <w:tcPr>
            <w:tcW w:w="264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immediately prior to such Change in Control.]</w:t>
            </w:r>
          </w:p>
        </w:tc>
      </w:tr>
    </w:tbl>
    <w:p>
      <w:pPr>
        <w:spacing w:after="0" w:line="20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of the Plan upon any questions arising under the Plan or the Option.</w:t>
      </w:r>
    </w:p>
    <w:p>
      <w:pPr>
        <w:spacing w:after="0" w:line="21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ADAGIO THERAPEUTICS, INC.:</w:t>
      </w:r>
      <w:r>
        <w:rPr>
          <w:sz w:val="20"/>
          <w:szCs w:val="20"/>
          <w:color w:val="auto"/>
        </w:rPr>
        <w:tab/>
      </w:r>
      <w:r>
        <w:rPr>
          <w:rFonts w:ascii="Arial" w:cs="Arial" w:eastAsia="Arial" w:hAnsi="Arial"/>
          <w:sz w:val="17"/>
          <w:szCs w:val="17"/>
          <w:b w:val="1"/>
          <w:bCs w:val="1"/>
          <w:color w:val="auto"/>
        </w:rPr>
        <w:t>PARTICIPANT: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679767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3"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14605</wp:posOffset>
            </wp:positionV>
            <wp:extent cx="661797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6179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14605</wp:posOffset>
            </wp:positionV>
            <wp:extent cx="30689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75" w:name="page376"/>
    <w:bookmarkEnd w:id="37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an Option under the Company’s 2020 Equity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indicated in the Stock Option Grant Notice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Grant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to which this Stock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w:t>
      </w:r>
    </w:p>
    <w:p>
      <w:pPr>
        <w:spacing w:after="0" w:line="39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not specifically defined herein shall have the meanings specified in the Plan and the Grant Notice.</w:t>
      </w:r>
    </w:p>
    <w:p>
      <w:pPr>
        <w:spacing w:after="0" w:line="23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Option is subject to the terms and conditions of the Plan which are incorporated herein by reference. In the event of a conflict between the terms of the Agreement and the Plan, the terms of the Plan shall control.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6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Grant of Option</w:t>
      </w:r>
      <w:r>
        <w:rPr>
          <w:rFonts w:ascii="Arial" w:cs="Arial" w:eastAsia="Arial" w:hAnsi="Arial"/>
          <w:sz w:val="18"/>
          <w:szCs w:val="18"/>
          <w:color w:val="auto"/>
        </w:rPr>
        <w:t>. In consideration of Participant’s past and/or continued employment with or service to the Company or a parent or subsidiary and for other good and valuable consideration, effective as of the grant date set forth in the Grant Notice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the Company irrevocably grants to Participant an Option to purchase any part or all of an aggregate of the number of Shares set forth in the Grant Notice, upon the terms and conditions set forth in the Plan and this Agreement. Unless designated as a Non-Qualified Stock Option in the Grant Notice, the Option shall be an Incentive Stock Option to the maximum extent permitted by law.</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PERIOD OF EXERCISABILITY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Exercisability</w:t>
      </w:r>
      <w:r>
        <w:rPr>
          <w:rFonts w:ascii="Arial" w:cs="Arial" w:eastAsia="Arial" w:hAnsi="Arial"/>
          <w:sz w:val="18"/>
          <w:szCs w:val="18"/>
          <w:color w:val="auto"/>
        </w:rPr>
        <w:t>.</w:t>
      </w:r>
    </w:p>
    <w:p>
      <w:pPr>
        <w:spacing w:after="0" w:line="225" w:lineRule="exact"/>
        <w:rPr>
          <w:sz w:val="20"/>
          <w:szCs w:val="20"/>
          <w:color w:val="auto"/>
        </w:rPr>
      </w:pPr>
    </w:p>
    <w:p>
      <w:pPr>
        <w:jc w:val="both"/>
        <w:ind w:right="60" w:firstLine="987"/>
        <w:spacing w:after="0" w:line="311" w:lineRule="auto"/>
        <w:tabs>
          <w:tab w:leader="none" w:pos="123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Subject to Section 2.1(b), the Option shall become vested in such amounts and at such times as are set forth in the vesting schedule in the Grant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provided that any Share as to which the Option would otherwise be fractionally vested will be accumulated and will vest only when a whole Share has accumulated. The installments provided for in the Vesting Schedule are cumulative.</w:t>
      </w:r>
    </w:p>
    <w:p>
      <w:pPr>
        <w:spacing w:after="0" w:line="148" w:lineRule="exact"/>
        <w:rPr>
          <w:rFonts w:ascii="Arial" w:cs="Arial" w:eastAsia="Arial" w:hAnsi="Arial"/>
          <w:sz w:val="16"/>
          <w:szCs w:val="16"/>
          <w:color w:val="auto"/>
        </w:rPr>
      </w:pPr>
    </w:p>
    <w:p>
      <w:pPr>
        <w:ind w:right="100" w:firstLine="987"/>
        <w:spacing w:after="0" w:line="286" w:lineRule="auto"/>
        <w:tabs>
          <w:tab w:leader="none" w:pos="1246" w:val="left"/>
        </w:tabs>
        <w:numPr>
          <w:ilvl w:val="0"/>
          <w:numId w:val="242"/>
        </w:numPr>
        <w:rPr>
          <w:rFonts w:ascii="Arial" w:cs="Arial" w:eastAsia="Arial" w:hAnsi="Arial"/>
          <w:sz w:val="17"/>
          <w:szCs w:val="17"/>
          <w:color w:val="auto"/>
        </w:rPr>
      </w:pPr>
      <w:r>
        <w:rPr>
          <w:rFonts w:ascii="Arial" w:cs="Arial" w:eastAsia="Arial" w:hAnsi="Arial"/>
          <w:sz w:val="17"/>
          <w:szCs w:val="17"/>
          <w:color w:val="auto"/>
        </w:rPr>
        <w:t>No portion of the Option which has not become vested at the date Participant incurs a Termination of Service shall thereafter become vested and any such unvested portion shall automatically be forfeited upon such Termination of Service, in each case, except as may be otherwise provided by the Administrator or as set forth in another written agreement between the Company and Participant.</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20"/>
          </w:cols>
          <w:pgMar w:left="440" w:top="270" w:right="539" w:bottom="1440" w:gutter="0" w:footer="0" w:header="0"/>
        </w:sectPr>
      </w:pPr>
    </w:p>
    <w:bookmarkStart w:id="376" w:name="page377"/>
    <w:bookmarkEnd w:id="376"/>
    <w:p>
      <w:pPr>
        <w:ind w:right="20" w:firstLine="987"/>
        <w:spacing w:after="0" w:line="254" w:lineRule="auto"/>
        <w:tabs>
          <w:tab w:leader="none" w:pos="1236" w:val="left"/>
        </w:tabs>
        <w:numPr>
          <w:ilvl w:val="0"/>
          <w:numId w:val="2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portion of the Option or the entire Option may be exercised in whole or in part at any time prior to the time when the Option or portion thereof becomes unexercisable under Section 2.2, provided that each unvested Share with respect to which the Option is exercised (a “</w:t>
      </w:r>
      <w:r>
        <w:rPr>
          <w:rFonts w:ascii="Arial" w:cs="Arial" w:eastAsia="Arial" w:hAnsi="Arial"/>
          <w:sz w:val="18"/>
          <w:szCs w:val="18"/>
          <w:b w:val="1"/>
          <w:bCs w:val="1"/>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shall be subject to the Company Repurchase Right (as defined below) for so long as the Option shall remain unvested with respect to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under the terms of this Agreement. The Restricted Shares shall be released from the Company Repurchase Right as set forth in Section 4.1(d). All Shares with respect to which the Option is exercised shall be assumed first to be vested Shares and, to the extent any such Shares are not vested at the time of exercise, to vest under the terms of this Agreement before any unexercised portion of the Option, unless otherwise provided by the Administrator.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117" w:lineRule="exact"/>
        <w:rPr>
          <w:sz w:val="20"/>
          <w:szCs w:val="20"/>
          <w:color w:val="auto"/>
        </w:rPr>
      </w:pPr>
    </w:p>
    <w:p>
      <w:pPr>
        <w:ind w:left="1220" w:hanging="233"/>
        <w:spacing w:after="0"/>
        <w:tabs>
          <w:tab w:leader="none" w:pos="12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225" w:lineRule="exact"/>
        <w:rPr>
          <w:rFonts w:ascii="Arial" w:cs="Arial" w:eastAsia="Arial" w:hAnsi="Arial"/>
          <w:sz w:val="18"/>
          <w:szCs w:val="18"/>
          <w:color w:val="auto"/>
        </w:rPr>
      </w:pPr>
    </w:p>
    <w:p>
      <w:pPr>
        <w:ind w:right="220" w:firstLine="987"/>
        <w:spacing w:after="0" w:line="277" w:lineRule="auto"/>
        <w:tabs>
          <w:tab w:leader="none" w:pos="124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expiration of three months following the date of Participant’s Termination of Service, unless such Termination of Service occurs by reason of Participant’s death, Disability or Cause;</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expiration of one year following the date of Participant’s Termination of Service by reason of Participant’s death or Disability;</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date of Participant’s Termination of Service for Cause;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With respect to any unvested portion of the Option, the date of Participant’s Termination of Service for any reason.</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Participant acknowledges that an Incentive Stock Option exercised more than three months after Participant’s termination of status as an Employee, other than by reason of death or Disability, will be taxed as a Non-Qualified Stock Option.</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means “Cause” (or any term of similar effect) as defined in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Participant’s unauthorized use or disclosure of confidential information or trade secrets of the Company or any material breach of a written agreement between Participant and the Company, including without limitation a material breach of any employment, confidentiality, non-compete, non-solicit or similar agreement; (ii) Participant’s commission of, indictment for or the entry of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by Participant to, a felony under the laws of the United States or any state thereof or any crime involving dishonesty or moral turpitude (or any similar crime in any jurisdiction outside the United States); (iii) Participant’s negligence or willful misconduct in the performance of Participant’s duties or Participant’s willful or repeated failure or refusal to substantially perform assigned duties; (iv) any act of fraud, embezzlement, material misappropriation or dishonesty committed by Participant against the Company; or (v) any acts, omissions or statements by Participant which the Company determines to be materially detrimental or damaging to the reputation, operations, prospects or business relations of the Company.</w:t>
      </w:r>
    </w:p>
    <w:p>
      <w:pPr>
        <w:spacing w:after="0" w:line="182"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Special Tax Consequences</w:t>
      </w:r>
      <w:r>
        <w:rPr>
          <w:rFonts w:ascii="Arial" w:cs="Arial" w:eastAsia="Arial" w:hAnsi="Arial"/>
          <w:sz w:val="18"/>
          <w:szCs w:val="18"/>
          <w:color w:val="auto"/>
        </w:rPr>
        <w:t>. If the Option is intended to be an Incentive Stock Option, Participant acknowledges that, to the extent that the aggregate fair market value (determined as of the time the Option is granted) of all Shares with respect to which Incentive Stock Options, including, without limitation, the Option, are first exercisable by Participant in any calendar year exceeds $100,000 (or such other limitation as imposed by Section 422(d) of the Code), the Option and such other options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377" w:name="page378"/>
    <w:bookmarkEnd w:id="377"/>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portion thereof) shall be treated as not qualifying under Section 422 of the Code but rather shall be considered Non-Qualified Stock Options. Participant further acknowledges that the rule set forth in the preceding sentence shall be applied by taking Options and other “incentive stock options” into account in the order in which they were granted. Participant acknowledges that amendments or modifications made to the Option pursuant to the Plan will not be considered to materially or adversely affect Participant’s rights under the Option solely by reason of causing the Option to become a Non-Qualified Stock Option. Participant also acknowledges that if the Option is exercised more than three (3) months after Participant’s Termination of Service as an Employee, other than by reason of death or disability, the Option will be taxed as a Non-Qualified Stock Option.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Person Eligible to Exercise</w:t>
      </w:r>
      <w:r>
        <w:rPr>
          <w:rFonts w:ascii="Arial" w:cs="Arial" w:eastAsia="Arial" w:hAnsi="Arial"/>
          <w:sz w:val="18"/>
          <w:szCs w:val="18"/>
          <w:color w:val="auto"/>
        </w:rPr>
        <w:t>. During the lifetime of Participant, only Participant may exercise the Option or any portion thereof. After the death of Participant, any exercisable portion of the Option may, prior to the time when the Option becomes unexercisable under Section 2.2, be exercised by Participant’s personal representative or by any person empowered to do so under the deceased Participant’s will or under the then applicable laws of descent and distribution.</w:t>
      </w:r>
    </w:p>
    <w:p>
      <w:pPr>
        <w:spacing w:after="0" w:line="187"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or any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2.2:</w:t>
      </w:r>
    </w:p>
    <w:p>
      <w:pPr>
        <w:spacing w:after="0" w:line="76" w:lineRule="exact"/>
        <w:rPr>
          <w:sz w:val="20"/>
          <w:szCs w:val="20"/>
          <w:color w:val="auto"/>
        </w:rPr>
      </w:pPr>
    </w:p>
    <w:p>
      <w:pPr>
        <w:ind w:right="380" w:firstLine="987"/>
        <w:spacing w:after="0" w:line="311" w:lineRule="auto"/>
        <w:tabs>
          <w:tab w:leader="none" w:pos="1236"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An exercise notice in substantially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Grant Notice (or such other form as is prescribed by the Administrator)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in writing signed by Participant or any other person then entitled to exercise the Option or portion thereof, stating that the Option or portion thereof is thereby exercised, such notice complying with all applicable rules established by the Administrator; and</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Full payment for Shares with respect to which the Option or portion thereof is exercised in accordance with Section 5.6 of the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460" w:firstLine="987"/>
        <w:spacing w:after="0" w:line="277" w:lineRule="auto"/>
        <w:tabs>
          <w:tab w:leader="none" w:pos="1233"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receipt by the Company of full payment for any applicable withholding tax in cash, by wire transfer of immediately available funds, by check or in such other form as is permitted by the Plan; and</w:t>
      </w:r>
    </w:p>
    <w:p>
      <w:pPr>
        <w:spacing w:after="0" w:line="170" w:lineRule="exact"/>
        <w:rPr>
          <w:rFonts w:ascii="Arial" w:cs="Arial" w:eastAsia="Arial" w:hAnsi="Arial"/>
          <w:sz w:val="18"/>
          <w:szCs w:val="18"/>
          <w:color w:val="auto"/>
        </w:rPr>
      </w:pPr>
    </w:p>
    <w:p>
      <w:pPr>
        <w:ind w:right="300" w:firstLine="987"/>
        <w:spacing w:after="0" w:line="277" w:lineRule="auto"/>
        <w:tabs>
          <w:tab w:leader="none" w:pos="124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pursuant to Section 3.1 by any person or persons other than Participant, appropriate proof of the right of such person or persons to exercise the Option;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the event the Option or portion thereof shall be exercised as to Restricted Shares, the following (collectively, the “</w:t>
      </w:r>
      <w:r>
        <w:rPr>
          <w:rFonts w:ascii="Arial" w:cs="Arial" w:eastAsia="Arial" w:hAnsi="Arial"/>
          <w:sz w:val="17"/>
          <w:szCs w:val="17"/>
          <w:b w:val="1"/>
          <w:bCs w:val="1"/>
          <w:i w:val="1"/>
          <w:iCs w:val="1"/>
          <w:color w:val="auto"/>
        </w:rPr>
        <w:t>Additional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Documents</w:t>
      </w: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ind w:left="1640" w:hanging="212"/>
        <w:spacing w:after="0"/>
        <w:tabs>
          <w:tab w:leader="none" w:pos="16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share certificate or certificates representing such Restricted Shares;</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 xml:space="preserve">the stock assignment duly endorsed in blank,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Grant Notice (the “</w:t>
      </w:r>
      <w:r>
        <w:rPr>
          <w:rFonts w:ascii="Arial" w:cs="Arial" w:eastAsia="Arial" w:hAnsi="Arial"/>
          <w:sz w:val="16"/>
          <w:szCs w:val="16"/>
          <w:b w:val="1"/>
          <w:bCs w:val="1"/>
          <w:i w:val="1"/>
          <w:iCs w:val="1"/>
          <w:color w:val="auto"/>
        </w:rPr>
        <w:t>Stock Assignment</w:t>
      </w:r>
      <w:r>
        <w:rPr>
          <w:rFonts w:ascii="Arial" w:cs="Arial" w:eastAsia="Arial" w:hAnsi="Arial"/>
          <w:sz w:val="16"/>
          <w:szCs w:val="16"/>
          <w:color w:val="auto"/>
        </w:rPr>
        <w:t>”), executed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378" w:name="page379"/>
    <w:bookmarkEnd w:id="378"/>
    <w:p>
      <w:pPr>
        <w:ind w:right="400" w:firstLine="1428"/>
        <w:spacing w:after="0" w:line="277" w:lineRule="auto"/>
        <w:tabs>
          <w:tab w:leader="none" w:pos="1747" w:val="left"/>
        </w:tabs>
        <w:numPr>
          <w:ilvl w:val="0"/>
          <w:numId w:val="2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Joint Escrow Instructions of the Company and Participant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Grant Notice (the “</w:t>
      </w:r>
      <w:r>
        <w:rPr>
          <w:rFonts w:ascii="Arial" w:cs="Arial" w:eastAsia="Arial" w:hAnsi="Arial"/>
          <w:sz w:val="18"/>
          <w:szCs w:val="18"/>
          <w:b w:val="1"/>
          <w:bCs w:val="1"/>
          <w:i w:val="1"/>
          <w:iCs w:val="1"/>
          <w:color w:val="auto"/>
        </w:rPr>
        <w:t>Joint Escrow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Instructions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Participant.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Company Repurchase Right</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9" w:lineRule="auto"/>
        <w:tabs>
          <w:tab w:leader="none" w:pos="123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Upon Participant’s Termination of Service for any reason, the Company shall have the right and option to repurchase all of the Restricted Shares from Participant, or Participant’s transferee or legal representative, as the case may be, for a purchase price equal to the price per Share paid by Participant for such Restricted Shares, as adjusted to reflect any Equity Restructuring or other transaction or event described in Section 8 of the Plan (the “</w:t>
      </w:r>
      <w:r>
        <w:rPr>
          <w:rFonts w:ascii="Arial" w:cs="Arial" w:eastAsia="Arial" w:hAnsi="Arial"/>
          <w:sz w:val="18"/>
          <w:szCs w:val="18"/>
          <w:b w:val="1"/>
          <w:bCs w:val="1"/>
          <w:i w:val="1"/>
          <w:iCs w:val="1"/>
          <w:color w:val="auto"/>
        </w:rPr>
        <w:t>Company Repurchase Right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80" w:firstLine="987"/>
        <w:spacing w:after="0" w:line="291" w:lineRule="auto"/>
        <w:tabs>
          <w:tab w:leader="none" w:pos="1246"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Company may exercise the Company Repurchase Right by delivering to Participant (or his or her transferee or legal representative, as the case may be), within ninety (90) days of the date of Participant’s Termination of Service, a notice in writing indicating the Company’s intention to exercise the Company Repurchase Right and setting forth a date for closing not later than thirty (30) days from the mailing of such notice. The closing shall take place at the Company’s office. At the closing, the holder of the certificates for the Restricted Shares shall deliver the stock certificate or certificates evidencing the Restricted Shares, and the Company shall deliver the purchase price therefore. At its option, the Company may elect to make payment for the Restricted Shares to a bank selected by the Company. The Company shall avail itself of this option by a notice in writing to Participant stating the name and address of the bank, date of closing, and waiving the closing at the Company’s office.</w:t>
      </w:r>
    </w:p>
    <w:p>
      <w:pPr>
        <w:spacing w:after="0" w:line="166" w:lineRule="exact"/>
        <w:rPr>
          <w:rFonts w:ascii="Arial" w:cs="Arial" w:eastAsia="Arial" w:hAnsi="Arial"/>
          <w:sz w:val="16"/>
          <w:szCs w:val="16"/>
          <w:color w:val="auto"/>
        </w:rPr>
      </w:pPr>
    </w:p>
    <w:p>
      <w:pPr>
        <w:jc w:val="both"/>
        <w:ind w:right="380" w:firstLine="987"/>
        <w:spacing w:after="0" w:line="279" w:lineRule="auto"/>
        <w:tabs>
          <w:tab w:leader="none" w:pos="1236" w:val="left"/>
        </w:tabs>
        <w:numPr>
          <w:ilvl w:val="0"/>
          <w:numId w:val="247"/>
        </w:numPr>
        <w:rPr>
          <w:rFonts w:ascii="Arial" w:cs="Arial" w:eastAsia="Arial" w:hAnsi="Arial"/>
          <w:sz w:val="17"/>
          <w:szCs w:val="17"/>
          <w:color w:val="auto"/>
        </w:rPr>
      </w:pPr>
      <w:r>
        <w:rPr>
          <w:rFonts w:ascii="Arial" w:cs="Arial" w:eastAsia="Arial" w:hAnsi="Arial"/>
          <w:sz w:val="17"/>
          <w:szCs w:val="17"/>
          <w:color w:val="auto"/>
        </w:rPr>
        <w:t>Unless the Company has earlier delivered notice of its intention to exercise the Company Repurchase Right, or the Administrator otherwise determines, the Company will automatically be deemed to have exercised the Company Repurchase Right and timely delivered effective notice thereof with respect to all unvested Shares on the final day upon which such notice could be delivered under the terms of this Agreement and setting forth the latest date for closing of such repurchase permitted under the terms of this Agreement.</w:t>
      </w:r>
    </w:p>
    <w:p>
      <w:pPr>
        <w:spacing w:after="0" w:line="171" w:lineRule="exact"/>
        <w:rPr>
          <w:rFonts w:ascii="Arial" w:cs="Arial" w:eastAsia="Arial" w:hAnsi="Arial"/>
          <w:sz w:val="17"/>
          <w:szCs w:val="17"/>
          <w:color w:val="auto"/>
        </w:rPr>
      </w:pPr>
    </w:p>
    <w:p>
      <w:pPr>
        <w:ind w:right="60" w:firstLine="987"/>
        <w:spacing w:after="0" w:line="263" w:lineRule="auto"/>
        <w:tabs>
          <w:tab w:leader="none" w:pos="124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Restricted Shares shall be released from the Company Repurchase Right upon vesting of the Option with respect to such Shares in accordance with the terms of this Agreement. For the avoidance of doubt, all Restricted Shares shall be assumed to vest under the terms of this Agreement before any unexercised portion of the Option, unless otherwise provided by the Administrator.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Notwithstanding anything in this Agreement or the Additional Documents to the contrary, no payment shall be made under this</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4.1 that would cause the Company or any of its affiliates to violate any applicable law, any banking agreement or loan or other financial covenant or cause default of any indebtedness of the Company or any of its affiliates, regardless of when such agreement, covenant or indebtedness was created, incurred or assumed, and any payment under this Section 4.1 that would cause such violation or default shall result in an extension of the period during which the Company may deliver notice of its intention to exercise the Company Repurchase Right and of any payment date or other related date, in the sole discretion of the Company, until thirty (30) days after the date such payment shall no longer cause any such violation or default.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440" w:top="274" w:right="439" w:bottom="1440" w:gutter="0" w:footer="0" w:header="0"/>
        </w:sectPr>
      </w:pPr>
    </w:p>
    <w:bookmarkStart w:id="379" w:name="page380"/>
    <w:bookmarkEnd w:id="3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Escrow</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3" w:lineRule="auto"/>
        <w:tabs>
          <w:tab w:leader="none" w:pos="123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Participant hereby authorizes and directs the Secretary of the Company, or such other person designated by the Administrator from time to time, to transfer the Restricted Shares as to which the Company Repurchase Right has been exercised from Participant (or his or her transferee or legal representative, as the case may be) to the Company.</w:t>
      </w:r>
    </w:p>
    <w:p>
      <w:pPr>
        <w:spacing w:after="0" w:line="183" w:lineRule="exact"/>
        <w:rPr>
          <w:rFonts w:ascii="Arial" w:cs="Arial" w:eastAsia="Arial" w:hAnsi="Arial"/>
          <w:sz w:val="18"/>
          <w:szCs w:val="18"/>
          <w:color w:val="auto"/>
        </w:rPr>
      </w:pPr>
    </w:p>
    <w:p>
      <w:pPr>
        <w:ind w:right="40" w:firstLine="987"/>
        <w:spacing w:after="0" w:line="269" w:lineRule="auto"/>
        <w:tabs>
          <w:tab w:leader="none" w:pos="1246"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To ensure the availability for delivery of the Restricted Shares upon repurchase by the Company pursuant to the Company Repurchase Right, Participant appoints the Secretary of the Company, or such other person designated by the Administrator from time to time as escrow agent, as its attorney-in-fact to sell, assign and transfer unto the Company, such Restricted Shares, if any, repurchased by the Company pursuant to the Company Repurchase Right and shall, upon execution of the applicable Exercise Notice, deliver and deposit with the Secretary of the Company, or such other person designated by the Administrator from time to time, the share certificate or certificates representing the Restricted Shares, together with the Stock Assignment. The Restricted Shares and Stock Assignment shall be held by the Secretary, or such other person designated by the Administrator from time to time, in escrow, pursuant to the Joint Escrow Instructions, until the Company exercises the Company Repurchase Right, until such Restricted Shares are released from the Company Repurchase Right as set forth in Section 4.1(d) or until such time as this Agreement no longer is in effect. Upon release of the Restricted Shares from the Company’s Repurchase Right, the escrow agent shall as soon as reasonably practicable deliver to Participant the certificate or certificates representing such Shares in the escrow agent’s possession belonging to Participant, and the escrow agent shall be discharged of all further obligations hereunder.</w:t>
      </w:r>
    </w:p>
    <w:p>
      <w:pPr>
        <w:spacing w:after="0" w:line="181" w:lineRule="exact"/>
        <w:rPr>
          <w:rFonts w:ascii="Arial" w:cs="Arial" w:eastAsia="Arial" w:hAnsi="Arial"/>
          <w:sz w:val="17"/>
          <w:szCs w:val="17"/>
          <w:color w:val="auto"/>
        </w:rPr>
      </w:pPr>
    </w:p>
    <w:p>
      <w:pPr>
        <w:ind w:right="300" w:firstLine="987"/>
        <w:spacing w:after="0" w:line="277" w:lineRule="auto"/>
        <w:tabs>
          <w:tab w:leader="none" w:pos="123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or its designee, shall not be liable for any act it may do or omit to do with respect to holding the Restricted Shares in escrow and while acting in good faith and in the exercise of its judgment.</w:t>
      </w:r>
    </w:p>
    <w:p>
      <w:pPr>
        <w:spacing w:after="0" w:line="170"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Transferability of Restricted Shares</w:t>
      </w:r>
      <w:r>
        <w:rPr>
          <w:rFonts w:ascii="Arial" w:cs="Arial" w:eastAsia="Arial" w:hAnsi="Arial"/>
          <w:sz w:val="16"/>
          <w:szCs w:val="16"/>
          <w:color w:val="auto"/>
        </w:rPr>
        <w:t>. The Restricted Shares may not be sold, assigned, transferred, pledged or otherwise encumbered, either voluntarily or by operation of law, except by will or the laws of descent and distribution. Any transferee of the Restricted Shares shall hold such Shares subject to all of the provisions hereof and the Exercise Notice and Additional Documents executed by Participant with respect to such Shares. Any transfer or attempted transfer of any of the Restricted Shares not in accordance with the terms of this Agreement shall be void and the Company may enforce the terms of this Agreement by stop transfer instructions or similar actions by the Company and its agents or designees.</w:t>
      </w:r>
    </w:p>
    <w:p>
      <w:pPr>
        <w:spacing w:after="0" w:line="16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Rights as a Stockholder; Retained Distributions</w:t>
      </w:r>
      <w:r>
        <w:rPr>
          <w:rFonts w:ascii="Arial" w:cs="Arial" w:eastAsia="Arial" w:hAnsi="Arial"/>
          <w:sz w:val="17"/>
          <w:szCs w:val="17"/>
          <w:color w:val="auto"/>
        </w:rPr>
        <w:t>. Except as otherwise provided herein, upon exercise of the Option, Participant shall have all the rights of a stockholder with respect to the Restricted Shares. All cash dividends and other distributions made or declared with respect to Restricted Shares (“</w:t>
      </w:r>
      <w:r>
        <w:rPr>
          <w:rFonts w:ascii="Arial" w:cs="Arial" w:eastAsia="Arial" w:hAnsi="Arial"/>
          <w:sz w:val="17"/>
          <w:szCs w:val="17"/>
          <w:b w:val="1"/>
          <w:bCs w:val="1"/>
          <w:i w:val="1"/>
          <w:iCs w:val="1"/>
          <w:color w:val="auto"/>
        </w:rPr>
        <w:t>Retained Distributions</w:t>
      </w:r>
      <w:r>
        <w:rPr>
          <w:rFonts w:ascii="Arial" w:cs="Arial" w:eastAsia="Arial" w:hAnsi="Arial"/>
          <w:sz w:val="17"/>
          <w:szCs w:val="17"/>
          <w:color w:val="auto"/>
        </w:rPr>
        <w:t>”) will be held by the Company until the time (if ever) when the Restricted Shares to which such Retained Distributions relate are released from the Company Repurchase Right as set forth in Section 4.1(d). The Company will establish a separate Retained Distribution bookkeeping account (“</w:t>
      </w:r>
      <w:r>
        <w:rPr>
          <w:rFonts w:ascii="Arial" w:cs="Arial" w:eastAsia="Arial" w:hAnsi="Arial"/>
          <w:sz w:val="17"/>
          <w:szCs w:val="17"/>
          <w:b w:val="1"/>
          <w:bCs w:val="1"/>
          <w:i w:val="1"/>
          <w:iCs w:val="1"/>
          <w:color w:val="auto"/>
        </w:rPr>
        <w:t>Retained Distribution Account</w:t>
      </w:r>
      <w:r>
        <w:rPr>
          <w:rFonts w:ascii="Arial" w:cs="Arial" w:eastAsia="Arial" w:hAnsi="Arial"/>
          <w:sz w:val="17"/>
          <w:szCs w:val="17"/>
          <w:color w:val="auto"/>
        </w:rPr>
        <w:t>”) for each Restricted Share with respect to which Retained Distributions have been made or declared in cash and credit the Retained Distribution Account (without interest) on the date of payment with the amount of such cash made or declared with respect to the Restricted Share. Retained Distributions (including any Retained Distribution Account balance) will immediately and automatically be forfeited to the Company for no consideration in the event the Company exercises the Company Repurchase Right for the Restricted Shares with respect to which the Retained Distributions were paid. In no event shall a dividend or distribution with respect to Restricted Shares be paid to Participant later than the end of the calendar year in which the dividends are paid to holders of Common Stock or, if later, the 15th day of the third month following the later of (i) the date the dividends are paid to holders of Common Stock and (ii) the date the Restricted Shares with respect to which the dividends are paid vest.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4" w:right="459" w:bottom="1440" w:gutter="0" w:footer="0" w:header="0"/>
        </w:sectPr>
      </w:pPr>
    </w:p>
    <w:bookmarkStart w:id="380" w:name="page381"/>
    <w:bookmarkEnd w:id="380"/>
    <w:p>
      <w:pPr>
        <w:ind w:left="4"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Arial" w:cs="Arial" w:eastAsia="Arial" w:hAnsi="Arial"/>
          <w:sz w:val="16"/>
          <w:szCs w:val="16"/>
          <w:u w:val="single" w:color="auto"/>
          <w:color w:val="auto"/>
        </w:rPr>
        <w:t>Section 83(b) Election for Restricted Shares</w:t>
      </w:r>
      <w:r>
        <w:rPr>
          <w:rFonts w:ascii="Arial" w:cs="Arial" w:eastAsia="Arial" w:hAnsi="Arial"/>
          <w:sz w:val="16"/>
          <w:szCs w:val="16"/>
          <w:color w:val="auto"/>
        </w:rPr>
        <w:t xml:space="preserve">. Participant acknowledges that, with respect to the exercise of the Option for Restricted Shares, an election (an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Election</w:t>
      </w:r>
      <w:r>
        <w:rPr>
          <w:rFonts w:ascii="Arial" w:cs="Arial" w:eastAsia="Arial" w:hAnsi="Arial"/>
          <w:sz w:val="16"/>
          <w:szCs w:val="16"/>
          <w:b w:val="1"/>
          <w:bCs w:val="1"/>
          <w:color w:val="auto"/>
        </w:rPr>
        <w:t>”</w:t>
      </w:r>
      <w:r>
        <w:rPr>
          <w:rFonts w:ascii="Arial" w:cs="Arial" w:eastAsia="Arial" w:hAnsi="Arial"/>
          <w:sz w:val="16"/>
          <w:szCs w:val="16"/>
          <w:color w:val="auto"/>
        </w:rPr>
        <w:t>) may be filed by Participant with the Internal Revenue Service and, if necessary, the proper state taxing authorities, within thirty</w:t>
      </w:r>
    </w:p>
    <w:p>
      <w:pPr>
        <w:ind w:left="4" w:hanging="4"/>
        <w:spacing w:after="0" w:line="267" w:lineRule="auto"/>
        <w:tabs>
          <w:tab w:leader="none" w:pos="34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days after the purchase of the Restricted Shares, electing pursuant to Section 83(b) of the Internal Revenue Code of 1986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b w:val="1"/>
          <w:bCs w:val="1"/>
          <w:color w:val="auto"/>
        </w:rPr>
        <w:t>”</w:t>
      </w:r>
      <w:r>
        <w:rPr>
          <w:rFonts w:ascii="Arial" w:cs="Arial" w:eastAsia="Arial" w:hAnsi="Arial"/>
          <w:sz w:val="17"/>
          <w:szCs w:val="17"/>
          <w:color w:val="auto"/>
        </w:rPr>
        <w:t>) (and similar state tax provisions if applicable) to be taxed currently on any difference between the purchase price of the Restricted Shares and their fair market value on the date of purchase. In the case of a Non-Qualified Stock Option, this will result in a recognition of taxable income to Participant on the date of exercise, measured by the excess, if any, of the fair market value of the Restricted Shares at the time the Option is exercised over the purchase price for the Restricted Shares. Absent such an Election, taxable income will be measured and recognized by Participant at the time or times on which the Company Repurchase Right lapses. In the case of an Incentive Stock Option, such an Election will result in a recognition of income to Participant for alternative minimum tax purposes on the date of exercise, measured by the excess, if any, of the fair market value of the Restricted Shares at the time the option is exercised over the purchase price for the Restricted Shares. Absent such an Election, alternative minimum taxable income will be measured and recognized by Participant at the time or times on which the Company Repurchase Right lapses. Participant is strongly encouraged to seek the advice of his or her own tax consultant in connection with the purchase of Restricted Shares under this Agreement and the advisability of filing of an Election. Participant represents that Participant has consulted any tax consultant(s) Participant deems advisable in connection with the purchase of Restricted Shares or the filing of the Election and similar tax provisions.</w:t>
      </w:r>
    </w:p>
    <w:p>
      <w:pPr>
        <w:spacing w:after="0" w:line="184" w:lineRule="exact"/>
        <w:rPr>
          <w:sz w:val="20"/>
          <w:szCs w:val="20"/>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PARTICIPANT ACKNOWLEDGES THAT IT IS PARTICIPANT’S SOLE RESPONSIBILITY AND NOT THE COMPANY’S TO TIMELY FILE THE ELECTION UNDER SECTION 83(B) OF THE CODE, EVEN IF PARTICIPANT REQUESTS THE COMPANY OR ITS REPRESENTATIVE TO MAKE THIS FILING ON PARTICIPANT’S BEHALF.</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342" w:lineRule="auto"/>
        <w:tabs>
          <w:tab w:leader="none" w:pos="12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share certificate or certificates evidencing the Shares purchased hereunder shall be endorsed with any legends that may be required by state or federal securities laws and, with regard to Restricted Shares, shall bear such other legends as shall be determined by the Administrator.</w:t>
      </w:r>
    </w:p>
    <w:p>
      <w:pPr>
        <w:spacing w:after="0" w:line="123" w:lineRule="exact"/>
        <w:rPr>
          <w:rFonts w:ascii="Arial" w:cs="Arial" w:eastAsia="Arial" w:hAnsi="Arial"/>
          <w:sz w:val="16"/>
          <w:szCs w:val="16"/>
          <w:color w:val="auto"/>
        </w:rPr>
      </w:pPr>
    </w:p>
    <w:p>
      <w:pPr>
        <w:ind w:left="4" w:right="60" w:firstLine="987"/>
        <w:spacing w:after="0" w:line="263" w:lineRule="auto"/>
        <w:tabs>
          <w:tab w:leader="none" w:pos="125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jc w:val="both"/>
        <w:ind w:left="4" w:right="120" w:firstLine="987"/>
        <w:spacing w:after="0" w:line="263" w:lineRule="auto"/>
        <w:tabs>
          <w:tab w:leader="none" w:pos="12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4"/>
          </w:cols>
          <w:pgMar w:left="436" w:top="274" w:right="459" w:bottom="1440" w:gutter="0" w:footer="0" w:header="0"/>
        </w:sectPr>
      </w:pPr>
    </w:p>
    <w:bookmarkStart w:id="381" w:name="page382"/>
    <w:bookmarkEnd w:id="381"/>
    <w:p>
      <w:pPr>
        <w:ind w:left="4" w:right="6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at its principal executive offices in care of the Secretary of the Company, and any notice to be given to Participant shall be addressed to Participant at the most recent address for Participant shown in the Company’s records. By a notice given pursuant to this Section 5.2,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5.2.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237" w:lineRule="exact"/>
        <w:rPr>
          <w:sz w:val="20"/>
          <w:szCs w:val="20"/>
          <w:color w:val="auto"/>
        </w:rPr>
      </w:pPr>
    </w:p>
    <w:p>
      <w:pPr>
        <w:jc w:val="both"/>
        <w:ind w:left="4" w:right="160" w:firstLine="440"/>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Governing Law; Severability</w:t>
      </w:r>
      <w:r>
        <w:rPr>
          <w:rFonts w:ascii="Arial" w:cs="Arial" w:eastAsia="Arial" w:hAnsi="Arial"/>
          <w:sz w:val="17"/>
          <w:szCs w:val="17"/>
          <w:color w:val="auto"/>
        </w:rPr>
        <w:t>. This Agreement and the Exercise Notice shall be administered, interpreted and enforced under the laws of the State of Delaware, without regard to the conflicts of law principles thereof. Should any provision of this Agreement be determined by a court of law to be illegal or unenforceable, the other provisions shall nevertheless remain effective and shall remain enforceable.</w:t>
      </w:r>
    </w:p>
    <w:p>
      <w:pPr>
        <w:spacing w:after="0" w:line="165"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76" w:lineRule="exact"/>
        <w:rPr>
          <w:sz w:val="20"/>
          <w:szCs w:val="20"/>
          <w:color w:val="auto"/>
        </w:rPr>
      </w:pPr>
    </w:p>
    <w:p>
      <w:pPr>
        <w:ind w:left="4" w:right="220" w:firstLine="440"/>
        <w:spacing w:after="0" w:line="31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and the Exercise Notice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49"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this Agreement (including, without limitation, all Exhibits hereto) constitute the entire agreement of the parties and supersede in their entirety all prior undertakings and agreements of the Company and Participant with respect to the subject matter hereof.</w:t>
      </w:r>
    </w:p>
    <w:p>
      <w:pPr>
        <w:spacing w:after="0" w:line="124"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Lock-Up Period</w:t>
      </w:r>
      <w:r>
        <w:rPr>
          <w:rFonts w:ascii="Arial" w:cs="Arial" w:eastAsia="Arial" w:hAnsi="Arial"/>
          <w:sz w:val="16"/>
          <w:szCs w:val="16"/>
          <w:color w:val="auto"/>
        </w:rPr>
        <w:t>. Participant agrees that Participant will not, without the prior written consent of the managing underwriter, during the period commencing on the date of the final prospectus relating to an initial public offering of any of the Company’s securities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2241 or NYSE Rule 472(f)(4)),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1" w:lineRule="exact"/>
        <w:rPr>
          <w:sz w:val="20"/>
          <w:szCs w:val="20"/>
          <w:color w:val="auto"/>
        </w:rPr>
      </w:pPr>
    </w:p>
    <w:p>
      <w:pPr>
        <w:ind w:left="4" w:right="100" w:hanging="4"/>
        <w:spacing w:after="0" w:line="255" w:lineRule="auto"/>
        <w:tabs>
          <w:tab w:leader="none" w:pos="26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4"/>
          </w:cols>
          <w:pgMar w:left="436" w:top="274" w:right="459" w:bottom="1440" w:gutter="0" w:footer="0" w:header="0"/>
        </w:sectPr>
      </w:pPr>
    </w:p>
    <w:bookmarkStart w:id="382" w:name="page383"/>
    <w:bookmarkEnd w:id="382"/>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provisions of this Section shall apply only to an initial public offering of the Company’s securities and shall not apply to the sale of any shares to an underwriter pursuant to an underwriting agreement for such initial public offering. The underwriters in connection with such registration are intended third-party beneficiaries of this Section and shall have the right, power, and authority to enforce the provisions hereof as though they were a party hereto. Participant further agrees to execute such agreements as may be reasonably requested by the underwriters in connection with such registration that are consistent with this Section or that are necessary to give further effect thereto.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0"/>
          </w:cols>
          <w:pgMar w:left="440" w:top="274" w:right="479" w:bottom="1440" w:gutter="0" w:footer="0" w:header="0"/>
        </w:sectPr>
      </w:pPr>
    </w:p>
    <w:bookmarkStart w:id="383" w:name="page384"/>
    <w:bookmarkEnd w:id="3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STOCK OPTION GRANT NOTICE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EXERCISE NOTICE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ind w:left="440"/>
              <w:spacing w:after="0"/>
              <w:rPr>
                <w:sz w:val="20"/>
                <w:szCs w:val="20"/>
                <w:color w:val="auto"/>
              </w:rPr>
            </w:pPr>
            <w:r>
              <w:rPr>
                <w:rFonts w:ascii="Arial" w:cs="Arial" w:eastAsia="Arial" w:hAnsi="Arial"/>
                <w:sz w:val="18"/>
                <w:szCs w:val="18"/>
                <w:color w:val="auto"/>
              </w:rPr>
              <w:t>Effective as of today,</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 the undersigned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hereby elects to exercise Participant’s option to</w:t>
            </w: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purchase</w:t>
            </w:r>
          </w:p>
        </w:tc>
        <w:tc>
          <w:tcPr>
            <w:tcW w:w="9860" w:type="dxa"/>
            <w:vAlign w:val="bottom"/>
            <w:gridSpan w:val="10"/>
          </w:tcPr>
          <w:p>
            <w:pPr>
              <w:ind w:left="240"/>
              <w:spacing w:after="0"/>
              <w:rPr>
                <w:sz w:val="20"/>
                <w:szCs w:val="20"/>
                <w:color w:val="auto"/>
              </w:rPr>
            </w:pPr>
            <w:r>
              <w:rPr>
                <w:rFonts w:ascii="Arial" w:cs="Arial" w:eastAsia="Arial" w:hAnsi="Arial"/>
                <w:sz w:val="18"/>
                <w:szCs w:val="18"/>
                <w:color w:val="auto"/>
                <w:w w:val="93"/>
              </w:rPr>
              <w:t>Shares of Adagio Therapeutics, Inc. (the “</w:t>
            </w:r>
            <w:r>
              <w:rPr>
                <w:rFonts w:ascii="Arial" w:cs="Arial" w:eastAsia="Arial" w:hAnsi="Arial"/>
                <w:sz w:val="18"/>
                <w:szCs w:val="18"/>
                <w:b w:val="1"/>
                <w:bCs w:val="1"/>
                <w:i w:val="1"/>
                <w:iCs w:val="1"/>
                <w:color w:val="auto"/>
                <w:w w:val="93"/>
              </w:rPr>
              <w:t>Company</w:t>
            </w:r>
            <w:r>
              <w:rPr>
                <w:rFonts w:ascii="Arial" w:cs="Arial" w:eastAsia="Arial" w:hAnsi="Arial"/>
                <w:sz w:val="18"/>
                <w:szCs w:val="18"/>
                <w:color w:val="auto"/>
                <w:w w:val="93"/>
              </w:rPr>
              <w:t>”) under and pursuant to the Adagio Therapeutics, Inc. 2020 Equity Incentive</w:t>
            </w:r>
          </w:p>
        </w:tc>
      </w:tr>
      <w:tr>
        <w:trPr>
          <w:trHeight w:val="190"/>
        </w:trPr>
        <w:tc>
          <w:tcPr>
            <w:tcW w:w="4100" w:type="dxa"/>
            <w:vAlign w:val="bottom"/>
            <w:gridSpan w:val="8"/>
          </w:tcPr>
          <w:p>
            <w:pPr>
              <w:spacing w:after="0" w:line="190" w:lineRule="exact"/>
              <w:rPr>
                <w:sz w:val="20"/>
                <w:szCs w:val="20"/>
                <w:color w:val="auto"/>
              </w:rPr>
            </w:pPr>
            <w:r>
              <w:rPr>
                <w:rFonts w:ascii="Arial" w:cs="Arial" w:eastAsia="Arial" w:hAnsi="Arial"/>
                <w:sz w:val="18"/>
                <w:szCs w:val="18"/>
                <w:color w:val="auto"/>
                <w:w w:val="90"/>
              </w:rPr>
              <w:t>Plan (the “</w:t>
            </w:r>
            <w:r>
              <w:rPr>
                <w:rFonts w:ascii="Arial" w:cs="Arial" w:eastAsia="Arial" w:hAnsi="Arial"/>
                <w:sz w:val="18"/>
                <w:szCs w:val="18"/>
                <w:b w:val="1"/>
                <w:bCs w:val="1"/>
                <w:i w:val="1"/>
                <w:iCs w:val="1"/>
                <w:color w:val="auto"/>
                <w:w w:val="90"/>
              </w:rPr>
              <w:t>Plan</w:t>
            </w:r>
            <w:r>
              <w:rPr>
                <w:rFonts w:ascii="Arial" w:cs="Arial" w:eastAsia="Arial" w:hAnsi="Arial"/>
                <w:sz w:val="18"/>
                <w:szCs w:val="18"/>
                <w:color w:val="auto"/>
                <w:w w:val="90"/>
              </w:rPr>
              <w:t>”) and the Stock Option Agreement dated</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480" w:type="dxa"/>
            <w:vAlign w:val="bottom"/>
          </w:tcPr>
          <w:p>
            <w:pPr>
              <w:spacing w:after="0" w:line="190" w:lineRule="exact"/>
              <w:rPr>
                <w:sz w:val="20"/>
                <w:szCs w:val="20"/>
                <w:color w:val="auto"/>
              </w:rPr>
            </w:pPr>
            <w:r>
              <w:rPr>
                <w:rFonts w:ascii="Arial" w:cs="Arial" w:eastAsia="Arial" w:hAnsi="Arial"/>
                <w:sz w:val="18"/>
                <w:szCs w:val="18"/>
                <w:color w:val="auto"/>
                <w:w w:val="94"/>
              </w:rPr>
              <w:t>, ____ (the “</w:t>
            </w:r>
            <w:r>
              <w:rPr>
                <w:rFonts w:ascii="Arial" w:cs="Arial" w:eastAsia="Arial" w:hAnsi="Arial"/>
                <w:sz w:val="18"/>
                <w:szCs w:val="18"/>
                <w:b w:val="1"/>
                <w:bCs w:val="1"/>
                <w:i w:val="1"/>
                <w:iCs w:val="1"/>
                <w:color w:val="auto"/>
                <w:w w:val="94"/>
              </w:rPr>
              <w:t>Option Agreement</w:t>
            </w:r>
            <w:r>
              <w:rPr>
                <w:rFonts w:ascii="Arial" w:cs="Arial" w:eastAsia="Arial" w:hAnsi="Arial"/>
                <w:sz w:val="18"/>
                <w:szCs w:val="18"/>
                <w:color w:val="auto"/>
                <w:w w:val="94"/>
              </w:rPr>
              <w:t>”). Capitalized terms used herein without</w:t>
            </w:r>
          </w:p>
        </w:tc>
      </w:tr>
      <w:tr>
        <w:trPr>
          <w:trHeight w:val="237"/>
        </w:trPr>
        <w:tc>
          <w:tcPr>
            <w:tcW w:w="11020" w:type="dxa"/>
            <w:vAlign w:val="bottom"/>
            <w:gridSpan w:val="11"/>
          </w:tcPr>
          <w:p>
            <w:pPr>
              <w:spacing w:after="0"/>
              <w:rPr>
                <w:sz w:val="20"/>
                <w:szCs w:val="20"/>
                <w:color w:val="auto"/>
              </w:rPr>
            </w:pPr>
            <w:r>
              <w:rPr>
                <w:rFonts w:ascii="Arial" w:cs="Arial" w:eastAsia="Arial" w:hAnsi="Arial"/>
                <w:sz w:val="18"/>
                <w:szCs w:val="18"/>
                <w:color w:val="auto"/>
              </w:rPr>
              <w:t>definition shall have the meanings given in the Option Agreement.</w:t>
            </w:r>
          </w:p>
        </w:tc>
      </w:tr>
      <w:tr>
        <w:trPr>
          <w:trHeight w:val="459"/>
        </w:trPr>
        <w:tc>
          <w:tcPr>
            <w:tcW w:w="116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286"/>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Number of Shares as to which</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4"/>
        </w:trPr>
        <w:tc>
          <w:tcPr>
            <w:tcW w:w="2760" w:type="dxa"/>
            <w:vAlign w:val="bottom"/>
            <w:gridSpan w:val="3"/>
          </w:tcPr>
          <w:p>
            <w:pPr>
              <w:ind w:left="180"/>
              <w:spacing w:after="0"/>
              <w:rPr>
                <w:sz w:val="20"/>
                <w:szCs w:val="20"/>
                <w:color w:val="auto"/>
              </w:rPr>
            </w:pPr>
            <w:r>
              <w:rPr>
                <w:rFonts w:ascii="Arial" w:cs="Arial" w:eastAsia="Arial" w:hAnsi="Arial"/>
                <w:sz w:val="18"/>
                <w:szCs w:val="18"/>
                <w:b w:val="1"/>
                <w:bCs w:val="1"/>
                <w:color w:val="auto"/>
              </w:rPr>
              <w:t>Option is Exercised:</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r>
      <w:tr>
        <w:trPr>
          <w:trHeight w:val="264"/>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Exercise Price per Share: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5480" w:type="dxa"/>
            <w:vAlign w:val="bottom"/>
          </w:tcPr>
          <w:p>
            <w:pPr>
              <w:spacing w:after="0"/>
              <w:rPr>
                <w:sz w:val="22"/>
                <w:szCs w:val="22"/>
                <w:color w:val="auto"/>
              </w:rPr>
            </w:pPr>
          </w:p>
        </w:tc>
      </w:tr>
      <w:tr>
        <w:trPr>
          <w:trHeight w:val="304"/>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Total Exercise Price: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45"/>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w w:val="91"/>
              </w:rPr>
              <w:t>Certificate to be issued in name of:</w:t>
            </w:r>
          </w:p>
        </w:tc>
        <w:tc>
          <w:tcPr>
            <w:tcW w:w="1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263"/>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w w:val="93"/>
              </w:rPr>
              <w:t>Cash Payment delivered herewith:</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0"/>
              </w:rPr>
              <w:t>(Representing the full Exercise Price for the Shares, as well as any applicable withholding tax)</w:t>
            </w:r>
          </w:p>
        </w:tc>
      </w:tr>
    </w:tbl>
    <w:p>
      <w:pPr>
        <w:spacing w:after="0" w:line="22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Type of Option:</w:t>
      </w:r>
      <w:r>
        <w:rPr>
          <w:sz w:val="20"/>
          <w:szCs w:val="20"/>
          <w:color w:val="auto"/>
        </w:rPr>
        <w:tab/>
      </w:r>
      <w:r>
        <w:rPr>
          <w:rFonts w:ascii="Arial" w:cs="Arial" w:eastAsia="Arial" w:hAnsi="Arial"/>
          <w:sz w:val="16"/>
          <w:szCs w:val="16"/>
          <w:color w:val="auto"/>
        </w:rPr>
        <w:t>[Incentive Stock Option/Non-Qualified Stock Option]</w:t>
      </w:r>
    </w:p>
    <w:p>
      <w:pPr>
        <w:spacing w:after="0" w:line="229" w:lineRule="exact"/>
        <w:rPr>
          <w:sz w:val="20"/>
          <w:szCs w:val="20"/>
          <w:color w:val="auto"/>
        </w:rPr>
      </w:pPr>
    </w:p>
    <w:p>
      <w:pPr>
        <w:ind w:left="620" w:hanging="184"/>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87"/>
        <w:spacing w:after="0" w:line="277" w:lineRule="auto"/>
        <w:tabs>
          <w:tab w:leader="none" w:pos="1236" w:val="left"/>
        </w:tabs>
        <w:numPr>
          <w:ilvl w:val="1"/>
          <w:numId w:val="252"/>
        </w:numPr>
        <w:rPr>
          <w:rFonts w:ascii="Arial" w:cs="Arial" w:eastAsia="Arial" w:hAnsi="Arial"/>
          <w:sz w:val="18"/>
          <w:szCs w:val="18"/>
          <w:color w:val="auto"/>
        </w:rPr>
      </w:pPr>
      <w:r>
        <w:rPr>
          <w:rFonts w:ascii="Arial" w:cs="Arial" w:eastAsia="Arial" w:hAnsi="Arial"/>
          <w:sz w:val="18"/>
          <w:szCs w:val="18"/>
          <w:color w:val="auto"/>
        </w:rPr>
        <w:t>Participant acknowledges that Participant has received, read and understood the Plan and the Option Agreement. Participant agrees to abide by and be bound by their terms and conditions.</w:t>
      </w:r>
    </w:p>
    <w:p>
      <w:pPr>
        <w:spacing w:after="0" w:line="170" w:lineRule="exact"/>
        <w:rPr>
          <w:rFonts w:ascii="Arial" w:cs="Arial" w:eastAsia="Arial" w:hAnsi="Arial"/>
          <w:sz w:val="18"/>
          <w:szCs w:val="18"/>
          <w:color w:val="auto"/>
        </w:rPr>
      </w:pPr>
    </w:p>
    <w:p>
      <w:pPr>
        <w:jc w:val="both"/>
        <w:ind w:right="300" w:firstLine="987"/>
        <w:spacing w:after="0" w:line="263" w:lineRule="auto"/>
        <w:tabs>
          <w:tab w:leader="none" w:pos="1246"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Participant acknowledges that Participant is purchasing the Shares for Participant’s own account for investment only, and not with a view to, or for sale in connection with, any distribution of the Shares in violation of the Securities Act of 1933, as amended (the “Securities </w:t>
      </w:r>
      <w:r>
        <w:rPr>
          <w:rFonts w:ascii="Arial" w:cs="Arial" w:eastAsia="Arial" w:hAnsi="Arial"/>
          <w:sz w:val="18"/>
          <w:szCs w:val="18"/>
          <w:b w:val="1"/>
          <w:bCs w:val="1"/>
          <w:i w:val="1"/>
          <w:iCs w:val="1"/>
          <w:color w:val="auto"/>
        </w:rPr>
        <w:t>Act”),</w:t>
      </w:r>
      <w:r>
        <w:rPr>
          <w:rFonts w:ascii="Arial" w:cs="Arial" w:eastAsia="Arial" w:hAnsi="Arial"/>
          <w:sz w:val="18"/>
          <w:szCs w:val="18"/>
          <w:color w:val="auto"/>
        </w:rPr>
        <w:t xml:space="preserve"> or any rule or regulation under the Securities Act.</w:t>
      </w:r>
    </w:p>
    <w:p>
      <w:pPr>
        <w:spacing w:after="0" w:line="183" w:lineRule="exact"/>
        <w:rPr>
          <w:rFonts w:ascii="Arial" w:cs="Arial" w:eastAsia="Arial" w:hAnsi="Arial"/>
          <w:sz w:val="18"/>
          <w:szCs w:val="18"/>
          <w:color w:val="auto"/>
        </w:rPr>
      </w:pPr>
    </w:p>
    <w:p>
      <w:pPr>
        <w:ind w:right="780" w:firstLine="987"/>
        <w:spacing w:after="0" w:line="342" w:lineRule="auto"/>
        <w:tabs>
          <w:tab w:leader="none" w:pos="1236" w:val="left"/>
        </w:tabs>
        <w:numPr>
          <w:ilvl w:val="1"/>
          <w:numId w:val="252"/>
        </w:numPr>
        <w:rPr>
          <w:rFonts w:ascii="Arial" w:cs="Arial" w:eastAsia="Arial" w:hAnsi="Arial"/>
          <w:sz w:val="16"/>
          <w:szCs w:val="16"/>
          <w:color w:val="auto"/>
        </w:rPr>
      </w:pPr>
      <w:r>
        <w:rPr>
          <w:rFonts w:ascii="Arial" w:cs="Arial" w:eastAsia="Arial" w:hAnsi="Arial"/>
          <w:sz w:val="16"/>
          <w:szCs w:val="16"/>
          <w:color w:val="auto"/>
        </w:rPr>
        <w:t>Participant has had such opportunity as Participant has deemed adequate to obtain from representatives of the Company such information as is necessary to permit Participant to evaluate the merits and risks of Participant’s investment in the Company.</w:t>
      </w:r>
    </w:p>
    <w:p>
      <w:pPr>
        <w:spacing w:after="0" w:line="123" w:lineRule="exact"/>
        <w:rPr>
          <w:rFonts w:ascii="Arial" w:cs="Arial" w:eastAsia="Arial" w:hAnsi="Arial"/>
          <w:sz w:val="16"/>
          <w:szCs w:val="16"/>
          <w:color w:val="auto"/>
        </w:rPr>
      </w:pPr>
    </w:p>
    <w:p>
      <w:pPr>
        <w:ind w:right="540" w:firstLine="987"/>
        <w:spacing w:after="0" w:line="277" w:lineRule="auto"/>
        <w:tabs>
          <w:tab w:leader="none" w:pos="1246" w:val="left"/>
        </w:tabs>
        <w:numPr>
          <w:ilvl w:val="1"/>
          <w:numId w:val="252"/>
        </w:numPr>
        <w:rPr>
          <w:rFonts w:ascii="Arial" w:cs="Arial" w:eastAsia="Arial" w:hAnsi="Arial"/>
          <w:sz w:val="18"/>
          <w:szCs w:val="18"/>
          <w:color w:val="auto"/>
        </w:rPr>
      </w:pPr>
      <w:r>
        <w:rPr>
          <w:rFonts w:ascii="Arial" w:cs="Arial" w:eastAsia="Arial" w:hAnsi="Arial"/>
          <w:sz w:val="18"/>
          <w:szCs w:val="18"/>
          <w:color w:val="auto"/>
        </w:rPr>
        <w:t>Participant has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right="360" w:firstLine="987"/>
        <w:spacing w:after="0" w:line="277" w:lineRule="auto"/>
        <w:tabs>
          <w:tab w:leader="none" w:pos="1236" w:val="left"/>
        </w:tabs>
        <w:numPr>
          <w:ilvl w:val="1"/>
          <w:numId w:val="252"/>
        </w:numPr>
        <w:rPr>
          <w:rFonts w:ascii="Arial" w:cs="Arial" w:eastAsia="Arial" w:hAnsi="Arial"/>
          <w:sz w:val="18"/>
          <w:szCs w:val="18"/>
          <w:color w:val="auto"/>
        </w:rPr>
      </w:pPr>
      <w:r>
        <w:rPr>
          <w:rFonts w:ascii="Arial" w:cs="Arial" w:eastAsia="Arial" w:hAnsi="Arial"/>
          <w:sz w:val="18"/>
          <w:szCs w:val="18"/>
          <w:color w:val="auto"/>
        </w:rPr>
        <w:t>Participant can afford a complete loss of the value of the Shares and is able to bear the economic risk of holding such Shares for an indefinite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384" w:name="page385"/>
    <w:bookmarkEnd w:id="384"/>
    <w:p>
      <w:pPr>
        <w:ind w:firstLine="987"/>
        <w:spacing w:after="0" w:line="272" w:lineRule="auto"/>
        <w:tabs>
          <w:tab w:leader="none" w:pos="1216" w:val="left"/>
        </w:tabs>
        <w:numPr>
          <w:ilvl w:val="1"/>
          <w:numId w:val="2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77" w:lineRule="exact"/>
        <w:rPr>
          <w:rFonts w:ascii="Arial" w:cs="Arial" w:eastAsia="Arial" w:hAnsi="Arial"/>
          <w:sz w:val="17"/>
          <w:szCs w:val="17"/>
          <w:color w:val="auto"/>
        </w:rPr>
      </w:pPr>
    </w:p>
    <w:p>
      <w:pPr>
        <w:ind w:right="200" w:firstLine="436"/>
        <w:spacing w:after="0" w:line="255" w:lineRule="auto"/>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92" w:lineRule="exact"/>
        <w:rPr>
          <w:rFonts w:ascii="Arial" w:cs="Arial" w:eastAsia="Arial" w:hAnsi="Arial"/>
          <w:sz w:val="18"/>
          <w:szCs w:val="18"/>
          <w:color w:val="auto"/>
        </w:rPr>
      </w:pPr>
    </w:p>
    <w:p>
      <w:pPr>
        <w:ind w:left="620" w:hanging="184"/>
        <w:spacing w:after="0"/>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987"/>
        <w:spacing w:after="0" w:line="263" w:lineRule="auto"/>
        <w:tabs>
          <w:tab w:leader="none" w:pos="1236"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any certificates issued evidencing the Shares to have the legends set forth below or legends substantially equivalent thereto, together with any other legends that may be required by state or federal securities laws:</w:t>
      </w:r>
    </w:p>
    <w:p>
      <w:pPr>
        <w:spacing w:after="0" w:line="76" w:lineRule="exact"/>
        <w:rPr>
          <w:sz w:val="20"/>
          <w:szCs w:val="20"/>
          <w:color w:val="auto"/>
        </w:rPr>
      </w:pPr>
    </w:p>
    <w:p>
      <w:pPr>
        <w:ind w:left="980" w:right="120"/>
        <w:spacing w:after="0" w:line="254"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87"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THE SHARES REPRESENTED BY THIS CERTIFICATE MAY BE SUBJECT TO REPURCHASE PURSUANT TO, AND MAY BE TRANSFERRED ONLY IN ACCORDANCE WITH, THE TERMS OF AN AGREEMENT BETWEEN THE COMPANY AND THE STOCKHOLDER, A COPY OF WHICH IS ON FILE WITH THE SECRETARY OF THE COMPANY. SUCH REPURCHASE AND/OR TRANSFER RESTRICTIONS ARE BINDING ON TRANSFEREES OF THESE SHARES.</w:t>
      </w:r>
    </w:p>
    <w:p>
      <w:pPr>
        <w:spacing w:after="0" w:line="187" w:lineRule="exact"/>
        <w:rPr>
          <w:sz w:val="20"/>
          <w:szCs w:val="20"/>
          <w:color w:val="auto"/>
        </w:rPr>
      </w:pPr>
    </w:p>
    <w:p>
      <w:pPr>
        <w:ind w:right="60" w:firstLine="987"/>
        <w:spacing w:after="0" w:line="263" w:lineRule="auto"/>
        <w:tabs>
          <w:tab w:leader="none" w:pos="124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385" w:name="page386"/>
    <w:bookmarkEnd w:id="385"/>
    <w:p>
      <w:pPr>
        <w:jc w:val="both"/>
        <w:ind w:right="200" w:firstLine="987"/>
        <w:spacing w:after="0" w:line="263" w:lineRule="auto"/>
        <w:tabs>
          <w:tab w:leader="none" w:pos="1236" w:val="left"/>
        </w:tabs>
        <w:numPr>
          <w:ilvl w:val="1"/>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ind w:right="440" w:firstLine="436"/>
        <w:spacing w:after="0" w:line="277" w:lineRule="auto"/>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given in accordance with the provisions set forth in Section 5.2 of the Option Agreement.</w:t>
      </w:r>
    </w:p>
    <w:p>
      <w:pPr>
        <w:spacing w:after="0" w:line="170" w:lineRule="exact"/>
        <w:rPr>
          <w:rFonts w:ascii="Arial" w:cs="Arial" w:eastAsia="Arial" w:hAnsi="Arial"/>
          <w:sz w:val="18"/>
          <w:szCs w:val="18"/>
          <w:color w:val="auto"/>
        </w:rPr>
      </w:pPr>
    </w:p>
    <w:p>
      <w:pPr>
        <w:ind w:right="60" w:firstLine="436"/>
        <w:spacing w:after="0" w:line="257" w:lineRule="auto"/>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Further Instruments</w:t>
      </w:r>
      <w:r>
        <w:rPr>
          <w:rFonts w:ascii="Arial" w:cs="Arial" w:eastAsia="Arial" w:hAnsi="Arial"/>
          <w:sz w:val="18"/>
          <w:szCs w:val="18"/>
          <w:color w:val="auto"/>
        </w:rPr>
        <w:t>.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87" w:lineRule="exact"/>
        <w:rPr>
          <w:rFonts w:ascii="Arial" w:cs="Arial" w:eastAsia="Arial" w:hAnsi="Arial"/>
          <w:sz w:val="18"/>
          <w:szCs w:val="18"/>
          <w:color w:val="auto"/>
        </w:rPr>
      </w:pPr>
    </w:p>
    <w:p>
      <w:pPr>
        <w:jc w:val="both"/>
        <w:ind w:right="160" w:firstLine="436"/>
        <w:spacing w:after="0" w:line="263" w:lineRule="auto"/>
        <w:tabs>
          <w:tab w:leader="none" w:pos="62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This Agreement, the Plan and the Option Agreement constitute the entire agreement of the parties and supersede in their entirety all prior undertakings and agreements of the Company and Participant with respect to the subject matter hereof.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5"/>
          </w:tcPr>
          <w:p>
            <w:pPr>
              <w:spacing w:after="0"/>
              <w:rPr>
                <w:sz w:val="20"/>
                <w:szCs w:val="20"/>
                <w:color w:val="auto"/>
              </w:rPr>
            </w:pPr>
            <w:r>
              <w:rPr>
                <w:rFonts w:ascii="Arial" w:cs="Arial" w:eastAsia="Arial" w:hAnsi="Arial"/>
                <w:sz w:val="20"/>
                <w:szCs w:val="20"/>
                <w:b w:val="1"/>
                <w:bCs w:val="1"/>
                <w:color w:val="auto"/>
              </w:rPr>
              <w:t>ACCEPTED BY:</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20"/>
                <w:szCs w:val="20"/>
                <w:b w:val="1"/>
                <w:bCs w:val="1"/>
                <w:color w:val="auto"/>
              </w:rPr>
              <w:t>SUBMITTED BY</w:t>
            </w:r>
          </w:p>
        </w:tc>
      </w:tr>
      <w:tr>
        <w:trPr>
          <w:trHeight w:val="256"/>
        </w:trPr>
        <w:tc>
          <w:tcPr>
            <w:tcW w:w="5280" w:type="dxa"/>
            <w:vAlign w:val="bottom"/>
            <w:gridSpan w:val="5"/>
          </w:tcPr>
          <w:p>
            <w:pPr>
              <w:spacing w:after="0"/>
              <w:rPr>
                <w:sz w:val="20"/>
                <w:szCs w:val="20"/>
                <w:color w:val="auto"/>
              </w:rPr>
            </w:pPr>
            <w:r>
              <w:rPr>
                <w:rFonts w:ascii="Arial" w:cs="Arial" w:eastAsia="Arial" w:hAnsi="Arial"/>
                <w:sz w:val="20"/>
                <w:szCs w:val="20"/>
                <w:b w:val="1"/>
                <w:bCs w:val="1"/>
                <w:color w:val="auto"/>
              </w:rPr>
              <w:t>ADAGIO THERAPEUTICS, INC.</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0" w:type="dxa"/>
            <w:vAlign w:val="bottom"/>
            <w:gridSpan w:val="2"/>
          </w:tcPr>
          <w:p>
            <w:pPr>
              <w:ind w:left="20"/>
              <w:spacing w:after="0"/>
              <w:rPr>
                <w:sz w:val="20"/>
                <w:szCs w:val="20"/>
                <w:color w:val="auto"/>
              </w:rPr>
            </w:pPr>
            <w:r>
              <w:rPr>
                <w:rFonts w:ascii="Arial" w:cs="Arial" w:eastAsia="Arial" w:hAnsi="Arial"/>
                <w:sz w:val="20"/>
                <w:szCs w:val="20"/>
                <w:b w:val="1"/>
                <w:bCs w:val="1"/>
                <w:color w:val="auto"/>
              </w:rPr>
              <w:t>PARTICIPANT:</w:t>
            </w:r>
          </w:p>
        </w:tc>
      </w:tr>
      <w:tr>
        <w:trPr>
          <w:trHeight w:val="428"/>
        </w:trPr>
        <w:tc>
          <w:tcPr>
            <w:tcW w:w="5280" w:type="dxa"/>
            <w:vAlign w:val="bottom"/>
            <w:gridSpan w:val="5"/>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09"/>
        </w:trPr>
        <w:tc>
          <w:tcPr>
            <w:tcW w:w="320" w:type="dxa"/>
            <w:vAlign w:val="bottom"/>
          </w:tcPr>
          <w:p>
            <w:pPr>
              <w:spacing w:after="0"/>
              <w:rPr>
                <w:sz w:val="20"/>
                <w:szCs w:val="20"/>
                <w:color w:val="auto"/>
              </w:rPr>
            </w:pPr>
            <w:r>
              <w:rPr>
                <w:rFonts w:ascii="Arial" w:cs="Arial" w:eastAsia="Arial" w:hAnsi="Arial"/>
                <w:sz w:val="18"/>
                <w:szCs w:val="18"/>
                <w:color w:val="auto"/>
                <w:w w:val="80"/>
              </w:rPr>
              <w:t>Print</w:t>
            </w:r>
          </w:p>
        </w:tc>
        <w:tc>
          <w:tcPr>
            <w:tcW w:w="496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Print Name:</w:t>
            </w:r>
          </w:p>
        </w:tc>
      </w:tr>
      <w:tr>
        <w:trPr>
          <w:trHeight w:val="209"/>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0" w:type="dxa"/>
            <w:vAlign w:val="bottom"/>
            <w:tcBorders>
              <w:bottom w:val="single" w:sz="8" w:color="auto"/>
            </w:tcBorders>
          </w:tcPr>
          <w:p>
            <w:pPr>
              <w:spacing w:after="0"/>
              <w:rPr>
                <w:sz w:val="18"/>
                <w:szCs w:val="18"/>
                <w:color w:val="auto"/>
              </w:rPr>
            </w:pPr>
          </w:p>
        </w:tc>
        <w:tc>
          <w:tcPr>
            <w:tcW w:w="41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r>
      <w:tr>
        <w:trPr>
          <w:trHeight w:val="358"/>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4"/>
          </w:tcPr>
          <w:p>
            <w:pPr>
              <w:ind w:left="80"/>
              <w:spacing w:after="0"/>
              <w:rPr>
                <w:sz w:val="20"/>
                <w:szCs w:val="20"/>
                <w:color w:val="auto"/>
              </w:rPr>
            </w:pPr>
            <w:r>
              <w:rPr>
                <w:rFonts w:ascii="Arial" w:cs="Arial" w:eastAsia="Arial" w:hAnsi="Arial"/>
                <w:sz w:val="18"/>
                <w:szCs w:val="18"/>
                <w:color w:val="auto"/>
              </w:rPr>
              <w:t>B-3</w:t>
            </w:r>
          </w:p>
        </w:tc>
      </w:tr>
    </w:tbl>
    <w:p>
      <w:pPr>
        <w:sectPr>
          <w:pgSz w:w="11900" w:h="16838" w:orient="portrait"/>
          <w:cols w:equalWidth="0" w:num="1">
            <w:col w:w="11020"/>
          </w:cols>
          <w:pgMar w:left="440" w:top="274" w:right="439" w:bottom="1440" w:gutter="0" w:footer="0" w:header="0"/>
        </w:sectPr>
      </w:pPr>
    </w:p>
    <w:bookmarkStart w:id="386" w:name="page387"/>
    <w:bookmarkEnd w:id="38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STOCK OPTION GRANT NOTICE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ASSIGNMENT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Assignment Separate From Certificate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instructions below</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VALUE RECEIVED I, _________, hereby sell, assign and transfer unto __________ the shares of the Common Stock of Adagio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Therapeutics, Inc. registered in my name on the books of said corporation represented by Certificate No. ____ and do hereby irrevocably constitute and</w:t>
      </w:r>
    </w:p>
    <w:p>
      <w:pPr>
        <w:spacing w:after="0" w:line="32"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color w:val="auto"/>
        </w:rPr>
        <w:t>appoint</w:t>
      </w:r>
      <w:r>
        <w:rPr>
          <w:sz w:val="20"/>
          <w:szCs w:val="20"/>
          <w:color w:val="auto"/>
        </w:rPr>
        <w:tab/>
      </w:r>
      <w:r>
        <w:rPr>
          <w:rFonts w:ascii="Arial" w:cs="Arial" w:eastAsia="Arial" w:hAnsi="Arial"/>
          <w:sz w:val="17"/>
          <w:szCs w:val="17"/>
          <w:color w:val="auto"/>
        </w:rPr>
        <w:t>to transfer the said stock on the books of the within named corporation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-12065</wp:posOffset>
            </wp:positionV>
            <wp:extent cx="8001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Assignment Separate from Certificate may be used only in accordance with the Stock Option Grant Notice and Stock Option Agreement</w:t>
      </w:r>
    </w:p>
    <w:p>
      <w:pPr>
        <w:spacing w:after="0" w:line="46" w:lineRule="exact"/>
        <w:rPr>
          <w:sz w:val="20"/>
          <w:szCs w:val="20"/>
          <w:color w:val="auto"/>
        </w:rPr>
      </w:pPr>
    </w:p>
    <w:p>
      <w:pPr>
        <w:spacing w:after="0"/>
        <w:tabs>
          <w:tab w:leader="none" w:pos="6260" w:val="left"/>
          <w:tab w:leader="none" w:pos="6660" w:val="left"/>
        </w:tabs>
        <w:rPr>
          <w:sz w:val="20"/>
          <w:szCs w:val="20"/>
          <w:color w:val="auto"/>
        </w:rPr>
      </w:pPr>
      <w:r>
        <w:rPr>
          <w:rFonts w:ascii="Arial" w:cs="Arial" w:eastAsia="Arial" w:hAnsi="Arial"/>
          <w:sz w:val="18"/>
          <w:szCs w:val="18"/>
          <w:color w:val="auto"/>
        </w:rPr>
        <w:t>between Adagio Therapeutics, Inc. and the undersigned 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-19050</wp:posOffset>
            </wp:positionV>
            <wp:extent cx="14281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91"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42811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428115" cy="8890"/>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-10160</wp:posOffset>
            </wp:positionV>
            <wp:extent cx="23418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INSTRUCTIONS: </w:t>
      </w:r>
      <w:r>
        <w:rPr>
          <w:rFonts w:ascii="Arial" w:cs="Arial" w:eastAsia="Arial" w:hAnsi="Arial"/>
          <w:sz w:val="18"/>
          <w:szCs w:val="18"/>
          <w:u w:val="single" w:color="auto"/>
          <w:color w:val="auto"/>
        </w:rPr>
        <w:t>Please do not fill in any blanks other than the signature line. The purpose of this assignment is to enable the Company to exercise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the Company Repurchase Right, as set forth in the Stock Option Grant Notice and Stock Option Agreement, without requiring additional signatures on the part of Participant.</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900"/>
          </w:cols>
          <w:pgMar w:left="440" w:top="270" w:right="559"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STOCK OPTION GRANT NOTICE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117" w:lineRule="exact"/>
        <w:rPr>
          <w:sz w:val="20"/>
          <w:szCs w:val="20"/>
          <w:color w:val="auto"/>
        </w:rPr>
      </w:pPr>
    </w:p>
    <w:p>
      <w:pPr>
        <w:ind w:left="105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5821680</wp:posOffset>
            </wp:positionH>
            <wp:positionV relativeFrom="paragraph">
              <wp:posOffset>-7620</wp:posOffset>
            </wp:positionV>
            <wp:extent cx="117094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11"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As Escrow Agent for both Adagio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undersigned purchaser of stock of the Company (the “</w:t>
      </w:r>
      <w:r>
        <w:rPr>
          <w:rFonts w:ascii="Arial" w:cs="Arial" w:eastAsia="Arial" w:hAnsi="Arial"/>
          <w:sz w:val="16"/>
          <w:szCs w:val="16"/>
          <w:u w:val="single" w:color="auto"/>
          <w:color w:val="auto"/>
        </w:rPr>
        <w:t>Participant</w:t>
      </w:r>
      <w:r>
        <w:rPr>
          <w:rFonts w:ascii="Arial" w:cs="Arial" w:eastAsia="Arial" w:hAnsi="Arial"/>
          <w:sz w:val="16"/>
          <w:szCs w:val="16"/>
          <w:color w:val="auto"/>
        </w:rPr>
        <w:t>”), you are hereby authorized and directed to hold the documents delivered to you pursuant to the terms of that certain Stock Option Grant Notice and Stock Option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Company and the undersigned, in accordance with the following instructions:</w:t>
      </w:r>
    </w:p>
    <w:p>
      <w:pPr>
        <w:spacing w:after="0" w:line="41" w:lineRule="exact"/>
        <w:rPr>
          <w:sz w:val="20"/>
          <w:szCs w:val="20"/>
          <w:color w:val="auto"/>
        </w:rPr>
      </w:pPr>
    </w:p>
    <w:p>
      <w:pPr>
        <w:ind w:left="440" w:right="120" w:firstLine="419"/>
        <w:spacing w:after="0" w:line="257" w:lineRule="auto"/>
        <w:tabs>
          <w:tab w:leader="none" w:pos="104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the event the Company or any entitled parties (referred to collectively for convenience herein as the “Company”) exercises or is deemed to have exercised the Company Repurchase Right set forth in the Agreement, the Company shall give to Participant and you a written notice specifying the number of shares of stock to be purchased, the purchase price, and the time for a closing hereunder at the principal office of the Company. Participant and the Company hereby irrevocably authorize and direct you to close the transaction contemplated by such notice in accordance with the terms of said notice.</w:t>
      </w:r>
    </w:p>
    <w:p>
      <w:pPr>
        <w:spacing w:after="0" w:line="79" w:lineRule="exact"/>
        <w:rPr>
          <w:rFonts w:ascii="Arial" w:cs="Arial" w:eastAsia="Arial" w:hAnsi="Arial"/>
          <w:sz w:val="18"/>
          <w:szCs w:val="18"/>
          <w:color w:val="auto"/>
        </w:rPr>
      </w:pPr>
    </w:p>
    <w:p>
      <w:pPr>
        <w:jc w:val="both"/>
        <w:ind w:left="440" w:right="140" w:firstLine="419"/>
        <w:spacing w:after="0" w:line="301" w:lineRule="auto"/>
        <w:tabs>
          <w:tab w:leader="none" w:pos="1043"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At the closing, you are directed (a) to date the stock assignments necessary for the transfer in question, (b) to fill in the number of shares being transferred, and (c) to deliver the same, together with the certificate evidencing the shares of stock to be transferred, to the Company or its assignee, against the simultaneous delivery to you of the purchase price (by cash, check, wire transfer of immediately available funds or a combination thereof) for the number of shares of stock being purchased pursuant to the exercise of the Company Repurchase Right.</w:t>
      </w:r>
    </w:p>
    <w:p>
      <w:pPr>
        <w:spacing w:after="0" w:line="49" w:lineRule="exact"/>
        <w:rPr>
          <w:rFonts w:ascii="Arial" w:cs="Arial" w:eastAsia="Arial" w:hAnsi="Arial"/>
          <w:sz w:val="16"/>
          <w:szCs w:val="16"/>
          <w:color w:val="auto"/>
        </w:rPr>
      </w:pPr>
    </w:p>
    <w:p>
      <w:pPr>
        <w:ind w:left="440" w:right="60" w:firstLine="419"/>
        <w:spacing w:after="0" w:line="254" w:lineRule="auto"/>
        <w:tabs>
          <w:tab w:leader="none" w:pos="104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Participant irrevocably authorizes the Company to deposit with you any certificates evidencing shares of stock to be held by you hereunder and any additions and substitutions to said shares as defined in the Agreement. Participant does hereby irrevocably constitute and appoint you as Participant’s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Section 3 and to the terms of the Agreement, Participant shall exercise all rights and privileges of a stockholder of the Company while the stock is held by you.</w:t>
      </w:r>
    </w:p>
    <w:p>
      <w:pPr>
        <w:spacing w:after="0" w:line="86" w:lineRule="exact"/>
        <w:rPr>
          <w:rFonts w:ascii="Arial" w:cs="Arial" w:eastAsia="Arial" w:hAnsi="Arial"/>
          <w:sz w:val="18"/>
          <w:szCs w:val="18"/>
          <w:color w:val="auto"/>
        </w:rPr>
      </w:pPr>
    </w:p>
    <w:p>
      <w:pPr>
        <w:ind w:left="440" w:right="120" w:firstLine="419"/>
        <w:spacing w:after="0" w:line="296" w:lineRule="auto"/>
        <w:tabs>
          <w:tab w:leader="none" w:pos="1043" w:val="left"/>
        </w:tabs>
        <w:numPr>
          <w:ilvl w:val="0"/>
          <w:numId w:val="258"/>
        </w:numPr>
        <w:rPr>
          <w:rFonts w:ascii="Arial" w:cs="Arial" w:eastAsia="Arial" w:hAnsi="Arial"/>
          <w:sz w:val="16"/>
          <w:szCs w:val="16"/>
          <w:color w:val="auto"/>
        </w:rPr>
      </w:pPr>
      <w:r>
        <w:rPr>
          <w:rFonts w:ascii="Arial" w:cs="Arial" w:eastAsia="Arial" w:hAnsi="Arial"/>
          <w:sz w:val="16"/>
          <w:szCs w:val="16"/>
          <w:color w:val="auto"/>
        </w:rPr>
        <w:t>Upon written request of Participant, but no more than once per calendar year, unless the Company Repurchase Right has been exercised, you will deliver to Participant a certificate or certificates representing the number of shares of stock as are not then subject to the Company Repurchase Right. Within thirty (30) days after Participant’s Termination of Service (within the meaning of the Agreement), you will deliver to Participant a certificate or certificates representing the aggregate number of shares held or issued pursuant to the Agreement and not subject to repurchase by the Company or any other entitled parties pursuant to exercise of the Company Repurchase Right.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00"/>
          </w:cols>
          <w:pgMar w:left="440" w:top="270" w:right="459" w:bottom="1440" w:gutter="0" w:footer="0" w:header="0"/>
        </w:sectPr>
      </w:pPr>
    </w:p>
    <w:bookmarkStart w:id="388" w:name="page389"/>
    <w:bookmarkEnd w:id="388"/>
    <w:p>
      <w:pPr>
        <w:ind w:right="60" w:firstLine="419"/>
        <w:spacing w:after="0" w:line="277" w:lineRule="auto"/>
        <w:tabs>
          <w:tab w:leader="none" w:pos="603"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at the time of termination of this escrow, you should have in your possession any documents, securities, or other property belonging to Participant, you shall deliver all of the same to Participant and shall be discharged of all further obligations hereunder.</w:t>
      </w:r>
    </w:p>
    <w:p>
      <w:pPr>
        <w:spacing w:after="0" w:line="62" w:lineRule="exact"/>
        <w:rPr>
          <w:rFonts w:ascii="Arial" w:cs="Arial" w:eastAsia="Arial" w:hAnsi="Arial"/>
          <w:sz w:val="18"/>
          <w:szCs w:val="18"/>
          <w:color w:val="auto"/>
        </w:rPr>
      </w:pPr>
    </w:p>
    <w:p>
      <w:pPr>
        <w:ind w:left="600" w:hanging="181"/>
        <w:spacing w:after="0"/>
        <w:tabs>
          <w:tab w:leader="none" w:pos="6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117" w:lineRule="exact"/>
        <w:rPr>
          <w:rFonts w:ascii="Arial" w:cs="Arial" w:eastAsia="Arial" w:hAnsi="Arial"/>
          <w:sz w:val="18"/>
          <w:szCs w:val="18"/>
          <w:color w:val="auto"/>
        </w:rPr>
      </w:pPr>
    </w:p>
    <w:p>
      <w:pPr>
        <w:ind w:right="120" w:firstLine="419"/>
        <w:spacing w:after="0" w:line="257" w:lineRule="auto"/>
        <w:tabs>
          <w:tab w:leader="none" w:pos="60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Participant while acting in good faith, and any act done or omitted by you pursuant to the advice of your own attorneys shall be conclusive evidence of such good faith.</w:t>
      </w:r>
    </w:p>
    <w:p>
      <w:pPr>
        <w:spacing w:after="0" w:line="79" w:lineRule="exact"/>
        <w:rPr>
          <w:rFonts w:ascii="Arial" w:cs="Arial" w:eastAsia="Arial" w:hAnsi="Arial"/>
          <w:sz w:val="18"/>
          <w:szCs w:val="18"/>
          <w:color w:val="auto"/>
        </w:rPr>
      </w:pPr>
    </w:p>
    <w:p>
      <w:pPr>
        <w:ind w:right="40" w:firstLine="419"/>
        <w:spacing w:after="0" w:line="275" w:lineRule="auto"/>
        <w:tabs>
          <w:tab w:leader="none" w:pos="603" w:val="left"/>
        </w:tabs>
        <w:numPr>
          <w:ilvl w:val="0"/>
          <w:numId w:val="259"/>
        </w:numPr>
        <w:rPr>
          <w:rFonts w:ascii="Arial" w:cs="Arial" w:eastAsia="Arial" w:hAnsi="Arial"/>
          <w:sz w:val="17"/>
          <w:szCs w:val="17"/>
          <w:color w:val="auto"/>
        </w:rPr>
      </w:pPr>
      <w:r>
        <w:rPr>
          <w:rFonts w:ascii="Arial" w:cs="Arial" w:eastAsia="Arial" w:hAnsi="Arial"/>
          <w:sz w:val="17"/>
          <w:szCs w:val="17"/>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68" w:lineRule="exact"/>
        <w:rPr>
          <w:rFonts w:ascii="Arial" w:cs="Arial" w:eastAsia="Arial" w:hAnsi="Arial"/>
          <w:sz w:val="17"/>
          <w:szCs w:val="17"/>
          <w:color w:val="auto"/>
        </w:rPr>
      </w:pPr>
    </w:p>
    <w:p>
      <w:pPr>
        <w:ind w:right="40" w:firstLine="419"/>
        <w:spacing w:after="0" w:line="277" w:lineRule="auto"/>
        <w:tabs>
          <w:tab w:leader="none" w:pos="60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62" w:lineRule="exact"/>
        <w:rPr>
          <w:rFonts w:ascii="Arial" w:cs="Arial" w:eastAsia="Arial" w:hAnsi="Arial"/>
          <w:sz w:val="18"/>
          <w:szCs w:val="18"/>
          <w:color w:val="auto"/>
        </w:rPr>
      </w:pPr>
    </w:p>
    <w:p>
      <w:pPr>
        <w:ind w:right="120" w:firstLine="419"/>
        <w:spacing w:after="0" w:line="277" w:lineRule="auto"/>
        <w:tabs>
          <w:tab w:leader="none" w:pos="69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You shall not be liable for the expiration of any rights under any applicable state, federal or local statute of limitations or similar statute or regulation with respect to these Joint Escrow Instructions or any documents deposited with you.</w:t>
      </w:r>
    </w:p>
    <w:p>
      <w:pPr>
        <w:spacing w:after="0" w:line="62" w:lineRule="exact"/>
        <w:rPr>
          <w:rFonts w:ascii="Arial" w:cs="Arial" w:eastAsia="Arial" w:hAnsi="Arial"/>
          <w:sz w:val="18"/>
          <w:szCs w:val="18"/>
          <w:color w:val="auto"/>
        </w:rPr>
      </w:pPr>
    </w:p>
    <w:p>
      <w:pPr>
        <w:ind w:right="160" w:firstLine="419"/>
        <w:spacing w:after="0" w:line="308" w:lineRule="auto"/>
        <w:tabs>
          <w:tab w:leader="none" w:pos="686" w:val="left"/>
        </w:tabs>
        <w:numPr>
          <w:ilvl w:val="0"/>
          <w:numId w:val="259"/>
        </w:numPr>
        <w:rPr>
          <w:rFonts w:ascii="Arial" w:cs="Arial" w:eastAsia="Arial" w:hAnsi="Arial"/>
          <w:sz w:val="17"/>
          <w:szCs w:val="17"/>
          <w:color w:val="auto"/>
        </w:rPr>
      </w:pPr>
      <w:r>
        <w:rPr>
          <w:rFonts w:ascii="Arial" w:cs="Arial" w:eastAsia="Arial" w:hAnsi="Arial"/>
          <w:sz w:val="17"/>
          <w:szCs w:val="17"/>
          <w:color w:val="auto"/>
        </w:rPr>
        <w:t>You shall be entitled to employ such legal counsel and other experts as you may deem necessary to advise you in connection with your obligations hereunder, may rely upon the advice of such counsel, and may pay such counsel reasonable compensation therefor.</w:t>
      </w:r>
    </w:p>
    <w:p>
      <w:pPr>
        <w:spacing w:after="0" w:line="38" w:lineRule="exact"/>
        <w:rPr>
          <w:rFonts w:ascii="Arial" w:cs="Arial" w:eastAsia="Arial" w:hAnsi="Arial"/>
          <w:sz w:val="17"/>
          <w:szCs w:val="17"/>
          <w:color w:val="auto"/>
        </w:rPr>
      </w:pPr>
    </w:p>
    <w:p>
      <w:pPr>
        <w:ind w:firstLine="419"/>
        <w:spacing w:after="0" w:line="308" w:lineRule="auto"/>
        <w:tabs>
          <w:tab w:leader="none" w:pos="693" w:val="left"/>
        </w:tabs>
        <w:numPr>
          <w:ilvl w:val="0"/>
          <w:numId w:val="259"/>
        </w:numPr>
        <w:rPr>
          <w:rFonts w:ascii="Arial" w:cs="Arial" w:eastAsia="Arial" w:hAnsi="Arial"/>
          <w:sz w:val="17"/>
          <w:szCs w:val="17"/>
          <w:color w:val="auto"/>
        </w:rPr>
      </w:pPr>
      <w:r>
        <w:rPr>
          <w:rFonts w:ascii="Arial" w:cs="Arial" w:eastAsia="Arial" w:hAnsi="Arial"/>
          <w:sz w:val="17"/>
          <w:szCs w:val="17"/>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38" w:lineRule="exact"/>
        <w:rPr>
          <w:rFonts w:ascii="Arial" w:cs="Arial" w:eastAsia="Arial" w:hAnsi="Arial"/>
          <w:sz w:val="17"/>
          <w:szCs w:val="17"/>
          <w:color w:val="auto"/>
        </w:rPr>
      </w:pPr>
    </w:p>
    <w:p>
      <w:pPr>
        <w:ind w:right="20" w:firstLine="419"/>
        <w:spacing w:after="0" w:line="277" w:lineRule="auto"/>
        <w:tabs>
          <w:tab w:leader="none" w:pos="693"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62" w:lineRule="exact"/>
        <w:rPr>
          <w:rFonts w:ascii="Arial" w:cs="Arial" w:eastAsia="Arial" w:hAnsi="Arial"/>
          <w:sz w:val="18"/>
          <w:szCs w:val="18"/>
          <w:color w:val="auto"/>
        </w:rPr>
      </w:pPr>
    </w:p>
    <w:p>
      <w:pPr>
        <w:ind w:right="300" w:firstLine="419"/>
        <w:spacing w:after="0" w:line="275" w:lineRule="auto"/>
        <w:tabs>
          <w:tab w:leader="none" w:pos="693"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2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540"/>
          </w:cols>
          <w:pgMar w:left="880" w:top="274" w:right="479" w:bottom="1440" w:gutter="0" w:footer="0" w:header="0"/>
        </w:sectPr>
      </w:pPr>
    </w:p>
    <w:bookmarkStart w:id="389" w:name="page390"/>
    <w:bookmarkEnd w:id="389"/>
    <w:p>
      <w:pPr>
        <w:ind w:right="160" w:firstLine="419"/>
        <w:spacing w:after="0" w:line="286" w:lineRule="auto"/>
        <w:tabs>
          <w:tab w:leader="none" w:pos="693" w:val="left"/>
        </w:tabs>
        <w:numPr>
          <w:ilvl w:val="0"/>
          <w:numId w:val="2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such addresses as a party may designate by written notice to each of the other parties hereto.</w:t>
      </w:r>
    </w:p>
    <w:p>
      <w:pPr>
        <w:spacing w:after="0" w:line="57" w:lineRule="exact"/>
        <w:rPr>
          <w:rFonts w:ascii="Arial" w:cs="Arial" w:eastAsia="Arial" w:hAnsi="Arial"/>
          <w:sz w:val="17"/>
          <w:szCs w:val="17"/>
          <w:color w:val="auto"/>
        </w:rPr>
      </w:pPr>
    </w:p>
    <w:p>
      <w:pPr>
        <w:ind w:right="40" w:firstLine="419"/>
        <w:spacing w:after="0" w:line="277" w:lineRule="auto"/>
        <w:tabs>
          <w:tab w:leader="none" w:pos="69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said Joint Escrow Instructions; you do not become a party to the Agreement.</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 assigns.</w:t>
      </w:r>
    </w:p>
    <w:p>
      <w:pPr>
        <w:spacing w:after="0" w:line="140" w:lineRule="exact"/>
        <w:rPr>
          <w:rFonts w:ascii="Arial" w:cs="Arial" w:eastAsia="Arial" w:hAnsi="Arial"/>
          <w:sz w:val="16"/>
          <w:szCs w:val="16"/>
          <w:color w:val="auto"/>
        </w:rPr>
      </w:pPr>
    </w:p>
    <w:p>
      <w:pPr>
        <w:ind w:right="40" w:firstLine="419"/>
        <w:spacing w:after="0" w:line="277" w:lineRule="auto"/>
        <w:tabs>
          <w:tab w:leader="none" w:pos="69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These Joint Escrow Instructions shall be governed by, and construed and enforced in accordance with, the laws of the State of Delaware, excluding that body of law pertaining to conflicts of law.</w:t>
      </w:r>
    </w:p>
    <w:p>
      <w:pPr>
        <w:spacing w:after="0" w:line="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560"/>
          </w:cols>
          <w:pgMar w:left="880" w:top="274" w:right="459" w:bottom="1440" w:gutter="0" w:footer="0" w:header="0"/>
        </w:sectPr>
      </w:pPr>
    </w:p>
    <w:bookmarkStart w:id="390" w:name="page391"/>
    <w:bookmarkEnd w:id="3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these Joint Escrow Instructions shall be effective as of the date first set forth above.</w:t>
      </w:r>
    </w:p>
    <w:p>
      <w:pPr>
        <w:spacing w:after="0" w:line="200" w:lineRule="exact"/>
        <w:rPr>
          <w:sz w:val="20"/>
          <w:szCs w:val="20"/>
          <w:color w:val="auto"/>
        </w:rPr>
      </w:pPr>
    </w:p>
    <w:p>
      <w:pPr>
        <w:spacing w:after="0" w:line="29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-10160</wp:posOffset>
            </wp:positionV>
            <wp:extent cx="23704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-19050</wp:posOffset>
            </wp:positionV>
            <wp:extent cx="205676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-19050</wp:posOffset>
            </wp:positionV>
            <wp:extent cx="211391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182" w:lineRule="exact"/>
        <w:rPr>
          <w:sz w:val="20"/>
          <w:szCs w:val="20"/>
          <w:color w:val="auto"/>
        </w:rPr>
      </w:pPr>
    </w:p>
    <w:p>
      <w:pPr>
        <w:ind w:left="6180"/>
        <w:spacing w:after="0"/>
        <w:rPr>
          <w:sz w:val="20"/>
          <w:szCs w:val="20"/>
          <w:color w:val="auto"/>
        </w:rPr>
      </w:pPr>
      <w:r>
        <w:rPr>
          <w:rFonts w:ascii="Arial" w:cs="Arial" w:eastAsia="Arial" w:hAnsi="Arial"/>
          <w:sz w:val="20"/>
          <w:szCs w:val="20"/>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271145</wp:posOffset>
            </wp:positionV>
            <wp:extent cx="2481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481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180"/>
        <w:spacing w:after="0"/>
        <w:rPr>
          <w:sz w:val="20"/>
          <w:szCs w:val="20"/>
          <w:color w:val="auto"/>
        </w:rPr>
      </w:pPr>
      <w:r>
        <w:rPr>
          <w:rFonts w:ascii="Arial" w:cs="Arial" w:eastAsia="Arial" w:hAnsi="Arial"/>
          <w:sz w:val="20"/>
          <w:szCs w:val="20"/>
          <w:b w:val="1"/>
          <w:bCs w:val="1"/>
          <w:color w:val="auto"/>
        </w:rPr>
        <w:t>ESCROW AGENT</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-10160</wp:posOffset>
            </wp:positionV>
            <wp:extent cx="23704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-19050</wp:posOffset>
            </wp:positionV>
            <wp:extent cx="205676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056765" cy="8890"/>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Title: Secretary</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9579"/>
          </w:cols>
          <w:pgMar w:left="880" w:top="274" w:right="1440" w:bottom="1440" w:gutter="0" w:footer="0" w:header="0"/>
        </w:sectPr>
      </w:pPr>
    </w:p>
    <w:bookmarkStart w:id="391" w:name="page392"/>
    <w:bookmarkEnd w:id="39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83(B) ELECTION AND INSTRUCTIONS</w:t>
      </w:r>
    </w:p>
    <w:p>
      <w:pPr>
        <w:spacing w:after="0" w:line="121"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 xml:space="preserve">These instructions are provided to assist you if you choose to make an election under Section 83(b) of the Internal Revenue Code, as amended, with respect to the shares of common stock of Adagio Therapeutics, Inc. transferred to you. </w:t>
      </w:r>
      <w:r>
        <w:rPr>
          <w:rFonts w:ascii="Arial" w:cs="Arial" w:eastAsia="Arial" w:hAnsi="Arial"/>
          <w:sz w:val="17"/>
          <w:szCs w:val="17"/>
          <w:b w:val="1"/>
          <w:bCs w:val="1"/>
          <w:color w:val="auto"/>
        </w:rPr>
        <w:t>Please consult with your personal tax advisor as to</w:t>
      </w:r>
      <w:r>
        <w:rPr>
          <w:rFonts w:ascii="Arial" w:cs="Arial" w:eastAsia="Arial" w:hAnsi="Arial"/>
          <w:sz w:val="17"/>
          <w:szCs w:val="17"/>
          <w:color w:val="auto"/>
        </w:rPr>
        <w:t xml:space="preserve"> </w:t>
      </w:r>
      <w:r>
        <w:rPr>
          <w:rFonts w:ascii="Arial" w:cs="Arial" w:eastAsia="Arial" w:hAnsi="Arial"/>
          <w:sz w:val="17"/>
          <w:szCs w:val="17"/>
          <w:b w:val="1"/>
          <w:bCs w:val="1"/>
          <w:color w:val="auto"/>
        </w:rPr>
        <w:t>whether an election of this nature will be in your best interests in light of your personal tax situation.</w:t>
      </w:r>
    </w:p>
    <w:p>
      <w:pPr>
        <w:spacing w:after="0" w:line="165"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The executed original of the Section 83(b) election must be filed with the Internal Revenue Service not later than 30 days after the date the shares were transferred to you. </w:t>
      </w:r>
      <w:r>
        <w:rPr>
          <w:rFonts w:ascii="Arial" w:cs="Arial" w:eastAsia="Arial" w:hAnsi="Arial"/>
          <w:sz w:val="17"/>
          <w:szCs w:val="17"/>
          <w:b w:val="1"/>
          <w:bCs w:val="1"/>
          <w:color w:val="auto"/>
        </w:rPr>
        <w:t>There is no remedy for failure to file on time.</w:t>
      </w:r>
      <w:r>
        <w:rPr>
          <w:rFonts w:ascii="Arial" w:cs="Arial" w:eastAsia="Arial" w:hAnsi="Arial"/>
          <w:sz w:val="17"/>
          <w:szCs w:val="17"/>
          <w:color w:val="auto"/>
        </w:rPr>
        <w:t xml:space="preserve"> The steps outlined below should be followed to ensure the election is mailed and filed correctly and in a timely manner. </w:t>
      </w:r>
      <w:r>
        <w:rPr>
          <w:rFonts w:ascii="Arial" w:cs="Arial" w:eastAsia="Arial" w:hAnsi="Arial"/>
          <w:sz w:val="17"/>
          <w:szCs w:val="17"/>
          <w:b w:val="1"/>
          <w:bCs w:val="1"/>
          <w:color w:val="auto"/>
        </w:rPr>
        <w:t>If you make the Section 83(b) election, the election is irrevocable.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Complete the Section 83(b) election form (attached as </w:t>
      </w:r>
      <w:r>
        <w:rPr>
          <w:rFonts w:ascii="Arial" w:cs="Arial" w:eastAsia="Arial" w:hAnsi="Arial"/>
          <w:sz w:val="18"/>
          <w:szCs w:val="18"/>
          <w:u w:val="single" w:color="auto"/>
          <w:color w:val="auto"/>
        </w:rPr>
        <w:t>Attachment 1</w:t>
      </w:r>
      <w:r>
        <w:rPr>
          <w:rFonts w:ascii="Arial" w:cs="Arial" w:eastAsia="Arial" w:hAnsi="Arial"/>
          <w:sz w:val="18"/>
          <w:szCs w:val="18"/>
          <w:color w:val="auto"/>
        </w:rPr>
        <w:t>) and make three (3) copies of the signed election form.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Prepare the cover letter to the Internal Revenue Service (sample letter attached as </w:t>
      </w:r>
      <w:r>
        <w:rPr>
          <w:rFonts w:ascii="Arial" w:cs="Arial" w:eastAsia="Arial" w:hAnsi="Arial"/>
          <w:sz w:val="18"/>
          <w:szCs w:val="18"/>
          <w:u w:val="single" w:color="auto"/>
          <w:color w:val="auto"/>
        </w:rPr>
        <w:t>Attachment 2</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Send the cover letter with the originally executed Section 83(b) election form and one (1) copy via certified mail, return receipt requested to the Internal Revenue Service at the address of the Internal Revenue Service where you file your personal tax returns. We suggest that you have the package date-stamped at the post office. The post office will provide you with a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7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One (1) copy must be sent to Adagio Therapeutics, Inc. for its records and one (1) copy of the Section 83(b) election form should be retained for your records.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Retain the Internal Revenue Service file stamped copy (when returned) for your records.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consult your personal tax advisor for the address of the office of the Internal Revenue Service to which you should mail your election form.</w:t>
      </w:r>
    </w:p>
    <w:p>
      <w:pPr>
        <w:sectPr>
          <w:pgSz w:w="11900" w:h="16838" w:orient="portrait"/>
          <w:cols w:equalWidth="0" w:num="1">
            <w:col w:w="10980"/>
          </w:cols>
          <w:pgMar w:left="440" w:top="270" w:right="479" w:bottom="1440" w:gutter="0" w:footer="0" w:header="0"/>
        </w:sectPr>
      </w:pPr>
    </w:p>
    <w:bookmarkStart w:id="392" w:name="page393"/>
    <w:bookmarkEnd w:id="392"/>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ELECTION UNDER INTERNAL REVENUE CODE SECTION 83(B)</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Common Stock of Adagio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name, address and taxpayer identification number of the undersigned taxpayer are: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___________________________</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SSN: 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property with respect to which the election is being made: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__________________ (_____) shares of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date on which the property was transferred was ______________. The taxable year to which this election relates is calendar year ____.</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Nature of restrictions to which the property is subject:</w:t>
      </w:r>
    </w:p>
    <w:p>
      <w:pPr>
        <w:spacing w:after="0" w:line="117"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The Shares are subject to repurchase by the Company or its assignee upon the occurrence of certain events. This repurchase right lapses based upon the continued performance of services by the taxpayer over time.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market value at the time of transfer, determined without regard to any restriction other than a restriction which by its terms will never lapse, of the Shares is $______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paid by the taxpayer for the Shares is $______ ($____ per Share).</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4"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Dated: _____________, ____</w:t>
      </w:r>
      <w:r>
        <w:rPr>
          <w:sz w:val="20"/>
          <w:szCs w:val="20"/>
          <w:color w:val="auto"/>
        </w:rPr>
        <w:tab/>
      </w:r>
      <w:r>
        <w:rPr>
          <w:rFonts w:ascii="Arial" w:cs="Arial" w:eastAsia="Arial" w:hAnsi="Arial"/>
          <w:sz w:val="16"/>
          <w:szCs w:val="16"/>
          <w:color w:val="auto"/>
        </w:rPr>
        <w:t>Taxpayer Signature ________________________</w:t>
      </w:r>
    </w:p>
    <w:p>
      <w:pPr>
        <w:sectPr>
          <w:pgSz w:w="11900" w:h="16838" w:orient="portrait"/>
          <w:cols w:equalWidth="0" w:num="1">
            <w:col w:w="10860"/>
          </w:cols>
          <w:pgMar w:left="440" w:top="270" w:right="599" w:bottom="1440" w:gutter="0" w:footer="0" w:header="0"/>
        </w:sectPr>
      </w:pPr>
    </w:p>
    <w:bookmarkStart w:id="393" w:name="page394"/>
    <w:bookmarkEnd w:id="393"/>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SAMPLE COVER LETTER TO INTERNAL REVENUE SERVICE</w:t>
      </w:r>
    </w:p>
    <w:p>
      <w:pPr>
        <w:spacing w:after="0" w:line="121"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__________________, 20___</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VIA CERTIFIED MAIL</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RETURN RECEIPT REQUESTED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Internal Revenue Service</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Re:</w:t>
            </w:r>
          </w:p>
        </w:tc>
        <w:tc>
          <w:tcPr>
            <w:tcW w:w="9160" w:type="dxa"/>
            <w:vAlign w:val="bottom"/>
            <w:gridSpan w:val="4"/>
          </w:tcPr>
          <w:p>
            <w:pPr>
              <w:ind w:left="180"/>
              <w:spacing w:after="0"/>
              <w:rPr>
                <w:sz w:val="20"/>
                <w:szCs w:val="20"/>
                <w:color w:val="auto"/>
              </w:rPr>
            </w:pPr>
            <w:r>
              <w:rPr>
                <w:rFonts w:ascii="Arial" w:cs="Arial" w:eastAsia="Arial" w:hAnsi="Arial"/>
                <w:sz w:val="18"/>
                <w:szCs w:val="18"/>
                <w:color w:val="auto"/>
              </w:rPr>
              <w:t>Election under Section 83(b) of the Internal Revenue Code of 1986</w:t>
            </w:r>
          </w:p>
        </w:tc>
      </w:tr>
      <w:tr>
        <w:trPr>
          <w:trHeight w:val="190"/>
        </w:trPr>
        <w:tc>
          <w:tcPr>
            <w:tcW w:w="420" w:type="dxa"/>
            <w:vAlign w:val="bottom"/>
          </w:tcPr>
          <w:p>
            <w:pPr>
              <w:spacing w:after="0"/>
              <w:rPr>
                <w:sz w:val="16"/>
                <w:szCs w:val="16"/>
                <w:color w:val="auto"/>
              </w:rPr>
            </w:pPr>
          </w:p>
        </w:tc>
        <w:tc>
          <w:tcPr>
            <w:tcW w:w="9160" w:type="dxa"/>
            <w:vAlign w:val="bottom"/>
            <w:gridSpan w:val="4"/>
          </w:tcPr>
          <w:p>
            <w:pPr>
              <w:ind w:left="160"/>
              <w:spacing w:after="0" w:line="190" w:lineRule="exact"/>
              <w:rPr>
                <w:sz w:val="20"/>
                <w:szCs w:val="20"/>
                <w:color w:val="auto"/>
              </w:rPr>
            </w:pPr>
            <w:r>
              <w:rPr>
                <w:rFonts w:ascii="Arial" w:cs="Arial" w:eastAsia="Arial" w:hAnsi="Arial"/>
                <w:sz w:val="18"/>
                <w:szCs w:val="18"/>
                <w:color w:val="auto"/>
              </w:rPr>
              <w:t>Taxpayer:</w:t>
            </w: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9160" w:type="dxa"/>
            <w:vAlign w:val="bottom"/>
            <w:gridSpan w:val="4"/>
          </w:tcPr>
          <w:p>
            <w:pPr>
              <w:ind w:left="160"/>
              <w:spacing w:after="0" w:line="196" w:lineRule="exact"/>
              <w:rPr>
                <w:sz w:val="20"/>
                <w:szCs w:val="20"/>
                <w:color w:val="auto"/>
              </w:rPr>
            </w:pPr>
            <w:r>
              <w:rPr>
                <w:rFonts w:ascii="Arial" w:cs="Arial" w:eastAsia="Arial" w:hAnsi="Arial"/>
                <w:sz w:val="18"/>
                <w:szCs w:val="18"/>
                <w:color w:val="auto"/>
              </w:rPr>
              <w:t>Taxpayer’s Social Security Number:</w:t>
            </w: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288925</wp:posOffset>
            </wp:positionV>
            <wp:extent cx="27946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444" w:hanging="444"/>
        <w:spacing w:after="0"/>
        <w:tabs>
          <w:tab w:leader="none" w:pos="44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Adagio Therapeutics, Inc.</w:t>
      </w:r>
    </w:p>
    <w:p>
      <w:pPr>
        <w:sectPr>
          <w:pgSz w:w="11900" w:h="16838" w:orient="portrait"/>
          <w:cols w:equalWidth="0" w:num="1">
            <w:col w:w="11004"/>
          </w:cols>
          <w:pgMar w:left="436" w:top="270" w:right="459" w:bottom="1440" w:gutter="0" w:footer="0" w:header="0"/>
        </w:sectPr>
      </w:pPr>
    </w:p>
    <w:bookmarkStart w:id="394" w:name="page395"/>
    <w:bookmarkEnd w:id="394"/>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ADAGIO THERAPEUTICS,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2020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Adagio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granted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set forth below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an Option to purchase the number of shares of the Company’s Common Stock (referred to herein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set forth below. The Option is subject to all of the terms and conditions as set forth herein and in the Stock Option Agreement attached 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xml:space="preserve"> and the Plan, each of which is incorporated herein by reference. Unless otherwise defined herein,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Plan shall have the same defined meanings in this Stock Option Grant Notice and the Stock Option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Number of Shares Subject to Option: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ectPr>
          <w:pgSz w:w="11900" w:h="16838" w:orient="portrait"/>
          <w:cols w:equalWidth="0" w:num="1">
            <w:col w:w="11000"/>
          </w:cols>
          <w:pgMar w:left="440" w:top="270" w:right="45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Option/Non-Qualified Stock Option]</w:t>
      </w:r>
    </w:p>
    <w:p>
      <w:pPr>
        <w:spacing w:after="0" w:line="136"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80"/>
        <w:spacing w:after="0" w:line="272" w:lineRule="auto"/>
        <w:rPr>
          <w:sz w:val="20"/>
          <w:szCs w:val="20"/>
          <w:color w:val="auto"/>
        </w:rPr>
      </w:pPr>
      <w:r>
        <w:rPr>
          <w:rFonts w:ascii="Arial" w:cs="Arial" w:eastAsia="Arial" w:hAnsi="Arial"/>
          <w:sz w:val="17"/>
          <w:szCs w:val="17"/>
          <w:color w:val="auto"/>
        </w:rPr>
        <w:t>[Subject to the terms of the Agreement, the Option will vest as to 25% of the Shares on the first anniversary of the vesting commencement date set forth above (the “</w:t>
      </w:r>
      <w:r>
        <w:rPr>
          <w:rFonts w:ascii="Arial" w:cs="Arial" w:eastAsia="Arial" w:hAnsi="Arial"/>
          <w:sz w:val="17"/>
          <w:szCs w:val="17"/>
          <w:b w:val="1"/>
          <w:bCs w:val="1"/>
          <w:i w:val="1"/>
          <w:iCs w:val="1"/>
          <w:color w:val="auto"/>
        </w:rPr>
        <w:t>Vesting Commencement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Date”) </w:t>
      </w:r>
      <w:r>
        <w:rPr>
          <w:rFonts w:ascii="Arial" w:cs="Arial" w:eastAsia="Arial" w:hAnsi="Arial"/>
          <w:sz w:val="17"/>
          <w:szCs w:val="17"/>
          <w:color w:val="auto"/>
        </w:rPr>
        <w:t>and as to 1/48</w:t>
      </w:r>
      <w:r>
        <w:rPr>
          <w:rFonts w:ascii="Arial" w:cs="Arial" w:eastAsia="Arial" w:hAnsi="Arial"/>
          <w:sz w:val="14"/>
          <w:szCs w:val="14"/>
          <w:color w:val="auto"/>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Shares upon Participant’s completion of each successive month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service as a Service Provider after the first anniversary of the Vesting Commencement Date.] [Notwithstanding the foregoing, the Option will vest in full immediately prior to a Change in Control, subject to Participant’s continued service as a Service Provider until immediately prior to such Change in Control.]</w:t>
      </w:r>
    </w:p>
    <w:p>
      <w:pPr>
        <w:spacing w:after="0" w:line="177"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ind w:right="60" w:firstLine="440"/>
        <w:spacing w:after="0" w:line="257" w:lineRule="auto"/>
        <w:rPr>
          <w:sz w:val="20"/>
          <w:szCs w:val="20"/>
          <w:color w:val="auto"/>
        </w:rPr>
      </w:pPr>
      <w:r>
        <w:rPr>
          <w:rFonts w:ascii="Arial" w:cs="Arial" w:eastAsia="Arial" w:hAnsi="Arial"/>
          <w:sz w:val="18"/>
          <w:szCs w:val="18"/>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of the Plan upon any questions arising under the Plan or the Option.</w:t>
      </w:r>
    </w:p>
    <w:p>
      <w:pPr>
        <w:sectPr>
          <w:pgSz w:w="11900" w:h="16838" w:orient="portrait"/>
          <w:cols w:equalWidth="0" w:num="1">
            <w:col w:w="11000"/>
          </w:cols>
          <w:pgMar w:left="440" w:top="270" w:right="459" w:bottom="1440" w:gutter="0" w:footer="0" w:header="0"/>
          <w:type w:val="continuous"/>
        </w:sectPr>
      </w:pPr>
    </w:p>
    <w:bookmarkStart w:id="395" w:name="page396"/>
    <w:bookmarkEnd w:id="395"/>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ADAGIO THERAPEUTICS, INC.</w:t>
            </w:r>
          </w:p>
        </w:tc>
        <w:tc>
          <w:tcPr>
            <w:tcW w:w="154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Arial" w:cs="Arial" w:eastAsia="Arial" w:hAnsi="Arial"/>
                <w:sz w:val="18"/>
                <w:szCs w:val="18"/>
                <w:b w:val="1"/>
                <w:bCs w:val="1"/>
                <w:color w:val="auto"/>
              </w:rPr>
              <w:t>PARTICIPANT</w:t>
            </w:r>
          </w:p>
        </w:tc>
      </w:tr>
      <w:tr>
        <w:trPr>
          <w:trHeight w:val="391"/>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[Participant Name]</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96" w:name="page397"/>
    <w:bookmarkEnd w:id="39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an Option under the Company’s 2020 Equity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indicated in the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Stock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w:t>
      </w:r>
    </w:p>
    <w:p>
      <w:pPr>
        <w:spacing w:after="0" w:line="39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not specifically defined herein shall have the meanings specified in the Plan and the Grant Notice.</w:t>
      </w:r>
    </w:p>
    <w:p>
      <w:pPr>
        <w:spacing w:after="0" w:line="23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Option is subject to the terms and conditions of the Plan which are incorporated herein by reference. In the event of a conflict between the terms of the Agreement and the Plan, the terms of the Plan shall control.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6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Grant of Option</w:t>
      </w:r>
      <w:r>
        <w:rPr>
          <w:rFonts w:ascii="Arial" w:cs="Arial" w:eastAsia="Arial" w:hAnsi="Arial"/>
          <w:sz w:val="18"/>
          <w:szCs w:val="18"/>
          <w:color w:val="auto"/>
        </w:rPr>
        <w:t xml:space="preserve">. In consideration of Participant’s past and/or continued employment with or service to the Company or a parent or subsidiary and for other good and valuable consideration, effective as of the grant date set forth in the Grant Notice (the “Grant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xml:space="preserve"> the Company irrevocably grants to Participant an Option to purchase any part or all of an aggregate of the number of Shares set forth in the Grant Notice, upon the terms and conditions set forth in the Plan and this Agreement. Unless designated as a Non-Qualified Stock Option in the Grant Notice, the Option shall be an Incentive Stock Option to the maximum extent permitted by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OF EXERCISABILITY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Commencement of Exercisability</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63" w:lineRule="auto"/>
        <w:tabs>
          <w:tab w:leader="none" w:pos="123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Subject to Sections 2.1(b) and 2.3, the Option shall become vested and exercisable in such amounts and at such times as are set forth in the vesting schedule in the Grant Notice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xml:space="preserve"> except that any Share as to which the Option would be fractionally vested will be accumulated and will vest and become exercisable only when a whole Share has accumulated.</w:t>
      </w:r>
    </w:p>
    <w:p>
      <w:pPr>
        <w:spacing w:after="0" w:line="183"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262"/>
        </w:numPr>
        <w:rPr>
          <w:rFonts w:ascii="Arial" w:cs="Arial" w:eastAsia="Arial" w:hAnsi="Arial"/>
          <w:sz w:val="18"/>
          <w:szCs w:val="18"/>
          <w:color w:val="auto"/>
        </w:rPr>
      </w:pPr>
      <w:r>
        <w:rPr>
          <w:rFonts w:ascii="Arial" w:cs="Arial" w:eastAsia="Arial" w:hAnsi="Arial"/>
          <w:sz w:val="18"/>
          <w:szCs w:val="18"/>
          <w:color w:val="auto"/>
        </w:rPr>
        <w:t>Unless otherwise determined by the Administrator, any portion of the Option that has not become vested and exercisable on or prior to the date of Participant’s Termination of Service shall be forfeited on the date of Participant’s Termination of Service and shall not thereafter become vested or exercisable.</w:t>
      </w:r>
    </w:p>
    <w:p>
      <w:pPr>
        <w:spacing w:after="0" w:line="18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The installments provided for in the Vesting Schedule are cumulative. Each such installment which becomes vested and exercisable pursuant to the Vesting Schedule shall remain vested and exercisable until it becomes unexercisable under Section 2.3 or pursuant to the terms of the Plan. Once the Option becomes unexercisable, it shall be forfeited immediately.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397" w:name="page398"/>
    <w:bookmarkEnd w:id="39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225" w:lineRule="exact"/>
        <w:rPr>
          <w:sz w:val="20"/>
          <w:szCs w:val="20"/>
          <w:color w:val="auto"/>
        </w:rPr>
      </w:pPr>
    </w:p>
    <w:p>
      <w:pPr>
        <w:ind w:left="1220" w:hanging="233"/>
        <w:spacing w:after="0"/>
        <w:tabs>
          <w:tab w:leader="none" w:pos="12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225" w:lineRule="exact"/>
        <w:rPr>
          <w:rFonts w:ascii="Arial" w:cs="Arial" w:eastAsia="Arial" w:hAnsi="Arial"/>
          <w:sz w:val="18"/>
          <w:szCs w:val="18"/>
          <w:color w:val="auto"/>
        </w:rPr>
      </w:pPr>
    </w:p>
    <w:p>
      <w:pPr>
        <w:ind w:right="220" w:firstLine="987"/>
        <w:spacing w:after="0" w:line="277" w:lineRule="auto"/>
        <w:tabs>
          <w:tab w:leader="none" w:pos="1243"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expiration of three months following the date of Participant’s Termination of Service, unless such Termination of Service occurs by reason of Participant’s death, Disability or Cause;</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expiration of one year following the date of Participant’s Termination of Service by reason of Participant’s death or Disability; or</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date of Participant’s Termination of Service for Cause.</w:t>
      </w:r>
    </w:p>
    <w:p>
      <w:pPr>
        <w:spacing w:after="0" w:line="22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Participant acknowledges that an Incentive Stock Option exercised more than three months after Participant’s termination of status as an Employee, other than by reason of death or Disability, will be taxed as a Non-Qualified Stock Option.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means “Cause” (or any term of similar effect) as defined in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Participant’s unauthorized use or disclosure of confidential information or trade secrets of the Company or any material breach of a written agreement between Participant and the Company, including without limitation a material breach of any employment, confidentiality, non-compete, non-solicit or similar agreement; (ii) Participant’s commission of, indictment for or the entry of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by Participant to, a felony under the laws of the United States or any state thereof or any crime involving dishonesty or moral turpitude (or any similar crime in any jurisdiction outside the United States); (iii) Participant’s negligence or willful misconduct in the performance of Participant’s duties or Participant’s willful or repeated failure or refusal to substantially perform assigned duties; (iv) any act of fraud, embezzlement, material misappropriation or dishonesty committed by Participant against the Company; or (v) any acts, omissions or statements by Participant which the Company determines to be materially detrimental or damaging to the reputation, operations, prospects or business relations of the Company.</w:t>
      </w:r>
    </w:p>
    <w:p>
      <w:pPr>
        <w:spacing w:after="0" w:line="182" w:lineRule="exact"/>
        <w:rPr>
          <w:sz w:val="20"/>
          <w:szCs w:val="20"/>
          <w:color w:val="auto"/>
        </w:rPr>
      </w:pPr>
    </w:p>
    <w:p>
      <w:pPr>
        <w:ind w:right="160" w:firstLine="440"/>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Special Tax Consequences</w:t>
      </w:r>
      <w:r>
        <w:rPr>
          <w:rFonts w:ascii="Arial" w:cs="Arial" w:eastAsia="Arial" w:hAnsi="Arial"/>
          <w:sz w:val="16"/>
          <w:szCs w:val="16"/>
          <w:color w:val="auto"/>
        </w:rPr>
        <w:t>. If the Option is intended to be an Incentive Stock Option, Participant acknowledges that, to the extent that the aggregate fair market value (determined as of the time the Option is granted) of all Shares with respect to which Incentive Stock Options, including, without limitation, the Option, are first exercisable for the first time by Participant in any calendar year exceeds $100,000 (or such other limitation as imposed by Section 422(d) of the Code), the Option and such other options (or the applicable portion thereof) shall be treated as not qualifying under Section 422 of the Code but rather shall be considered Non-Qualified Stock Options. Participant further acknowledges that the rule set forth in the preceding sentence shall be applied by taking Options and other “incentive stock options” into account in the order in which they were granted.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 (3) months after Participant’s Termination of Service as an Employee, other than by reason of death or disability, the Option will be taxed as a Non-Qualified Stock Option.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398" w:name="page399"/>
    <w:bookmarkEnd w:id="3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EXERCISE OF OPTION</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Person Eligible to Exercise</w:t>
      </w:r>
      <w:r>
        <w:rPr>
          <w:rFonts w:ascii="Arial" w:cs="Arial" w:eastAsia="Arial" w:hAnsi="Arial"/>
          <w:sz w:val="18"/>
          <w:szCs w:val="18"/>
          <w:color w:val="auto"/>
        </w:rPr>
        <w:t>. During the lifetime of Participant, only Participant may exercise the Option or any portion thereof. After the death of Participant, any exercisable portion of the Option may, prior to the time when the Option becomes unexercisable under Section 2.3, be exercised by Participant’s personal representative or by any person empowered to do so under the deceased Participant’s will or under the then applicable laws of descent and distribution.</w:t>
      </w:r>
    </w:p>
    <w:p>
      <w:pPr>
        <w:spacing w:after="0" w:line="7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Partial Exercise</w:t>
      </w:r>
      <w:r>
        <w:rPr>
          <w:rFonts w:ascii="Arial" w:cs="Arial" w:eastAsia="Arial" w:hAnsi="Arial"/>
          <w:sz w:val="18"/>
          <w:szCs w:val="18"/>
          <w:color w:val="auto"/>
        </w:rPr>
        <w:t>. Any exercisable portion of the Option or the entire Option, if then wholly exercisable, may be exercised in whole or in part at any time prior to the time when the Option or portion thereof becomes unexercisable under Section 2.3.</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or any exercisable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2.3:</w:t>
      </w:r>
    </w:p>
    <w:p>
      <w:pPr>
        <w:spacing w:after="0" w:line="76" w:lineRule="exact"/>
        <w:rPr>
          <w:sz w:val="20"/>
          <w:szCs w:val="20"/>
          <w:color w:val="auto"/>
        </w:rPr>
      </w:pPr>
    </w:p>
    <w:p>
      <w:pPr>
        <w:ind w:right="320" w:firstLine="987"/>
        <w:spacing w:after="0" w:line="311" w:lineRule="auto"/>
        <w:tabs>
          <w:tab w:leader="none" w:pos="123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An exercise notice in substantially in the form attached as Exhibit B to the Grant Notice (or such other form as is prescribed by the Administrator) (the “</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xml:space="preserve"> in writing signed by Participant or any other person then entitled to exercise the Option or portion thereof, stating that the Option or portion thereof is thereby exercised, such notice complying with all applicable rules established by the Administrator; and</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Full payment for Shares with respect to which the Option or portion thereof is exercised in accordance with Section 5.6 of the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400" w:firstLine="987"/>
        <w:spacing w:after="0" w:line="277" w:lineRule="auto"/>
        <w:tabs>
          <w:tab w:leader="none" w:pos="1233"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receipt by the Company of full payment for any applicable withholding tax in cash, by wire transfer of immediately available funds, by check or in such other form as is permitted by the Plan; and</w:t>
      </w:r>
    </w:p>
    <w:p>
      <w:pPr>
        <w:spacing w:after="0" w:line="170" w:lineRule="exact"/>
        <w:rPr>
          <w:rFonts w:ascii="Arial" w:cs="Arial" w:eastAsia="Arial" w:hAnsi="Arial"/>
          <w:sz w:val="18"/>
          <w:szCs w:val="18"/>
          <w:color w:val="auto"/>
        </w:rPr>
      </w:pPr>
    </w:p>
    <w:p>
      <w:pPr>
        <w:ind w:right="240" w:firstLine="987"/>
        <w:spacing w:after="0" w:line="277" w:lineRule="auto"/>
        <w:tabs>
          <w:tab w:leader="none" w:pos="124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pursuant to Section 3.1 by any person or persons other than Participant, appropriate proof of the right of such person or persons to exercise the Option.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63" w:lineRule="auto"/>
        <w:tabs>
          <w:tab w:leader="none" w:pos="12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jc w:val="both"/>
        <w:ind w:right="80" w:firstLine="987"/>
        <w:spacing w:after="0" w:line="263" w:lineRule="auto"/>
        <w:tabs>
          <w:tab w:leader="none" w:pos="124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40" w:top="270" w:right="499" w:bottom="1440" w:gutter="0" w:footer="0" w:header="0"/>
        </w:sectPr>
      </w:pPr>
    </w:p>
    <w:bookmarkStart w:id="399" w:name="page400"/>
    <w:bookmarkEnd w:id="399"/>
    <w:p>
      <w:pPr>
        <w:ind w:left="4"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at its principal executive offices in care of the Secretary of the Company, and any notice to be given to Participant shall be addressed to Participant at the most recent address for Participant shown in the Company’s records. By a notice given pursuant to this Section 4.2,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4.2.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left="4" w:right="80" w:firstLine="991"/>
        <w:spacing w:after="0" w:line="28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Governing Law</w:t>
      </w:r>
      <w:r>
        <w:rPr>
          <w:rFonts w:ascii="Arial" w:cs="Arial" w:eastAsia="Arial" w:hAnsi="Arial"/>
          <w:sz w:val="17"/>
          <w:szCs w:val="17"/>
          <w:color w:val="auto"/>
        </w:rPr>
        <w:t>; Severability. This Agreement and the Exercise Notice shall be administered, interpreted and enforced under the laws of the State of Delaware, without regard to the conflicts of law principles thereof. Should any provision of this Agreement be determined by a court of law to be illegal or unenforceable, the other provisions shall nevertheless remain effective and shall remain enforceable.</w:t>
      </w:r>
    </w:p>
    <w:p>
      <w:pPr>
        <w:spacing w:after="0" w:line="165" w:lineRule="exact"/>
        <w:rPr>
          <w:sz w:val="20"/>
          <w:szCs w:val="20"/>
          <w:color w:val="auto"/>
        </w:rPr>
      </w:pPr>
    </w:p>
    <w:p>
      <w:pPr>
        <w:ind w:left="4" w:right="120" w:firstLine="991"/>
        <w:spacing w:after="0" w:line="29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61"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and the Exercise Notice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65"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this Agreement (including, without limitation, all Exhibits hereto) constitute the entire agreement of the parties and supersede in their entirety all prior undertakings and agreements of the Company and Participant with respect to the subject matter hereof.</w:t>
      </w:r>
    </w:p>
    <w:p>
      <w:pPr>
        <w:spacing w:after="0" w:line="184" w:lineRule="exact"/>
        <w:rPr>
          <w:sz w:val="20"/>
          <w:szCs w:val="20"/>
          <w:color w:val="auto"/>
        </w:rPr>
      </w:pPr>
    </w:p>
    <w:p>
      <w:pPr>
        <w:ind w:left="4" w:right="60" w:firstLine="991"/>
        <w:spacing w:after="0" w:line="28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Lock-Up Period</w:t>
      </w:r>
      <w:r>
        <w:rPr>
          <w:rFonts w:ascii="Arial" w:cs="Arial" w:eastAsia="Arial" w:hAnsi="Arial"/>
          <w:sz w:val="16"/>
          <w:szCs w:val="16"/>
          <w:color w:val="auto"/>
        </w:rPr>
        <w:t>. Participant agrees that Participant will not, without the prior written consent of the managing underwriter, during the period commencing on the date of the final prospectus relating to an initial public offering of any of the Company’s securities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w:t>
      </w:r>
    </w:p>
    <w:p>
      <w:pPr>
        <w:spacing w:after="0" w:line="1" w:lineRule="exact"/>
        <w:rPr>
          <w:sz w:val="20"/>
          <w:szCs w:val="20"/>
          <w:color w:val="auto"/>
        </w:rPr>
      </w:pPr>
    </w:p>
    <w:p>
      <w:pPr>
        <w:ind w:left="4" w:right="100" w:hanging="4"/>
        <w:spacing w:after="0" w:line="271" w:lineRule="auto"/>
        <w:tabs>
          <w:tab w:leader="none" w:pos="259" w:val="left"/>
        </w:tabs>
        <w:numPr>
          <w:ilvl w:val="0"/>
          <w:numId w:val="266"/>
        </w:numPr>
        <w:rPr>
          <w:rFonts w:ascii="Arial" w:cs="Arial" w:eastAsia="Arial" w:hAnsi="Arial"/>
          <w:sz w:val="17"/>
          <w:szCs w:val="17"/>
          <w:color w:val="auto"/>
        </w:rPr>
      </w:pPr>
      <w:r>
        <w:rPr>
          <w:rFonts w:ascii="Arial" w:cs="Arial" w:eastAsia="Arial" w:hAnsi="Arial"/>
          <w:sz w:val="17"/>
          <w:szCs w:val="17"/>
          <w:color w:val="auto"/>
        </w:rPr>
        <w:t>analyst recommendations and opinions, including, but not limited to, the restrictions contained in FINRA Rule 2241 or NYSE Rule 472(f)(4)),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w:t>
      </w:r>
    </w:p>
    <w:p>
      <w:pPr>
        <w:spacing w:after="0" w:line="35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64"/>
          </w:cols>
          <w:pgMar w:left="436" w:top="274" w:right="499" w:bottom="1440" w:gutter="0" w:footer="0" w:header="0"/>
        </w:sectPr>
      </w:pPr>
    </w:p>
    <w:bookmarkStart w:id="400" w:name="page401"/>
    <w:bookmarkEnd w:id="400"/>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consequences of ownership of such securities, whether any such transaction described in clause (i) or (ii) above is to be settled by delivery of Common Stock or other securities, in cash, or otherwise. The foregoing provisions of this Section shall apply only to an initial public offering of the Company’s securities and shall not apply to the sale of any shares to an underwriter pursuant to an underwriting agreement for such initial public offering. The underwriters in connection with such registration are intended third-party beneficiaries of this Section and shall have the right, power, and authority to enforce the provisions hereof as though they were a party hereto. Participant further agrees to execute such agreements as may be reasonably requested by the underwriters in connection with such registration that are consistent with this Section or that are necessary to give further effect thereto.</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80"/>
          </w:cols>
          <w:pgMar w:left="440" w:top="274" w:right="579"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TO STOCK OPTION AGREEMENT</w:t>
            </w:r>
          </w:p>
        </w:tc>
        <w:tc>
          <w:tcPr>
            <w:tcW w:w="3960" w:type="dxa"/>
            <w:vAlign w:val="bottom"/>
            <w:gridSpan w:val="3"/>
          </w:tcPr>
          <w:p>
            <w:pPr>
              <w:ind w:left="3220"/>
              <w:spacing w:after="0"/>
              <w:rPr>
                <w:sz w:val="20"/>
                <w:szCs w:val="20"/>
                <w:color w:val="auto"/>
              </w:rPr>
            </w:pPr>
            <w:r>
              <w:rPr>
                <w:rFonts w:ascii="Arial" w:cs="Arial" w:eastAsia="Arial" w:hAnsi="Arial"/>
                <w:sz w:val="18"/>
                <w:szCs w:val="18"/>
                <w:b w:val="1"/>
                <w:bCs w:val="1"/>
                <w:color w:val="auto"/>
                <w:w w:val="92"/>
              </w:rPr>
              <w:t>Exhibit B</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gridSpan w:val="7"/>
            <w:vMerge w:val="continue"/>
          </w:tcPr>
          <w:p>
            <w:pPr>
              <w:spacing w:after="0"/>
              <w:rPr>
                <w:sz w:val="20"/>
                <w:szCs w:val="20"/>
                <w:color w:val="auto"/>
              </w:rPr>
            </w:pPr>
          </w:p>
        </w:tc>
        <w:tc>
          <w:tcPr>
            <w:tcW w:w="32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FORM OF EXERCISE NOTICE</w:t>
            </w: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60" w:type="dxa"/>
            <w:vAlign w:val="bottom"/>
            <w:gridSpan w:val="4"/>
          </w:tcPr>
          <w:p>
            <w:pPr>
              <w:ind w:left="440"/>
              <w:spacing w:after="0"/>
              <w:rPr>
                <w:sz w:val="20"/>
                <w:szCs w:val="20"/>
                <w:color w:val="auto"/>
              </w:rPr>
            </w:pPr>
            <w:r>
              <w:rPr>
                <w:rFonts w:ascii="Arial" w:cs="Arial" w:eastAsia="Arial" w:hAnsi="Arial"/>
                <w:sz w:val="18"/>
                <w:szCs w:val="18"/>
                <w:color w:val="auto"/>
              </w:rPr>
              <w:t>Effective as of today,</w:t>
            </w:r>
          </w:p>
        </w:tc>
        <w:tc>
          <w:tcPr>
            <w:tcW w:w="580" w:type="dxa"/>
            <w:vAlign w:val="bottom"/>
            <w:gridSpan w:val="4"/>
          </w:tcPr>
          <w:p>
            <w:pPr>
              <w:ind w:left="540"/>
              <w:spacing w:after="0"/>
              <w:rPr>
                <w:sz w:val="20"/>
                <w:szCs w:val="20"/>
                <w:color w:val="auto"/>
              </w:rPr>
            </w:pPr>
            <w:r>
              <w:rPr>
                <w:rFonts w:ascii="Arial" w:cs="Arial" w:eastAsia="Arial" w:hAnsi="Arial"/>
                <w:sz w:val="10"/>
                <w:szCs w:val="10"/>
                <w:color w:val="auto"/>
                <w:w w:val="70"/>
              </w:rPr>
              <w: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80" w:type="dxa"/>
            <w:vAlign w:val="bottom"/>
            <w:gridSpan w:val="10"/>
          </w:tcPr>
          <w:p>
            <w:pPr>
              <w:ind w:left="160"/>
              <w:spacing w:after="0"/>
              <w:rPr>
                <w:sz w:val="20"/>
                <w:szCs w:val="20"/>
                <w:color w:val="auto"/>
              </w:rPr>
            </w:pPr>
            <w:r>
              <w:rPr>
                <w:rFonts w:ascii="Arial" w:cs="Arial" w:eastAsia="Arial" w:hAnsi="Arial"/>
                <w:sz w:val="18"/>
                <w:szCs w:val="18"/>
                <w:color w:val="auto"/>
              </w:rPr>
              <w:t xml:space="preserve">, the undersigned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hereby elects to exercise Participant’s option to</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w w:val="83"/>
              </w:rPr>
              <w:t>purchase</w:t>
            </w:r>
          </w:p>
        </w:tc>
        <w:tc>
          <w:tcPr>
            <w:tcW w:w="1300" w:type="dxa"/>
            <w:vAlign w:val="bottom"/>
            <w:tcBorders>
              <w:bottom w:val="single" w:sz="8" w:color="auto"/>
            </w:tcBorders>
          </w:tcPr>
          <w:p>
            <w:pPr>
              <w:spacing w:after="0"/>
              <w:rPr>
                <w:sz w:val="17"/>
                <w:szCs w:val="17"/>
                <w:color w:val="auto"/>
              </w:rPr>
            </w:pPr>
          </w:p>
        </w:tc>
        <w:tc>
          <w:tcPr>
            <w:tcW w:w="9080" w:type="dxa"/>
            <w:vAlign w:val="bottom"/>
            <w:gridSpan w:val="18"/>
          </w:tcPr>
          <w:p>
            <w:pPr>
              <w:spacing w:after="0" w:line="196" w:lineRule="exact"/>
              <w:rPr>
                <w:sz w:val="20"/>
                <w:szCs w:val="20"/>
                <w:color w:val="auto"/>
              </w:rPr>
            </w:pPr>
            <w:r>
              <w:rPr>
                <w:rFonts w:ascii="Arial" w:cs="Arial" w:eastAsia="Arial" w:hAnsi="Arial"/>
                <w:sz w:val="18"/>
                <w:szCs w:val="18"/>
                <w:color w:val="auto"/>
                <w:w w:val="95"/>
              </w:rPr>
              <w:t>Shares of Adagio Therapeutics, Inc. (the “</w:t>
            </w:r>
            <w:r>
              <w:rPr>
                <w:rFonts w:ascii="Arial" w:cs="Arial" w:eastAsia="Arial" w:hAnsi="Arial"/>
                <w:sz w:val="18"/>
                <w:szCs w:val="18"/>
                <w:b w:val="1"/>
                <w:bCs w:val="1"/>
                <w:i w:val="1"/>
                <w:iCs w:val="1"/>
                <w:color w:val="auto"/>
                <w:w w:val="95"/>
              </w:rPr>
              <w:t>Company</w:t>
            </w:r>
            <w:r>
              <w:rPr>
                <w:rFonts w:ascii="Arial" w:cs="Arial" w:eastAsia="Arial" w:hAnsi="Arial"/>
                <w:sz w:val="18"/>
                <w:szCs w:val="18"/>
                <w:color w:val="auto"/>
                <w:w w:val="95"/>
              </w:rPr>
              <w:t>”) under and pursuant to the Adagio Therapeutics, Inc. 2020 Equity</w:t>
            </w:r>
          </w:p>
        </w:tc>
        <w:tc>
          <w:tcPr>
            <w:tcW w:w="0" w:type="dxa"/>
            <w:vAlign w:val="bottom"/>
          </w:tcPr>
          <w:p>
            <w:pPr>
              <w:spacing w:after="0"/>
              <w:rPr>
                <w:sz w:val="1"/>
                <w:szCs w:val="1"/>
                <w:color w:val="auto"/>
              </w:rPr>
            </w:pPr>
          </w:p>
        </w:tc>
      </w:tr>
      <w:tr>
        <w:trPr>
          <w:trHeight w:val="196"/>
        </w:trPr>
        <w:tc>
          <w:tcPr>
            <w:tcW w:w="4820" w:type="dxa"/>
            <w:vAlign w:val="bottom"/>
            <w:gridSpan w:val="12"/>
          </w:tcPr>
          <w:p>
            <w:pPr>
              <w:spacing w:after="0" w:line="196" w:lineRule="exact"/>
              <w:rPr>
                <w:sz w:val="20"/>
                <w:szCs w:val="20"/>
                <w:color w:val="auto"/>
              </w:rPr>
            </w:pPr>
            <w:r>
              <w:rPr>
                <w:rFonts w:ascii="Arial" w:cs="Arial" w:eastAsia="Arial" w:hAnsi="Arial"/>
                <w:sz w:val="18"/>
                <w:szCs w:val="18"/>
                <w:color w:val="auto"/>
                <w:w w:val="91"/>
              </w:rPr>
              <w:t>Incentive Plan (the “</w:t>
            </w:r>
            <w:r>
              <w:rPr>
                <w:rFonts w:ascii="Arial" w:cs="Arial" w:eastAsia="Arial" w:hAnsi="Arial"/>
                <w:sz w:val="18"/>
                <w:szCs w:val="18"/>
                <w:b w:val="1"/>
                <w:bCs w:val="1"/>
                <w:i w:val="1"/>
                <w:iCs w:val="1"/>
                <w:color w:val="auto"/>
                <w:w w:val="91"/>
              </w:rPr>
              <w:t>Plan</w:t>
            </w:r>
            <w:r>
              <w:rPr>
                <w:rFonts w:ascii="Arial" w:cs="Arial" w:eastAsia="Arial" w:hAnsi="Arial"/>
                <w:sz w:val="18"/>
                <w:szCs w:val="18"/>
                <w:color w:val="auto"/>
                <w:w w:val="91"/>
              </w:rPr>
              <w:t>”) and the Stock Option Agreement dated</w:t>
            </w:r>
          </w:p>
        </w:tc>
        <w:tc>
          <w:tcPr>
            <w:tcW w:w="1240" w:type="dxa"/>
            <w:vAlign w:val="bottom"/>
          </w:tcPr>
          <w:p>
            <w:pPr>
              <w:spacing w:after="0"/>
              <w:rPr>
                <w:sz w:val="17"/>
                <w:szCs w:val="17"/>
                <w:color w:val="auto"/>
              </w:rPr>
            </w:pPr>
          </w:p>
        </w:tc>
        <w:tc>
          <w:tcPr>
            <w:tcW w:w="6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960" w:type="dxa"/>
            <w:vAlign w:val="bottom"/>
            <w:gridSpan w:val="3"/>
          </w:tcPr>
          <w:p>
            <w:pPr>
              <w:spacing w:after="0" w:line="196" w:lineRule="exact"/>
              <w:rPr>
                <w:sz w:val="20"/>
                <w:szCs w:val="20"/>
                <w:color w:val="auto"/>
              </w:rPr>
            </w:pPr>
            <w:r>
              <w:rPr>
                <w:rFonts w:ascii="Arial" w:cs="Arial" w:eastAsia="Arial" w:hAnsi="Arial"/>
                <w:sz w:val="18"/>
                <w:szCs w:val="18"/>
                <w:color w:val="auto"/>
                <w:w w:val="97"/>
              </w:rPr>
              <w:t>(the “</w:t>
            </w:r>
            <w:r>
              <w:rPr>
                <w:rFonts w:ascii="Arial" w:cs="Arial" w:eastAsia="Arial" w:hAnsi="Arial"/>
                <w:sz w:val="18"/>
                <w:szCs w:val="18"/>
                <w:b w:val="1"/>
                <w:bCs w:val="1"/>
                <w:i w:val="1"/>
                <w:iCs w:val="1"/>
                <w:color w:val="auto"/>
                <w:w w:val="97"/>
              </w:rPr>
              <w:t>Option Agreement</w:t>
            </w:r>
            <w:r>
              <w:rPr>
                <w:rFonts w:ascii="Arial" w:cs="Arial" w:eastAsia="Arial" w:hAnsi="Arial"/>
                <w:sz w:val="18"/>
                <w:szCs w:val="18"/>
                <w:color w:val="auto"/>
                <w:w w:val="97"/>
              </w:rPr>
              <w:t>”). Capitalized terms used</w:t>
            </w:r>
          </w:p>
        </w:tc>
        <w:tc>
          <w:tcPr>
            <w:tcW w:w="0" w:type="dxa"/>
            <w:vAlign w:val="bottom"/>
          </w:tcPr>
          <w:p>
            <w:pPr>
              <w:spacing w:after="0"/>
              <w:rPr>
                <w:sz w:val="1"/>
                <w:szCs w:val="1"/>
                <w:color w:val="auto"/>
              </w:rPr>
            </w:pPr>
          </w:p>
        </w:tc>
      </w:tr>
      <w:tr>
        <w:trPr>
          <w:trHeight w:val="20"/>
        </w:trPr>
        <w:tc>
          <w:tcPr>
            <w:tcW w:w="2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gridSpan w:val="13"/>
          </w:tcPr>
          <w:p>
            <w:pPr>
              <w:spacing w:after="0"/>
              <w:rPr>
                <w:sz w:val="20"/>
                <w:szCs w:val="20"/>
                <w:color w:val="auto"/>
              </w:rPr>
            </w:pPr>
            <w:r>
              <w:rPr>
                <w:rFonts w:ascii="Arial" w:cs="Arial" w:eastAsia="Arial" w:hAnsi="Arial"/>
                <w:sz w:val="18"/>
                <w:szCs w:val="18"/>
                <w:color w:val="auto"/>
                <w:w w:val="94"/>
              </w:rPr>
              <w:t>herein without definition shall have the meanings given in the Option Agreement.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Number of Shares as to which</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9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Option is Exercised:</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Exercise Price per Share: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Total Exercise Price:</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w w:val="94"/>
              </w:rPr>
              <w:t>Certificate to be issued in name of:</w:t>
            </w:r>
          </w:p>
        </w:tc>
        <w:tc>
          <w:tcPr>
            <w:tcW w:w="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w w:val="96"/>
              </w:rPr>
              <w:t>Cash Payment delivered herewith:</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000" w:type="dxa"/>
            <w:vAlign w:val="bottom"/>
            <w:gridSpan w:val="11"/>
          </w:tcPr>
          <w:p>
            <w:pPr>
              <w:spacing w:after="0"/>
              <w:rPr>
                <w:sz w:val="20"/>
                <w:szCs w:val="20"/>
                <w:color w:val="auto"/>
              </w:rPr>
            </w:pPr>
            <w:r>
              <w:rPr>
                <w:rFonts w:ascii="Arial" w:cs="Arial" w:eastAsia="Arial" w:hAnsi="Arial"/>
                <w:sz w:val="18"/>
                <w:szCs w:val="18"/>
                <w:color w:val="auto"/>
                <w:w w:val="93"/>
              </w:rPr>
              <w:t>(Representing the full Exercise Price for the Shares, as well as any applicable withholding tax)</w:t>
            </w:r>
          </w:p>
        </w:tc>
        <w:tc>
          <w:tcPr>
            <w:tcW w:w="0" w:type="dxa"/>
            <w:vAlign w:val="bottom"/>
          </w:tcPr>
          <w:p>
            <w:pPr>
              <w:spacing w:after="0"/>
              <w:rPr>
                <w:sz w:val="1"/>
                <w:szCs w:val="1"/>
                <w:color w:val="auto"/>
              </w:rPr>
            </w:pPr>
          </w:p>
        </w:tc>
      </w:tr>
      <w:tr>
        <w:trPr>
          <w:trHeight w:val="365"/>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Type of Option:</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160" w:type="dxa"/>
            <w:vAlign w:val="bottom"/>
            <w:gridSpan w:val="16"/>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  </w:t>
            </w: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Stock Option</w:t>
            </w:r>
          </w:p>
        </w:tc>
        <w:tc>
          <w:tcPr>
            <w:tcW w:w="0" w:type="dxa"/>
            <w:vAlign w:val="bottom"/>
          </w:tcPr>
          <w:p>
            <w:pPr>
              <w:spacing w:after="0"/>
              <w:rPr>
                <w:sz w:val="1"/>
                <w:szCs w:val="1"/>
                <w:color w:val="auto"/>
              </w:rPr>
            </w:pPr>
          </w:p>
        </w:tc>
      </w:tr>
    </w:tbl>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0" w:hanging="184"/>
        <w:spacing w:after="0"/>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87"/>
        <w:spacing w:after="0" w:line="277" w:lineRule="auto"/>
        <w:tabs>
          <w:tab w:leader="none" w:pos="123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Participant acknowledges that Participant has received, read and understood the Plan and the Option Agreement. Participant agrees to abide by and be bound by their terms and conditions.</w:t>
      </w:r>
    </w:p>
    <w:p>
      <w:pPr>
        <w:spacing w:after="0" w:line="170" w:lineRule="exact"/>
        <w:rPr>
          <w:rFonts w:ascii="Arial" w:cs="Arial" w:eastAsia="Arial" w:hAnsi="Arial"/>
          <w:sz w:val="18"/>
          <w:szCs w:val="18"/>
          <w:color w:val="auto"/>
        </w:rPr>
      </w:pPr>
    </w:p>
    <w:p>
      <w:pPr>
        <w:jc w:val="both"/>
        <w:ind w:right="300" w:firstLine="987"/>
        <w:spacing w:after="0" w:line="263" w:lineRule="auto"/>
        <w:tabs>
          <w:tab w:leader="none" w:pos="124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xml:space="preserve">Participant acknowledges that Participant is purchasing the Shares for Participant’s own account for investment only, and not with a view to, or for sale in connection with, any distribution of the Shares in violation of the Securities Act of 1933, as amended (the “Securities </w:t>
      </w:r>
      <w:r>
        <w:rPr>
          <w:rFonts w:ascii="Arial" w:cs="Arial" w:eastAsia="Arial" w:hAnsi="Arial"/>
          <w:sz w:val="18"/>
          <w:szCs w:val="18"/>
          <w:b w:val="1"/>
          <w:bCs w:val="1"/>
          <w:i w:val="1"/>
          <w:iCs w:val="1"/>
          <w:color w:val="auto"/>
        </w:rPr>
        <w:t>Act”),</w:t>
      </w:r>
      <w:r>
        <w:rPr>
          <w:rFonts w:ascii="Arial" w:cs="Arial" w:eastAsia="Arial" w:hAnsi="Arial"/>
          <w:sz w:val="18"/>
          <w:szCs w:val="18"/>
          <w:color w:val="auto"/>
        </w:rPr>
        <w:t xml:space="preserve"> or any rule or regulation under the Securities Act.</w:t>
      </w:r>
    </w:p>
    <w:p>
      <w:pPr>
        <w:spacing w:after="0" w:line="183" w:lineRule="exact"/>
        <w:rPr>
          <w:rFonts w:ascii="Arial" w:cs="Arial" w:eastAsia="Arial" w:hAnsi="Arial"/>
          <w:sz w:val="18"/>
          <w:szCs w:val="18"/>
          <w:color w:val="auto"/>
        </w:rPr>
      </w:pPr>
    </w:p>
    <w:p>
      <w:pPr>
        <w:ind w:right="780" w:firstLine="987"/>
        <w:spacing w:after="0" w:line="342" w:lineRule="auto"/>
        <w:tabs>
          <w:tab w:leader="none" w:pos="1236" w:val="left"/>
        </w:tabs>
        <w:numPr>
          <w:ilvl w:val="1"/>
          <w:numId w:val="267"/>
        </w:numPr>
        <w:rPr>
          <w:rFonts w:ascii="Arial" w:cs="Arial" w:eastAsia="Arial" w:hAnsi="Arial"/>
          <w:sz w:val="16"/>
          <w:szCs w:val="16"/>
          <w:color w:val="auto"/>
        </w:rPr>
      </w:pPr>
      <w:r>
        <w:rPr>
          <w:rFonts w:ascii="Arial" w:cs="Arial" w:eastAsia="Arial" w:hAnsi="Arial"/>
          <w:sz w:val="16"/>
          <w:szCs w:val="16"/>
          <w:color w:val="auto"/>
        </w:rPr>
        <w:t>Participant has had such opportunity as Participant has deemed adequate to obtain from representatives of the Company such information as is necessary to permit Participant to evaluate the merits and risks of Participant’s investment in the Company.</w:t>
      </w:r>
    </w:p>
    <w:p>
      <w:pPr>
        <w:spacing w:after="0" w:line="123" w:lineRule="exact"/>
        <w:rPr>
          <w:rFonts w:ascii="Arial" w:cs="Arial" w:eastAsia="Arial" w:hAnsi="Arial"/>
          <w:sz w:val="16"/>
          <w:szCs w:val="16"/>
          <w:color w:val="auto"/>
        </w:rPr>
      </w:pPr>
    </w:p>
    <w:p>
      <w:pPr>
        <w:ind w:right="540" w:firstLine="987"/>
        <w:spacing w:after="0" w:line="277" w:lineRule="auto"/>
        <w:tabs>
          <w:tab w:leader="none" w:pos="124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Participant has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right="360" w:firstLine="987"/>
        <w:spacing w:after="0" w:line="277" w:lineRule="auto"/>
        <w:tabs>
          <w:tab w:leader="none" w:pos="123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Participant can afford a complete loss of the value of the Shares and is able to bear the economic risk of holding such Shares for an indefinite period.</w:t>
      </w:r>
    </w:p>
    <w:p>
      <w:pPr>
        <w:spacing w:after="0" w:line="170" w:lineRule="exact"/>
        <w:rPr>
          <w:rFonts w:ascii="Arial" w:cs="Arial" w:eastAsia="Arial" w:hAnsi="Arial"/>
          <w:sz w:val="18"/>
          <w:szCs w:val="18"/>
          <w:color w:val="auto"/>
        </w:rPr>
      </w:pPr>
    </w:p>
    <w:p>
      <w:pPr>
        <w:ind w:right="20" w:firstLine="987"/>
        <w:spacing w:after="0" w:line="259" w:lineRule="auto"/>
        <w:tabs>
          <w:tab w:leader="none" w:pos="1216" w:val="left"/>
        </w:tabs>
        <w:numPr>
          <w:ilvl w:val="1"/>
          <w:numId w:val="267"/>
        </w:numPr>
        <w:rPr>
          <w:rFonts w:ascii="Arial" w:cs="Arial" w:eastAsia="Arial" w:hAnsi="Arial"/>
          <w:sz w:val="18"/>
          <w:szCs w:val="18"/>
          <w:color w:val="auto"/>
        </w:rPr>
      </w:pPr>
      <w:r>
        <w:rPr>
          <w:rFonts w:ascii="Arial" w:cs="Arial" w:eastAsia="Arial" w:hAnsi="Arial"/>
          <w:sz w:val="18"/>
          <w:szCs w:val="18"/>
          <w:color w:val="auto"/>
        </w:rPr>
        <w:t>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56" w:right="439" w:bottom="1440" w:gutter="0" w:footer="0" w:header="0"/>
        </w:sectPr>
      </w:pPr>
    </w:p>
    <w:bookmarkStart w:id="402" w:name="page403"/>
    <w:bookmarkEnd w:id="402"/>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87" w:lineRule="exact"/>
        <w:rPr>
          <w:sz w:val="20"/>
          <w:szCs w:val="20"/>
          <w:color w:val="auto"/>
        </w:rPr>
      </w:pPr>
    </w:p>
    <w:p>
      <w:pPr>
        <w:ind w:right="200" w:firstLine="436"/>
        <w:spacing w:after="0" w:line="255" w:lineRule="auto"/>
        <w:tabs>
          <w:tab w:leader="none" w:pos="62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92" w:lineRule="exact"/>
        <w:rPr>
          <w:rFonts w:ascii="Arial" w:cs="Arial" w:eastAsia="Arial" w:hAnsi="Arial"/>
          <w:sz w:val="18"/>
          <w:szCs w:val="18"/>
          <w:color w:val="auto"/>
        </w:rPr>
      </w:pPr>
    </w:p>
    <w:p>
      <w:pPr>
        <w:ind w:left="620" w:hanging="184"/>
        <w:spacing w:after="0"/>
        <w:tabs>
          <w:tab w:leader="none" w:pos="62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987"/>
        <w:spacing w:after="0" w:line="263" w:lineRule="auto"/>
        <w:tabs>
          <w:tab w:leader="none" w:pos="123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Legends. Participant understands and agrees that the Company shall cause any certificates issued evidencing the Shares to have the legends set forth below or legends substantially equivalent thereto, together with any other legends that may be required by state or federal securities laws:</w:t>
      </w:r>
    </w:p>
    <w:p>
      <w:pPr>
        <w:spacing w:after="0" w:line="76" w:lineRule="exact"/>
        <w:rPr>
          <w:sz w:val="20"/>
          <w:szCs w:val="20"/>
          <w:color w:val="auto"/>
        </w:rPr>
      </w:pPr>
    </w:p>
    <w:p>
      <w:pPr>
        <w:ind w:left="980" w:right="120"/>
        <w:spacing w:after="0" w:line="254"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87"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THE SHARES REPRESENTED BY THIS CERTIFICATE MAY BE TRANSFERRED ONLY IN ACCORDANCE WITH THE TERMS OF AN AGREEMENT BETWEEN THE COMPANY AND THE STOCKHOLDER, A COPY OF WHICH IS ON FILE WITH THE SECRETARY OF THE COMPANY. SUCH TRANSFER RESTRICTIONS ARE BINDING ON TRANSFEREES OF THESE SHARES.</w:t>
      </w:r>
    </w:p>
    <w:p>
      <w:pPr>
        <w:spacing w:after="0" w:line="165" w:lineRule="exact"/>
        <w:rPr>
          <w:sz w:val="20"/>
          <w:szCs w:val="20"/>
          <w:color w:val="auto"/>
        </w:rPr>
      </w:pPr>
    </w:p>
    <w:p>
      <w:pPr>
        <w:ind w:right="60" w:firstLine="987"/>
        <w:spacing w:after="0" w:line="263" w:lineRule="auto"/>
        <w:tabs>
          <w:tab w:leader="none" w:pos="124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403" w:name="page404"/>
    <w:bookmarkEnd w:id="403"/>
    <w:p>
      <w:pPr>
        <w:jc w:val="both"/>
        <w:ind w:right="200" w:firstLine="987"/>
        <w:spacing w:after="0" w:line="263" w:lineRule="auto"/>
        <w:tabs>
          <w:tab w:leader="none" w:pos="1236" w:val="left"/>
        </w:tabs>
        <w:numPr>
          <w:ilvl w:val="1"/>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ind w:right="440" w:firstLine="436"/>
        <w:spacing w:after="0" w:line="277" w:lineRule="auto"/>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or permitted hereunder shall be given in accordance with the provisions set forth in Section 4.2 of the Option Agreement.</w:t>
      </w:r>
    </w:p>
    <w:p>
      <w:pPr>
        <w:spacing w:after="0" w:line="170" w:lineRule="exact"/>
        <w:rPr>
          <w:rFonts w:ascii="Arial" w:cs="Arial" w:eastAsia="Arial" w:hAnsi="Arial"/>
          <w:sz w:val="18"/>
          <w:szCs w:val="18"/>
          <w:color w:val="auto"/>
        </w:rPr>
      </w:pPr>
    </w:p>
    <w:p>
      <w:pPr>
        <w:ind w:right="60" w:firstLine="436"/>
        <w:spacing w:after="0" w:line="257" w:lineRule="auto"/>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Further Instruments</w:t>
      </w:r>
      <w:r>
        <w:rPr>
          <w:rFonts w:ascii="Arial" w:cs="Arial" w:eastAsia="Arial" w:hAnsi="Arial"/>
          <w:sz w:val="18"/>
          <w:szCs w:val="18"/>
          <w:color w:val="auto"/>
        </w:rPr>
        <w:t>.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87" w:lineRule="exact"/>
        <w:rPr>
          <w:rFonts w:ascii="Arial" w:cs="Arial" w:eastAsia="Arial" w:hAnsi="Arial"/>
          <w:sz w:val="18"/>
          <w:szCs w:val="18"/>
          <w:color w:val="auto"/>
        </w:rPr>
      </w:pPr>
    </w:p>
    <w:p>
      <w:pPr>
        <w:jc w:val="both"/>
        <w:ind w:right="160" w:firstLine="436"/>
        <w:spacing w:after="0" w:line="263" w:lineRule="auto"/>
        <w:tabs>
          <w:tab w:leader="none" w:pos="620"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This Agreement, the Plan and the Option Agreement constitute the entire agreement of the parties and supersede in their entirety all prior undertakings and agreements of the Company and Participant with respect to the subject matter hereof.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ACCEPTED BY: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b w:val="1"/>
                <w:bCs w:val="1"/>
                <w:color w:val="auto"/>
              </w:rPr>
              <w:t>SUBMITTED BY:</w:t>
            </w:r>
          </w:p>
        </w:tc>
      </w:t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ADAGIO THERAPEUTICS, INC.</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80" w:type="dxa"/>
            <w:vAlign w:val="bottom"/>
          </w:tcPr>
          <w:p>
            <w:pPr>
              <w:ind w:left="160"/>
              <w:spacing w:after="0"/>
              <w:rPr>
                <w:sz w:val="20"/>
                <w:szCs w:val="20"/>
                <w:color w:val="auto"/>
              </w:rPr>
            </w:pPr>
            <w:r>
              <w:rPr>
                <w:rFonts w:ascii="Arial" w:cs="Arial" w:eastAsia="Arial" w:hAnsi="Arial"/>
                <w:sz w:val="18"/>
                <w:szCs w:val="18"/>
                <w:b w:val="1"/>
                <w:bCs w:val="1"/>
                <w:color w:val="auto"/>
              </w:rPr>
              <w:t>PARTICIPANT</w:t>
            </w:r>
          </w:p>
        </w:tc>
      </w:tr>
      <w:tr>
        <w:trPr>
          <w:trHeight w:val="47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18"/>
        </w:trPr>
        <w:tc>
          <w:tcPr>
            <w:tcW w:w="5280" w:type="dxa"/>
            <w:vAlign w:val="bottom"/>
            <w:gridSpan w:val="3"/>
          </w:tcPr>
          <w:p>
            <w:pPr>
              <w:spacing w:after="0"/>
              <w:rPr>
                <w:sz w:val="20"/>
                <w:szCs w:val="20"/>
                <w:color w:val="auto"/>
              </w:rPr>
            </w:pPr>
            <w:r>
              <w:rPr>
                <w:rFonts w:ascii="Arial" w:cs="Arial" w:eastAsia="Arial" w:hAnsi="Arial"/>
                <w:sz w:val="18"/>
                <w:szCs w:val="18"/>
                <w:color w:val="auto"/>
              </w:rPr>
              <w:t>Name: _</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[Participant Name]</w:t>
            </w:r>
          </w:p>
        </w:tc>
      </w:tr>
      <w:tr>
        <w:trPr>
          <w:trHeight w:val="3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740" w:type="dxa"/>
            <w:vAlign w:val="bottom"/>
            <w:gridSpan w:val="3"/>
          </w:tcPr>
          <w:p>
            <w:pPr>
              <w:ind w:left="80"/>
              <w:spacing w:after="0"/>
              <w:rPr>
                <w:sz w:val="20"/>
                <w:szCs w:val="20"/>
                <w:color w:val="auto"/>
              </w:rPr>
            </w:pPr>
            <w:r>
              <w:rPr>
                <w:rFonts w:ascii="Arial" w:cs="Arial" w:eastAsia="Arial" w:hAnsi="Arial"/>
                <w:sz w:val="18"/>
                <w:szCs w:val="18"/>
                <w:color w:val="auto"/>
              </w:rPr>
              <w:t>B-3</w:t>
            </w:r>
          </w:p>
        </w:tc>
      </w:tr>
    </w:tbl>
    <w:p>
      <w:pPr>
        <w:sectPr>
          <w:pgSz w:w="11900" w:h="16838" w:orient="portrait"/>
          <w:cols w:equalWidth="0" w:num="1">
            <w:col w:w="11020"/>
          </w:cols>
          <w:pgMar w:left="440" w:top="274" w:right="4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UBSIDIARIES</w:t>
      </w:r>
    </w:p>
    <w:p>
      <w:pPr>
        <w:spacing w:after="0" w:line="238" w:lineRule="exact"/>
        <w:rPr>
          <w:sz w:val="20"/>
          <w:szCs w:val="20"/>
          <w:color w:val="auto"/>
        </w:rPr>
      </w:pPr>
    </w:p>
    <w:p>
      <w:pPr>
        <w:ind w:left="424" w:hanging="424"/>
        <w:spacing w:after="0"/>
        <w:tabs>
          <w:tab w:leader="none" w:pos="42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Adagio Therapeutics Security Corporation.</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0FEAC"/>
    <w:multiLevelType w:val="hybridMultilevel"/>
    <w:lvl w:ilvl="0">
      <w:lvlJc w:val="left"/>
      <w:lvlText w:val="(%1)"/>
      <w:numFmt w:val="decimal"/>
      <w:start w:val="1"/>
    </w:lvl>
  </w:abstractNum>
  <w:abstractNum w:abstractNumId="1">
    <w:nsid w:val="4BEE5A5B"/>
    <w:multiLevelType w:val="hybridMultilevel"/>
    <w:lvl w:ilvl="0">
      <w:lvlJc w:val="left"/>
      <w:lvlText w:val="(%1)"/>
      <w:numFmt w:val="decimal"/>
      <w:start w:val="1"/>
    </w:lvl>
  </w:abstractNum>
  <w:abstractNum w:abstractNumId="2">
    <w:nsid w:val="5551B9F3"/>
    <w:multiLevelType w:val="hybridMultilevel"/>
    <w:lvl w:ilvl="0">
      <w:lvlJc w:val="left"/>
      <w:lvlText w:val="(%1)"/>
      <w:numFmt w:val="decimal"/>
      <w:start w:val="5"/>
    </w:lvl>
  </w:abstractNum>
  <w:abstractNum w:abstractNumId="3">
    <w:nsid w:val="24F6AB8E"/>
    <w:multiLevelType w:val="hybridMultilevel"/>
    <w:lvl w:ilvl="0">
      <w:lvlJc w:val="left"/>
      <w:lvlText w:val="•"/>
      <w:numFmt w:val="bullet"/>
      <w:start w:val="1"/>
    </w:lvl>
  </w:abstractNum>
  <w:abstractNum w:abstractNumId="4">
    <w:nsid w:val="634C574C"/>
    <w:multiLevelType w:val="hybridMultilevel"/>
    <w:lvl w:ilvl="0">
      <w:lvlJc w:val="left"/>
      <w:lvlText w:val="•"/>
      <w:numFmt w:val="bullet"/>
      <w:start w:val="1"/>
    </w:lvl>
  </w:abstractNum>
  <w:abstractNum w:abstractNumId="5">
    <w:nsid w:val="24E99DD7"/>
    <w:multiLevelType w:val="hybridMultilevel"/>
    <w:lvl w:ilvl="0">
      <w:lvlJc w:val="left"/>
      <w:lvlText w:val="•"/>
      <w:numFmt w:val="bullet"/>
      <w:start w:val="1"/>
    </w:lvl>
  </w:abstractNum>
  <w:abstractNum w:abstractNumId="6">
    <w:nsid w:val="2A31B62D"/>
    <w:multiLevelType w:val="hybridMultilevel"/>
    <w:lvl w:ilvl="0">
      <w:lvlJc w:val="left"/>
      <w:lvlText w:val="•"/>
      <w:numFmt w:val="bullet"/>
      <w:start w:val="1"/>
    </w:lvl>
  </w:abstractNum>
  <w:abstractNum w:abstractNumId="7">
    <w:nsid w:val="1849C29B"/>
    <w:multiLevelType w:val="hybridMultilevel"/>
    <w:lvl w:ilvl="0">
      <w:lvlJc w:val="left"/>
      <w:lvlText w:val="•"/>
      <w:numFmt w:val="bullet"/>
      <w:start w:val="1"/>
    </w:lvl>
  </w:abstractNum>
  <w:abstractNum w:abstractNumId="8">
    <w:nsid w:val="7DFF9D09"/>
    <w:multiLevelType w:val="hybridMultilevel"/>
    <w:lvl w:ilvl="0">
      <w:lvlJc w:val="left"/>
      <w:lvlText w:val="•"/>
      <w:numFmt w:val="bullet"/>
      <w:start w:val="1"/>
    </w:lvl>
  </w:abstractNum>
  <w:abstractNum w:abstractNumId="9">
    <w:nsid w:val="754342"/>
    <w:multiLevelType w:val="hybridMultilevel"/>
    <w:lvl w:ilvl="0">
      <w:lvlJc w:val="left"/>
      <w:lvlText w:val="•"/>
      <w:numFmt w:val="bullet"/>
      <w:start w:val="1"/>
    </w:lvl>
  </w:abstractNum>
  <w:abstractNum w:abstractNumId="10">
    <w:nsid w:val="69E7F3E5"/>
    <w:multiLevelType w:val="hybridMultilevel"/>
    <w:lvl w:ilvl="0">
      <w:lvlJc w:val="left"/>
      <w:lvlText w:val="•"/>
      <w:numFmt w:val="bullet"/>
      <w:start w:val="1"/>
    </w:lvl>
  </w:abstractNum>
  <w:abstractNum w:abstractNumId="11">
    <w:nsid w:val="2A6DE806"/>
    <w:multiLevelType w:val="hybridMultilevel"/>
    <w:lvl w:ilvl="0">
      <w:lvlJc w:val="left"/>
      <w:lvlText w:val="•"/>
      <w:numFmt w:val="bullet"/>
      <w:start w:val="1"/>
    </w:lvl>
  </w:abstractNum>
  <w:abstractNum w:abstractNumId="12">
    <w:nsid w:val="1816F8C4"/>
    <w:multiLevelType w:val="hybridMultilevel"/>
    <w:lvl w:ilvl="0">
      <w:lvlJc w:val="left"/>
      <w:lvlText w:val="•"/>
      <w:numFmt w:val="bullet"/>
      <w:start w:val="1"/>
    </w:lvl>
  </w:abstractNum>
  <w:abstractNum w:abstractNumId="13">
    <w:nsid w:val="37DF2233"/>
    <w:multiLevelType w:val="hybridMultilevel"/>
    <w:lvl w:ilvl="0">
      <w:lvlJc w:val="left"/>
      <w:lvlText w:val="•"/>
      <w:numFmt w:val="bullet"/>
      <w:start w:val="1"/>
    </w:lvl>
  </w:abstractNum>
  <w:abstractNum w:abstractNumId="14">
    <w:nsid w:val="7AB49DAF"/>
    <w:multiLevelType w:val="hybridMultilevel"/>
    <w:lvl w:ilvl="0">
      <w:lvlJc w:val="left"/>
      <w:lvlText w:val="•"/>
      <w:numFmt w:val="bullet"/>
      <w:start w:val="1"/>
    </w:lvl>
  </w:abstractNum>
  <w:abstractNum w:abstractNumId="15">
    <w:nsid w:val="759F82CD"/>
    <w:multiLevelType w:val="hybridMultilevel"/>
    <w:lvl w:ilvl="0">
      <w:lvlJc w:val="left"/>
      <w:lvlText w:val="•"/>
      <w:numFmt w:val="bullet"/>
      <w:start w:val="1"/>
    </w:lvl>
  </w:abstractNum>
  <w:abstractNum w:abstractNumId="16">
    <w:nsid w:val="61E74EA3"/>
    <w:multiLevelType w:val="hybridMultilevel"/>
    <w:lvl w:ilvl="0">
      <w:lvlJc w:val="left"/>
      <w:lvlText w:val="(%1)"/>
      <w:numFmt w:val="decimal"/>
      <w:start w:val="1"/>
    </w:lvl>
  </w:abstractNum>
  <w:abstractNum w:abstractNumId="17">
    <w:nsid w:val="597B4D84"/>
    <w:multiLevelType w:val="hybridMultilevel"/>
    <w:lvl w:ilvl="0">
      <w:lvlJc w:val="left"/>
      <w:lvlText w:val="(%1)"/>
      <w:numFmt w:val="decimal"/>
      <w:start w:val="1"/>
    </w:lvl>
  </w:abstractNum>
  <w:abstractNum w:abstractNumId="18">
    <w:nsid w:val="F819E7F"/>
    <w:multiLevelType w:val="hybridMultilevel"/>
    <w:lvl w:ilvl="0">
      <w:lvlJc w:val="left"/>
      <w:lvlText w:val="•"/>
      <w:numFmt w:val="bullet"/>
      <w:start w:val="1"/>
    </w:lvl>
  </w:abstractNum>
  <w:abstractNum w:abstractNumId="19">
    <w:nsid w:val="57C7D42D"/>
    <w:multiLevelType w:val="hybridMultilevel"/>
    <w:lvl w:ilvl="0">
      <w:lvlJc w:val="left"/>
      <w:lvlText w:val="•"/>
      <w:numFmt w:val="bullet"/>
      <w:start w:val="1"/>
    </w:lvl>
  </w:abstractNum>
  <w:abstractNum w:abstractNumId="20">
    <w:nsid w:val="312167AD"/>
    <w:multiLevelType w:val="hybridMultilevel"/>
    <w:lvl w:ilvl="0">
      <w:lvlJc w:val="left"/>
      <w:lvlText w:val="•"/>
      <w:numFmt w:val="bullet"/>
      <w:start w:val="1"/>
    </w:lvl>
  </w:abstractNum>
  <w:abstractNum w:abstractNumId="21">
    <w:nsid w:val="631B64D4"/>
    <w:multiLevelType w:val="hybridMultilevel"/>
    <w:lvl w:ilvl="0">
      <w:lvlJc w:val="left"/>
      <w:lvlText w:val="•"/>
      <w:numFmt w:val="bullet"/>
      <w:start w:val="1"/>
    </w:lvl>
  </w:abstractNum>
  <w:abstractNum w:abstractNumId="22">
    <w:nsid w:val="78B5E776"/>
    <w:multiLevelType w:val="hybridMultilevel"/>
    <w:lvl w:ilvl="0">
      <w:lvlJc w:val="left"/>
      <w:lvlText w:val="•"/>
      <w:numFmt w:val="bullet"/>
      <w:start w:val="1"/>
    </w:lvl>
  </w:abstractNum>
  <w:abstractNum w:abstractNumId="23">
    <w:nsid w:val="75486E47"/>
    <w:multiLevelType w:val="hybridMultilevel"/>
    <w:lvl w:ilvl="0">
      <w:lvlJc w:val="left"/>
      <w:lvlText w:val="•"/>
      <w:numFmt w:val="bullet"/>
      <w:start w:val="1"/>
    </w:lvl>
  </w:abstractNum>
  <w:abstractNum w:abstractNumId="24">
    <w:nsid w:val="6E534CDE"/>
    <w:multiLevelType w:val="hybridMultilevel"/>
    <w:lvl w:ilvl="0">
      <w:lvlJc w:val="left"/>
      <w:lvlText w:val="•"/>
      <w:numFmt w:val="bullet"/>
      <w:start w:val="1"/>
    </w:lvl>
  </w:abstractNum>
  <w:abstractNum w:abstractNumId="25">
    <w:nsid w:val="1A0DDE32"/>
    <w:multiLevelType w:val="hybridMultilevel"/>
    <w:lvl w:ilvl="0">
      <w:lvlJc w:val="left"/>
      <w:lvlText w:val="•"/>
      <w:numFmt w:val="bullet"/>
      <w:start w:val="1"/>
    </w:lvl>
  </w:abstractNum>
  <w:abstractNum w:abstractNumId="26">
    <w:nsid w:val="65968C1C"/>
    <w:multiLevelType w:val="hybridMultilevel"/>
    <w:lvl w:ilvl="0">
      <w:lvlJc w:val="left"/>
      <w:lvlText w:val="•"/>
      <w:numFmt w:val="bullet"/>
      <w:start w:val="1"/>
    </w:lvl>
  </w:abstractNum>
  <w:abstractNum w:abstractNumId="27">
    <w:nsid w:val="46263DEC"/>
    <w:multiLevelType w:val="hybridMultilevel"/>
    <w:lvl w:ilvl="0">
      <w:lvlJc w:val="left"/>
      <w:lvlText w:val="•"/>
      <w:numFmt w:val="bullet"/>
      <w:start w:val="1"/>
    </w:lvl>
  </w:abstractNum>
  <w:abstractNum w:abstractNumId="28">
    <w:nsid w:val="260D8C4A"/>
    <w:multiLevelType w:val="hybridMultilevel"/>
    <w:lvl w:ilvl="0">
      <w:lvlJc w:val="left"/>
      <w:lvlText w:val="•"/>
      <w:numFmt w:val="bullet"/>
      <w:start w:val="1"/>
    </w:lvl>
  </w:abstractNum>
  <w:abstractNum w:abstractNumId="29">
    <w:nsid w:val="73D4D3C4"/>
    <w:multiLevelType w:val="hybridMultilevel"/>
    <w:lvl w:ilvl="0">
      <w:lvlJc w:val="left"/>
      <w:lvlText w:val="•"/>
      <w:numFmt w:val="bullet"/>
      <w:start w:val="1"/>
    </w:lvl>
  </w:abstractNum>
  <w:abstractNum w:abstractNumId="30">
    <w:nsid w:val="746F2E30"/>
    <w:multiLevelType w:val="hybridMultilevel"/>
    <w:lvl w:ilvl="0">
      <w:lvlJc w:val="left"/>
      <w:lvlText w:val="•"/>
      <w:numFmt w:val="bullet"/>
      <w:start w:val="1"/>
    </w:lvl>
  </w:abstractNum>
  <w:abstractNum w:abstractNumId="31">
    <w:nsid w:val="6FDE8AF6"/>
    <w:multiLevelType w:val="hybridMultilevel"/>
    <w:lvl w:ilvl="0">
      <w:lvlJc w:val="left"/>
      <w:lvlText w:val="•"/>
      <w:numFmt w:val="bullet"/>
      <w:start w:val="1"/>
    </w:lvl>
  </w:abstractNum>
  <w:abstractNum w:abstractNumId="32">
    <w:nsid w:val="3FC32E20"/>
    <w:multiLevelType w:val="hybridMultilevel"/>
    <w:lvl w:ilvl="0">
      <w:lvlJc w:val="left"/>
      <w:lvlText w:val="•"/>
      <w:numFmt w:val="bullet"/>
      <w:start w:val="1"/>
    </w:lvl>
  </w:abstractNum>
  <w:abstractNum w:abstractNumId="33">
    <w:nsid w:val="49C0E823"/>
    <w:multiLevelType w:val="hybridMultilevel"/>
    <w:lvl w:ilvl="0">
      <w:lvlJc w:val="left"/>
      <w:lvlText w:val="•"/>
      <w:numFmt w:val="bullet"/>
      <w:start w:val="1"/>
    </w:lvl>
  </w:abstractNum>
  <w:abstractNum w:abstractNumId="34">
    <w:nsid w:val="14D53685"/>
    <w:multiLevelType w:val="hybridMultilevel"/>
    <w:lvl w:ilvl="0">
      <w:lvlJc w:val="left"/>
      <w:lvlText w:val="•"/>
      <w:numFmt w:val="bullet"/>
      <w:start w:val="1"/>
    </w:lvl>
  </w:abstractNum>
  <w:abstractNum w:abstractNumId="35">
    <w:nsid w:val="230F856C"/>
    <w:multiLevelType w:val="hybridMultilevel"/>
    <w:lvl w:ilvl="0">
      <w:lvlJc w:val="left"/>
      <w:lvlText w:val="•"/>
      <w:numFmt w:val="bullet"/>
      <w:start w:val="1"/>
    </w:lvl>
  </w:abstractNum>
  <w:abstractNum w:abstractNumId="36">
    <w:nsid w:val="6EAA85FB"/>
    <w:multiLevelType w:val="hybridMultilevel"/>
    <w:lvl w:ilvl="0">
      <w:lvlJc w:val="left"/>
      <w:lvlText w:val="•"/>
      <w:numFmt w:val="bullet"/>
      <w:start w:val="1"/>
    </w:lvl>
  </w:abstractNum>
  <w:abstractNum w:abstractNumId="37">
    <w:nsid w:val="3F06ECB2"/>
    <w:multiLevelType w:val="hybridMultilevel"/>
    <w:lvl w:ilvl="0">
      <w:lvlJc w:val="left"/>
      <w:lvlText w:val="•"/>
      <w:numFmt w:val="bullet"/>
      <w:start w:val="1"/>
    </w:lvl>
  </w:abstractNum>
  <w:abstractNum w:abstractNumId="38">
    <w:nsid w:val="3B594807"/>
    <w:multiLevelType w:val="hybridMultilevel"/>
    <w:lvl w:ilvl="0">
      <w:lvlJc w:val="left"/>
      <w:lvlText w:val="•"/>
      <w:numFmt w:val="bullet"/>
      <w:start w:val="1"/>
    </w:lvl>
  </w:abstractNum>
  <w:abstractNum w:abstractNumId="39">
    <w:nsid w:val="6CAA2304"/>
    <w:multiLevelType w:val="hybridMultilevel"/>
    <w:lvl w:ilvl="0">
      <w:lvlJc w:val="left"/>
      <w:lvlText w:val="(%1)"/>
      <w:numFmt w:val="lowerRoman"/>
      <w:start w:val="1"/>
    </w:lvl>
  </w:abstractNum>
  <w:abstractNum w:abstractNumId="40">
    <w:nsid w:val="3F7C2FF4"/>
    <w:multiLevelType w:val="hybridMultilevel"/>
    <w:lvl w:ilvl="0">
      <w:lvlJc w:val="left"/>
      <w:lvlText w:val="•"/>
      <w:numFmt w:val="bullet"/>
      <w:start w:val="1"/>
    </w:lvl>
  </w:abstractNum>
  <w:abstractNum w:abstractNumId="41">
    <w:nsid w:val="25413BEC"/>
    <w:multiLevelType w:val="hybridMultilevel"/>
    <w:lvl w:ilvl="0">
      <w:lvlJc w:val="left"/>
      <w:lvlText w:val="•"/>
      <w:numFmt w:val="bullet"/>
      <w:start w:val="1"/>
    </w:lvl>
  </w:abstractNum>
  <w:abstractNum w:abstractNumId="42">
    <w:nsid w:val="17180B0B"/>
    <w:multiLevelType w:val="hybridMultilevel"/>
    <w:lvl w:ilvl="0">
      <w:lvlJc w:val="left"/>
      <w:lvlText w:val="•"/>
      <w:numFmt w:val="bullet"/>
      <w:start w:val="1"/>
    </w:lvl>
  </w:abstractNum>
  <w:abstractNum w:abstractNumId="43">
    <w:nsid w:val="579328B9"/>
    <w:multiLevelType w:val="hybridMultilevel"/>
    <w:lvl w:ilvl="0">
      <w:lvlJc w:val="left"/>
      <w:lvlText w:val="•"/>
      <w:numFmt w:val="bullet"/>
      <w:start w:val="1"/>
    </w:lvl>
  </w:abstractNum>
  <w:abstractNum w:abstractNumId="44">
    <w:nsid w:val="5D205E20"/>
    <w:multiLevelType w:val="hybridMultilevel"/>
    <w:lvl w:ilvl="0">
      <w:lvlJc w:val="left"/>
      <w:lvlText w:val="•"/>
      <w:numFmt w:val="bullet"/>
      <w:start w:val="1"/>
    </w:lvl>
  </w:abstractNum>
  <w:abstractNum w:abstractNumId="45">
    <w:nsid w:val="11CCA8BA"/>
    <w:multiLevelType w:val="hybridMultilevel"/>
    <w:lvl w:ilvl="0">
      <w:lvlJc w:val="left"/>
      <w:lvlText w:val="•"/>
      <w:numFmt w:val="bullet"/>
      <w:start w:val="1"/>
    </w:lvl>
  </w:abstractNum>
  <w:abstractNum w:abstractNumId="46">
    <w:nsid w:val="4D32AB86"/>
    <w:multiLevelType w:val="hybridMultilevel"/>
    <w:lvl w:ilvl="0">
      <w:lvlJc w:val="left"/>
      <w:lvlText w:val="•"/>
      <w:numFmt w:val="bullet"/>
      <w:start w:val="1"/>
    </w:lvl>
  </w:abstractNum>
  <w:abstractNum w:abstractNumId="47">
    <w:nsid w:val="3F07ACC3"/>
    <w:multiLevelType w:val="hybridMultilevel"/>
    <w:lvl w:ilvl="0">
      <w:lvlJc w:val="left"/>
      <w:lvlText w:val="•"/>
      <w:numFmt w:val="bullet"/>
      <w:start w:val="1"/>
    </w:lvl>
  </w:abstractNum>
  <w:abstractNum w:abstractNumId="48">
    <w:nsid w:val="6B47F63E"/>
    <w:multiLevelType w:val="hybridMultilevel"/>
    <w:lvl w:ilvl="0">
      <w:lvlJc w:val="left"/>
      <w:lvlText w:val="•"/>
      <w:numFmt w:val="bullet"/>
      <w:start w:val="1"/>
    </w:lvl>
  </w:abstractNum>
  <w:abstractNum w:abstractNumId="49">
    <w:nsid w:val="5CB44A05"/>
    <w:multiLevelType w:val="hybridMultilevel"/>
    <w:lvl w:ilvl="0">
      <w:lvlJc w:val="left"/>
      <w:lvlText w:val="•"/>
      <w:numFmt w:val="bullet"/>
      <w:start w:val="1"/>
    </w:lvl>
  </w:abstractNum>
  <w:abstractNum w:abstractNumId="50">
    <w:nsid w:val="16CF80F1"/>
    <w:multiLevelType w:val="hybridMultilevel"/>
    <w:lvl w:ilvl="0">
      <w:lvlJc w:val="left"/>
      <w:lvlText w:val="•"/>
      <w:numFmt w:val="bullet"/>
      <w:start w:val="1"/>
    </w:lvl>
  </w:abstractNum>
  <w:abstractNum w:abstractNumId="51">
    <w:nsid w:val="1C695DEC"/>
    <w:multiLevelType w:val="hybridMultilevel"/>
    <w:lvl w:ilvl="0">
      <w:lvlJc w:val="left"/>
      <w:lvlText w:val="$"/>
      <w:numFmt w:val="bullet"/>
      <w:start w:val="1"/>
    </w:lvl>
  </w:abstractNum>
  <w:abstractNum w:abstractNumId="52">
    <w:nsid w:val="3FCFAED9"/>
    <w:multiLevelType w:val="hybridMultilevel"/>
    <w:lvl w:ilvl="0">
      <w:lvlJc w:val="left"/>
      <w:lvlText w:val="•"/>
      <w:numFmt w:val="bullet"/>
      <w:start w:val="1"/>
    </w:lvl>
  </w:abstractNum>
  <w:abstractNum w:abstractNumId="53">
    <w:nsid w:val="F856867"/>
    <w:multiLevelType w:val="hybridMultilevel"/>
    <w:lvl w:ilvl="0">
      <w:lvlJc w:val="left"/>
      <w:lvlText w:val="•"/>
      <w:numFmt w:val="bullet"/>
      <w:start w:val="1"/>
    </w:lvl>
  </w:abstractNum>
  <w:abstractNum w:abstractNumId="54">
    <w:nsid w:val="11B1CC33"/>
    <w:multiLevelType w:val="hybridMultilevel"/>
    <w:lvl w:ilvl="0">
      <w:lvlJc w:val="left"/>
      <w:lvlText w:val="•"/>
      <w:numFmt w:val="bullet"/>
      <w:start w:val="1"/>
    </w:lvl>
  </w:abstractNum>
  <w:abstractNum w:abstractNumId="55">
    <w:nsid w:val="2E22FBB7"/>
    <w:multiLevelType w:val="hybridMultilevel"/>
    <w:lvl w:ilvl="0">
      <w:lvlJc w:val="left"/>
      <w:lvlText w:val="•"/>
      <w:numFmt w:val="bullet"/>
      <w:start w:val="1"/>
    </w:lvl>
  </w:abstractNum>
  <w:abstractNum w:abstractNumId="56">
    <w:nsid w:val="29934699"/>
    <w:multiLevelType w:val="hybridMultilevel"/>
    <w:lvl w:ilvl="0">
      <w:lvlJc w:val="left"/>
      <w:lvlText w:val="•"/>
      <w:numFmt w:val="bullet"/>
      <w:start w:val="1"/>
    </w:lvl>
  </w:abstractNum>
  <w:abstractNum w:abstractNumId="57">
    <w:nsid w:val="77485850"/>
    <w:multiLevelType w:val="hybridMultilevel"/>
    <w:lvl w:ilvl="0">
      <w:lvlJc w:val="left"/>
      <w:lvlText w:val="•"/>
      <w:numFmt w:val="bullet"/>
      <w:start w:val="1"/>
    </w:lvl>
  </w:abstractNum>
  <w:abstractNum w:abstractNumId="58">
    <w:nsid w:val="744939A3"/>
    <w:multiLevelType w:val="hybridMultilevel"/>
    <w:lvl w:ilvl="0">
      <w:lvlJc w:val="left"/>
      <w:lvlText w:val="•"/>
      <w:numFmt w:val="bullet"/>
      <w:start w:val="1"/>
    </w:lvl>
  </w:abstractNum>
  <w:abstractNum w:abstractNumId="59">
    <w:nsid w:val="4FA0D2E3"/>
    <w:multiLevelType w:val="hybridMultilevel"/>
    <w:lvl w:ilvl="0">
      <w:lvlJc w:val="left"/>
      <w:lvlText w:val="$"/>
      <w:numFmt w:val="bullet"/>
      <w:start w:val="1"/>
    </w:lvl>
  </w:abstractNum>
  <w:abstractNum w:abstractNumId="60">
    <w:nsid w:val="6B1D2C14"/>
    <w:multiLevelType w:val="hybridMultilevel"/>
    <w:lvl w:ilvl="0">
      <w:lvlJc w:val="left"/>
      <w:lvlText w:val="•"/>
      <w:numFmt w:val="bullet"/>
      <w:start w:val="1"/>
    </w:lvl>
  </w:abstractNum>
  <w:abstractNum w:abstractNumId="61">
    <w:nsid w:val="68B867D3"/>
    <w:multiLevelType w:val="hybridMultilevel"/>
    <w:lvl w:ilvl="0">
      <w:lvlJc w:val="left"/>
      <w:lvlText w:val="(%1)"/>
      <w:numFmt w:val="decimal"/>
      <w:start w:val="1"/>
    </w:lvl>
  </w:abstractNum>
  <w:abstractNum w:abstractNumId="62">
    <w:nsid w:val="3F7F5DD9"/>
    <w:multiLevelType w:val="hybridMultilevel"/>
    <w:lvl w:ilvl="0">
      <w:lvlJc w:val="left"/>
      <w:lvlText w:val="(%1)"/>
      <w:numFmt w:val="decimal"/>
      <w:start w:val="1"/>
    </w:lvl>
  </w:abstractNum>
  <w:abstractNum w:abstractNumId="63">
    <w:nsid w:val="2AE05A34"/>
    <w:multiLevelType w:val="hybridMultilevel"/>
    <w:lvl w:ilvl="0">
      <w:lvlJc w:val="left"/>
      <w:lvlText w:val="•"/>
      <w:numFmt w:val="bullet"/>
      <w:start w:val="1"/>
    </w:lvl>
  </w:abstractNum>
  <w:abstractNum w:abstractNumId="64">
    <w:nsid w:val="32794FF7"/>
    <w:multiLevelType w:val="hybridMultilevel"/>
    <w:lvl w:ilvl="0">
      <w:lvlJc w:val="left"/>
      <w:lvlText w:val="•"/>
      <w:numFmt w:val="bullet"/>
      <w:start w:val="1"/>
    </w:lvl>
  </w:abstractNum>
  <w:abstractNum w:abstractNumId="65">
    <w:nsid w:val="5454945E"/>
    <w:multiLevelType w:val="hybridMultilevel"/>
    <w:lvl w:ilvl="0">
      <w:lvlJc w:val="left"/>
      <w:lvlText w:val="•"/>
      <w:numFmt w:val="bullet"/>
      <w:start w:val="1"/>
    </w:lvl>
  </w:abstractNum>
  <w:abstractNum w:abstractNumId="66">
    <w:nsid w:val="4DEFDFA0"/>
    <w:multiLevelType w:val="hybridMultilevel"/>
    <w:lvl w:ilvl="0">
      <w:lvlJc w:val="left"/>
      <w:lvlText w:val="•"/>
      <w:numFmt w:val="bullet"/>
      <w:start w:val="1"/>
    </w:lvl>
  </w:abstractNum>
  <w:abstractNum w:abstractNumId="67">
    <w:nsid w:val="2123D5F2"/>
    <w:multiLevelType w:val="hybridMultilevel"/>
    <w:lvl w:ilvl="0">
      <w:lvlJc w:val="left"/>
      <w:lvlText w:val="•"/>
      <w:numFmt w:val="bullet"/>
      <w:start w:val="1"/>
    </w:lvl>
  </w:abstractNum>
  <w:abstractNum w:abstractNumId="68">
    <w:nsid w:val="135B8110"/>
    <w:multiLevelType w:val="hybridMultilevel"/>
    <w:lvl w:ilvl="0">
      <w:lvlJc w:val="left"/>
      <w:lvlText w:val="•"/>
      <w:numFmt w:val="bullet"/>
      <w:start w:val="1"/>
    </w:lvl>
  </w:abstractNum>
  <w:abstractNum w:abstractNumId="69">
    <w:nsid w:val="94927A8"/>
    <w:multiLevelType w:val="hybridMultilevel"/>
    <w:lvl w:ilvl="0">
      <w:lvlJc w:val="left"/>
      <w:lvlText w:val="•"/>
      <w:numFmt w:val="bullet"/>
      <w:start w:val="1"/>
    </w:lvl>
  </w:abstractNum>
  <w:abstractNum w:abstractNumId="70">
    <w:nsid w:val="DCDF8F6"/>
    <w:multiLevelType w:val="hybridMultilevel"/>
    <w:lvl w:ilvl="0">
      <w:lvlJc w:val="left"/>
      <w:lvlText w:val="•"/>
      <w:numFmt w:val="bullet"/>
      <w:start w:val="1"/>
    </w:lvl>
  </w:abstractNum>
  <w:abstractNum w:abstractNumId="71">
    <w:nsid w:val="52D7B105"/>
    <w:multiLevelType w:val="hybridMultilevel"/>
    <w:lvl w:ilvl="0">
      <w:lvlJc w:val="left"/>
      <w:lvlText w:val="•"/>
      <w:numFmt w:val="bullet"/>
      <w:start w:val="1"/>
    </w:lvl>
  </w:abstractNum>
  <w:abstractNum w:abstractNumId="72">
    <w:nsid w:val="2E8A6394"/>
    <w:multiLevelType w:val="hybridMultilevel"/>
    <w:lvl w:ilvl="0">
      <w:lvlJc w:val="left"/>
      <w:lvlText w:val="•"/>
      <w:numFmt w:val="bullet"/>
      <w:start w:val="1"/>
    </w:lvl>
  </w:abstractNum>
  <w:abstractNum w:abstractNumId="73">
    <w:nsid w:val="24E60401"/>
    <w:multiLevelType w:val="hybridMultilevel"/>
    <w:lvl w:ilvl="0">
      <w:lvlJc w:val="left"/>
      <w:lvlText w:val="•"/>
      <w:numFmt w:val="bullet"/>
      <w:start w:val="1"/>
    </w:lvl>
  </w:abstractNum>
  <w:abstractNum w:abstractNumId="74">
    <w:nsid w:val="2A6AD9BE"/>
    <w:multiLevelType w:val="hybridMultilevel"/>
    <w:lvl w:ilvl="0">
      <w:lvlJc w:val="left"/>
      <w:lvlText w:val="•"/>
      <w:numFmt w:val="bullet"/>
      <w:start w:val="1"/>
    </w:lvl>
  </w:abstractNum>
  <w:abstractNum w:abstractNumId="75">
    <w:nsid w:val="BAAC1B4"/>
    <w:multiLevelType w:val="hybridMultilevel"/>
    <w:lvl w:ilvl="0">
      <w:lvlJc w:val="left"/>
      <w:lvlText w:val="•"/>
      <w:numFmt w:val="bullet"/>
      <w:start w:val="1"/>
    </w:lvl>
  </w:abstractNum>
  <w:abstractNum w:abstractNumId="76">
    <w:nsid w:val="36B2ACBC"/>
    <w:multiLevelType w:val="hybridMultilevel"/>
    <w:lvl w:ilvl="0">
      <w:lvlJc w:val="left"/>
      <w:lvlText w:val="•"/>
      <w:numFmt w:val="bullet"/>
      <w:start w:val="1"/>
    </w:lvl>
  </w:abstractNum>
  <w:abstractNum w:abstractNumId="77">
    <w:nsid w:val="779D8544"/>
    <w:multiLevelType w:val="hybridMultilevel"/>
    <w:lvl w:ilvl="0">
      <w:lvlJc w:val="left"/>
      <w:lvlText w:val="(%1)"/>
      <w:numFmt w:val="decimal"/>
      <w:start w:val="1"/>
    </w:lvl>
  </w:abstractNum>
  <w:abstractNum w:abstractNumId="78">
    <w:nsid w:val="4AB26E78"/>
    <w:multiLevelType w:val="hybridMultilevel"/>
    <w:lvl w:ilvl="0">
      <w:lvlJc w:val="left"/>
      <w:lvlText w:val="•"/>
      <w:numFmt w:val="bullet"/>
      <w:start w:val="1"/>
    </w:lvl>
  </w:abstractNum>
  <w:abstractNum w:abstractNumId="79">
    <w:nsid w:val="21FAA2FA"/>
    <w:multiLevelType w:val="hybridMultilevel"/>
    <w:lvl w:ilvl="0">
      <w:lvlJc w:val="left"/>
      <w:lvlText w:val="•"/>
      <w:numFmt w:val="bullet"/>
      <w:start w:val="1"/>
    </w:lvl>
  </w:abstractNum>
  <w:abstractNum w:abstractNumId="80">
    <w:nsid w:val="5451CF49"/>
    <w:multiLevelType w:val="hybridMultilevel"/>
    <w:lvl w:ilvl="0">
      <w:lvlJc w:val="left"/>
      <w:lvlText w:val="(%1)"/>
      <w:numFmt w:val="decimal"/>
      <w:start w:val="1"/>
    </w:lvl>
  </w:abstractNum>
  <w:abstractNum w:abstractNumId="81">
    <w:nsid w:val="6181EF69"/>
    <w:multiLevelType w:val="hybridMultilevel"/>
    <w:lvl w:ilvl="0">
      <w:lvlJc w:val="left"/>
      <w:lvlText w:val="(%1)"/>
      <w:numFmt w:val="decimal"/>
      <w:start w:val="1"/>
    </w:lvl>
  </w:abstractNum>
  <w:abstractNum w:abstractNumId="82">
    <w:nsid w:val="3E6400E6"/>
    <w:multiLevelType w:val="hybridMultilevel"/>
    <w:lvl w:ilvl="0">
      <w:lvlJc w:val="left"/>
      <w:lvlText w:val="•"/>
      <w:numFmt w:val="bullet"/>
      <w:start w:val="1"/>
    </w:lvl>
  </w:abstractNum>
  <w:abstractNum w:abstractNumId="83">
    <w:nsid w:val="14217E23"/>
    <w:multiLevelType w:val="hybridMultilevel"/>
    <w:lvl w:ilvl="0">
      <w:lvlJc w:val="left"/>
      <w:lvlText w:val="•"/>
      <w:numFmt w:val="bullet"/>
      <w:start w:val="1"/>
    </w:lvl>
  </w:abstractNum>
  <w:abstractNum w:abstractNumId="84">
    <w:nsid w:val="710757D0"/>
    <w:multiLevelType w:val="hybridMultilevel"/>
    <w:lvl w:ilvl="0">
      <w:lvlJc w:val="left"/>
      <w:lvlText w:val="•"/>
      <w:numFmt w:val="bullet"/>
      <w:start w:val="1"/>
    </w:lvl>
  </w:abstractNum>
  <w:abstractNum w:abstractNumId="85">
    <w:nsid w:val="5015CD1A"/>
    <w:multiLevelType w:val="hybridMultilevel"/>
    <w:lvl w:ilvl="0">
      <w:lvlJc w:val="left"/>
      <w:lvlText w:val="•"/>
      <w:numFmt w:val="bullet"/>
      <w:start w:val="1"/>
    </w:lvl>
  </w:abstractNum>
  <w:abstractNum w:abstractNumId="86">
    <w:nsid w:val="424479DA"/>
    <w:multiLevelType w:val="hybridMultilevel"/>
    <w:lvl w:ilvl="0">
      <w:lvlJc w:val="left"/>
      <w:lvlText w:val="•"/>
      <w:numFmt w:val="bullet"/>
      <w:start w:val="1"/>
    </w:lvl>
  </w:abstractNum>
  <w:abstractNum w:abstractNumId="87">
    <w:nsid w:val="1A9A9E69"/>
    <w:multiLevelType w:val="hybridMultilevel"/>
    <w:lvl w:ilvl="0">
      <w:lvlJc w:val="left"/>
      <w:lvlText w:val="•"/>
      <w:numFmt w:val="bullet"/>
      <w:start w:val="1"/>
    </w:lvl>
  </w:abstractNum>
  <w:abstractNum w:abstractNumId="88">
    <w:nsid w:val="475E256A"/>
    <w:multiLevelType w:val="hybridMultilevel"/>
    <w:lvl w:ilvl="0">
      <w:lvlJc w:val="left"/>
      <w:lvlText w:val="•"/>
      <w:numFmt w:val="bullet"/>
      <w:start w:val="1"/>
    </w:lvl>
  </w:abstractNum>
  <w:abstractNum w:abstractNumId="89">
    <w:nsid w:val="368DB37E"/>
    <w:multiLevelType w:val="hybridMultilevel"/>
    <w:lvl w:ilvl="0">
      <w:lvlJc w:val="left"/>
      <w:lvlText w:val="•"/>
      <w:numFmt w:val="bullet"/>
      <w:start w:val="1"/>
    </w:lvl>
  </w:abstractNum>
  <w:abstractNum w:abstractNumId="90">
    <w:nsid w:val="6A3B714C"/>
    <w:multiLevelType w:val="hybridMultilevel"/>
    <w:lvl w:ilvl="0">
      <w:lvlJc w:val="left"/>
      <w:lvlText w:val="•"/>
      <w:numFmt w:val="bullet"/>
      <w:start w:val="1"/>
    </w:lvl>
  </w:abstractNum>
  <w:abstractNum w:abstractNumId="91">
    <w:nsid w:val="327B517E"/>
    <w:multiLevelType w:val="hybridMultilevel"/>
    <w:lvl w:ilvl="0">
      <w:lvlJc w:val="left"/>
      <w:lvlText w:val="•"/>
      <w:numFmt w:val="bullet"/>
      <w:start w:val="1"/>
    </w:lvl>
  </w:abstractNum>
  <w:abstractNum w:abstractNumId="92">
    <w:nsid w:val="1F461B51"/>
    <w:multiLevelType w:val="hybridMultilevel"/>
    <w:lvl w:ilvl="0">
      <w:lvlJc w:val="left"/>
      <w:lvlText w:val="•"/>
      <w:numFmt w:val="bullet"/>
      <w:start w:val="1"/>
    </w:lvl>
  </w:abstractNum>
  <w:abstractNum w:abstractNumId="93">
    <w:nsid w:val="29BACF25"/>
    <w:multiLevelType w:val="hybridMultilevel"/>
    <w:lvl w:ilvl="0">
      <w:lvlJc w:val="left"/>
      <w:lvlText w:val="•"/>
      <w:numFmt w:val="bullet"/>
      <w:start w:val="1"/>
    </w:lvl>
  </w:abstractNum>
  <w:abstractNum w:abstractNumId="94">
    <w:nsid w:val="5D5BABB3"/>
    <w:multiLevelType w:val="hybridMultilevel"/>
    <w:lvl w:ilvl="0">
      <w:lvlJc w:val="left"/>
      <w:lvlText w:val="•"/>
      <w:numFmt w:val="bullet"/>
      <w:start w:val="1"/>
    </w:lvl>
  </w:abstractNum>
  <w:abstractNum w:abstractNumId="95">
    <w:nsid w:val="51BF6B48"/>
    <w:multiLevelType w:val="hybridMultilevel"/>
    <w:lvl w:ilvl="0">
      <w:lvlJc w:val="left"/>
      <w:lvlText w:val="•"/>
      <w:numFmt w:val="bullet"/>
      <w:start w:val="1"/>
    </w:lvl>
  </w:abstractNum>
  <w:abstractNum w:abstractNumId="96">
    <w:nsid w:val="7E0F6384"/>
    <w:multiLevelType w:val="hybridMultilevel"/>
    <w:lvl w:ilvl="0">
      <w:lvlJc w:val="left"/>
      <w:lvlText w:val="•"/>
      <w:numFmt w:val="bullet"/>
      <w:start w:val="1"/>
    </w:lvl>
  </w:abstractNum>
  <w:abstractNum w:abstractNumId="97">
    <w:nsid w:val="2B4B8B53"/>
    <w:multiLevelType w:val="hybridMultilevel"/>
    <w:lvl w:ilvl="0">
      <w:lvlJc w:val="left"/>
      <w:lvlText w:val="(%1)"/>
      <w:numFmt w:val="decimal"/>
      <w:start w:val="1"/>
    </w:lvl>
  </w:abstractNum>
  <w:abstractNum w:abstractNumId="98">
    <w:nsid w:val="72E3413A"/>
    <w:multiLevelType w:val="hybridMultilevel"/>
    <w:lvl w:ilvl="0">
      <w:lvlJc w:val="left"/>
      <w:lvlText w:val="•"/>
      <w:numFmt w:val="bullet"/>
      <w:start w:val="1"/>
    </w:lvl>
  </w:abstractNum>
  <w:abstractNum w:abstractNumId="99">
    <w:nsid w:val="116AE494"/>
    <w:multiLevelType w:val="hybridMultilevel"/>
    <w:lvl w:ilvl="0">
      <w:lvlJc w:val="left"/>
      <w:lvlText w:val="(%1)"/>
      <w:numFmt w:val="decimal"/>
      <w:start w:val="1"/>
    </w:lvl>
  </w:abstractNum>
  <w:abstractNum w:abstractNumId="100">
    <w:nsid w:val="3494B2FB"/>
    <w:multiLevelType w:val="hybridMultilevel"/>
    <w:lvl w:ilvl="0">
      <w:lvlJc w:val="left"/>
      <w:lvlText w:val="(%1)"/>
      <w:numFmt w:val="decimal"/>
      <w:start w:val="1"/>
    </w:lvl>
  </w:abstractNum>
  <w:abstractNum w:abstractNumId="101">
    <w:nsid w:val="B13A31"/>
    <w:multiLevelType w:val="hybridMultilevel"/>
    <w:lvl w:ilvl="0">
      <w:lvlJc w:val="left"/>
      <w:lvlText w:val="(%1)"/>
      <w:numFmt w:val="lowerRoman"/>
      <w:start w:val="1"/>
    </w:lvl>
    <w:lvl w:ilvl="1">
      <w:lvlJc w:val="left"/>
      <w:lvlText w:val="•"/>
      <w:numFmt w:val="bullet"/>
      <w:start w:val="1"/>
    </w:lvl>
  </w:abstractNum>
  <w:abstractNum w:abstractNumId="102">
    <w:nsid w:val="64429599"/>
    <w:multiLevelType w:val="hybridMultilevel"/>
    <w:lvl w:ilvl="0">
      <w:lvlJc w:val="left"/>
      <w:lvlText w:val="•"/>
      <w:numFmt w:val="bullet"/>
      <w:start w:val="1"/>
    </w:lvl>
  </w:abstractNum>
  <w:abstractNum w:abstractNumId="103">
    <w:nsid w:val="631F1690"/>
    <w:multiLevelType w:val="hybridMultilevel"/>
    <w:lvl w:ilvl="0">
      <w:lvlJc w:val="left"/>
      <w:lvlText w:val="•"/>
      <w:numFmt w:val="bullet"/>
      <w:start w:val="1"/>
    </w:lvl>
  </w:abstractNum>
  <w:abstractNum w:abstractNumId="104">
    <w:nsid w:val="25973E32"/>
    <w:multiLevelType w:val="hybridMultilevel"/>
    <w:lvl w:ilvl="0">
      <w:lvlJc w:val="left"/>
      <w:lvlText w:val="(%1)"/>
      <w:numFmt w:val="lowerRoman"/>
      <w:start w:val="1"/>
    </w:lvl>
  </w:abstractNum>
  <w:abstractNum w:abstractNumId="105">
    <w:nsid w:val="EAD6F57"/>
    <w:multiLevelType w:val="hybridMultilevel"/>
    <w:lvl w:ilvl="0">
      <w:lvlJc w:val="left"/>
      <w:lvlText w:val="(%1)"/>
      <w:numFmt w:val="lowerRoman"/>
      <w:start w:val="4"/>
    </w:lvl>
  </w:abstractNum>
  <w:abstractNum w:abstractNumId="106">
    <w:nsid w:val="6EC9D844"/>
    <w:multiLevelType w:val="hybridMultilevel"/>
    <w:lvl w:ilvl="0">
      <w:lvlJc w:val="left"/>
      <w:lvlText w:val="•"/>
      <w:numFmt w:val="bullet"/>
      <w:start w:val="1"/>
    </w:lvl>
  </w:abstractNum>
  <w:abstractNum w:abstractNumId="107">
    <w:nsid w:val="5C49EAEE"/>
    <w:multiLevelType w:val="hybridMultilevel"/>
    <w:lvl w:ilvl="0">
      <w:lvlJc w:val="left"/>
      <w:lvlText w:val="•"/>
      <w:numFmt w:val="bullet"/>
      <w:start w:val="1"/>
    </w:lvl>
  </w:abstractNum>
  <w:abstractNum w:abstractNumId="108">
    <w:nsid w:val="64AF49B"/>
    <w:multiLevelType w:val="hybridMultilevel"/>
    <w:lvl w:ilvl="0">
      <w:lvlJc w:val="left"/>
      <w:lvlText w:val="(%1)"/>
      <w:numFmt w:val="lowerRoman"/>
      <w:start w:val="2"/>
    </w:lvl>
  </w:abstractNum>
  <w:abstractNum w:abstractNumId="109">
    <w:nsid w:val="397C46BC"/>
    <w:multiLevelType w:val="hybridMultilevel"/>
    <w:lvl w:ilvl="0">
      <w:lvlJc w:val="left"/>
      <w:lvlText w:val="•"/>
      <w:numFmt w:val="bullet"/>
      <w:start w:val="1"/>
    </w:lvl>
  </w:abstractNum>
  <w:abstractNum w:abstractNumId="110">
    <w:nsid w:val="7E448DE9"/>
    <w:multiLevelType w:val="hybridMultilevel"/>
    <w:lvl w:ilvl="0">
      <w:lvlJc w:val="left"/>
      <w:lvlText w:val="(%1)"/>
      <w:numFmt w:val="decimal"/>
      <w:start w:val="1"/>
    </w:lvl>
  </w:abstractNum>
  <w:abstractNum w:abstractNumId="111">
    <w:nsid w:val="5A9CC3E5"/>
    <w:multiLevelType w:val="hybridMultilevel"/>
    <w:lvl w:ilvl="0">
      <w:lvlJc w:val="left"/>
      <w:lvlText w:val="(%1)"/>
      <w:numFmt w:val="decimal"/>
      <w:start w:val="1"/>
    </w:lvl>
  </w:abstractNum>
  <w:abstractNum w:abstractNumId="112">
    <w:nsid w:val="1AFE3625"/>
    <w:multiLevelType w:val="hybridMultilevel"/>
    <w:lvl w:ilvl="0">
      <w:lvlJc w:val="left"/>
      <w:lvlText w:val="(%1)"/>
      <w:numFmt w:val="decimal"/>
      <w:start w:val="1"/>
    </w:lvl>
  </w:abstractNum>
  <w:abstractNum w:abstractNumId="113">
    <w:nsid w:val="3CA88ECF"/>
    <w:multiLevelType w:val="hybridMultilevel"/>
    <w:lvl w:ilvl="0">
      <w:lvlJc w:val="left"/>
      <w:lvlText w:val="•"/>
      <w:numFmt w:val="bullet"/>
      <w:start w:val="1"/>
    </w:lvl>
  </w:abstractNum>
  <w:abstractNum w:abstractNumId="114">
    <w:nsid w:val="6EBE4208"/>
    <w:multiLevelType w:val="hybridMultilevel"/>
    <w:lvl w:ilvl="0">
      <w:lvlJc w:val="left"/>
      <w:lvlText w:val="•"/>
      <w:numFmt w:val="bullet"/>
      <w:start w:val="1"/>
    </w:lvl>
  </w:abstractNum>
  <w:abstractNum w:abstractNumId="115">
    <w:nsid w:val="C058DF5"/>
    <w:multiLevelType w:val="hybridMultilevel"/>
    <w:lvl w:ilvl="0">
      <w:lvlJc w:val="left"/>
      <w:lvlText w:val="(%1)"/>
      <w:numFmt w:val="decimal"/>
      <w:start w:val="1"/>
    </w:lvl>
  </w:abstractNum>
  <w:abstractNum w:abstractNumId="116">
    <w:nsid w:val="CBE5BE9"/>
    <w:multiLevelType w:val="hybridMultilevel"/>
    <w:lvl w:ilvl="0">
      <w:lvlJc w:val="left"/>
      <w:lvlText w:val="(%1)"/>
      <w:numFmt w:val="decimal"/>
      <w:start w:val="4"/>
    </w:lvl>
    <w:lvl w:ilvl="1">
      <w:lvlJc w:val="left"/>
      <w:lvlText w:val="(%2)"/>
      <w:numFmt w:val="lowerRoman"/>
      <w:start w:val="2"/>
    </w:lvl>
  </w:abstractNum>
  <w:abstractNum w:abstractNumId="117">
    <w:nsid w:val="3102BBE2"/>
    <w:multiLevelType w:val="hybridMultilevel"/>
    <w:lvl w:ilvl="0">
      <w:lvlJc w:val="left"/>
      <w:lvlText w:val="(%1)"/>
      <w:numFmt w:val="decimal"/>
      <w:start w:val="5"/>
    </w:lvl>
  </w:abstractNum>
  <w:abstractNum w:abstractNumId="118">
    <w:nsid w:val="26A02C5E"/>
    <w:multiLevelType w:val="hybridMultilevel"/>
    <w:lvl w:ilvl="0">
      <w:lvlJc w:val="left"/>
      <w:lvlText w:val="(%1)"/>
      <w:numFmt w:val="decimal"/>
      <w:start w:val="6"/>
    </w:lvl>
  </w:abstractNum>
  <w:abstractNum w:abstractNumId="119">
    <w:nsid w:val="541C8153"/>
    <w:multiLevelType w:val="hybridMultilevel"/>
    <w:lvl w:ilvl="0">
      <w:lvlJc w:val="left"/>
      <w:lvlText w:val="(%1)"/>
      <w:numFmt w:val="decimal"/>
      <w:start w:val="14"/>
    </w:lvl>
  </w:abstractNum>
  <w:abstractNum w:abstractNumId="120">
    <w:nsid w:val="67906F60"/>
    <w:multiLevelType w:val="hybridMultilevel"/>
    <w:lvl w:ilvl="0">
      <w:lvlJc w:val="left"/>
      <w:lvlText w:val="(%1)"/>
      <w:numFmt w:val="lowerLetter"/>
      <w:start w:val="1"/>
    </w:lvl>
  </w:abstractNum>
  <w:abstractNum w:abstractNumId="121">
    <w:nsid w:val="10DB9DAA"/>
    <w:multiLevelType w:val="hybridMultilevel"/>
    <w:lvl w:ilvl="0">
      <w:lvlJc w:val="left"/>
      <w:lvlText w:val="•"/>
      <w:numFmt w:val="bullet"/>
      <w:start w:val="1"/>
    </w:lvl>
  </w:abstractNum>
  <w:abstractNum w:abstractNumId="122">
    <w:nsid w:val="697D2D2"/>
    <w:multiLevelType w:val="hybridMultilevel"/>
    <w:lvl w:ilvl="0">
      <w:lvlJc w:val="left"/>
      <w:lvlText w:val="•"/>
      <w:numFmt w:val="bullet"/>
      <w:start w:val="1"/>
    </w:lvl>
  </w:abstractNum>
  <w:abstractNum w:abstractNumId="123">
    <w:nsid w:val="6D68AB2"/>
    <w:multiLevelType w:val="hybridMultilevel"/>
    <w:lvl w:ilvl="0">
      <w:lvlJc w:val="left"/>
      <w:lvlText w:val="•"/>
      <w:numFmt w:val="bullet"/>
      <w:start w:val="1"/>
    </w:lvl>
  </w:abstractNum>
  <w:abstractNum w:abstractNumId="124">
    <w:nsid w:val="3A966CD0"/>
    <w:multiLevelType w:val="hybridMultilevel"/>
    <w:lvl w:ilvl="0">
      <w:lvlJc w:val="left"/>
      <w:lvlText w:val="•"/>
      <w:numFmt w:val="bullet"/>
      <w:start w:val="1"/>
    </w:lvl>
  </w:abstractNum>
  <w:abstractNum w:abstractNumId="125">
    <w:nsid w:val="63F37E85"/>
    <w:multiLevelType w:val="hybridMultilevel"/>
    <w:lvl w:ilvl="0">
      <w:lvlJc w:val="left"/>
      <w:lvlText w:val="•"/>
      <w:numFmt w:val="bullet"/>
      <w:start w:val="1"/>
    </w:lvl>
  </w:abstractNum>
  <w:abstractNum w:abstractNumId="126">
    <w:nsid w:val="5895F5FA"/>
    <w:multiLevelType w:val="hybridMultilevel"/>
    <w:lvl w:ilvl="0">
      <w:lvlJc w:val="left"/>
      <w:lvlText w:val="•"/>
      <w:numFmt w:val="bullet"/>
      <w:start w:val="1"/>
    </w:lvl>
  </w:abstractNum>
  <w:abstractNum w:abstractNumId="127">
    <w:nsid w:val="38A5D054"/>
    <w:multiLevelType w:val="hybridMultilevel"/>
    <w:lvl w:ilvl="0">
      <w:lvlJc w:val="left"/>
      <w:lvlText w:val="•"/>
      <w:numFmt w:val="bullet"/>
      <w:start w:val="1"/>
    </w:lvl>
  </w:abstractNum>
  <w:abstractNum w:abstractNumId="128">
    <w:nsid w:val="F3F09D8"/>
    <w:multiLevelType w:val="hybridMultilevel"/>
    <w:lvl w:ilvl="0">
      <w:lvlJc w:val="left"/>
      <w:lvlText w:val="•"/>
      <w:numFmt w:val="bullet"/>
      <w:start w:val="1"/>
    </w:lvl>
  </w:abstractNum>
  <w:abstractNum w:abstractNumId="129">
    <w:nsid w:val="4B793735"/>
    <w:multiLevelType w:val="hybridMultilevel"/>
    <w:lvl w:ilvl="0">
      <w:lvlJc w:val="left"/>
      <w:lvlText w:val="•"/>
      <w:numFmt w:val="bullet"/>
      <w:start w:val="1"/>
    </w:lvl>
  </w:abstractNum>
  <w:abstractNum w:abstractNumId="130">
    <w:nsid w:val="4A10B4E8"/>
    <w:multiLevelType w:val="hybridMultilevel"/>
    <w:lvl w:ilvl="0">
      <w:lvlJc w:val="left"/>
      <w:lvlText w:val="•"/>
      <w:numFmt w:val="bullet"/>
      <w:start w:val="1"/>
    </w:lvl>
  </w:abstractNum>
  <w:abstractNum w:abstractNumId="131">
    <w:nsid w:val="43D3BCD4"/>
    <w:multiLevelType w:val="hybridMultilevel"/>
    <w:lvl w:ilvl="0">
      <w:lvlJc w:val="left"/>
      <w:lvlText w:val="•"/>
      <w:numFmt w:val="bullet"/>
      <w:start w:val="1"/>
    </w:lvl>
  </w:abstractNum>
  <w:abstractNum w:abstractNumId="132">
    <w:nsid w:val="4C2A7166"/>
    <w:multiLevelType w:val="hybridMultilevel"/>
    <w:lvl w:ilvl="0">
      <w:lvlJc w:val="left"/>
      <w:lvlText w:val="•"/>
      <w:numFmt w:val="bullet"/>
      <w:start w:val="1"/>
    </w:lvl>
  </w:abstractNum>
  <w:abstractNum w:abstractNumId="133">
    <w:nsid w:val="2E534A82"/>
    <w:multiLevelType w:val="hybridMultilevel"/>
    <w:lvl w:ilvl="0">
      <w:lvlJc w:val="left"/>
      <w:lvlText w:val="•"/>
      <w:numFmt w:val="bullet"/>
      <w:start w:val="1"/>
    </w:lvl>
  </w:abstractNum>
  <w:abstractNum w:abstractNumId="134">
    <w:nsid w:val="26F2D364"/>
    <w:multiLevelType w:val="hybridMultilevel"/>
    <w:lvl w:ilvl="0">
      <w:lvlJc w:val="left"/>
      <w:lvlText w:val="•"/>
      <w:numFmt w:val="bullet"/>
      <w:start w:val="1"/>
    </w:lvl>
  </w:abstractNum>
  <w:abstractNum w:abstractNumId="135">
    <w:nsid w:val="71C1AF98"/>
    <w:multiLevelType w:val="hybridMultilevel"/>
    <w:lvl w:ilvl="0">
      <w:lvlJc w:val="left"/>
      <w:lvlText w:val="(%1)"/>
      <w:numFmt w:val="lowerLetter"/>
      <w:start w:val="1"/>
    </w:lvl>
  </w:abstractNum>
  <w:abstractNum w:abstractNumId="136">
    <w:nsid w:val="3D00B9D9"/>
    <w:multiLevelType w:val="hybridMultilevel"/>
    <w:lvl w:ilvl="0">
      <w:lvlJc w:val="left"/>
      <w:lvlText w:val="(%1)"/>
      <w:numFmt w:val="lowerLetter"/>
      <w:start w:val="1"/>
    </w:lvl>
  </w:abstractNum>
  <w:abstractNum w:abstractNumId="137">
    <w:nsid w:val="15BCABA8"/>
    <w:multiLevelType w:val="hybridMultilevel"/>
    <w:lvl w:ilvl="0">
      <w:lvlJc w:val="left"/>
      <w:lvlText w:val="(%1)"/>
      <w:numFmt w:val="lowerLetter"/>
      <w:start w:val="1"/>
    </w:lvl>
  </w:abstractNum>
  <w:abstractNum w:abstractNumId="138">
    <w:nsid w:val="4E0B9A87"/>
    <w:multiLevelType w:val="hybridMultilevel"/>
    <w:lvl w:ilvl="0">
      <w:lvlJc w:val="left"/>
      <w:lvlText w:val="(%1)"/>
      <w:numFmt w:val="decimal"/>
      <w:start w:val="3"/>
    </w:lvl>
  </w:abstractNum>
  <w:abstractNum w:abstractNumId="139">
    <w:nsid w:val="434BAE75"/>
    <w:multiLevelType w:val="hybridMultilevel"/>
    <w:lvl w:ilvl="0">
      <w:lvlJc w:val="left"/>
      <w:lvlText w:val="(%1)"/>
      <w:numFmt w:val="decimal"/>
      <w:start w:val="1"/>
    </w:lvl>
  </w:abstractNum>
  <w:abstractNum w:abstractNumId="140">
    <w:nsid w:val="4F38F265"/>
    <w:multiLevelType w:val="hybridMultilevel"/>
    <w:lvl w:ilvl="0">
      <w:lvlJc w:val="left"/>
      <w:lvlText w:val="%1."/>
      <w:numFmt w:val="decimal"/>
      <w:start w:val="2"/>
    </w:lvl>
  </w:abstractNum>
  <w:abstractNum w:abstractNumId="141">
    <w:nsid w:val="4C502870"/>
    <w:multiLevelType w:val="hybridMultilevel"/>
    <w:lvl w:ilvl="0">
      <w:lvlJc w:val="left"/>
      <w:lvlText w:val="•"/>
      <w:numFmt w:val="bullet"/>
      <w:start w:val="1"/>
    </w:lvl>
  </w:abstractNum>
  <w:abstractNum w:abstractNumId="142">
    <w:nsid w:val="1DE8725A"/>
    <w:multiLevelType w:val="hybridMultilevel"/>
    <w:lvl w:ilvl="0">
      <w:lvlJc w:val="left"/>
      <w:lvlText w:val="%1."/>
      <w:numFmt w:val="decimal"/>
      <w:start w:val="7"/>
    </w:lvl>
  </w:abstractNum>
  <w:abstractNum w:abstractNumId="143">
    <w:nsid w:val="6A37288A"/>
    <w:multiLevelType w:val="hybridMultilevel"/>
    <w:lvl w:ilvl="0">
      <w:lvlJc w:val="left"/>
      <w:lvlText w:val="%1."/>
      <w:numFmt w:val="decimal"/>
      <w:start w:val="10"/>
    </w:lvl>
  </w:abstractNum>
  <w:abstractNum w:abstractNumId="144">
    <w:nsid w:val="8F8B73F"/>
    <w:multiLevelType w:val="hybridMultilevel"/>
    <w:lvl w:ilvl="0">
      <w:lvlJc w:val="left"/>
      <w:lvlText w:val="(%1)"/>
      <w:numFmt w:val="lowerRoman"/>
      <w:start w:val="2"/>
    </w:lvl>
  </w:abstractNum>
  <w:abstractNum w:abstractNumId="145">
    <w:nsid w:val="CA6B462"/>
    <w:multiLevelType w:val="hybridMultilevel"/>
    <w:lvl w:ilvl="0">
      <w:lvlJc w:val="left"/>
      <w:lvlText w:val="+"/>
      <w:numFmt w:val="bullet"/>
      <w:start w:val="1"/>
    </w:lvl>
  </w:abstractNum>
  <w:abstractNum w:abstractNumId="146">
    <w:nsid w:val="763CB680"/>
    <w:multiLevelType w:val="hybridMultilevel"/>
    <w:lvl w:ilvl="0">
      <w:lvlJc w:val="left"/>
      <w:lvlText w:val="†"/>
      <w:numFmt w:val="bullet"/>
      <w:start w:val="1"/>
    </w:lvl>
    <w:lvl w:ilvl="1">
      <w:lvlJc w:val="left"/>
      <w:lvlText w:val="(%2)"/>
      <w:numFmt w:val="lowerLetter"/>
      <w:start w:val="2"/>
    </w:lvl>
  </w:abstractNum>
  <w:abstractNum w:abstractNumId="147">
    <w:nsid w:val="15B71329"/>
    <w:multiLevelType w:val="hybridMultilevel"/>
    <w:lvl w:ilvl="0">
      <w:lvlJc w:val="left"/>
      <w:lvlText w:val="(%1)"/>
      <w:numFmt w:val="decimal"/>
      <w:start w:val="1"/>
    </w:lvl>
    <w:lvl w:ilvl="1">
      <w:lvlJc w:val="left"/>
      <w:lvlText w:val="(%2)"/>
      <w:numFmt w:val="decimal"/>
      <w:start w:val="1"/>
    </w:lvl>
  </w:abstractNum>
  <w:abstractNum w:abstractNumId="148">
    <w:nsid w:val="3DA97044"/>
    <w:multiLevelType w:val="hybridMultilevel"/>
    <w:lvl w:ilvl="0">
      <w:lvlJc w:val="left"/>
      <w:lvlText w:val="%1."/>
      <w:numFmt w:val="decimal"/>
      <w:start w:val="1"/>
    </w:lvl>
  </w:abstractNum>
  <w:abstractNum w:abstractNumId="149">
    <w:nsid w:val="1CDCE2DE"/>
    <w:multiLevelType w:val="hybridMultilevel"/>
    <w:lvl w:ilvl="0">
      <w:lvlJc w:val="left"/>
      <w:lvlText w:val="%1"/>
      <w:numFmt w:val="upperLetter"/>
      <w:start w:val="1"/>
    </w:lvl>
    <w:lvl w:ilvl="1">
      <w:lvlJc w:val="left"/>
      <w:lvlText w:val="%2."/>
      <w:numFmt w:val="decimal"/>
      <w:start w:val="1"/>
    </w:lvl>
  </w:abstractNum>
  <w:abstractNum w:abstractNumId="150">
    <w:nsid w:val="69D3947C"/>
    <w:multiLevelType w:val="hybridMultilevel"/>
    <w:lvl w:ilvl="0">
      <w:lvlJc w:val="left"/>
      <w:lvlText w:val="%1."/>
      <w:numFmt w:val="upperLetter"/>
      <w:start w:val="2"/>
    </w:lvl>
    <w:lvl w:ilvl="1">
      <w:lvlJc w:val="left"/>
      <w:lvlText w:val="%2"/>
      <w:numFmt w:val="decimal"/>
      <w:start w:val="1"/>
    </w:lvl>
  </w:abstractNum>
  <w:abstractNum w:abstractNumId="151">
    <w:nsid w:val="2539DFA5"/>
    <w:multiLevelType w:val="hybridMultilevel"/>
    <w:lvl w:ilvl="0">
      <w:lvlJc w:val="left"/>
      <w:lvlText w:val="%1."/>
      <w:numFmt w:val="decimal"/>
      <w:start w:val="1"/>
    </w:lvl>
    <w:lvl w:ilvl="1">
      <w:lvlJc w:val="left"/>
      <w:lvlText w:val="-"/>
      <w:numFmt w:val="bullet"/>
      <w:start w:val="1"/>
    </w:lvl>
  </w:abstractNum>
  <w:abstractNum w:abstractNumId="152">
    <w:nsid w:val="2DB88089"/>
    <w:multiLevelType w:val="hybridMultilevel"/>
    <w:lvl w:ilvl="0">
      <w:lvlJc w:val="left"/>
      <w:lvlText w:val="%1."/>
      <w:numFmt w:val="decimal"/>
      <w:start w:val="2"/>
    </w:lvl>
  </w:abstractNum>
  <w:abstractNum w:abstractNumId="153">
    <w:nsid w:val="706B674E"/>
    <w:multiLevelType w:val="hybridMultilevel"/>
    <w:lvl w:ilvl="0">
      <w:lvlJc w:val="left"/>
      <w:lvlText w:val="(%1)"/>
      <w:numFmt w:val="lowerLetter"/>
      <w:start w:val="1"/>
    </w:lvl>
    <w:lvl w:ilvl="1">
      <w:lvlJc w:val="left"/>
      <w:lvlText w:val="(%2)"/>
      <w:numFmt w:val="lowerRoman"/>
      <w:start w:val="1"/>
    </w:lvl>
  </w:abstractNum>
  <w:abstractNum w:abstractNumId="154">
    <w:nsid w:val="2C106A57"/>
    <w:multiLevelType w:val="hybridMultilevel"/>
    <w:lvl w:ilvl="0">
      <w:lvlJc w:val="left"/>
      <w:lvlText w:val="(%1)"/>
      <w:numFmt w:val="decimal"/>
      <w:start w:val="2"/>
    </w:lvl>
    <w:lvl w:ilvl="1">
      <w:lvlJc w:val="left"/>
      <w:lvlText w:val="(%2)"/>
      <w:numFmt w:val="lowerLetter"/>
      <w:start w:val="2"/>
    </w:lvl>
  </w:abstractNum>
  <w:abstractNum w:abstractNumId="155">
    <w:nsid w:val="684EED59"/>
    <w:multiLevelType w:val="hybridMultilevel"/>
    <w:lvl w:ilvl="0">
      <w:lvlJc w:val="left"/>
      <w:lvlText w:val="(%1)"/>
      <w:numFmt w:val="decimal"/>
      <w:start w:val="2"/>
    </w:lvl>
    <w:lvl w:ilvl="1">
      <w:lvlJc w:val="left"/>
      <w:lvlText w:val="%2"/>
      <w:numFmt w:val="lowerLetter"/>
      <w:start w:val="1"/>
    </w:lvl>
  </w:abstractNum>
  <w:abstractNum w:abstractNumId="156">
    <w:nsid w:val="545EE5D3"/>
    <w:multiLevelType w:val="hybridMultilevel"/>
    <w:lvl w:ilvl="0">
      <w:lvlJc w:val="left"/>
      <w:lvlText w:val="(%1)"/>
      <w:numFmt w:val="lowerLetter"/>
      <w:start w:val="1"/>
    </w:lvl>
    <w:lvl w:ilvl="1">
      <w:lvlJc w:val="left"/>
      <w:lvlText w:val="-"/>
      <w:numFmt w:val="bullet"/>
      <w:start w:val="1"/>
    </w:lvl>
  </w:abstractNum>
  <w:abstractNum w:abstractNumId="157">
    <w:nsid w:val="4A66051"/>
    <w:multiLevelType w:val="hybridMultilevel"/>
    <w:lvl w:ilvl="0">
      <w:lvlJc w:val="left"/>
      <w:lvlText w:val="(%1)"/>
      <w:numFmt w:val="lowerLetter"/>
      <w:start w:val="2"/>
    </w:lvl>
    <w:lvl w:ilvl="1">
      <w:lvlJc w:val="left"/>
      <w:lvlText w:val="-"/>
      <w:numFmt w:val="bullet"/>
      <w:start w:val="1"/>
    </w:lvl>
  </w:abstractNum>
  <w:abstractNum w:abstractNumId="158">
    <w:nsid w:val="20F4BDAD"/>
    <w:multiLevelType w:val="hybridMultilevel"/>
    <w:lvl w:ilvl="0">
      <w:lvlJc w:val="left"/>
      <w:lvlText w:val="%1."/>
      <w:numFmt w:val="decimal"/>
      <w:start w:val="3"/>
    </w:lvl>
  </w:abstractNum>
  <w:abstractNum w:abstractNumId="159">
    <w:nsid w:val="639DEFAC"/>
    <w:multiLevelType w:val="hybridMultilevel"/>
    <w:lvl w:ilvl="0">
      <w:lvlJc w:val="left"/>
      <w:lvlText w:val="(%1)"/>
      <w:numFmt w:val="lowerRoman"/>
      <w:start w:val="3"/>
    </w:lvl>
  </w:abstractNum>
  <w:abstractNum w:abstractNumId="160">
    <w:nsid w:val="501F9786"/>
    <w:multiLevelType w:val="hybridMultilevel"/>
    <w:lvl w:ilvl="0">
      <w:lvlJc w:val="left"/>
      <w:lvlText w:val="%1."/>
      <w:numFmt w:val="decimal"/>
      <w:start w:val="4"/>
    </w:lvl>
  </w:abstractNum>
  <w:abstractNum w:abstractNumId="161">
    <w:nsid w:val="6B057295"/>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2">
    <w:nsid w:val="2771AC80"/>
    <w:multiLevelType w:val="hybridMultilevel"/>
    <w:lvl w:ilvl="0">
      <w:lvlJc w:val="left"/>
      <w:lvlText w:val="(%1)"/>
      <w:numFmt w:val="lowerRoman"/>
      <w:start w:val="2"/>
    </w:lvl>
  </w:abstractNum>
  <w:abstractNum w:abstractNumId="163">
    <w:nsid w:val="1C4A08EC"/>
    <w:multiLevelType w:val="hybridMultilevel"/>
    <w:lvl w:ilvl="0">
      <w:lvlJc w:val="left"/>
      <w:lvlText w:val="(%1)"/>
      <w:numFmt w:val="lowerLetter"/>
      <w:start w:val="1"/>
    </w:lvl>
    <w:lvl w:ilvl="1">
      <w:lvlJc w:val="left"/>
      <w:lvlText w:val="-"/>
      <w:numFmt w:val="bullet"/>
      <w:start w:val="1"/>
    </w:lvl>
  </w:abstractNum>
  <w:abstractNum w:abstractNumId="164">
    <w:nsid w:val="1958BD17"/>
    <w:multiLevelType w:val="hybridMultilevel"/>
    <w:lvl w:ilvl="0">
      <w:lvlJc w:val="left"/>
      <w:lvlText w:val="(%1)"/>
      <w:numFmt w:val="lowerLetter"/>
      <w:start w:val="4"/>
    </w:lvl>
  </w:abstractNum>
  <w:abstractNum w:abstractNumId="165">
    <w:nsid w:val="4E647FE4"/>
    <w:multiLevelType w:val="hybridMultilevel"/>
    <w:lvl w:ilvl="0">
      <w:lvlJc w:val="left"/>
      <w:lvlText w:val="(%1)"/>
      <w:numFmt w:val="lowerLetter"/>
      <w:start w:val="1"/>
    </w:lvl>
    <w:lvl w:ilvl="1">
      <w:lvlJc w:val="left"/>
      <w:lvlText w:val="-"/>
      <w:numFmt w:val="bullet"/>
      <w:start w:val="1"/>
    </w:lvl>
  </w:abstractNum>
  <w:abstractNum w:abstractNumId="166">
    <w:nsid w:val="E0BB885"/>
    <w:multiLevelType w:val="hybridMultilevel"/>
    <w:lvl w:ilvl="0">
      <w:lvlJc w:val="left"/>
      <w:lvlText w:val="(%1)"/>
      <w:numFmt w:val="lowerLetter"/>
      <w:start w:val="2"/>
    </w:lvl>
  </w:abstractNum>
  <w:abstractNum w:abstractNumId="167">
    <w:nsid w:val="565976F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8">
    <w:nsid w:val="64212B8C"/>
    <w:multiLevelType w:val="hybridMultilevel"/>
    <w:lvl w:ilvl="0">
      <w:lvlJc w:val="left"/>
      <w:lvlText w:val="(%1)"/>
      <w:numFmt w:val="lowerRoman"/>
      <w:start w:val="2"/>
    </w:lvl>
  </w:abstractNum>
  <w:abstractNum w:abstractNumId="169">
    <w:nsid w:val="5C17530C"/>
    <w:multiLevelType w:val="hybridMultilevel"/>
    <w:lvl w:ilvl="0">
      <w:lvlJc w:val="left"/>
      <w:lvlText w:val="(%1)"/>
      <w:numFmt w:val="decimal"/>
      <w:start w:val="1"/>
    </w:lvl>
    <w:lvl w:ilvl="1">
      <w:lvlJc w:val="left"/>
      <w:lvlText w:val="-"/>
      <w:numFmt w:val="bullet"/>
      <w:start w:val="1"/>
    </w:lvl>
  </w:abstractNum>
  <w:abstractNum w:abstractNumId="170">
    <w:nsid w:val="19A52566"/>
    <w:multiLevelType w:val="hybridMultilevel"/>
    <w:lvl w:ilvl="0">
      <w:lvlJc w:val="left"/>
      <w:lvlText w:val="(%1)"/>
      <w:numFmt w:val="decimal"/>
      <w:start w:val="2"/>
    </w:lvl>
  </w:abstractNum>
  <w:abstractNum w:abstractNumId="171">
    <w:nsid w:val="335A1DF1"/>
    <w:multiLevelType w:val="hybridMultilevel"/>
    <w:lvl w:ilvl="0">
      <w:lvlJc w:val="left"/>
      <w:lvlText w:val="(%1)"/>
      <w:numFmt w:val="lowerLetter"/>
      <w:start w:val="1"/>
    </w:lvl>
    <w:lvl w:ilvl="1">
      <w:lvlJc w:val="left"/>
      <w:lvlText w:val="-"/>
      <w:numFmt w:val="bullet"/>
      <w:start w:val="1"/>
    </w:lvl>
  </w:abstractNum>
  <w:abstractNum w:abstractNumId="172">
    <w:nsid w:val="28677B7C"/>
    <w:multiLevelType w:val="hybridMultilevel"/>
    <w:lvl w:ilvl="0">
      <w:lvlJc w:val="left"/>
      <w:lvlText w:val="%1."/>
      <w:numFmt w:val="decimal"/>
      <w:start w:val="5"/>
    </w:lvl>
  </w:abstractNum>
  <w:abstractNum w:abstractNumId="173">
    <w:nsid w:val="378D97C0"/>
    <w:multiLevelType w:val="hybridMultilevel"/>
    <w:lvl w:ilvl="0">
      <w:lvlJc w:val="left"/>
      <w:lvlText w:val="(%1)"/>
      <w:numFmt w:val="lowerLetter"/>
      <w:start w:val="25"/>
    </w:lvl>
    <w:lvl w:ilvl="1">
      <w:lvlJc w:val="left"/>
      <w:lvlText w:val="%2."/>
      <w:numFmt w:val="decimal"/>
      <w:start w:val="6"/>
    </w:lvl>
    <w:lvl w:ilvl="2">
      <w:lvlJc w:val="left"/>
      <w:lvlText w:val="-"/>
      <w:numFmt w:val="bullet"/>
      <w:start w:val="1"/>
    </w:lvl>
  </w:abstractNum>
  <w:abstractNum w:abstractNumId="174">
    <w:nsid w:val="1D91467C"/>
    <w:multiLevelType w:val="hybridMultilevel"/>
    <w:lvl w:ilvl="0">
      <w:lvlJc w:val="left"/>
      <w:lvlText w:val="%1."/>
      <w:numFmt w:val="decimal"/>
      <w:start w:val="8"/>
    </w:lvl>
  </w:abstractNum>
  <w:abstractNum w:abstractNumId="175">
    <w:nsid w:val="316032BB"/>
    <w:multiLevelType w:val="hybridMultilevel"/>
    <w:lvl w:ilvl="0">
      <w:lvlJc w:val="left"/>
      <w:lvlText w:val="(%1)"/>
      <w:numFmt w:val="lowerLetter"/>
      <w:start w:val="1"/>
    </w:lvl>
  </w:abstractNum>
  <w:abstractNum w:abstractNumId="176">
    <w:nsid w:val="44344C22"/>
    <w:multiLevelType w:val="hybridMultilevel"/>
    <w:lvl w:ilvl="0">
      <w:lvlJc w:val="left"/>
      <w:lvlText w:val="(%1)"/>
      <w:numFmt w:val="lowerRoman"/>
      <w:start w:val="1"/>
    </w:lvl>
    <w:lvl w:ilvl="1">
      <w:lvlJc w:val="left"/>
      <w:lvlText w:val="-"/>
      <w:numFmt w:val="bullet"/>
      <w:start w:val="1"/>
    </w:lvl>
  </w:abstractNum>
  <w:abstractNum w:abstractNumId="177">
    <w:nsid w:val="13CDFCFC"/>
    <w:multiLevelType w:val="hybridMultilevel"/>
    <w:lvl w:ilvl="0">
      <w:lvlJc w:val="left"/>
      <w:lvlText w:val="%1."/>
      <w:numFmt w:val="decimal"/>
      <w:start w:val="1"/>
    </w:lvl>
    <w:lvl w:ilvl="1">
      <w:lvlJc w:val="left"/>
      <w:lvlText w:val="-"/>
      <w:numFmt w:val="bullet"/>
      <w:start w:val="1"/>
    </w:lvl>
  </w:abstractNum>
  <w:abstractNum w:abstractNumId="178">
    <w:nsid w:val="471745E4"/>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179">
    <w:nsid w:val="1DDBC66"/>
    <w:multiLevelType w:val="hybridMultilevel"/>
    <w:lvl w:ilvl="0">
      <w:lvlJc w:val="left"/>
      <w:lvlText w:val="%1."/>
      <w:numFmt w:val="decimal"/>
      <w:start w:val="3"/>
    </w:lvl>
  </w:abstractNum>
  <w:abstractNum w:abstractNumId="180">
    <w:nsid w:val="30AADFDA"/>
    <w:multiLevelType w:val="hybridMultilevel"/>
    <w:lvl w:ilvl="0">
      <w:lvlJc w:val="left"/>
      <w:lvlText w:val="(%1)"/>
      <w:numFmt w:val="lowerLetter"/>
      <w:start w:val="1"/>
    </w:lvl>
  </w:abstractNum>
  <w:abstractNum w:abstractNumId="181">
    <w:nsid w:val="30EADA61"/>
    <w:multiLevelType w:val="hybridMultilevel"/>
    <w:lvl w:ilvl="0">
      <w:lvlJc w:val="left"/>
      <w:lvlText w:val="%1"/>
      <w:numFmt w:val="lowerRoman"/>
      <w:start w:val="1"/>
    </w:lvl>
    <w:lvl w:ilvl="1">
      <w:lvlJc w:val="left"/>
      <w:lvlText w:val="(%2)"/>
      <w:numFmt w:val="lowerLetter"/>
      <w:start w:val="1"/>
    </w:lvl>
  </w:abstractNum>
  <w:abstractNum w:abstractNumId="182">
    <w:nsid w:val="27179C0B"/>
    <w:multiLevelType w:val="hybridMultilevel"/>
    <w:lvl w:ilvl="0">
      <w:lvlJc w:val="left"/>
      <w:lvlText w:val="(%1)"/>
      <w:numFmt w:val="lowerRoman"/>
      <w:start w:val="4"/>
    </w:lvl>
    <w:lvl w:ilvl="1">
      <w:lvlJc w:val="left"/>
      <w:lvlText w:val="%2"/>
      <w:numFmt w:val="lowerLetter"/>
      <w:start w:val="1"/>
    </w:lvl>
  </w:abstractNum>
  <w:abstractNum w:abstractNumId="183">
    <w:nsid w:val="5E636063"/>
    <w:multiLevelType w:val="hybridMultilevel"/>
    <w:lvl w:ilvl="0">
      <w:lvlJc w:val="left"/>
      <w:lvlText w:val="(%1)"/>
      <w:numFmt w:val="lowerLetter"/>
      <w:start w:val="1"/>
    </w:lvl>
  </w:abstractNum>
  <w:abstractNum w:abstractNumId="184">
    <w:nsid w:val="215641AF"/>
    <w:multiLevelType w:val="hybridMultilevel"/>
    <w:lvl w:ilvl="0">
      <w:lvlJc w:val="left"/>
      <w:lvlText w:val="%1"/>
      <w:numFmt w:val="lowerLetter"/>
      <w:start w:val="1"/>
    </w:lvl>
    <w:lvl w:ilvl="1">
      <w:lvlJc w:val="left"/>
      <w:lvlText w:val="(%2)"/>
      <w:numFmt w:val="lowerLetter"/>
      <w:start w:val="3"/>
    </w:lvl>
  </w:abstractNum>
  <w:abstractNum w:abstractNumId="185">
    <w:nsid w:val="53280662"/>
    <w:multiLevelType w:val="hybridMultilevel"/>
    <w:lvl w:ilvl="0">
      <w:lvlJc w:val="left"/>
      <w:lvlText w:val="(%1)"/>
      <w:numFmt w:val="lowerLetter"/>
      <w:start w:val="35"/>
    </w:lvl>
    <w:lvl w:ilvl="1">
      <w:lvlJc w:val="left"/>
      <w:lvlText w:val="%2"/>
      <w:numFmt w:val="lowerLetter"/>
      <w:start w:val="1"/>
    </w:lvl>
  </w:abstractNum>
  <w:abstractNum w:abstractNumId="186">
    <w:nsid w:val="46B24DBC"/>
    <w:multiLevelType w:val="hybridMultilevel"/>
    <w:lvl w:ilvl="0">
      <w:lvlJc w:val="left"/>
      <w:lvlText w:val="(%1)"/>
      <w:numFmt w:val="lowerLetter"/>
      <w:start w:val="1"/>
    </w:lvl>
  </w:abstractNum>
  <w:abstractNum w:abstractNumId="187">
    <w:nsid w:val="75B52783"/>
    <w:multiLevelType w:val="hybridMultilevel"/>
    <w:lvl w:ilvl="0">
      <w:lvlJc w:val="left"/>
      <w:lvlText w:val="(%1)"/>
      <w:numFmt w:val="lowerLetter"/>
      <w:start w:val="2"/>
    </w:lvl>
  </w:abstractNum>
  <w:abstractNum w:abstractNumId="188">
    <w:nsid w:val="57CE66B4"/>
    <w:multiLevelType w:val="hybridMultilevel"/>
    <w:lvl w:ilvl="0">
      <w:lvlJc w:val="left"/>
      <w:lvlText w:val="(%1)"/>
      <w:numFmt w:val="lowerLetter"/>
      <w:start w:val="1"/>
    </w:lvl>
  </w:abstractNum>
  <w:abstractNum w:abstractNumId="189">
    <w:nsid w:val="67A70B69"/>
    <w:multiLevelType w:val="hybridMultilevel"/>
    <w:lvl w:ilvl="0">
      <w:lvlJc w:val="left"/>
      <w:lvlText w:val="(%1)"/>
      <w:numFmt w:val="lowerLetter"/>
      <w:start w:val="3"/>
    </w:lvl>
  </w:abstractNum>
  <w:abstractNum w:abstractNumId="190">
    <w:nsid w:val="5953172F"/>
    <w:multiLevelType w:val="hybridMultilevel"/>
    <w:lvl w:ilvl="0">
      <w:lvlJc w:val="left"/>
      <w:lvlText w:val="(%1)"/>
      <w:numFmt w:val="lowerLetter"/>
      <w:start w:val="1"/>
    </w:lvl>
    <w:lvl w:ilvl="1">
      <w:lvlJc w:val="left"/>
      <w:lvlText w:val="(%2)"/>
      <w:numFmt w:val="upperLetter"/>
      <w:start w:val="1"/>
    </w:lvl>
  </w:abstractNum>
  <w:abstractNum w:abstractNumId="191">
    <w:nsid w:val="27EDFE3A"/>
    <w:multiLevelType w:val="hybridMultilevel"/>
    <w:lvl w:ilvl="0">
      <w:lvlJc w:val="left"/>
      <w:lvlText w:val="%1"/>
      <w:numFmt w:val="lowerLetter"/>
      <w:start w:val="1"/>
    </w:lvl>
    <w:lvl w:ilvl="1">
      <w:lvlJc w:val="left"/>
      <w:lvlText w:val="(%2)"/>
      <w:numFmt w:val="upperLetter"/>
      <w:start w:val="5"/>
    </w:lvl>
  </w:abstractNum>
  <w:abstractNum w:abstractNumId="192">
    <w:nsid w:val="52AC7DFF"/>
    <w:multiLevelType w:val="hybridMultilevel"/>
    <w:lvl w:ilvl="0">
      <w:lvlJc w:val="left"/>
      <w:lvlText w:val="(%1)"/>
      <w:numFmt w:val="lowerLetter"/>
      <w:start w:val="3"/>
    </w:lvl>
    <w:lvl w:ilvl="1">
      <w:lvlJc w:val="left"/>
      <w:lvlText w:val="%2"/>
      <w:numFmt w:val="upperLetter"/>
      <w:start w:val="1"/>
    </w:lvl>
  </w:abstractNum>
  <w:abstractNum w:abstractNumId="193">
    <w:nsid w:val="C4C3AF"/>
    <w:multiLevelType w:val="hybridMultilevel"/>
    <w:lvl w:ilvl="0">
      <w:lvlJc w:val="left"/>
      <w:lvlText w:val="%1"/>
      <w:numFmt w:val="upperLetter"/>
      <w:start w:val="1"/>
    </w:lvl>
    <w:lvl w:ilvl="1">
      <w:lvlJc w:val="left"/>
      <w:lvlText w:val="(%2)"/>
      <w:numFmt w:val="lowerLetter"/>
      <w:start w:val="1"/>
    </w:lvl>
  </w:abstractNum>
  <w:abstractNum w:abstractNumId="194">
    <w:nsid w:val="44380727"/>
    <w:multiLevelType w:val="hybridMultilevel"/>
    <w:lvl w:ilvl="0">
      <w:lvlJc w:val="left"/>
      <w:lvlText w:val="(%1)"/>
      <w:numFmt w:val="upperLetter"/>
      <w:start w:val="1"/>
    </w:lvl>
    <w:lvl w:ilvl="1">
      <w:lvlJc w:val="left"/>
      <w:lvlText w:val="(%2)"/>
      <w:numFmt w:val="lowerLetter"/>
      <w:start w:val="3"/>
    </w:lvl>
  </w:abstractNum>
  <w:abstractNum w:abstractNumId="195">
    <w:nsid w:val="6C053B16"/>
    <w:multiLevelType w:val="hybridMultilevel"/>
    <w:lvl w:ilvl="0">
      <w:lvlJc w:val="left"/>
      <w:lvlText w:val="(%1)"/>
      <w:numFmt w:val="lowerRoman"/>
      <w:start w:val="2"/>
    </w:lvl>
  </w:abstractNum>
  <w:abstractNum w:abstractNumId="196">
    <w:nsid w:val="4F294393"/>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97">
    <w:nsid w:val="5243BFAC"/>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2"/>
    </w:lvl>
  </w:abstractNum>
  <w:abstractNum w:abstractNumId="198">
    <w:nsid w:val="425EB207"/>
    <w:multiLevelType w:val="hybridMultilevel"/>
    <w:lvl w:ilvl="0">
      <w:lvlJc w:val="left"/>
      <w:lvlText w:val="%1"/>
      <w:numFmt w:val="decimal"/>
      <w:start w:val="1"/>
    </w:lvl>
    <w:lvl w:ilvl="1">
      <w:lvlJc w:val="left"/>
      <w:lvlText w:val="(%2)"/>
      <w:numFmt w:val="lowerLetter"/>
      <w:start w:val="4"/>
    </w:lvl>
  </w:abstractNum>
  <w:abstractNum w:abstractNumId="199">
    <w:nsid w:val="334A6F1F"/>
    <w:multiLevelType w:val="hybridMultilevel"/>
    <w:lvl w:ilvl="0">
      <w:lvlJc w:val="left"/>
      <w:lvlText w:val="(%1)"/>
      <w:numFmt w:val="decimal"/>
      <w:start w:val="180"/>
    </w:lvl>
    <w:lvl w:ilvl="1">
      <w:lvlJc w:val="left"/>
      <w:lvlText w:val="%2"/>
      <w:numFmt w:val="lowerLetter"/>
      <w:start w:val="1"/>
    </w:lvl>
  </w:abstractNum>
  <w:abstractNum w:abstractNumId="200">
    <w:nsid w:val="2E5B12B8"/>
    <w:multiLevelType w:val="hybridMultilevel"/>
    <w:lvl w:ilvl="0">
      <w:lvlJc w:val="left"/>
      <w:lvlText w:val="(%1)"/>
      <w:numFmt w:val="lowerLetter"/>
      <w:start w:val="1"/>
    </w:lvl>
  </w:abstractNum>
  <w:abstractNum w:abstractNumId="201">
    <w:nsid w:val="5C03D76D"/>
    <w:multiLevelType w:val="hybridMultilevel"/>
    <w:lvl w:ilvl="0">
      <w:lvlJc w:val="left"/>
      <w:lvlText w:val="(%1)"/>
      <w:numFmt w:val="lowerLetter"/>
      <w:start w:val="2"/>
    </w:lvl>
  </w:abstractNum>
  <w:abstractNum w:abstractNumId="202">
    <w:nsid w:val="66A48D11"/>
    <w:multiLevelType w:val="hybridMultilevel"/>
    <w:lvl w:ilvl="0">
      <w:lvlJc w:val="left"/>
      <w:lvlText w:val="(%1)"/>
      <w:numFmt w:val="lowerLetter"/>
      <w:start w:val="3"/>
    </w:lvl>
  </w:abstractNum>
  <w:abstractNum w:abstractNumId="203">
    <w:nsid w:val="56C28E34"/>
    <w:multiLevelType w:val="hybridMultilevel"/>
    <w:lvl w:ilvl="0">
      <w:lvlJc w:val="left"/>
      <w:lvlText w:val="(%1)"/>
      <w:numFmt w:val="lowerLetter"/>
      <w:start w:val="1"/>
    </w:lvl>
  </w:abstractNum>
  <w:abstractNum w:abstractNumId="204">
    <w:nsid w:val="13916F2D"/>
    <w:multiLevelType w:val="hybridMultilevel"/>
    <w:lvl w:ilvl="0">
      <w:lvlJc w:val="left"/>
      <w:lvlText w:val="(%1)"/>
      <w:numFmt w:val="lowerLetter"/>
      <w:start w:val="6"/>
    </w:lvl>
  </w:abstractNum>
  <w:abstractNum w:abstractNumId="205">
    <w:nsid w:val="435D38D"/>
    <w:multiLevelType w:val="hybridMultilevel"/>
    <w:lvl w:ilvl="0">
      <w:lvlJc w:val="left"/>
      <w:lvlText w:val="(%1)"/>
      <w:numFmt w:val="lowerLetter"/>
      <w:start w:val="1"/>
    </w:lvl>
  </w:abstractNum>
  <w:abstractNum w:abstractNumId="206">
    <w:nsid w:val="822C0EF"/>
    <w:multiLevelType w:val="hybridMultilevel"/>
    <w:lvl w:ilvl="0">
      <w:lvlJc w:val="left"/>
      <w:lvlText w:val="%1"/>
      <w:numFmt w:val="lowerLetter"/>
      <w:start w:val="1"/>
    </w:lvl>
    <w:lvl w:ilvl="1">
      <w:lvlJc w:val="left"/>
      <w:lvlText w:val="(%2)"/>
      <w:numFmt w:val="lowerLetter"/>
      <w:start w:val="3"/>
    </w:lvl>
  </w:abstractNum>
  <w:abstractNum w:abstractNumId="207">
    <w:nsid w:val="57C5BB4F"/>
    <w:multiLevelType w:val="hybridMultilevel"/>
    <w:lvl w:ilvl="0">
      <w:lvlJc w:val="left"/>
      <w:lvlText w:val="(%1)"/>
      <w:numFmt w:val="lowerLetter"/>
      <w:start w:val="35"/>
    </w:lvl>
    <w:lvl w:ilvl="1">
      <w:lvlJc w:val="left"/>
      <w:lvlText w:val="%2"/>
      <w:numFmt w:val="lowerLetter"/>
      <w:start w:val="1"/>
    </w:lvl>
  </w:abstractNum>
  <w:abstractNum w:abstractNumId="208">
    <w:nsid w:val="1803D089"/>
    <w:multiLevelType w:val="hybridMultilevel"/>
    <w:lvl w:ilvl="0">
      <w:lvlJc w:val="left"/>
      <w:lvlText w:val="(%1)"/>
      <w:numFmt w:val="lowerLetter"/>
      <w:start w:val="5"/>
    </w:lvl>
  </w:abstractNum>
  <w:abstractNum w:abstractNumId="209">
    <w:nsid w:val="4F3A06D4"/>
    <w:multiLevelType w:val="hybridMultilevel"/>
    <w:lvl w:ilvl="0">
      <w:lvlJc w:val="left"/>
      <w:lvlText w:val="(%1)"/>
      <w:numFmt w:val="lowerLetter"/>
      <w:start w:val="1"/>
    </w:lvl>
  </w:abstractNum>
  <w:abstractNum w:abstractNumId="210">
    <w:nsid w:val="59A377B6"/>
    <w:multiLevelType w:val="hybridMultilevel"/>
    <w:lvl w:ilvl="0">
      <w:lvlJc w:val="left"/>
      <w:lvlText w:val="(%1)"/>
      <w:numFmt w:val="lowerRoman"/>
      <w:start w:val="2"/>
    </w:lvl>
  </w:abstractNum>
  <w:abstractNum w:abstractNumId="211">
    <w:nsid w:val="48AEB063"/>
    <w:multiLevelType w:val="hybridMultilevel"/>
    <w:lvl w:ilvl="0">
      <w:lvlJc w:val="left"/>
      <w:lvlText w:val="(%1)"/>
      <w:numFmt w:val="lowerLetter"/>
      <w:start w:val="1"/>
    </w:lvl>
  </w:abstractNum>
  <w:abstractNum w:abstractNumId="212">
    <w:nsid w:val="24E135"/>
    <w:multiLevelType w:val="hybridMultilevel"/>
    <w:lvl w:ilvl="0">
      <w:lvlJc w:val="left"/>
      <w:lvlText w:val="(%1)"/>
      <w:numFmt w:val="lowerLetter"/>
      <w:start w:val="3"/>
    </w:lvl>
  </w:abstractNum>
  <w:abstractNum w:abstractNumId="213">
    <w:nsid w:val="BB13C1"/>
    <w:multiLevelType w:val="hybridMultilevel"/>
    <w:lvl w:ilvl="0">
      <w:lvlJc w:val="left"/>
      <w:lvlText w:val="(%1)"/>
      <w:numFmt w:val="lowerRoman"/>
      <w:start w:val="3"/>
    </w:lvl>
  </w:abstractNum>
  <w:abstractNum w:abstractNumId="214">
    <w:nsid w:val="271210C7"/>
    <w:multiLevelType w:val="hybridMultilevel"/>
    <w:lvl w:ilvl="0">
      <w:lvlJc w:val="left"/>
      <w:lvlText w:val="%1"/>
      <w:numFmt w:val="decimal"/>
      <w:start w:val="1"/>
    </w:lvl>
    <w:lvl w:ilvl="1">
      <w:lvlJc w:val="left"/>
      <w:lvlText w:val="(%2)"/>
      <w:numFmt w:val="lowerLetter"/>
      <w:start w:val="1"/>
    </w:lvl>
  </w:abstractNum>
  <w:abstractNum w:abstractNumId="215">
    <w:nsid w:val="217B22E4"/>
    <w:multiLevelType w:val="hybridMultilevel"/>
    <w:lvl w:ilvl="0">
      <w:lvlJc w:val="left"/>
      <w:lvlText w:val="%1."/>
      <w:numFmt w:val="decimal"/>
      <w:start w:val="3"/>
    </w:lvl>
    <w:lvl w:ilvl="1">
      <w:lvlJc w:val="left"/>
      <w:lvlText w:val="%2"/>
      <w:numFmt w:val="lowerLetter"/>
      <w:start w:val="1"/>
    </w:lvl>
  </w:abstractNum>
  <w:abstractNum w:abstractNumId="216">
    <w:nsid w:val="53E31A24"/>
    <w:multiLevelType w:val="hybridMultilevel"/>
    <w:lvl w:ilvl="0">
      <w:lvlJc w:val="left"/>
      <w:lvlText w:val="%1"/>
      <w:numFmt w:val="lowerLetter"/>
      <w:start w:val="1"/>
    </w:lvl>
    <w:lvl w:ilvl="1">
      <w:lvlJc w:val="left"/>
      <w:lvlText w:val="(%2)"/>
      <w:numFmt w:val="lowerLetter"/>
      <w:start w:val="1"/>
    </w:lvl>
  </w:abstractNum>
  <w:abstractNum w:abstractNumId="217">
    <w:nsid w:val="6DC45E83"/>
    <w:multiLevelType w:val="hybridMultilevel"/>
    <w:lvl w:ilvl="0">
      <w:lvlJc w:val="left"/>
      <w:lvlText w:val="(%1)"/>
      <w:numFmt w:val="lowerLetter"/>
      <w:start w:val="9"/>
    </w:lvl>
    <w:lvl w:ilvl="1">
      <w:lvlJc w:val="left"/>
      <w:lvlText w:val="%2"/>
      <w:numFmt w:val="lowerLetter"/>
      <w:start w:val="1"/>
    </w:lvl>
  </w:abstractNum>
  <w:abstractNum w:abstractNumId="218">
    <w:nsid w:val="17304A67"/>
    <w:multiLevelType w:val="hybridMultilevel"/>
    <w:lvl w:ilvl="0">
      <w:lvlJc w:val="left"/>
      <w:lvlText w:val="%1."/>
      <w:numFmt w:val="decimal"/>
      <w:start w:val="4"/>
    </w:lvl>
  </w:abstractNum>
  <w:abstractNum w:abstractNumId="219">
    <w:nsid w:val="2BB180D8"/>
    <w:multiLevelType w:val="hybridMultilevel"/>
    <w:lvl w:ilvl="0">
      <w:lvlJc w:val="left"/>
      <w:lvlText w:val="(%1)"/>
      <w:numFmt w:val="lowerLetter"/>
      <w:start w:val="1"/>
    </w:lvl>
  </w:abstractNum>
  <w:abstractNum w:abstractNumId="220">
    <w:nsid w:val="556B69ED"/>
    <w:multiLevelType w:val="hybridMultilevel"/>
    <w:lvl w:ilvl="0">
      <w:lvlJc w:val="left"/>
      <w:lvlText w:val="%1."/>
      <w:numFmt w:val="decimal"/>
      <w:start w:val="5"/>
    </w:lvl>
  </w:abstractNum>
  <w:abstractNum w:abstractNumId="221">
    <w:nsid w:val="70836196"/>
    <w:multiLevelType w:val="hybridMultilevel"/>
    <w:lvl w:ilvl="0">
      <w:lvlJc w:val="left"/>
      <w:lvlText w:val="(%1)"/>
      <w:numFmt w:val="lowerLetter"/>
      <w:start w:val="1"/>
    </w:lvl>
  </w:abstractNum>
  <w:abstractNum w:abstractNumId="222">
    <w:nsid w:val="539F7F12"/>
    <w:multiLevelType w:val="hybridMultilevel"/>
    <w:lvl w:ilvl="0">
      <w:lvlJc w:val="left"/>
      <w:lvlText w:val="(%1)"/>
      <w:numFmt w:val="lowerRoman"/>
      <w:start w:val="10"/>
    </w:lvl>
  </w:abstractNum>
  <w:abstractNum w:abstractNumId="223">
    <w:nsid w:val="2817E7EC"/>
    <w:multiLevelType w:val="hybridMultilevel"/>
    <w:lvl w:ilvl="0">
      <w:lvlJc w:val="left"/>
      <w:lvlText w:val="%1."/>
      <w:numFmt w:val="decimal"/>
      <w:start w:val="6"/>
    </w:lvl>
  </w:abstractNum>
  <w:abstractNum w:abstractNumId="224">
    <w:nsid w:val="71482545"/>
    <w:multiLevelType w:val="hybridMultilevel"/>
    <w:lvl w:ilvl="0">
      <w:lvlJc w:val="left"/>
      <w:lvlText w:val="(%1)"/>
      <w:numFmt w:val="lowerLetter"/>
      <w:start w:val="1"/>
    </w:lvl>
  </w:abstractNum>
  <w:abstractNum w:abstractNumId="225">
    <w:nsid w:val="17D78639"/>
    <w:multiLevelType w:val="hybridMultilevel"/>
    <w:lvl w:ilvl="0">
      <w:lvlJc w:val="left"/>
      <w:lvlText w:val="(%1)"/>
      <w:numFmt w:val="lowerLetter"/>
      <w:start w:val="2"/>
    </w:lvl>
  </w:abstractNum>
  <w:abstractNum w:abstractNumId="226">
    <w:nsid w:val="141D2302"/>
    <w:multiLevelType w:val="hybridMultilevel"/>
    <w:lvl w:ilvl="0">
      <w:lvlJc w:val="left"/>
      <w:lvlText w:val="(%1)"/>
      <w:numFmt w:val="lowerLetter"/>
      <w:start w:val="1"/>
    </w:lvl>
  </w:abstractNum>
  <w:abstractNum w:abstractNumId="227">
    <w:nsid w:val="407168D8"/>
    <w:multiLevelType w:val="hybridMultilevel"/>
    <w:lvl w:ilvl="0">
      <w:lvlJc w:val="left"/>
      <w:lvlText w:val="(%1)"/>
      <w:numFmt w:val="lowerLetter"/>
      <w:start w:val="1"/>
    </w:lvl>
  </w:abstractNum>
  <w:abstractNum w:abstractNumId="228">
    <w:nsid w:val="6A1B45E5"/>
    <w:multiLevelType w:val="hybridMultilevel"/>
    <w:lvl w:ilvl="0">
      <w:lvlJc w:val="left"/>
      <w:lvlText w:val="(%1)"/>
      <w:numFmt w:val="lowerLetter"/>
      <w:start w:val="1"/>
    </w:lvl>
  </w:abstractNum>
  <w:abstractNum w:abstractNumId="229">
    <w:nsid w:val="567BD50A"/>
    <w:multiLevelType w:val="hybridMultilevel"/>
    <w:lvl w:ilvl="0">
      <w:lvlJc w:val="left"/>
      <w:lvlText w:val="(%1)"/>
      <w:numFmt w:val="lowerLetter"/>
      <w:start w:val="2"/>
    </w:lvl>
  </w:abstractNum>
  <w:abstractNum w:abstractNumId="230">
    <w:nsid w:val="73BBD7F8"/>
    <w:multiLevelType w:val="hybridMultilevel"/>
    <w:lvl w:ilvl="0">
      <w:lvlJc w:val="left"/>
      <w:lvlText w:val="(%1)"/>
      <w:numFmt w:val="lowerLetter"/>
      <w:start w:val="1"/>
    </w:lvl>
  </w:abstractNum>
  <w:abstractNum w:abstractNumId="231">
    <w:nsid w:val="1876589D"/>
    <w:multiLevelType w:val="hybridMultilevel"/>
    <w:lvl w:ilvl="0">
      <w:lvlJc w:val="left"/>
      <w:lvlText w:val="(%1)"/>
      <w:numFmt w:val="lowerLetter"/>
      <w:start w:val="1"/>
    </w:lvl>
  </w:abstractNum>
  <w:abstractNum w:abstractNumId="232">
    <w:nsid w:val="327FAC77"/>
    <w:multiLevelType w:val="hybridMultilevel"/>
    <w:lvl w:ilvl="0">
      <w:lvlJc w:val="left"/>
      <w:lvlText w:val="(%1)"/>
      <w:numFmt w:val="upperLetter"/>
      <w:start w:val="2"/>
    </w:lvl>
  </w:abstractNum>
  <w:abstractNum w:abstractNumId="233">
    <w:nsid w:val="5A606509"/>
    <w:multiLevelType w:val="hybridMultilevel"/>
    <w:lvl w:ilvl="0">
      <w:lvlJc w:val="left"/>
      <w:lvlText w:val="(%1)"/>
      <w:numFmt w:val="lowerRoman"/>
      <w:start w:val="3"/>
    </w:lvl>
  </w:abstractNum>
  <w:abstractNum w:abstractNumId="234">
    <w:nsid w:val="6F38E6D1"/>
    <w:multiLevelType w:val="hybridMultilevel"/>
    <w:lvl w:ilvl="0">
      <w:lvlJc w:val="left"/>
      <w:lvlText w:val="%1"/>
      <w:numFmt w:val="upperLetter"/>
      <w:start w:val="1"/>
    </w:lvl>
    <w:lvl w:ilvl="1">
      <w:lvlJc w:val="left"/>
      <w:lvlText w:val="(%2)"/>
      <w:numFmt w:val="lowerLetter"/>
      <w:start w:val="1"/>
    </w:lvl>
  </w:abstractNum>
  <w:abstractNum w:abstractNumId="235">
    <w:nsid w:val="46111BA5"/>
    <w:multiLevelType w:val="hybridMultilevel"/>
    <w:lvl w:ilvl="0">
      <w:lvlJc w:val="left"/>
      <w:lvlText w:val="(%1)"/>
      <w:numFmt w:val="upperLetter"/>
      <w:start w:val="1"/>
    </w:lvl>
    <w:lvl w:ilvl="1">
      <w:lvlJc w:val="left"/>
      <w:lvlText w:val="(%2)"/>
      <w:numFmt w:val="lowerLetter"/>
      <w:start w:val="2"/>
    </w:lvl>
  </w:abstractNum>
  <w:abstractNum w:abstractNumId="236">
    <w:nsid w:val="5E963896"/>
    <w:multiLevelType w:val="hybridMultilevel"/>
    <w:lvl w:ilvl="0">
      <w:lvlJc w:val="left"/>
      <w:lvlText w:val="(%1)"/>
      <w:numFmt w:val="lowerLetter"/>
      <w:start w:val="3"/>
    </w:lvl>
  </w:abstractNum>
  <w:abstractNum w:abstractNumId="237">
    <w:nsid w:val="775BA7C1"/>
    <w:multiLevelType w:val="hybridMultilevel"/>
    <w:lvl w:ilvl="0">
      <w:lvlJc w:val="left"/>
      <w:lvlText w:val="(%1)"/>
      <w:numFmt w:val="lowerLetter"/>
      <w:start w:val="1"/>
    </w:lvl>
  </w:abstractNum>
  <w:abstractNum w:abstractNumId="238">
    <w:nsid w:val="1DD6D6F4"/>
    <w:multiLevelType w:val="hybridMultilevel"/>
    <w:lvl w:ilvl="0">
      <w:lvlJc w:val="left"/>
      <w:lvlText w:val="(%1)"/>
      <w:numFmt w:val="upperLetter"/>
      <w:start w:val="4"/>
    </w:lvl>
    <w:lvl w:ilvl="1">
      <w:lvlJc w:val="left"/>
      <w:lvlText w:val="(%2)"/>
      <w:numFmt w:val="lowerLetter"/>
      <w:start w:val="3"/>
    </w:lvl>
  </w:abstractNum>
  <w:abstractNum w:abstractNumId="239">
    <w:nsid w:val="769A091F"/>
    <w:multiLevelType w:val="hybridMultilevel"/>
    <w:lvl w:ilvl="0">
      <w:lvlJc w:val="left"/>
      <w:lvlText w:val="(%1)"/>
      <w:numFmt w:val="lowerLetter"/>
      <w:start w:val="7"/>
    </w:lvl>
  </w:abstractNum>
  <w:abstractNum w:abstractNumId="240">
    <w:nsid w:val="4695AE95"/>
    <w:multiLevelType w:val="hybridMultilevel"/>
    <w:lvl w:ilvl="0">
      <w:lvlJc w:val="left"/>
      <w:lvlText w:val="%1."/>
      <w:numFmt w:val="decimal"/>
      <w:start w:val="1"/>
    </w:lvl>
    <w:lvl w:ilvl="1">
      <w:lvlJc w:val="left"/>
      <w:lvlText w:val="*"/>
      <w:numFmt w:val="bullet"/>
      <w:start w:val="1"/>
    </w:lvl>
  </w:abstractNum>
  <w:abstractNum w:abstractNumId="241">
    <w:nsid w:val="777A4EAA"/>
    <w:multiLevelType w:val="hybridMultilevel"/>
    <w:lvl w:ilvl="0">
      <w:lvlJc w:val="left"/>
      <w:lvlText w:val="(%1)"/>
      <w:numFmt w:val="lowerLetter"/>
      <w:start w:val="1"/>
    </w:lvl>
  </w:abstractNum>
  <w:abstractNum w:abstractNumId="242">
    <w:nsid w:val="3F48B982"/>
    <w:multiLevelType w:val="hybridMultilevel"/>
    <w:lvl w:ilvl="0">
      <w:lvlJc w:val="left"/>
      <w:lvlText w:val="(%1)"/>
      <w:numFmt w:val="lowerLetter"/>
      <w:start w:val="3"/>
    </w:lvl>
  </w:abstractNum>
  <w:abstractNum w:abstractNumId="243">
    <w:nsid w:val="46BA8FCA"/>
    <w:multiLevelType w:val="hybridMultilevel"/>
    <w:lvl w:ilvl="0">
      <w:lvlJc w:val="left"/>
      <w:lvlText w:val="(%1)"/>
      <w:numFmt w:val="lowerLetter"/>
      <w:start w:val="1"/>
    </w:lvl>
  </w:abstractNum>
  <w:abstractNum w:abstractNumId="244">
    <w:nsid w:val="7835626C"/>
    <w:multiLevelType w:val="hybridMultilevel"/>
    <w:lvl w:ilvl="0">
      <w:lvlJc w:val="left"/>
      <w:lvlText w:val="(%1)"/>
      <w:numFmt w:val="lowerLetter"/>
      <w:start w:val="1"/>
    </w:lvl>
    <w:lvl w:ilvl="1">
      <w:lvlJc w:val="left"/>
      <w:lvlText w:val="(%2)"/>
      <w:numFmt w:val="lowerRoman"/>
      <w:start w:val="1"/>
    </w:lvl>
  </w:abstractNum>
  <w:abstractNum w:abstractNumId="245">
    <w:nsid w:val="665ACA49"/>
    <w:multiLevelType w:val="hybridMultilevel"/>
    <w:lvl w:ilvl="0">
      <w:lvlJc w:val="left"/>
      <w:lvlText w:val="(%1)"/>
      <w:numFmt w:val="lowerRoman"/>
      <w:start w:val="3"/>
    </w:lvl>
  </w:abstractNum>
  <w:abstractNum w:abstractNumId="246">
    <w:nsid w:val="6835B2AE"/>
    <w:multiLevelType w:val="hybridMultilevel"/>
    <w:lvl w:ilvl="0">
      <w:lvlJc w:val="left"/>
      <w:lvlText w:val="(%1)"/>
      <w:numFmt w:val="lowerLetter"/>
      <w:start w:val="1"/>
    </w:lvl>
  </w:abstractNum>
  <w:abstractNum w:abstractNumId="247">
    <w:nsid w:val="4C187C90"/>
    <w:multiLevelType w:val="hybridMultilevel"/>
    <w:lvl w:ilvl="0">
      <w:lvlJc w:val="left"/>
      <w:lvlText w:val="(%1)"/>
      <w:numFmt w:val="lowerLetter"/>
      <w:start w:val="1"/>
    </w:lvl>
  </w:abstractNum>
  <w:abstractNum w:abstractNumId="248">
    <w:nsid w:val="541F28CD"/>
    <w:multiLevelType w:val="hybridMultilevel"/>
    <w:lvl w:ilvl="0">
      <w:lvlJc w:val="left"/>
      <w:lvlText w:val="(%1)"/>
      <w:numFmt w:val="decimal"/>
      <w:start w:val="30"/>
    </w:lvl>
  </w:abstractNum>
  <w:abstractNum w:abstractNumId="249">
    <w:nsid w:val="7F65FD16"/>
    <w:multiLevelType w:val="hybridMultilevel"/>
    <w:lvl w:ilvl="0">
      <w:lvlJc w:val="left"/>
      <w:lvlText w:val="(%1)"/>
      <w:numFmt w:val="lowerLetter"/>
      <w:start w:val="1"/>
    </w:lvl>
  </w:abstractNum>
  <w:abstractNum w:abstractNumId="250">
    <w:nsid w:val="77C9FD68"/>
    <w:multiLevelType w:val="hybridMultilevel"/>
    <w:lvl w:ilvl="0">
      <w:lvlJc w:val="left"/>
      <w:lvlText w:val="(%1)"/>
      <w:numFmt w:val="lowerRoman"/>
      <w:start w:val="2"/>
    </w:lvl>
  </w:abstractNum>
  <w:abstractNum w:abstractNumId="251">
    <w:nsid w:val="298A92BA"/>
    <w:multiLevelType w:val="hybridMultilevel"/>
    <w:lvl w:ilvl="0">
      <w:lvlJc w:val="left"/>
      <w:lvlText w:val="%1."/>
      <w:numFmt w:val="decimal"/>
      <w:start w:val="1"/>
    </w:lvl>
    <w:lvl w:ilvl="1">
      <w:lvlJc w:val="left"/>
      <w:lvlText w:val="(%2)"/>
      <w:numFmt w:val="lowerLetter"/>
      <w:start w:val="1"/>
    </w:lvl>
  </w:abstractNum>
  <w:abstractNum w:abstractNumId="252">
    <w:nsid w:val="6FE95EAC"/>
    <w:multiLevelType w:val="hybridMultilevel"/>
    <w:lvl w:ilvl="0">
      <w:lvlJc w:val="left"/>
      <w:lvlText w:val="%1"/>
      <w:numFmt w:val="decimal"/>
      <w:start w:val="1"/>
    </w:lvl>
    <w:lvl w:ilvl="1">
      <w:lvlJc w:val="left"/>
      <w:lvlText w:val="(%2)"/>
      <w:numFmt w:val="lowerLetter"/>
      <w:start w:val="6"/>
    </w:lvl>
  </w:abstractNum>
  <w:abstractNum w:abstractNumId="253">
    <w:nsid w:val="4B697C7A"/>
    <w:multiLevelType w:val="hybridMultilevel"/>
    <w:lvl w:ilvl="0">
      <w:lvlJc w:val="left"/>
      <w:lvlText w:val="%1."/>
      <w:numFmt w:val="decimal"/>
      <w:start w:val="2"/>
    </w:lvl>
    <w:lvl w:ilvl="1">
      <w:lvlJc w:val="left"/>
      <w:lvlText w:val="(%2)"/>
      <w:numFmt w:val="lowerLetter"/>
      <w:start w:val="1"/>
    </w:lvl>
  </w:abstractNum>
  <w:abstractNum w:abstractNumId="254">
    <w:nsid w:val="51A27AA6"/>
    <w:multiLevelType w:val="hybridMultilevel"/>
    <w:lvl w:ilvl="0">
      <w:lvlJc w:val="left"/>
      <w:lvlText w:val="(%1)"/>
      <w:numFmt w:val="lowerLetter"/>
      <w:start w:val="2"/>
    </w:lvl>
  </w:abstractNum>
  <w:abstractNum w:abstractNumId="255">
    <w:nsid w:val="613183F2"/>
    <w:multiLevelType w:val="hybridMultilevel"/>
    <w:lvl w:ilvl="0">
      <w:lvlJc w:val="left"/>
      <w:lvlText w:val="%1"/>
      <w:numFmt w:val="decimal"/>
      <w:start w:val="1"/>
    </w:lvl>
    <w:lvl w:ilvl="1">
      <w:lvlJc w:val="left"/>
      <w:lvlText w:val="(%2)"/>
      <w:numFmt w:val="lowerLetter"/>
      <w:start w:val="3"/>
    </w:lvl>
  </w:abstractNum>
  <w:abstractNum w:abstractNumId="256">
    <w:nsid w:val="634102B4"/>
    <w:multiLevelType w:val="hybridMultilevel"/>
    <w:lvl w:ilvl="0">
      <w:lvlJc w:val="left"/>
      <w:lvlText w:val="%1."/>
      <w:numFmt w:val="decimal"/>
      <w:start w:val="4"/>
    </w:lvl>
    <w:lvl w:ilvl="1">
      <w:lvlJc w:val="left"/>
      <w:lvlText w:val="%2"/>
      <w:numFmt w:val="lowerLetter"/>
      <w:start w:val="1"/>
    </w:lvl>
  </w:abstractNum>
  <w:abstractNum w:abstractNumId="257">
    <w:nsid w:val="65BF9DA8"/>
    <w:multiLevelType w:val="hybridMultilevel"/>
    <w:lvl w:ilvl="0">
      <w:lvlJc w:val="left"/>
      <w:lvlText w:val="%1."/>
      <w:numFmt w:val="decimal"/>
      <w:start w:val="1"/>
    </w:lvl>
  </w:abstractNum>
  <w:abstractNum w:abstractNumId="258">
    <w:nsid w:val="21A2ECCA"/>
    <w:multiLevelType w:val="hybridMultilevel"/>
    <w:lvl w:ilvl="0">
      <w:lvlJc w:val="left"/>
      <w:lvlText w:val="%1."/>
      <w:numFmt w:val="decimal"/>
      <w:start w:val="5"/>
    </w:lvl>
  </w:abstractNum>
  <w:abstractNum w:abstractNumId="259">
    <w:nsid w:val="4D5C4899"/>
    <w:multiLevelType w:val="hybridMultilevel"/>
    <w:lvl w:ilvl="0">
      <w:lvlJc w:val="left"/>
      <w:lvlText w:val="%1."/>
      <w:numFmt w:val="decimal"/>
      <w:start w:val="15"/>
    </w:lvl>
  </w:abstractNum>
  <w:abstractNum w:abstractNumId="260">
    <w:nsid w:val="3C3B72B2"/>
    <w:multiLevelType w:val="hybridMultilevel"/>
    <w:lvl w:ilvl="0">
      <w:lvlJc w:val="left"/>
      <w:lvlText w:val="%1:"/>
      <w:numFmt w:val="lowerLetter"/>
      <w:start w:val="29"/>
    </w:lvl>
  </w:abstractNum>
  <w:abstractNum w:abstractNumId="261">
    <w:nsid w:val="155EC4C2"/>
    <w:multiLevelType w:val="hybridMultilevel"/>
    <w:lvl w:ilvl="0">
      <w:lvlJc w:val="left"/>
      <w:lvlText w:val="(%1)"/>
      <w:numFmt w:val="lowerLetter"/>
      <w:start w:val="1"/>
    </w:lvl>
  </w:abstractNum>
  <w:abstractNum w:abstractNumId="262">
    <w:nsid w:val="65D2A137"/>
    <w:multiLevelType w:val="hybridMultilevel"/>
    <w:lvl w:ilvl="0">
      <w:lvlJc w:val="left"/>
      <w:lvlText w:val="(%1)"/>
      <w:numFmt w:val="lowerLetter"/>
      <w:start w:val="1"/>
    </w:lvl>
  </w:abstractNum>
  <w:abstractNum w:abstractNumId="263">
    <w:nsid w:val="6EBB1F2A"/>
    <w:multiLevelType w:val="hybridMultilevel"/>
    <w:lvl w:ilvl="0">
      <w:lvlJc w:val="left"/>
      <w:lvlText w:val="(%1)"/>
      <w:numFmt w:val="lowerLetter"/>
      <w:start w:val="1"/>
    </w:lvl>
  </w:abstractNum>
  <w:abstractNum w:abstractNumId="264">
    <w:nsid w:val="6FBF29CB"/>
    <w:multiLevelType w:val="hybridMultilevel"/>
    <w:lvl w:ilvl="0">
      <w:lvlJc w:val="left"/>
      <w:lvlText w:val="(%1)"/>
      <w:numFmt w:val="lowerLetter"/>
      <w:start w:val="1"/>
    </w:lvl>
  </w:abstractNum>
  <w:abstractNum w:abstractNumId="265">
    <w:nsid w:val="550B8808"/>
    <w:multiLevelType w:val="hybridMultilevel"/>
    <w:lvl w:ilvl="0">
      <w:lvlJc w:val="left"/>
      <w:lvlText w:val="(%1)"/>
      <w:numFmt w:val="decimal"/>
      <w:start w:val="2"/>
    </w:lvl>
  </w:abstractNum>
  <w:abstractNum w:abstractNumId="266">
    <w:nsid w:val="34CC3ACF"/>
    <w:multiLevelType w:val="hybridMultilevel"/>
    <w:lvl w:ilvl="0">
      <w:lvlJc w:val="left"/>
      <w:lvlText w:val="%1."/>
      <w:numFmt w:val="decimal"/>
      <w:start w:val="1"/>
    </w:lvl>
    <w:lvl w:ilvl="1">
      <w:lvlJc w:val="left"/>
      <w:lvlText w:val="(%2)"/>
      <w:numFmt w:val="lowerLetter"/>
      <w:start w:val="1"/>
    </w:lvl>
  </w:abstractNum>
  <w:abstractNum w:abstractNumId="267">
    <w:nsid w:val="4E556261"/>
    <w:multiLevelType w:val="hybridMultilevel"/>
    <w:lvl w:ilvl="0">
      <w:lvlJc w:val="left"/>
      <w:lvlText w:val="%1."/>
      <w:numFmt w:val="decimal"/>
      <w:start w:val="2"/>
    </w:lvl>
    <w:lvl w:ilvl="1">
      <w:lvlJc w:val="left"/>
      <w:lvlText w:val="(%2)"/>
      <w:numFmt w:val="lowerLetter"/>
      <w:start w:val="1"/>
    </w:lvl>
  </w:abstractNum>
  <w:abstractNum w:abstractNumId="268">
    <w:nsid w:val="4C672FC9"/>
    <w:multiLevelType w:val="hybridMultilevel"/>
    <w:lvl w:ilvl="0">
      <w:lvlJc w:val="left"/>
      <w:lvlText w:val="(%1)"/>
      <w:numFmt w:val="lowerLetter"/>
      <w:start w:val="2"/>
    </w:lvl>
  </w:abstractNum>
  <w:abstractNum w:abstractNumId="269">
    <w:nsid w:val="52A311C3"/>
    <w:multiLevelType w:val="hybridMultilevel"/>
    <w:lvl w:ilvl="0">
      <w:lvlJc w:val="left"/>
      <w:lvlText w:val="%1"/>
      <w:numFmt w:val="decimal"/>
      <w:start w:val="1"/>
    </w:lvl>
    <w:lvl w:ilvl="1">
      <w:lvlJc w:val="left"/>
      <w:lvlText w:val="(%2)"/>
      <w:numFmt w:val="lowerLetter"/>
      <w:start w:val="3"/>
    </w:lvl>
  </w:abstractNum>
  <w:abstractNum w:abstractNumId="270">
    <w:nsid w:val="44EF6B80"/>
    <w:multiLevelType w:val="hybridMultilevel"/>
    <w:lvl w:ilvl="0">
      <w:lvlJc w:val="left"/>
      <w:lvlText w:val="%1."/>
      <w:numFmt w:val="decimal"/>
      <w:start w:val="4"/>
    </w:lvl>
    <w:lvl w:ilvl="1">
      <w:lvlJc w:val="left"/>
      <w:lvlText w:val="%2"/>
      <w:numFmt w:val="lowerLetter"/>
      <w:start w:val="1"/>
    </w:lvl>
  </w:abstractNum>
  <w:abstractNum w:abstractNumId="271">
    <w:nsid w:val="12FCDE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jpe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jpe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2021-07-19T23:11:31Z</dcterms:created>
  <dcterms:modified xsi:type="dcterms:W3CDTF">2021-07-19T23:11:31Z</dcterms:modified>
</cp:coreProperties>
</file>