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ADAGIO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00534A102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ind w:left="5044"/>
        <w:spacing w:after="0"/>
        <w:rPr>
          <w:sz w:val="20"/>
          <w:szCs w:val="20"/>
          <w:color w:val="auto"/>
        </w:rPr>
      </w:pPr>
      <w:r>
        <w:rPr>
          <w:rFonts w:ascii="Arial" w:cs="Arial" w:eastAsia="Arial" w:hAnsi="Arial"/>
          <w:sz w:val="18"/>
          <w:szCs w:val="18"/>
          <w:b w:val="1"/>
          <w:bCs w:val="1"/>
          <w:color w:val="auto"/>
        </w:rPr>
        <w:t>Ajay Royan</w:t>
      </w:r>
    </w:p>
    <w:p>
      <w:pPr>
        <w:spacing w:after="0" w:line="27" w:lineRule="exact"/>
        <w:rPr>
          <w:sz w:val="24"/>
          <w:szCs w:val="24"/>
          <w:color w:val="auto"/>
        </w:rPr>
      </w:pPr>
    </w:p>
    <w:p>
      <w:pPr>
        <w:ind w:left="5004"/>
        <w:spacing w:after="0"/>
        <w:rPr>
          <w:sz w:val="20"/>
          <w:szCs w:val="20"/>
          <w:color w:val="auto"/>
        </w:rPr>
      </w:pPr>
      <w:r>
        <w:rPr>
          <w:rFonts w:ascii="Arial" w:cs="Arial" w:eastAsia="Arial" w:hAnsi="Arial"/>
          <w:sz w:val="18"/>
          <w:szCs w:val="18"/>
          <w:b w:val="1"/>
          <w:bCs w:val="1"/>
          <w:color w:val="auto"/>
        </w:rPr>
        <w:t>Mithril II 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 Mithril Capital Management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600 Congress Avenue, Suite 3100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Austin, TX 78701</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(512) 717-3770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August 10,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63"/>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249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6249670"/>
                    </a:xfrm>
                    <a:prstGeom prst="rect">
                      <a:avLst/>
                    </a:prstGeom>
                    <a:noFill/>
                  </pic:spPr>
                </pic:pic>
              </a:graphicData>
            </a:graphic>
          </wp:anchor>
        </w:drawing>
      </w:r>
    </w:p>
    <w:p>
      <w:pPr>
        <w:spacing w:after="0" w:line="23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Mithril II LP</w:t>
      </w:r>
    </w:p>
    <w:p>
      <w:pPr>
        <w:spacing w:after="0" w:line="36" w:lineRule="exact"/>
        <w:rPr>
          <w:sz w:val="20"/>
          <w:szCs w:val="20"/>
          <w:color w:val="auto"/>
        </w:rPr>
      </w:pPr>
    </w:p>
    <w:p>
      <w:pPr>
        <w:ind w:left="524" w:hanging="277"/>
        <w:spacing w:after="0"/>
        <w:tabs>
          <w:tab w:leader="none" w:pos="5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95" w:lineRule="exact"/>
        <w:rPr>
          <w:sz w:val="20"/>
          <w:szCs w:val="20"/>
          <w:color w:val="auto"/>
        </w:rPr>
      </w:pPr>
    </w:p>
    <w:p>
      <w:pPr>
        <w:ind w:left="524" w:hanging="277"/>
        <w:spacing w:after="0"/>
        <w:tabs>
          <w:tab w:leader="none" w:pos="5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524" w:hanging="277"/>
        <w:spacing w:after="0"/>
        <w:tabs>
          <w:tab w:leader="none" w:pos="5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5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524" w:hanging="277"/>
        <w:spacing w:after="0"/>
        <w:tabs>
          <w:tab w:leader="none" w:pos="5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40" w:type="dxa"/>
            <w:vAlign w:val="bottom"/>
          </w:tcPr>
          <w:p>
            <w:pPr>
              <w:spacing w:after="0"/>
              <w:rPr>
                <w:sz w:val="24"/>
                <w:szCs w:val="24"/>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4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4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40" w:type="dxa"/>
            <w:vAlign w:val="bottom"/>
          </w:tcPr>
          <w:p>
            <w:pPr>
              <w:spacing w:after="0"/>
              <w:rPr>
                <w:sz w:val="18"/>
                <w:szCs w:val="18"/>
                <w:color w:val="auto"/>
              </w:rPr>
            </w:pPr>
          </w:p>
        </w:tc>
        <w:tc>
          <w:tcPr>
            <w:tcW w:w="9040" w:type="dxa"/>
            <w:vAlign w:val="bottom"/>
            <w:vMerge w:val="restart"/>
          </w:tcPr>
          <w:p>
            <w:pPr>
              <w:ind w:left="10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tcPr>
          <w:p>
            <w:pPr>
              <w:spacing w:after="0"/>
              <w:rPr>
                <w:sz w:val="6"/>
                <w:szCs w:val="6"/>
                <w:color w:val="auto"/>
              </w:rPr>
            </w:pPr>
          </w:p>
        </w:tc>
        <w:tc>
          <w:tcPr>
            <w:tcW w:w="44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40" w:type="dxa"/>
            <w:vAlign w:val="bottom"/>
          </w:tcPr>
          <w:p>
            <w:pPr>
              <w:spacing w:after="0"/>
              <w:rPr>
                <w:sz w:val="18"/>
                <w:szCs w:val="18"/>
                <w:color w:val="auto"/>
              </w:rPr>
            </w:pPr>
          </w:p>
        </w:tc>
        <w:tc>
          <w:tcPr>
            <w:tcW w:w="90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8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524" w:right="3940" w:hanging="367"/>
        <w:spacing w:after="0" w:line="406" w:lineRule="auto"/>
        <w:tabs>
          <w:tab w:leader="none" w:pos="524"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524" w:hanging="367"/>
        <w:spacing w:after="0"/>
        <w:tabs>
          <w:tab w:leader="none" w:pos="52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5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524" w:right="5480" w:hanging="367"/>
        <w:spacing w:after="0" w:line="402" w:lineRule="auto"/>
        <w:tabs>
          <w:tab w:leader="none" w:pos="52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 (2)</w:t>
      </w:r>
    </w:p>
    <w:p>
      <w:pPr>
        <w:spacing w:after="0" w:line="1" w:lineRule="exact"/>
        <w:rPr>
          <w:rFonts w:ascii="Arial" w:cs="Arial" w:eastAsia="Arial" w:hAnsi="Arial"/>
          <w:sz w:val="18"/>
          <w:szCs w:val="18"/>
          <w:color w:val="auto"/>
        </w:rPr>
      </w:pPr>
    </w:p>
    <w:p>
      <w:pPr>
        <w:ind w:left="524" w:hanging="367"/>
        <w:spacing w:after="0"/>
        <w:tabs>
          <w:tab w:leader="none" w:pos="524"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80" w:hanging="424"/>
        <w:spacing w:after="0" w:line="26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shares are held of record by Mithril II (as defined in Item 2(a) below). Mithril II UGP (as defined in Item 2(a) below) is the general partner of Mithril II GP (as defined in Item 2(a) below),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ind w:left="424" w:right="120"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defined in Item 3 below)), as reported by the Issuer in its final prospectus dated August 5, 2021 and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August 6, 2021 pursuant to Rule 424(b)(4) (the “</w:t>
      </w:r>
      <w:r>
        <w:rPr>
          <w:rFonts w:ascii="Arial" w:cs="Arial" w:eastAsia="Arial" w:hAnsi="Arial"/>
          <w:sz w:val="18"/>
          <w:szCs w:val="18"/>
          <w:u w:val="single" w:color="auto"/>
          <w:color w:val="auto"/>
        </w:rPr>
        <w:t>Prospectus</w:t>
      </w:r>
      <w:r>
        <w:rPr>
          <w:rFonts w:ascii="Arial" w:cs="Arial" w:eastAsia="Arial" w:hAnsi="Arial"/>
          <w:sz w:val="18"/>
          <w:szCs w:val="18"/>
          <w:color w:val="auto"/>
        </w:rPr>
        <w:t>”) under the U.S. Securities Act of 1933, as amended.</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277"/>
        <w:spacing w:after="0"/>
        <w:tabs>
          <w:tab w:leader="none" w:pos="5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249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249035"/>
                    </a:xfrm>
                    <a:prstGeom prst="rect">
                      <a:avLst/>
                    </a:prstGeom>
                    <a:noFill/>
                  </pic:spPr>
                </pic:pic>
              </a:graphicData>
            </a:graphic>
          </wp:anchor>
        </w:drawing>
      </w:r>
    </w:p>
    <w:p>
      <w:pPr>
        <w:spacing w:after="0" w:line="23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Mithril II GP LP</w:t>
      </w:r>
    </w:p>
    <w:p>
      <w:pPr>
        <w:spacing w:after="0" w:line="36" w:lineRule="exact"/>
        <w:rPr>
          <w:sz w:val="20"/>
          <w:szCs w:val="20"/>
          <w:color w:val="auto"/>
        </w:rPr>
      </w:pPr>
    </w:p>
    <w:p>
      <w:pPr>
        <w:ind w:left="524" w:hanging="277"/>
        <w:spacing w:after="0"/>
        <w:tabs>
          <w:tab w:leader="none" w:pos="5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95" w:lineRule="exact"/>
        <w:rPr>
          <w:sz w:val="20"/>
          <w:szCs w:val="20"/>
          <w:color w:val="auto"/>
        </w:rPr>
      </w:pPr>
    </w:p>
    <w:p>
      <w:pPr>
        <w:ind w:left="524" w:hanging="277"/>
        <w:spacing w:after="0"/>
        <w:tabs>
          <w:tab w:leader="none" w:pos="5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524" w:hanging="277"/>
        <w:spacing w:after="0"/>
        <w:tabs>
          <w:tab w:leader="none" w:pos="5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5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524" w:hanging="277"/>
        <w:spacing w:after="0"/>
        <w:tabs>
          <w:tab w:leader="none" w:pos="5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40" w:type="dxa"/>
            <w:vAlign w:val="bottom"/>
          </w:tcPr>
          <w:p>
            <w:pPr>
              <w:spacing w:after="0"/>
              <w:rPr>
                <w:sz w:val="24"/>
                <w:szCs w:val="24"/>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4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4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40" w:type="dxa"/>
            <w:vAlign w:val="bottom"/>
          </w:tcPr>
          <w:p>
            <w:pPr>
              <w:spacing w:after="0"/>
              <w:rPr>
                <w:sz w:val="18"/>
                <w:szCs w:val="18"/>
                <w:color w:val="auto"/>
              </w:rPr>
            </w:pPr>
          </w:p>
        </w:tc>
        <w:tc>
          <w:tcPr>
            <w:tcW w:w="9040" w:type="dxa"/>
            <w:vAlign w:val="bottom"/>
            <w:vMerge w:val="restart"/>
          </w:tcPr>
          <w:p>
            <w:pPr>
              <w:ind w:left="10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tcPr>
          <w:p>
            <w:pPr>
              <w:spacing w:after="0"/>
              <w:rPr>
                <w:sz w:val="6"/>
                <w:szCs w:val="6"/>
                <w:color w:val="auto"/>
              </w:rPr>
            </w:pPr>
          </w:p>
        </w:tc>
        <w:tc>
          <w:tcPr>
            <w:tcW w:w="44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40" w:type="dxa"/>
            <w:vAlign w:val="bottom"/>
          </w:tcPr>
          <w:p>
            <w:pPr>
              <w:spacing w:after="0"/>
              <w:rPr>
                <w:sz w:val="18"/>
                <w:szCs w:val="18"/>
                <w:color w:val="auto"/>
              </w:rPr>
            </w:pPr>
          </w:p>
        </w:tc>
        <w:tc>
          <w:tcPr>
            <w:tcW w:w="90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8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524" w:right="3940" w:hanging="367"/>
        <w:spacing w:after="0" w:line="406" w:lineRule="auto"/>
        <w:tabs>
          <w:tab w:leader="none" w:pos="5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524" w:hanging="367"/>
        <w:spacing w:after="0"/>
        <w:tabs>
          <w:tab w:leader="none" w:pos="5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5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524" w:right="5480" w:hanging="367"/>
        <w:spacing w:after="0" w:line="402" w:lineRule="auto"/>
        <w:tabs>
          <w:tab w:leader="none" w:pos="5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 (2)</w:t>
      </w:r>
    </w:p>
    <w:p>
      <w:pPr>
        <w:spacing w:after="0" w:line="1" w:lineRule="exact"/>
        <w:rPr>
          <w:rFonts w:ascii="Arial" w:cs="Arial" w:eastAsia="Arial" w:hAnsi="Arial"/>
          <w:sz w:val="18"/>
          <w:szCs w:val="18"/>
          <w:color w:val="auto"/>
        </w:rPr>
      </w:pPr>
    </w:p>
    <w:p>
      <w:pPr>
        <w:ind w:left="524" w:hanging="367"/>
        <w:spacing w:after="0"/>
        <w:tabs>
          <w:tab w:leader="none" w:pos="5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24" w:right="180" w:hanging="424"/>
        <w:spacing w:after="0" w:line="26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335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335395"/>
                    </a:xfrm>
                    <a:prstGeom prst="rect">
                      <a:avLst/>
                    </a:prstGeom>
                    <a:noFill/>
                  </pic:spPr>
                </pic:pic>
              </a:graphicData>
            </a:graphic>
          </wp:anchor>
        </w:drawing>
      </w:r>
    </w:p>
    <w:p>
      <w:pPr>
        <w:spacing w:after="0" w:line="23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Mithril II UGP LLC</w:t>
      </w:r>
    </w:p>
    <w:p>
      <w:pPr>
        <w:spacing w:after="0" w:line="36" w:lineRule="exact"/>
        <w:rPr>
          <w:sz w:val="20"/>
          <w:szCs w:val="20"/>
          <w:color w:val="auto"/>
        </w:rPr>
      </w:pPr>
    </w:p>
    <w:p>
      <w:pPr>
        <w:ind w:left="524" w:hanging="277"/>
        <w:spacing w:after="0"/>
        <w:tabs>
          <w:tab w:leader="none" w:pos="5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524" w:hanging="277"/>
        <w:spacing w:after="0"/>
        <w:tabs>
          <w:tab w:leader="none" w:pos="5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8" w:lineRule="exact"/>
        <w:rPr>
          <w:sz w:val="20"/>
          <w:szCs w:val="20"/>
          <w:color w:val="auto"/>
        </w:rPr>
      </w:pPr>
    </w:p>
    <w:p>
      <w:pPr>
        <w:ind w:left="5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524" w:hanging="277"/>
        <w:spacing w:after="0"/>
        <w:tabs>
          <w:tab w:leader="none" w:pos="5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6" w:lineRule="exact"/>
        <w:rPr>
          <w:sz w:val="20"/>
          <w:szCs w:val="20"/>
          <w:color w:val="auto"/>
        </w:rPr>
      </w:pPr>
    </w:p>
    <w:p>
      <w:pPr>
        <w:ind w:left="5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29"/>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340" w:type="dxa"/>
            <w:vAlign w:val="bottom"/>
            <w:vMerge w:val="continue"/>
          </w:tcPr>
          <w:p>
            <w:pPr>
              <w:spacing w:after="0"/>
              <w:rPr>
                <w:sz w:val="5"/>
                <w:szCs w:val="5"/>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4"/>
                <w:szCs w:val="14"/>
                <w:color w:val="auto"/>
              </w:rPr>
            </w:pPr>
          </w:p>
        </w:tc>
        <w:tc>
          <w:tcPr>
            <w:tcW w:w="9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9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6"/>
                <w:szCs w:val="16"/>
                <w:color w:val="auto"/>
              </w:rPr>
            </w:pPr>
          </w:p>
        </w:tc>
        <w:tc>
          <w:tcPr>
            <w:tcW w:w="9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504" w:right="3960" w:hanging="347"/>
        <w:spacing w:after="0" w:line="406"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504" w:hanging="347"/>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8" w:lineRule="exact"/>
        <w:rPr>
          <w:sz w:val="20"/>
          <w:szCs w:val="20"/>
          <w:color w:val="auto"/>
        </w:rPr>
      </w:pPr>
    </w:p>
    <w:p>
      <w:pPr>
        <w:ind w:left="50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504" w:right="5500" w:hanging="347"/>
        <w:spacing w:after="0" w:line="397" w:lineRule="auto"/>
        <w:tabs>
          <w:tab w:leader="none" w:pos="5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 (2)</w:t>
      </w:r>
    </w:p>
    <w:p>
      <w:pPr>
        <w:spacing w:after="0" w:line="1" w:lineRule="exact"/>
        <w:rPr>
          <w:rFonts w:ascii="Arial" w:cs="Arial" w:eastAsia="Arial" w:hAnsi="Arial"/>
          <w:sz w:val="18"/>
          <w:szCs w:val="18"/>
          <w:color w:val="auto"/>
        </w:rPr>
      </w:pPr>
    </w:p>
    <w:p>
      <w:pPr>
        <w:ind w:left="504" w:hanging="347"/>
        <w:spacing w:after="0"/>
        <w:tabs>
          <w:tab w:leader="none" w:pos="5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0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57"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24" w:right="180" w:hanging="424"/>
        <w:spacing w:after="0" w:line="260"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334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6334760"/>
                    </a:xfrm>
                    <a:prstGeom prst="rect">
                      <a:avLst/>
                    </a:prstGeom>
                    <a:noFill/>
                  </pic:spPr>
                </pic:pic>
              </a:graphicData>
            </a:graphic>
          </wp:anchor>
        </w:drawing>
      </w:r>
    </w:p>
    <w:p>
      <w:pPr>
        <w:spacing w:after="0" w:line="23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Ajay Royan</w:t>
      </w:r>
    </w:p>
    <w:p>
      <w:pPr>
        <w:spacing w:after="0" w:line="36" w:lineRule="exact"/>
        <w:rPr>
          <w:sz w:val="20"/>
          <w:szCs w:val="20"/>
          <w:color w:val="auto"/>
        </w:rPr>
      </w:pPr>
    </w:p>
    <w:p>
      <w:pPr>
        <w:ind w:left="524" w:hanging="277"/>
        <w:spacing w:after="0"/>
        <w:tabs>
          <w:tab w:leader="none" w:pos="5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524" w:hanging="277"/>
        <w:spacing w:after="0"/>
        <w:tabs>
          <w:tab w:leader="none" w:pos="5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8" w:lineRule="exact"/>
        <w:rPr>
          <w:sz w:val="20"/>
          <w:szCs w:val="20"/>
          <w:color w:val="auto"/>
        </w:rPr>
      </w:pPr>
    </w:p>
    <w:p>
      <w:pPr>
        <w:ind w:left="5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524" w:hanging="277"/>
        <w:spacing w:after="0"/>
        <w:tabs>
          <w:tab w:leader="none" w:pos="5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6" w:lineRule="exact"/>
        <w:rPr>
          <w:sz w:val="20"/>
          <w:szCs w:val="20"/>
          <w:color w:val="auto"/>
        </w:rPr>
      </w:pPr>
    </w:p>
    <w:p>
      <w:pPr>
        <w:ind w:left="524"/>
        <w:spacing w:after="0"/>
        <w:rPr>
          <w:sz w:val="20"/>
          <w:szCs w:val="20"/>
          <w:color w:val="auto"/>
        </w:rPr>
      </w:pPr>
      <w:r>
        <w:rPr>
          <w:rFonts w:ascii="Arial" w:cs="Arial" w:eastAsia="Arial" w:hAnsi="Arial"/>
          <w:sz w:val="18"/>
          <w:szCs w:val="18"/>
          <w:color w:val="auto"/>
        </w:rPr>
        <w:t>Canada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29"/>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340" w:type="dxa"/>
            <w:vAlign w:val="bottom"/>
            <w:vMerge w:val="continue"/>
          </w:tcPr>
          <w:p>
            <w:pPr>
              <w:spacing w:after="0"/>
              <w:rPr>
                <w:sz w:val="5"/>
                <w:szCs w:val="5"/>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4"/>
                <w:szCs w:val="14"/>
                <w:color w:val="auto"/>
              </w:rPr>
            </w:pPr>
          </w:p>
        </w:tc>
        <w:tc>
          <w:tcPr>
            <w:tcW w:w="9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9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6"/>
                <w:szCs w:val="16"/>
                <w:color w:val="auto"/>
              </w:rPr>
            </w:pPr>
          </w:p>
        </w:tc>
        <w:tc>
          <w:tcPr>
            <w:tcW w:w="9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504" w:right="3960" w:hanging="347"/>
        <w:spacing w:after="0" w:line="406" w:lineRule="auto"/>
        <w:tabs>
          <w:tab w:leader="none" w:pos="5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504" w:hanging="347"/>
        <w:spacing w:after="0"/>
        <w:tabs>
          <w:tab w:leader="none" w:pos="5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8" w:lineRule="exact"/>
        <w:rPr>
          <w:sz w:val="20"/>
          <w:szCs w:val="20"/>
          <w:color w:val="auto"/>
        </w:rPr>
      </w:pPr>
    </w:p>
    <w:p>
      <w:pPr>
        <w:ind w:left="50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504" w:right="5500" w:hanging="347"/>
        <w:spacing w:after="0" w:line="397" w:lineRule="auto"/>
        <w:tabs>
          <w:tab w:leader="none" w:pos="5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 (2)</w:t>
      </w:r>
    </w:p>
    <w:p>
      <w:pPr>
        <w:spacing w:after="0" w:line="1" w:lineRule="exact"/>
        <w:rPr>
          <w:rFonts w:ascii="Arial" w:cs="Arial" w:eastAsia="Arial" w:hAnsi="Arial"/>
          <w:sz w:val="18"/>
          <w:szCs w:val="18"/>
          <w:color w:val="auto"/>
        </w:rPr>
      </w:pPr>
    </w:p>
    <w:p>
      <w:pPr>
        <w:ind w:left="504" w:hanging="347"/>
        <w:spacing w:after="0"/>
        <w:tabs>
          <w:tab w:leader="none" w:pos="5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0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57"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24" w:right="180" w:hanging="424"/>
        <w:spacing w:after="0" w:line="260"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335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6335395"/>
                    </a:xfrm>
                    <a:prstGeom prst="rect">
                      <a:avLst/>
                    </a:prstGeom>
                    <a:noFill/>
                  </pic:spPr>
                </pic:pic>
              </a:graphicData>
            </a:graphic>
          </wp:anchor>
        </w:drawing>
      </w:r>
    </w:p>
    <w:p>
      <w:pPr>
        <w:spacing w:after="0" w:line="23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Peter Thiel</w:t>
      </w:r>
    </w:p>
    <w:p>
      <w:pPr>
        <w:spacing w:after="0" w:line="36" w:lineRule="exact"/>
        <w:rPr>
          <w:sz w:val="20"/>
          <w:szCs w:val="20"/>
          <w:color w:val="auto"/>
        </w:rPr>
      </w:pPr>
    </w:p>
    <w:p>
      <w:pPr>
        <w:ind w:left="524" w:hanging="277"/>
        <w:spacing w:after="0"/>
        <w:tabs>
          <w:tab w:leader="none" w:pos="5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524" w:hanging="277"/>
        <w:spacing w:after="0"/>
        <w:tabs>
          <w:tab w:leader="none" w:pos="5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8" w:lineRule="exact"/>
        <w:rPr>
          <w:sz w:val="20"/>
          <w:szCs w:val="20"/>
          <w:color w:val="auto"/>
        </w:rPr>
      </w:pPr>
    </w:p>
    <w:p>
      <w:pPr>
        <w:ind w:left="5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524" w:hanging="277"/>
        <w:spacing w:after="0"/>
        <w:tabs>
          <w:tab w:leader="none" w:pos="5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6" w:lineRule="exact"/>
        <w:rPr>
          <w:sz w:val="20"/>
          <w:szCs w:val="20"/>
          <w:color w:val="auto"/>
        </w:rPr>
      </w:pPr>
    </w:p>
    <w:p>
      <w:pPr>
        <w:ind w:left="52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24" w:hanging="315"/>
        <w:spacing w:after="0"/>
        <w:tabs>
          <w:tab w:leader="none" w:pos="21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2" w:lineRule="exact"/>
        <w:rPr>
          <w:sz w:val="20"/>
          <w:szCs w:val="20"/>
          <w:color w:val="auto"/>
        </w:rPr>
      </w:pPr>
    </w:p>
    <w:tbl>
      <w:tblPr>
        <w:tblLayout w:type="fixed"/>
        <w:tblInd w:w="204"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1"/>
                <w:szCs w:val="21"/>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29"/>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340" w:type="dxa"/>
            <w:vAlign w:val="bottom"/>
            <w:vMerge w:val="continue"/>
          </w:tcPr>
          <w:p>
            <w:pPr>
              <w:spacing w:after="0"/>
              <w:rPr>
                <w:sz w:val="5"/>
                <w:szCs w:val="5"/>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4"/>
                <w:szCs w:val="14"/>
                <w:color w:val="auto"/>
              </w:rPr>
            </w:pPr>
          </w:p>
        </w:tc>
        <w:tc>
          <w:tcPr>
            <w:tcW w:w="9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9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6"/>
                <w:szCs w:val="16"/>
                <w:color w:val="auto"/>
              </w:rPr>
            </w:pPr>
          </w:p>
        </w:tc>
        <w:tc>
          <w:tcPr>
            <w:tcW w:w="9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504" w:right="3960" w:hanging="347"/>
        <w:spacing w:after="0" w:line="406" w:lineRule="auto"/>
        <w:tabs>
          <w:tab w:leader="none" w:pos="5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504" w:hanging="347"/>
        <w:spacing w:after="0"/>
        <w:tabs>
          <w:tab w:leader="none" w:pos="5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8" w:lineRule="exact"/>
        <w:rPr>
          <w:sz w:val="20"/>
          <w:szCs w:val="20"/>
          <w:color w:val="auto"/>
        </w:rPr>
      </w:pPr>
    </w:p>
    <w:p>
      <w:pPr>
        <w:ind w:left="50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504" w:right="5500" w:hanging="347"/>
        <w:spacing w:after="0" w:line="397" w:lineRule="auto"/>
        <w:tabs>
          <w:tab w:leader="none" w:pos="5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 (2)</w:t>
      </w:r>
    </w:p>
    <w:p>
      <w:pPr>
        <w:spacing w:after="0" w:line="1" w:lineRule="exact"/>
        <w:rPr>
          <w:rFonts w:ascii="Arial" w:cs="Arial" w:eastAsia="Arial" w:hAnsi="Arial"/>
          <w:sz w:val="18"/>
          <w:szCs w:val="18"/>
          <w:color w:val="auto"/>
        </w:rPr>
      </w:pPr>
    </w:p>
    <w:p>
      <w:pPr>
        <w:ind w:left="504" w:hanging="347"/>
        <w:spacing w:after="0"/>
        <w:tabs>
          <w:tab w:leader="none" w:pos="5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0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57"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24" w:right="180" w:hanging="424"/>
        <w:spacing w:after="0" w:line="260"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This joint statement on Schedule 13D (this “</w:t>
      </w:r>
      <w:r>
        <w:rPr>
          <w:rFonts w:ascii="Arial" w:cs="Arial" w:eastAsia="Arial" w:hAnsi="Arial"/>
          <w:sz w:val="18"/>
          <w:szCs w:val="18"/>
          <w:u w:val="single" w:color="auto"/>
          <w:color w:val="auto"/>
        </w:rPr>
        <w:t>Statement</w:t>
      </w:r>
      <w:r>
        <w:rPr>
          <w:rFonts w:ascii="Arial" w:cs="Arial" w:eastAsia="Arial" w:hAnsi="Arial"/>
          <w:sz w:val="18"/>
          <w:szCs w:val="18"/>
          <w:color w:val="auto"/>
        </w:rPr>
        <w:t>”) is filed with respect to the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Adagio Therapeutics,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 303 Wyman Street, Suite 300, Waltham, MA 02451.</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 w:right="40" w:hanging="4"/>
        <w:spacing w:after="0" w:line="254"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Statement is being filed by Mithril II LP (“</w:t>
      </w:r>
      <w:r>
        <w:rPr>
          <w:rFonts w:ascii="Arial" w:cs="Arial" w:eastAsia="Arial" w:hAnsi="Arial"/>
          <w:sz w:val="18"/>
          <w:szCs w:val="18"/>
          <w:u w:val="single" w:color="auto"/>
          <w:color w:val="auto"/>
        </w:rPr>
        <w:t>Mithril II</w:t>
      </w:r>
      <w:r>
        <w:rPr>
          <w:rFonts w:ascii="Arial" w:cs="Arial" w:eastAsia="Arial" w:hAnsi="Arial"/>
          <w:sz w:val="18"/>
          <w:szCs w:val="18"/>
          <w:color w:val="auto"/>
        </w:rPr>
        <w:t>”), Mithril II GP LP (“</w:t>
      </w:r>
      <w:r>
        <w:rPr>
          <w:rFonts w:ascii="Arial" w:cs="Arial" w:eastAsia="Arial" w:hAnsi="Arial"/>
          <w:sz w:val="18"/>
          <w:szCs w:val="18"/>
          <w:u w:val="single" w:color="auto"/>
          <w:color w:val="auto"/>
        </w:rPr>
        <w:t>Mithril II GP</w:t>
      </w:r>
      <w:r>
        <w:rPr>
          <w:rFonts w:ascii="Arial" w:cs="Arial" w:eastAsia="Arial" w:hAnsi="Arial"/>
          <w:sz w:val="18"/>
          <w:szCs w:val="18"/>
          <w:color w:val="auto"/>
        </w:rPr>
        <w:t>”), Mithril II UGP LLC (“</w:t>
      </w:r>
      <w:r>
        <w:rPr>
          <w:rFonts w:ascii="Arial" w:cs="Arial" w:eastAsia="Arial" w:hAnsi="Arial"/>
          <w:sz w:val="18"/>
          <w:szCs w:val="18"/>
          <w:u w:val="single" w:color="auto"/>
          <w:color w:val="auto"/>
        </w:rPr>
        <w:t>Mithril II UGP</w:t>
      </w:r>
      <w:r>
        <w:rPr>
          <w:rFonts w:ascii="Arial" w:cs="Arial" w:eastAsia="Arial" w:hAnsi="Arial"/>
          <w:sz w:val="18"/>
          <w:szCs w:val="18"/>
          <w:color w:val="auto"/>
        </w:rPr>
        <w:t>”, and together with Mithril II and Mithril II GP, the “</w:t>
      </w:r>
      <w:r>
        <w:rPr>
          <w:rFonts w:ascii="Arial" w:cs="Arial" w:eastAsia="Arial" w:hAnsi="Arial"/>
          <w:sz w:val="18"/>
          <w:szCs w:val="18"/>
          <w:u w:val="single" w:color="auto"/>
          <w:color w:val="auto"/>
        </w:rPr>
        <w:t>Reporting Entities</w:t>
      </w:r>
      <w:r>
        <w:rPr>
          <w:rFonts w:ascii="Arial" w:cs="Arial" w:eastAsia="Arial" w:hAnsi="Arial"/>
          <w:sz w:val="18"/>
          <w:szCs w:val="18"/>
          <w:color w:val="auto"/>
        </w:rPr>
        <w:t>”) and Ajay Royan (“</w:t>
      </w:r>
      <w:r>
        <w:rPr>
          <w:rFonts w:ascii="Arial" w:cs="Arial" w:eastAsia="Arial" w:hAnsi="Arial"/>
          <w:sz w:val="18"/>
          <w:szCs w:val="18"/>
          <w:u w:val="single" w:color="auto"/>
          <w:color w:val="auto"/>
        </w:rPr>
        <w:t>Royan</w:t>
      </w:r>
      <w:r>
        <w:rPr>
          <w:rFonts w:ascii="Arial" w:cs="Arial" w:eastAsia="Arial" w:hAnsi="Arial"/>
          <w:sz w:val="18"/>
          <w:szCs w:val="18"/>
          <w:color w:val="auto"/>
        </w:rPr>
        <w:t>”), a member of the Issuer’s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Peter Thiel (“</w:t>
      </w:r>
      <w:r>
        <w:rPr>
          <w:rFonts w:ascii="Arial" w:cs="Arial" w:eastAsia="Arial" w:hAnsi="Arial"/>
          <w:sz w:val="18"/>
          <w:szCs w:val="18"/>
          <w:u w:val="single" w:color="auto"/>
          <w:color w:val="auto"/>
        </w:rPr>
        <w:t>Thiel</w:t>
      </w:r>
      <w:r>
        <w:rPr>
          <w:rFonts w:ascii="Arial" w:cs="Arial" w:eastAsia="Arial" w:hAnsi="Arial"/>
          <w:sz w:val="18"/>
          <w:szCs w:val="18"/>
          <w:color w:val="auto"/>
        </w:rPr>
        <w:t>” and together with Royan, the “</w:t>
      </w:r>
      <w:r>
        <w:rPr>
          <w:rFonts w:ascii="Arial" w:cs="Arial" w:eastAsia="Arial" w:hAnsi="Arial"/>
          <w:sz w:val="18"/>
          <w:szCs w:val="18"/>
          <w:u w:val="single" w:color="auto"/>
          <w:color w:val="auto"/>
        </w:rPr>
        <w:t>Reporting Individuals</w:t>
      </w:r>
      <w:r>
        <w:rPr>
          <w:rFonts w:ascii="Arial" w:cs="Arial" w:eastAsia="Arial" w:hAnsi="Arial"/>
          <w:sz w:val="18"/>
          <w:szCs w:val="18"/>
          <w:color w:val="auto"/>
        </w:rPr>
        <w:t>”). The Reporting Entities and the Reporting Individuals are collectively referred to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The agreement among the Reporting Persons to file jointly in accordance with the provisions of Rule 13d-1(k)(1) under the Act is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Each Reporting Person disclaims beneficial ownership of all securities reported in this Statement except to the extent of such Reporting Person’s pecuniary interest therein, other than those securities reported herein as being held directly by such Reporting Person.</w:t>
      </w:r>
    </w:p>
    <w:p>
      <w:pPr>
        <w:spacing w:after="0" w:line="86" w:lineRule="exact"/>
        <w:rPr>
          <w:rFonts w:ascii="Arial" w:cs="Arial" w:eastAsia="Arial" w:hAnsi="Arial"/>
          <w:sz w:val="18"/>
          <w:szCs w:val="18"/>
          <w:color w:val="auto"/>
        </w:rPr>
      </w:pPr>
    </w:p>
    <w:p>
      <w:pPr>
        <w:ind w:left="4" w:right="140" w:hanging="4"/>
        <w:spacing w:after="0" w:line="277" w:lineRule="auto"/>
        <w:tabs>
          <w:tab w:leader="none" w:pos="2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address of the principal offices of each Reporting Entity and the business address each Reporting Individual is c/o Mithril Capital Management LLC, 600 Congress Avenue, Suite 3100, Austin, TX 78701.</w:t>
      </w:r>
    </w:p>
    <w:p>
      <w:pPr>
        <w:spacing w:after="0" w:line="62" w:lineRule="exact"/>
        <w:rPr>
          <w:rFonts w:ascii="Arial" w:cs="Arial" w:eastAsia="Arial" w:hAnsi="Arial"/>
          <w:sz w:val="18"/>
          <w:szCs w:val="18"/>
          <w:color w:val="auto"/>
        </w:rPr>
      </w:pPr>
    </w:p>
    <w:p>
      <w:pPr>
        <w:ind w:left="4" w:right="260" w:hanging="4"/>
        <w:spacing w:after="0" w:line="259"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Mithril II is a venture capital investment entity. Mithril II GP is the general partner of Mithril II. Mithril II UGP is the general partner of Mithril II GP. Each Reporting Individual is engaged through Mithril II in acquiring, holding and disposing of interests in various companies for investment purposes. The Reporting Individuals are members of the investment committee of Mithril II GP and Royan is the sole managing member of Mithril II UGP.</w:t>
      </w:r>
    </w:p>
    <w:p>
      <w:pPr>
        <w:spacing w:after="0" w:line="78" w:lineRule="exact"/>
        <w:rPr>
          <w:rFonts w:ascii="Arial" w:cs="Arial" w:eastAsia="Arial" w:hAnsi="Arial"/>
          <w:sz w:val="18"/>
          <w:szCs w:val="18"/>
          <w:color w:val="auto"/>
        </w:rPr>
      </w:pPr>
    </w:p>
    <w:p>
      <w:pPr>
        <w:ind w:left="4" w:right="640" w:hanging="4"/>
        <w:spacing w:after="0" w:line="277" w:lineRule="auto"/>
        <w:tabs>
          <w:tab w:leader="none" w:pos="2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During the past five years, none of the Reporting Persons has been convicted in a criminal proceeding (excluding traffic violations or similar misdemeanors).</w:t>
      </w:r>
    </w:p>
    <w:p>
      <w:pPr>
        <w:spacing w:after="0" w:line="62" w:lineRule="exact"/>
        <w:rPr>
          <w:rFonts w:ascii="Arial" w:cs="Arial" w:eastAsia="Arial" w:hAnsi="Arial"/>
          <w:sz w:val="18"/>
          <w:szCs w:val="18"/>
          <w:color w:val="auto"/>
        </w:rPr>
      </w:pPr>
    </w:p>
    <w:p>
      <w:pPr>
        <w:ind w:left="4" w:right="720" w:hanging="4"/>
        <w:spacing w:after="0" w:line="311"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None of the Reporting Persons is, or during the last five years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40" w:lineRule="exact"/>
        <w:rPr>
          <w:rFonts w:ascii="Arial" w:cs="Arial" w:eastAsia="Arial" w:hAnsi="Arial"/>
          <w:sz w:val="16"/>
          <w:szCs w:val="16"/>
          <w:color w:val="auto"/>
        </w:rPr>
      </w:pPr>
    </w:p>
    <w:p>
      <w:pPr>
        <w:ind w:left="4" w:right="120" w:hanging="4"/>
        <w:spacing w:after="0" w:line="308" w:lineRule="auto"/>
        <w:tabs>
          <w:tab w:leader="none" w:pos="229" w:val="left"/>
        </w:tabs>
        <w:numPr>
          <w:ilvl w:val="0"/>
          <w:numId w:val="46"/>
        </w:numPr>
        <w:rPr>
          <w:rFonts w:ascii="Arial" w:cs="Arial" w:eastAsia="Arial" w:hAnsi="Arial"/>
          <w:sz w:val="17"/>
          <w:szCs w:val="17"/>
          <w:color w:val="auto"/>
        </w:rPr>
      </w:pPr>
      <w:r>
        <w:rPr>
          <w:rFonts w:ascii="Arial" w:cs="Arial" w:eastAsia="Arial" w:hAnsi="Arial"/>
          <w:sz w:val="17"/>
          <w:szCs w:val="17"/>
          <w:color w:val="auto"/>
        </w:rPr>
        <w:t>Mithril II UGP is a limited liability company organized under the laws of the State of Delaware. Mithril II and Mithril II GP are limited partnerships organized under the laws of the State of Delaware. Royan is a citizen of Canada. Thiel is a citizen of the United States of America.</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In July 2020, Mithril II purchased 1,250,000 shares of the Issuer’s Series A preferred stock for a purchase price of $8.00 per share and an aggregate purchase price of $10,000,000.</w:t>
      </w:r>
    </w:p>
    <w:p>
      <w:pPr>
        <w:spacing w:after="0" w:line="62"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In October 2020, Mithril II purchased 176,304 shares of the Issuer’s Series B preferred stock for a purchase price of $56.72 per share and an aggregate purchase price of $9,999,963.</w:t>
      </w:r>
    </w:p>
    <w:p>
      <w:pPr>
        <w:spacing w:after="0" w:line="62"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In April 2021, Mithril II purchased an aggregate of 422,612 shares of the Issuer’s Series C preferred stock for a purchase price of $78.08578 per share and an aggregate purchase price of $32,999,988.</w:t>
      </w:r>
    </w:p>
    <w:p>
      <w:pPr>
        <w:spacing w:after="0" w:line="62"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On August 10, 2021, effective upon the closing of the Issuer’s initial public offering of its Common Stock (the “</w:t>
      </w:r>
      <w:r>
        <w:rPr>
          <w:rFonts w:ascii="Arial" w:cs="Arial" w:eastAsia="Arial" w:hAnsi="Arial"/>
          <w:sz w:val="18"/>
          <w:szCs w:val="18"/>
          <w:u w:val="single" w:color="auto"/>
          <w:color w:val="auto"/>
        </w:rPr>
        <w:t>Offering</w:t>
      </w:r>
      <w:r>
        <w:rPr>
          <w:rFonts w:ascii="Arial" w:cs="Arial" w:eastAsia="Arial" w:hAnsi="Arial"/>
          <w:sz w:val="18"/>
          <w:szCs w:val="18"/>
          <w:color w:val="auto"/>
        </w:rPr>
        <w:t>”), each share of the Issuer’s preferred stock automatically converted into 5 shares of the Issuer’s Common Stock for no consideration, which resulted in Mithril II holding 9,244,580 shares of Common Stock (the “</w:t>
      </w: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76"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In addition, on August 10, 2021, in connection with the Offering, Mithril purchased an additional 1,997,000 shares of the Issuer’s Common Stock for a purchase price of $17.00 per share and an aggregate purchase price of $33,949,000 (the “</w:t>
      </w:r>
      <w:r>
        <w:rPr>
          <w:rFonts w:ascii="Arial" w:cs="Arial" w:eastAsia="Arial" w:hAnsi="Arial"/>
          <w:sz w:val="18"/>
          <w:szCs w:val="18"/>
          <w:u w:val="single" w:color="auto"/>
          <w:color w:val="auto"/>
        </w:rPr>
        <w:t>Purchase</w:t>
      </w:r>
      <w:r>
        <w:rPr>
          <w:rFonts w:ascii="Arial" w:cs="Arial" w:eastAsia="Arial" w:hAnsi="Arial"/>
          <w:sz w:val="18"/>
          <w:szCs w:val="18"/>
          <w:color w:val="auto"/>
        </w:rPr>
        <w:t>”). Following the Conversion and the Purchase, Mithril II directly held an aggregate of 11,241,580 shares of Common Stock.</w:t>
      </w:r>
    </w:p>
    <w:p>
      <w:pPr>
        <w:sectPr>
          <w:pgSz w:w="11900" w:h="16838" w:orient="portrait"/>
          <w:cols w:equalWidth="0" w:num="1">
            <w:col w:w="11024"/>
          </w:cols>
          <w:pgMar w:left="436" w:top="274" w:right="439" w:bottom="1440" w:gutter="0" w:footer="0" w:header="0"/>
        </w:sectPr>
      </w:pPr>
    </w:p>
    <w:bookmarkStart w:id="7" w:name="page8"/>
    <w:bookmarkEnd w:id="7"/>
    <w:p>
      <w:pPr>
        <w:ind w:left="4"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shares of the capital stock of the Issuer purchased by Mithril II have been purchased using investment funds provided to Mithril II by its limited partner and general partner investors. Unless noted above, no part of the purchase price was borrowed by any Reporting Person for the purpose of acquiring any securities discussed in this Item 3.</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 w:right="140"/>
        <w:spacing w:after="0" w:line="290" w:lineRule="auto"/>
        <w:rPr>
          <w:sz w:val="20"/>
          <w:szCs w:val="20"/>
          <w:color w:val="auto"/>
        </w:rPr>
      </w:pPr>
      <w:r>
        <w:rPr>
          <w:rFonts w:ascii="Arial" w:cs="Arial" w:eastAsia="Arial" w:hAnsi="Arial"/>
          <w:sz w:val="16"/>
          <w:szCs w:val="16"/>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w:t>
      </w:r>
    </w:p>
    <w:p>
      <w:pPr>
        <w:spacing w:after="0" w:line="165" w:lineRule="exact"/>
        <w:rPr>
          <w:sz w:val="20"/>
          <w:szCs w:val="20"/>
          <w:color w:val="auto"/>
        </w:rPr>
      </w:pPr>
    </w:p>
    <w:p>
      <w:pPr>
        <w:ind w:left="4" w:right="560"/>
        <w:spacing w:after="0" w:line="263" w:lineRule="auto"/>
        <w:rPr>
          <w:sz w:val="20"/>
          <w:szCs w:val="20"/>
          <w:color w:val="auto"/>
        </w:rPr>
      </w:pPr>
      <w:r>
        <w:rPr>
          <w:rFonts w:ascii="Arial" w:cs="Arial" w:eastAsia="Arial" w:hAnsi="Arial"/>
          <w:sz w:val="18"/>
          <w:szCs w:val="18"/>
          <w:color w:val="auto"/>
        </w:rPr>
        <w:t>Royan is a member of the Board. In addition, Royan, in his capacity as a director, may be entitled to receive cash compensation and equity compensation, including stock option or other equity awards, pursuant to the Issuer’s non-employee director compensation policy, which became effective upon the effective date of the Registration Statement (as defined below).</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Except as set forth above, the Reporting Persons have no present plans or intentions which would result in or relate to any of the transactions described in subparagraphs (a) through (j) of Item 4 of Schedule 13D.</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and (b) See Items 7-11 of the cover pages of this Statement and Item 2 above.</w:t>
      </w:r>
    </w:p>
    <w:p>
      <w:pPr>
        <w:spacing w:after="0" w:line="117" w:lineRule="exact"/>
        <w:rPr>
          <w:sz w:val="20"/>
          <w:szCs w:val="20"/>
          <w:color w:val="auto"/>
        </w:rPr>
      </w:pPr>
    </w:p>
    <w:p>
      <w:pPr>
        <w:ind w:left="244" w:hanging="244"/>
        <w:spacing w:after="0"/>
        <w:tabs>
          <w:tab w:leader="none" w:pos="244"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Except as reported in this Statement, none of the Reporting Persons has effected any transactions in the Issuer’s securities within the past 60 days.</w:t>
      </w:r>
    </w:p>
    <w:p>
      <w:pPr>
        <w:spacing w:after="0" w:line="140" w:lineRule="exact"/>
        <w:rPr>
          <w:rFonts w:ascii="Arial" w:cs="Arial" w:eastAsia="Arial" w:hAnsi="Arial"/>
          <w:sz w:val="16"/>
          <w:szCs w:val="16"/>
          <w:color w:val="auto"/>
        </w:rPr>
      </w:pPr>
    </w:p>
    <w:p>
      <w:pPr>
        <w:ind w:left="4" w:right="80" w:hanging="4"/>
        <w:spacing w:after="0" w:line="263" w:lineRule="auto"/>
        <w:tabs>
          <w:tab w:leader="none" w:pos="2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certain circumstances set forth in the limited partnership agreement of Mithril II, the general partner and limited partners of Mithril II may be deemed to have the right to receive dividends from, or the proceeds from, the sale of shares of the Issuer owned by such entity of which they are a partner.</w:t>
      </w:r>
    </w:p>
    <w:p>
      <w:pPr>
        <w:spacing w:after="0" w:line="75" w:lineRule="exact"/>
        <w:rPr>
          <w:rFonts w:ascii="Arial" w:cs="Arial" w:eastAsia="Arial" w:hAnsi="Arial"/>
          <w:sz w:val="18"/>
          <w:szCs w:val="18"/>
          <w:color w:val="auto"/>
        </w:rPr>
      </w:pPr>
    </w:p>
    <w:p>
      <w:pPr>
        <w:ind w:left="244" w:hanging="244"/>
        <w:spacing w:after="0"/>
        <w:tabs>
          <w:tab w:leader="none" w:pos="2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Items 3 and 4 of this Statement is incorporated herein by reference.</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In connection with its purchase of shares of the Issuer’s Series C preferred stock, Mithril II and certain of the Issuer’s other investors entered into a Second Amended and Restated Investors’ Rights Agreement, dated April 16, 2021, with the Issuer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After the closing of the Offering, the stockholders party thereto are entitled to certain registration rights, including the right to demand that that the Issuer file a registration statement or request that their shares be covered by a registration statement that the Issuer is otherwise filing. The terms and provisions of the Rights Agreement are described more fully in the Issuer’s Registration Statement on Form S-1 (File No. 333- 257975) declared effective by the Commission on August 5, 2021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and the above summary is qualified by reference to such description and the full text of the Rights Agreement, which is filed as </w:t>
      </w:r>
      <w:r>
        <w:rPr>
          <w:rFonts w:ascii="Arial" w:cs="Arial" w:eastAsia="Arial" w:hAnsi="Arial"/>
          <w:sz w:val="17"/>
          <w:szCs w:val="17"/>
          <w:u w:val="single" w:color="auto"/>
          <w:color w:val="auto"/>
        </w:rPr>
        <w:t>Exhibit 2</w:t>
      </w:r>
      <w:r>
        <w:rPr>
          <w:rFonts w:ascii="Arial" w:cs="Arial" w:eastAsia="Arial" w:hAnsi="Arial"/>
          <w:sz w:val="17"/>
          <w:szCs w:val="17"/>
          <w:color w:val="auto"/>
        </w:rPr>
        <w:t xml:space="preserve"> to this Statement and is incorporated herein by reference.</w:t>
      </w:r>
    </w:p>
    <w:p>
      <w:pPr>
        <w:spacing w:after="0" w:line="17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 xml:space="preserve">In connection with the Offering, each of Mithril II and Royan has entered into a lock-up agreement, pursuant to which each such party agreed, subject to certain exceptions, not to sell, transfer or otherwise convey any of the Issuer’s securities held by Mithril II for 180 days following the date of the final prospectus for the Offering. The terms and provisions of such lock-up agreement are described more fully in the Registration Statement, and the above summary is qualified by reference to such description and the full text of the lock-up agreement, a form of which is filed as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to this Statement and is incorporated herein by reference.</w:t>
      </w:r>
    </w:p>
    <w:p>
      <w:pPr>
        <w:sectPr>
          <w:pgSz w:w="11900" w:h="16838" w:orient="portrait"/>
          <w:cols w:equalWidth="0" w:num="1">
            <w:col w:w="11004"/>
          </w:cols>
          <w:pgMar w:left="436" w:top="274" w:right="459" w:bottom="1440" w:gutter="0" w:footer="0" w:header="0"/>
        </w:sectPr>
      </w:pPr>
    </w:p>
    <w:bookmarkStart w:id="8" w:name="page9"/>
    <w:bookmarkEnd w:id="8"/>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Issuer has entered into an indemnification agreement with each of its directors and executive officers, including Royan. The indemnification agreement requires the Issuer, among other things, to indemnify Royan for some expenses, including attorneys’ fees, judgments, fines and settlement amounts incurred by Royan in any action or proceeding arising out of his service as a director. The terms and provisions of the indemnification agreement are described more fully in the Registration Statement, and the above summary is qualified by reference to such description and the full text of the indemnification agreement, a form of which is filed as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to this Statement and is incorporated herein by reference.</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Royan, in his capacity as a director, may be entitled to receive cash compensation and equity compensation, including stock option or other equity awards, pursuant to each of the Issuer’s 2021 Equity Incentive Plan (the “</w:t>
      </w:r>
      <w:r>
        <w:rPr>
          <w:rFonts w:ascii="Arial" w:cs="Arial" w:eastAsia="Arial" w:hAnsi="Arial"/>
          <w:sz w:val="17"/>
          <w:szCs w:val="17"/>
          <w:u w:val="single" w:color="auto"/>
          <w:color w:val="auto"/>
        </w:rPr>
        <w:t>Option Plan</w:t>
      </w:r>
      <w:r>
        <w:rPr>
          <w:rFonts w:ascii="Arial" w:cs="Arial" w:eastAsia="Arial" w:hAnsi="Arial"/>
          <w:sz w:val="17"/>
          <w:szCs w:val="17"/>
          <w:color w:val="auto"/>
        </w:rPr>
        <w:t>”), and the Issuer’s non-employee director compensation policy (the “</w:t>
      </w:r>
      <w:r>
        <w:rPr>
          <w:rFonts w:ascii="Arial" w:cs="Arial" w:eastAsia="Arial" w:hAnsi="Arial"/>
          <w:sz w:val="17"/>
          <w:szCs w:val="17"/>
          <w:u w:val="single" w:color="auto"/>
          <w:color w:val="auto"/>
        </w:rPr>
        <w:t>Compensation Plan</w:t>
      </w:r>
      <w:r>
        <w:rPr>
          <w:rFonts w:ascii="Arial" w:cs="Arial" w:eastAsia="Arial" w:hAnsi="Arial"/>
          <w:sz w:val="17"/>
          <w:szCs w:val="17"/>
          <w:color w:val="auto"/>
        </w:rPr>
        <w:t xml:space="preserve">”). The terms and provisions of the Option Plan and the Compensation Plan are described in the Registration Statement and the full text of which is filed as </w:t>
      </w:r>
      <w:r>
        <w:rPr>
          <w:rFonts w:ascii="Arial" w:cs="Arial" w:eastAsia="Arial" w:hAnsi="Arial"/>
          <w:sz w:val="17"/>
          <w:szCs w:val="17"/>
          <w:u w:val="single" w:color="auto"/>
          <w:color w:val="auto"/>
        </w:rPr>
        <w:t>Exhibit 5</w:t>
      </w:r>
      <w:r>
        <w:rPr>
          <w:rFonts w:ascii="Arial" w:cs="Arial" w:eastAsia="Arial" w:hAnsi="Arial"/>
          <w:sz w:val="17"/>
          <w:szCs w:val="17"/>
          <w:color w:val="auto"/>
        </w:rPr>
        <w:t xml:space="preserve"> to this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dated August 20, 2021, by and among the Reporting Persons (filed herewith).</w:t>
      </w:r>
    </w:p>
    <w:p>
      <w:pPr>
        <w:spacing w:after="0" w:line="117" w:lineRule="exact"/>
        <w:rPr>
          <w:sz w:val="20"/>
          <w:szCs w:val="20"/>
          <w:color w:val="auto"/>
        </w:rPr>
      </w:pPr>
    </w:p>
    <w:p>
      <w:pPr>
        <w:ind w:left="1320" w:right="160" w:hanging="1322"/>
        <w:spacing w:after="0" w:line="263" w:lineRule="auto"/>
        <w:tabs>
          <w:tab w:leader="none" w:pos="130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Second Amended and Restated Investors’ Rights Agreement, dated April 16, 2021, by and among the Issuer and certain of its stockholders (filed as Exhibit 4.1 to the Issuer’s Registration Statement on Form S-1 as filed with the Commission on July 16, 2021 (SEC File No. 333-257975) and incorporated herein by reference).</w:t>
      </w:r>
    </w:p>
    <w:p>
      <w:pPr>
        <w:spacing w:after="0" w:line="76" w:lineRule="exact"/>
        <w:rPr>
          <w:sz w:val="20"/>
          <w:szCs w:val="20"/>
          <w:color w:val="auto"/>
        </w:rPr>
      </w:pPr>
    </w:p>
    <w:p>
      <w:pPr>
        <w:jc w:val="both"/>
        <w:ind w:left="1320" w:right="100" w:hanging="1322"/>
        <w:spacing w:after="0" w:line="263" w:lineRule="auto"/>
        <w:tabs>
          <w:tab w:leader="none" w:pos="130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Form of Lock-Up Agreement for certain directors, officers and other stockholders of the Issuer (included as Exhibit A to the form of Underwriting Agreement filed as Exhibit 1.1 to the Issuer’s Registration Statement on Form S-1/A as filed with the Commission on August 2, 2021 (SEC File No. 333-257975) and incorporated herein by reference).</w:t>
      </w:r>
    </w:p>
    <w:p>
      <w:pPr>
        <w:spacing w:after="0" w:line="76" w:lineRule="exact"/>
        <w:rPr>
          <w:sz w:val="20"/>
          <w:szCs w:val="20"/>
          <w:color w:val="auto"/>
        </w:rPr>
      </w:pPr>
    </w:p>
    <w:p>
      <w:pPr>
        <w:ind w:left="1320" w:right="40" w:hanging="1322"/>
        <w:spacing w:after="0" w:line="263" w:lineRule="auto"/>
        <w:tabs>
          <w:tab w:leader="none" w:pos="1300" w:val="left"/>
        </w:tabs>
        <w:rPr>
          <w:sz w:val="20"/>
          <w:szCs w:val="20"/>
          <w:color w:val="auto"/>
        </w:rPr>
      </w:pPr>
      <w:r>
        <w:rPr>
          <w:rFonts w:ascii="Arial" w:cs="Arial" w:eastAsia="Arial" w:hAnsi="Arial"/>
          <w:sz w:val="18"/>
          <w:szCs w:val="18"/>
          <w:color w:val="auto"/>
        </w:rPr>
        <w:t>Exhibit 4:</w:t>
      </w:r>
      <w:r>
        <w:rPr>
          <w:sz w:val="20"/>
          <w:szCs w:val="20"/>
          <w:color w:val="auto"/>
        </w:rPr>
        <w:tab/>
      </w:r>
      <w:r>
        <w:rPr>
          <w:rFonts w:ascii="Arial" w:cs="Arial" w:eastAsia="Arial" w:hAnsi="Arial"/>
          <w:sz w:val="18"/>
          <w:szCs w:val="18"/>
          <w:color w:val="auto"/>
        </w:rPr>
        <w:t>Form of Indemnification Agreement by and between the Issuer and its directors and officers (filed as Exhibit 10.4 to the Issuer’s Registration Statement on Form S-1/A as filed with the Commission on August 2, 2021 (SEC File No. 333-257975) and incorporated herein by reference).</w:t>
      </w:r>
    </w:p>
    <w:p>
      <w:pPr>
        <w:spacing w:after="0" w:line="76" w:lineRule="exact"/>
        <w:rPr>
          <w:sz w:val="20"/>
          <w:szCs w:val="20"/>
          <w:color w:val="auto"/>
        </w:rPr>
      </w:pPr>
    </w:p>
    <w:p>
      <w:pPr>
        <w:ind w:left="1320" w:right="80" w:hanging="1322"/>
        <w:spacing w:after="0" w:line="277" w:lineRule="auto"/>
        <w:tabs>
          <w:tab w:leader="none" w:pos="1300"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8"/>
          <w:szCs w:val="18"/>
          <w:color w:val="auto"/>
        </w:rPr>
        <w:t>2021 Equity Incentive Plan (filed as Exhibit 10.2 to the Issuer’s Registration Statement on Form S-1/A as filed with the Commission on August 2, 2021 (SEC File No. 333-257975) and incorporated herein by reference).</w:t>
      </w:r>
    </w:p>
    <w:p>
      <w:pPr>
        <w:sectPr>
          <w:pgSz w:w="11900" w:h="16838" w:orient="portrait"/>
          <w:cols w:equalWidth="0" w:num="1">
            <w:col w:w="10960"/>
          </w:cols>
          <w:pgMar w:left="440" w:top="274" w:right="499" w:bottom="1440" w:gutter="0" w:footer="0" w:header="0"/>
        </w:sectPr>
      </w:pPr>
    </w:p>
    <w:bookmarkStart w:id="9" w:name="page10"/>
    <w:bookmarkEnd w:id="9"/>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UGP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GP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UGP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UGP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Ajay Royan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Peter Thiel</w:t>
      </w:r>
    </w:p>
    <w:p>
      <w:pPr>
        <w:sectPr>
          <w:pgSz w:w="11900" w:h="16838" w:orient="portrait"/>
          <w:cols w:equalWidth="0" w:num="1">
            <w:col w:w="10460"/>
          </w:cols>
          <w:pgMar w:left="440" w:top="270" w:right="9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him, her or it contained therein, but shall not be responsible for the completeness or accuracy of the information concerning the others of the undersigned, except to the extent that it knows or has reason to believe that such information is inaccurate or incomplete. This Joint Filing Agreement may be executed in any number of counterparts, all of which taken together shall constitute one and the same instrument.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UGP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GP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UGP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UGP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Ajay Royan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Peter Thiel</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bullet"/>
      <w:start w:val="1"/>
    </w:lvl>
  </w:abstractNum>
  <w:abstractNum w:abstractNumId="2">
    <w:nsid w:val="79838CB2"/>
    <w:multiLevelType w:val="hybridMultilevel"/>
    <w:lvl w:ilvl="0">
      <w:lvlJc w:val="left"/>
      <w:lvlText w:val="2"/>
      <w:numFmt w:val="bullet"/>
      <w:start w:val="1"/>
    </w:lvl>
  </w:abstractNum>
  <w:abstractNum w:abstractNumId="3">
    <w:nsid w:val="4353D0CD"/>
    <w:multiLevelType w:val="hybridMultilevel"/>
    <w:lvl w:ilvl="0">
      <w:lvlJc w:val="left"/>
      <w:lvlText w:val="3"/>
      <w:numFmt w:val="bullet"/>
      <w:start w:val="1"/>
    </w:lvl>
  </w:abstractNum>
  <w:abstractNum w:abstractNumId="4">
    <w:nsid w:val="B03E0C6"/>
    <w:multiLevelType w:val="hybridMultilevel"/>
    <w:lvl w:ilvl="0">
      <w:lvlJc w:val="left"/>
      <w:lvlText w:val="4"/>
      <w:numFmt w:val="bullet"/>
      <w:start w:val="1"/>
    </w:lvl>
  </w:abstractNum>
  <w:abstractNum w:abstractNumId="5">
    <w:nsid w:val="189A769B"/>
    <w:multiLevelType w:val="hybridMultilevel"/>
    <w:lvl w:ilvl="0">
      <w:lvlJc w:val="left"/>
      <w:lvlText w:val="5"/>
      <w:numFmt w:val="bullet"/>
      <w:start w:val="1"/>
    </w:lvl>
  </w:abstractNum>
  <w:abstractNum w:abstractNumId="6">
    <w:nsid w:val="54E49EB4"/>
    <w:multiLevelType w:val="hybridMultilevel"/>
    <w:lvl w:ilvl="0">
      <w:lvlJc w:val="left"/>
      <w:lvlText w:val="6"/>
      <w:numFmt w:val="bullet"/>
      <w:start w:val="1"/>
    </w:lvl>
  </w:abstractNum>
  <w:abstractNum w:abstractNumId="7">
    <w:nsid w:val="71F32454"/>
    <w:multiLevelType w:val="hybridMultilevel"/>
    <w:lvl w:ilvl="0">
      <w:lvlJc w:val="left"/>
      <w:lvlText w:val="%1"/>
      <w:numFmt w:val="decimal"/>
      <w:start w:val="1"/>
    </w:lvl>
    <w:lvl w:ilvl="1">
      <w:lvlJc w:val="left"/>
      <w:lvlText w:val="%2"/>
      <w:numFmt w:val="decimal"/>
      <w:start w:val="11"/>
    </w:lvl>
  </w:abstractNum>
  <w:abstractNum w:abstractNumId="8">
    <w:nsid w:val="2CA88611"/>
    <w:multiLevelType w:val="hybridMultilevel"/>
    <w:lvl w:ilvl="0">
      <w:lvlJc w:val="left"/>
      <w:lvlText w:val="(%1)"/>
      <w:numFmt w:val="decimal"/>
      <w:start w:val="1"/>
    </w:lvl>
    <w:lvl w:ilvl="1">
      <w:lvlJc w:val="left"/>
      <w:lvlText w:val="%2"/>
      <w:numFmt w:val="decimal"/>
      <w:start w:val="1"/>
    </w:lvl>
  </w:abstractNum>
  <w:abstractNum w:abstractNumId="9">
    <w:nsid w:val="836C40E"/>
    <w:multiLevelType w:val="hybridMultilevel"/>
    <w:lvl w:ilvl="0">
      <w:lvlJc w:val="left"/>
      <w:lvlText w:val="1"/>
      <w:numFmt w:val="bullet"/>
      <w:start w:val="1"/>
    </w:lvl>
  </w:abstractNum>
  <w:abstractNum w:abstractNumId="10">
    <w:nsid w:val="2901D82"/>
    <w:multiLevelType w:val="hybridMultilevel"/>
    <w:lvl w:ilvl="0">
      <w:lvlJc w:val="left"/>
      <w:lvlText w:val="2"/>
      <w:numFmt w:val="bullet"/>
      <w:start w:val="1"/>
    </w:lvl>
  </w:abstractNum>
  <w:abstractNum w:abstractNumId="11">
    <w:nsid w:val="3A95F874"/>
    <w:multiLevelType w:val="hybridMultilevel"/>
    <w:lvl w:ilvl="0">
      <w:lvlJc w:val="left"/>
      <w:lvlText w:val="3"/>
      <w:numFmt w:val="bullet"/>
      <w:start w:val="1"/>
    </w:lvl>
  </w:abstractNum>
  <w:abstractNum w:abstractNumId="12">
    <w:nsid w:val="8138641"/>
    <w:multiLevelType w:val="hybridMultilevel"/>
    <w:lvl w:ilvl="0">
      <w:lvlJc w:val="left"/>
      <w:lvlText w:val="4"/>
      <w:numFmt w:val="bullet"/>
      <w:start w:val="1"/>
    </w:lvl>
  </w:abstractNum>
  <w:abstractNum w:abstractNumId="13">
    <w:nsid w:val="1E7FF521"/>
    <w:multiLevelType w:val="hybridMultilevel"/>
    <w:lvl w:ilvl="0">
      <w:lvlJc w:val="left"/>
      <w:lvlText w:val="5"/>
      <w:numFmt w:val="bullet"/>
      <w:start w:val="1"/>
    </w:lvl>
  </w:abstractNum>
  <w:abstractNum w:abstractNumId="14">
    <w:nsid w:val="7C3DBD3D"/>
    <w:multiLevelType w:val="hybridMultilevel"/>
    <w:lvl w:ilvl="0">
      <w:lvlJc w:val="left"/>
      <w:lvlText w:val="6"/>
      <w:numFmt w:val="bullet"/>
      <w:start w:val="1"/>
    </w:lvl>
  </w:abstractNum>
  <w:abstractNum w:abstractNumId="15">
    <w:nsid w:val="737B8DDC"/>
    <w:multiLevelType w:val="hybridMultilevel"/>
    <w:lvl w:ilvl="0">
      <w:lvlJc w:val="left"/>
      <w:lvlText w:val="%1"/>
      <w:numFmt w:val="decimal"/>
      <w:start w:val="1"/>
    </w:lvl>
    <w:lvl w:ilvl="1">
      <w:lvlJc w:val="left"/>
      <w:lvlText w:val="%2"/>
      <w:numFmt w:val="decimal"/>
      <w:start w:val="11"/>
    </w:lvl>
  </w:abstractNum>
  <w:abstractNum w:abstractNumId="16">
    <w:nsid w:val="6CEAF087"/>
    <w:multiLevelType w:val="hybridMultilevel"/>
    <w:lvl w:ilvl="0">
      <w:lvlJc w:val="left"/>
      <w:lvlText w:val="(%1)"/>
      <w:numFmt w:val="decimal"/>
      <w:start w:val="1"/>
    </w:lvl>
    <w:lvl w:ilvl="1">
      <w:lvlJc w:val="left"/>
      <w:lvlText w:val="%2"/>
      <w:numFmt w:val="decimal"/>
      <w:start w:val="1"/>
    </w:lvl>
  </w:abstractNum>
  <w:abstractNum w:abstractNumId="17">
    <w:nsid w:val="22221A70"/>
    <w:multiLevelType w:val="hybridMultilevel"/>
    <w:lvl w:ilvl="0">
      <w:lvlJc w:val="left"/>
      <w:lvlText w:val="1"/>
      <w:numFmt w:val="bullet"/>
      <w:start w:val="1"/>
    </w:lvl>
  </w:abstractNum>
  <w:abstractNum w:abstractNumId="18">
    <w:nsid w:val="4516DDE9"/>
    <w:multiLevelType w:val="hybridMultilevel"/>
    <w:lvl w:ilvl="0">
      <w:lvlJc w:val="left"/>
      <w:lvlText w:val="2"/>
      <w:numFmt w:val="bullet"/>
      <w:start w:val="1"/>
    </w:lvl>
  </w:abstractNum>
  <w:abstractNum w:abstractNumId="19">
    <w:nsid w:val="3006C83E"/>
    <w:multiLevelType w:val="hybridMultilevel"/>
    <w:lvl w:ilvl="0">
      <w:lvlJc w:val="left"/>
      <w:lvlText w:val="3"/>
      <w:numFmt w:val="bullet"/>
      <w:start w:val="1"/>
    </w:lvl>
  </w:abstractNum>
  <w:abstractNum w:abstractNumId="20">
    <w:nsid w:val="614FD4A1"/>
    <w:multiLevelType w:val="hybridMultilevel"/>
    <w:lvl w:ilvl="0">
      <w:lvlJc w:val="left"/>
      <w:lvlText w:val="4"/>
      <w:numFmt w:val="bullet"/>
      <w:start w:val="1"/>
    </w:lvl>
  </w:abstractNum>
  <w:abstractNum w:abstractNumId="21">
    <w:nsid w:val="419AC241"/>
    <w:multiLevelType w:val="hybridMultilevel"/>
    <w:lvl w:ilvl="0">
      <w:lvlJc w:val="left"/>
      <w:lvlText w:val="5"/>
      <w:numFmt w:val="bullet"/>
      <w:start w:val="1"/>
    </w:lvl>
  </w:abstractNum>
  <w:abstractNum w:abstractNumId="22">
    <w:nsid w:val="5577F8E1"/>
    <w:multiLevelType w:val="hybridMultilevel"/>
    <w:lvl w:ilvl="0">
      <w:lvlJc w:val="left"/>
      <w:lvlText w:val="6"/>
      <w:numFmt w:val="bullet"/>
      <w:start w:val="1"/>
    </w:lvl>
  </w:abstractNum>
  <w:abstractNum w:abstractNumId="23">
    <w:nsid w:val="440BADFC"/>
    <w:multiLevelType w:val="hybridMultilevel"/>
    <w:lvl w:ilvl="0">
      <w:lvlJc w:val="left"/>
      <w:lvlText w:val="%1"/>
      <w:numFmt w:val="decimal"/>
      <w:start w:val="11"/>
    </w:lvl>
  </w:abstractNum>
  <w:abstractNum w:abstractNumId="24">
    <w:nsid w:val="5072367"/>
    <w:multiLevelType w:val="hybridMultilevel"/>
    <w:lvl w:ilvl="0">
      <w:lvlJc w:val="left"/>
      <w:lvlText w:val="%1"/>
      <w:numFmt w:val="decimal"/>
      <w:start w:val="1"/>
    </w:lvl>
    <w:lvl w:ilvl="1">
      <w:lvlJc w:val="left"/>
      <w:lvlText w:val="%2"/>
      <w:numFmt w:val="decimal"/>
      <w:start w:val="13"/>
    </w:lvl>
  </w:abstractNum>
  <w:abstractNum w:abstractNumId="25">
    <w:nsid w:val="3804823E"/>
    <w:multiLevelType w:val="hybridMultilevel"/>
    <w:lvl w:ilvl="0">
      <w:lvlJc w:val="left"/>
      <w:lvlText w:val="(%1)"/>
      <w:numFmt w:val="decimal"/>
      <w:start w:val="1"/>
    </w:lvl>
    <w:lvl w:ilvl="1">
      <w:lvlJc w:val="left"/>
      <w:lvlText w:val="%2"/>
      <w:numFmt w:val="decimal"/>
      <w:start w:val="1"/>
    </w:lvl>
  </w:abstractNum>
  <w:abstractNum w:abstractNumId="26">
    <w:nsid w:val="77465F01"/>
    <w:multiLevelType w:val="hybridMultilevel"/>
    <w:lvl w:ilvl="0">
      <w:lvlJc w:val="left"/>
      <w:lvlText w:val="1"/>
      <w:numFmt w:val="bullet"/>
      <w:start w:val="1"/>
    </w:lvl>
  </w:abstractNum>
  <w:abstractNum w:abstractNumId="27">
    <w:nsid w:val="7724C67E"/>
    <w:multiLevelType w:val="hybridMultilevel"/>
    <w:lvl w:ilvl="0">
      <w:lvlJc w:val="left"/>
      <w:lvlText w:val="2"/>
      <w:numFmt w:val="bullet"/>
      <w:start w:val="1"/>
    </w:lvl>
  </w:abstractNum>
  <w:abstractNum w:abstractNumId="28">
    <w:nsid w:val="5C482A97"/>
    <w:multiLevelType w:val="hybridMultilevel"/>
    <w:lvl w:ilvl="0">
      <w:lvlJc w:val="left"/>
      <w:lvlText w:val="3"/>
      <w:numFmt w:val="bullet"/>
      <w:start w:val="1"/>
    </w:lvl>
  </w:abstractNum>
  <w:abstractNum w:abstractNumId="29">
    <w:nsid w:val="2463B9EA"/>
    <w:multiLevelType w:val="hybridMultilevel"/>
    <w:lvl w:ilvl="0">
      <w:lvlJc w:val="left"/>
      <w:lvlText w:val="4"/>
      <w:numFmt w:val="bullet"/>
      <w:start w:val="1"/>
    </w:lvl>
  </w:abstractNum>
  <w:abstractNum w:abstractNumId="30">
    <w:nsid w:val="5E884ADC"/>
    <w:multiLevelType w:val="hybridMultilevel"/>
    <w:lvl w:ilvl="0">
      <w:lvlJc w:val="left"/>
      <w:lvlText w:val="5"/>
      <w:numFmt w:val="bullet"/>
      <w:start w:val="1"/>
    </w:lvl>
  </w:abstractNum>
  <w:abstractNum w:abstractNumId="31">
    <w:nsid w:val="51EAD36B"/>
    <w:multiLevelType w:val="hybridMultilevel"/>
    <w:lvl w:ilvl="0">
      <w:lvlJc w:val="left"/>
      <w:lvlText w:val="6"/>
      <w:numFmt w:val="bullet"/>
      <w:start w:val="1"/>
    </w:lvl>
  </w:abstractNum>
  <w:abstractNum w:abstractNumId="32">
    <w:nsid w:val="2D517796"/>
    <w:multiLevelType w:val="hybridMultilevel"/>
    <w:lvl w:ilvl="0">
      <w:lvlJc w:val="left"/>
      <w:lvlText w:val="%1"/>
      <w:numFmt w:val="decimal"/>
      <w:start w:val="11"/>
    </w:lvl>
  </w:abstractNum>
  <w:abstractNum w:abstractNumId="33">
    <w:nsid w:val="580BD78F"/>
    <w:multiLevelType w:val="hybridMultilevel"/>
    <w:lvl w:ilvl="0">
      <w:lvlJc w:val="left"/>
      <w:lvlText w:val="%1"/>
      <w:numFmt w:val="decimal"/>
      <w:start w:val="1"/>
    </w:lvl>
    <w:lvl w:ilvl="1">
      <w:lvlJc w:val="left"/>
      <w:lvlText w:val="%2"/>
      <w:numFmt w:val="decimal"/>
      <w:start w:val="13"/>
    </w:lvl>
  </w:abstractNum>
  <w:abstractNum w:abstractNumId="34">
    <w:nsid w:val="153EA438"/>
    <w:multiLevelType w:val="hybridMultilevel"/>
    <w:lvl w:ilvl="0">
      <w:lvlJc w:val="left"/>
      <w:lvlText w:val="(%1)"/>
      <w:numFmt w:val="decimal"/>
      <w:start w:val="1"/>
    </w:lvl>
    <w:lvl w:ilvl="1">
      <w:lvlJc w:val="left"/>
      <w:lvlText w:val="%2"/>
      <w:numFmt w:val="decimal"/>
      <w:start w:val="1"/>
    </w:lvl>
  </w:abstractNum>
  <w:abstractNum w:abstractNumId="35">
    <w:nsid w:val="3855585C"/>
    <w:multiLevelType w:val="hybridMultilevel"/>
    <w:lvl w:ilvl="0">
      <w:lvlJc w:val="left"/>
      <w:lvlText w:val="1"/>
      <w:numFmt w:val="bullet"/>
      <w:start w:val="1"/>
    </w:lvl>
  </w:abstractNum>
  <w:abstractNum w:abstractNumId="36">
    <w:nsid w:val="70A64E2A"/>
    <w:multiLevelType w:val="hybridMultilevel"/>
    <w:lvl w:ilvl="0">
      <w:lvlJc w:val="left"/>
      <w:lvlText w:val="2"/>
      <w:numFmt w:val="bullet"/>
      <w:start w:val="1"/>
    </w:lvl>
  </w:abstractNum>
  <w:abstractNum w:abstractNumId="37">
    <w:nsid w:val="6A2342EC"/>
    <w:multiLevelType w:val="hybridMultilevel"/>
    <w:lvl w:ilvl="0">
      <w:lvlJc w:val="left"/>
      <w:lvlText w:val="3"/>
      <w:numFmt w:val="bullet"/>
      <w:start w:val="1"/>
    </w:lvl>
  </w:abstractNum>
  <w:abstractNum w:abstractNumId="38">
    <w:nsid w:val="2A487CB0"/>
    <w:multiLevelType w:val="hybridMultilevel"/>
    <w:lvl w:ilvl="0">
      <w:lvlJc w:val="left"/>
      <w:lvlText w:val="4"/>
      <w:numFmt w:val="bullet"/>
      <w:start w:val="1"/>
    </w:lvl>
  </w:abstractNum>
  <w:abstractNum w:abstractNumId="39">
    <w:nsid w:val="1D4ED43B"/>
    <w:multiLevelType w:val="hybridMultilevel"/>
    <w:lvl w:ilvl="0">
      <w:lvlJc w:val="left"/>
      <w:lvlText w:val="5"/>
      <w:numFmt w:val="bullet"/>
      <w:start w:val="1"/>
    </w:lvl>
  </w:abstractNum>
  <w:abstractNum w:abstractNumId="40">
    <w:nsid w:val="725A06FB"/>
    <w:multiLevelType w:val="hybridMultilevel"/>
    <w:lvl w:ilvl="0">
      <w:lvlJc w:val="left"/>
      <w:lvlText w:val="6"/>
      <w:numFmt w:val="bullet"/>
      <w:start w:val="1"/>
    </w:lvl>
  </w:abstractNum>
  <w:abstractNum w:abstractNumId="41">
    <w:nsid w:val="2CD89A32"/>
    <w:multiLevelType w:val="hybridMultilevel"/>
    <w:lvl w:ilvl="0">
      <w:lvlJc w:val="left"/>
      <w:lvlText w:val="7"/>
      <w:numFmt w:val="bullet"/>
      <w:start w:val="1"/>
    </w:lvl>
  </w:abstractNum>
  <w:abstractNum w:abstractNumId="42">
    <w:nsid w:val="57E4CCAF"/>
    <w:multiLevelType w:val="hybridMultilevel"/>
    <w:lvl w:ilvl="0">
      <w:lvlJc w:val="left"/>
      <w:lvlText w:val="%1"/>
      <w:numFmt w:val="decimal"/>
      <w:start w:val="11"/>
    </w:lvl>
  </w:abstractNum>
  <w:abstractNum w:abstractNumId="43">
    <w:nsid w:val="7A6D8D3C"/>
    <w:multiLevelType w:val="hybridMultilevel"/>
    <w:lvl w:ilvl="0">
      <w:lvlJc w:val="left"/>
      <w:lvlText w:val="%1"/>
      <w:numFmt w:val="decimal"/>
      <w:start w:val="1"/>
    </w:lvl>
    <w:lvl w:ilvl="1">
      <w:lvlJc w:val="left"/>
      <w:lvlText w:val="%2"/>
      <w:numFmt w:val="decimal"/>
      <w:start w:val="13"/>
    </w:lvl>
  </w:abstractNum>
  <w:abstractNum w:abstractNumId="44">
    <w:nsid w:val="4B588F54"/>
    <w:multiLevelType w:val="hybridMultilevel"/>
    <w:lvl w:ilvl="0">
      <w:lvlJc w:val="left"/>
      <w:lvlText w:val="(%1)"/>
      <w:numFmt w:val="decimal"/>
      <w:start w:val="1"/>
    </w:lvl>
    <w:lvl w:ilvl="1">
      <w:lvlJc w:val="left"/>
      <w:lvlText w:val="%2"/>
      <w:numFmt w:val="decimal"/>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2021-08-20T15:37:02Z</dcterms:created>
  <dcterms:modified xsi:type="dcterms:W3CDTF">2021-08-20T15:37:02Z</dcterms:modified>
</cp:coreProperties>
</file>