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15807dsc13da.htm"/>
      <w:bookmarkStart w:id="1" w:name="ksd615807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$0.0001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00534A102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Philip Chase </w:t>
      </w:r>
    </w:p>
    <w:p>
      <w:pPr>
        <w:pStyle w:val="TextBody"/>
        <w:bidi w:val="0"/>
        <w:spacing w:before="0" w:after="0"/>
        <w:jc w:val="center"/>
        <w:rPr>
          <w:rFonts w:ascii="Times New Roman" w:hAnsi="Times New Roman"/>
          <w:b/>
          <w:sz w:val="20"/>
        </w:rPr>
      </w:pPr>
      <w:r>
        <w:rPr>
          <w:rFonts w:ascii="Times New Roman" w:hAnsi="Times New Roman"/>
          <w:b/>
          <w:sz w:val="20"/>
        </w:rPr>
        <w:t xml:space="preserve">7 Lucent Drive </w:t>
      </w:r>
    </w:p>
    <w:p>
      <w:pPr>
        <w:pStyle w:val="TextBody"/>
        <w:bidi w:val="0"/>
        <w:spacing w:before="0" w:after="0"/>
        <w:jc w:val="center"/>
        <w:rPr>
          <w:rFonts w:ascii="Times New Roman" w:hAnsi="Times New Roman"/>
          <w:b/>
          <w:sz w:val="20"/>
        </w:rPr>
      </w:pPr>
      <w:r>
        <w:rPr>
          <w:rFonts w:ascii="Times New Roman" w:hAnsi="Times New Roman"/>
          <w:b/>
          <w:sz w:val="20"/>
        </w:rPr>
        <w:t xml:space="preserve">Lebanon, NH 03766 </w:t>
      </w:r>
    </w:p>
    <w:p>
      <w:pPr>
        <w:pStyle w:val="TextBody"/>
        <w:bidi w:val="0"/>
        <w:spacing w:before="0" w:after="0"/>
        <w:jc w:val="center"/>
        <w:rPr>
          <w:rFonts w:ascii="Times New Roman" w:hAnsi="Times New Roman"/>
          <w:b/>
          <w:sz w:val="20"/>
        </w:rPr>
      </w:pPr>
      <w:r>
        <w:rPr>
          <w:rFonts w:ascii="Times New Roman" w:hAnsi="Times New Roman"/>
          <w:b/>
          <w:sz w:val="20"/>
        </w:rPr>
        <w:t>(603) 643-7110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480" w:after="0"/>
        <w:jc w:val="center"/>
        <w:rPr>
          <w:rFonts w:ascii="Times New Roman" w:hAnsi="Times New Roman"/>
          <w:b/>
          <w:sz w:val="20"/>
        </w:rPr>
      </w:pPr>
      <w:r>
        <w:rPr>
          <w:rFonts w:ascii="Times New Roman" w:hAnsi="Times New Roman"/>
          <w:b/>
          <w:sz w:val="20"/>
        </w:rPr>
        <w:t xml:space="preserve">January 19, 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Note</w:t>
      </w:r>
      <w:r>
        <w:rPr>
          <w:rFonts w:ascii="Times New Roman" w:hAnsi="Times New Roman"/>
          <w:sz w:val="20"/>
        </w:rPr>
        <w:t xml:space="preserve">: Schedules filed in paper format shall include a signed original and five copies of the schedule, including all exhibits. See Rule 13d-7(b) for other parties to whom copies are to be sent.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pPr>
            <w:r>
              <w:rPr/>
              <w:t>CUSIP No. 00534A102</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pPr>
            <w:r>
              <w:rPr/>
              <w:t>Page 1 of 3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49"/>
        <w:gridCol w:w="121"/>
        <w:gridCol w:w="777"/>
        <w:gridCol w:w="172"/>
        <w:gridCol w:w="169"/>
        <w:gridCol w:w="172"/>
        <w:gridCol w:w="8142"/>
      </w:tblGrid>
      <w:tr>
        <w:trPr/>
        <w:tc>
          <w:tcPr>
            <w:tcW w:w="5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142" w:type="dxa"/>
            <w:tcBorders/>
            <w:vAlign w:val="center"/>
          </w:tcPr>
          <w:p>
            <w:pPr>
              <w:pStyle w:val="TableContents"/>
              <w:bidi w:val="0"/>
              <w:spacing w:before="0" w:after="283"/>
              <w:jc w:val="left"/>
              <w:rPr>
                <w:sz w:val="4"/>
                <w:szCs w:val="4"/>
              </w:rPr>
            </w:pPr>
            <w:r>
              <w:rPr>
                <w:sz w:val="4"/>
                <w:szCs w:val="4"/>
              </w:rPr>
            </w:r>
          </w:p>
        </w:tc>
      </w:tr>
      <w:tr>
        <w:trPr/>
        <w:tc>
          <w:tcPr>
            <w:tcW w:w="54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3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Adimab, LLC</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4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3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4"/>
        <w:gridCol w:w="505"/>
        <w:gridCol w:w="874"/>
        <w:gridCol w:w="176"/>
        <w:gridCol w:w="547"/>
        <w:gridCol w:w="176"/>
        <w:gridCol w:w="7100"/>
      </w:tblGrid>
      <w:tr>
        <w:trPr/>
        <w:tc>
          <w:tcPr>
            <w:tcW w:w="724"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left"/>
              <w:rPr>
                <w:sz w:val="4"/>
                <w:szCs w:val="4"/>
              </w:rPr>
            </w:pPr>
            <w:r>
              <w:rPr>
                <w:sz w:val="4"/>
                <w:szCs w:val="4"/>
              </w:rPr>
            </w:r>
          </w:p>
        </w:tc>
      </w:tr>
      <w:tr>
        <w:trPr/>
        <w:tc>
          <w:tcPr>
            <w:tcW w:w="2103"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7" w:type="dxa"/>
            <w:tcBorders>
              <w:bottom w:val="single" w:sz="2" w:space="0" w:color="000000"/>
            </w:tcBorders>
            <w:tcMar>
              <w:bottom w:w="28" w:type="dxa"/>
            </w:tcMar>
          </w:tcPr>
          <w:p>
            <w:pPr>
              <w:pStyle w:val="TableContents"/>
              <w:bidi w:val="0"/>
              <w:spacing w:before="0" w:after="283"/>
              <w:jc w:val="left"/>
              <w:rPr/>
            </w:pPr>
            <w:r>
              <w:rPr/>
              <w:t>  </w:t>
            </w:r>
            <w:r>
              <w:rPr/>
              <w:t>7  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0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21,687,906</w:t>
            </w:r>
          </w:p>
        </w:tc>
      </w:tr>
      <w:tr>
        <w:trPr/>
        <w:tc>
          <w:tcPr>
            <w:tcW w:w="2103"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7" w:type="dxa"/>
            <w:tcBorders>
              <w:bottom w:val="single" w:sz="2" w:space="0" w:color="000000"/>
            </w:tcBorders>
            <w:tcMar>
              <w:bottom w:w="28" w:type="dxa"/>
            </w:tcMar>
          </w:tcPr>
          <w:p>
            <w:pPr>
              <w:pStyle w:val="TableContents"/>
              <w:bidi w:val="0"/>
              <w:spacing w:before="0" w:after="283"/>
              <w:jc w:val="left"/>
              <w:rPr/>
            </w:pPr>
            <w:r>
              <w:rPr/>
              <w:t>  </w:t>
            </w:r>
            <w:r>
              <w:rPr/>
              <w:t>8</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0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3"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7" w:type="dxa"/>
            <w:tcBorders>
              <w:bottom w:val="single" w:sz="2" w:space="0" w:color="000000"/>
            </w:tcBorders>
            <w:tcMar>
              <w:bottom w:w="28" w:type="dxa"/>
            </w:tcMar>
          </w:tcPr>
          <w:p>
            <w:pPr>
              <w:pStyle w:val="TableContents"/>
              <w:bidi w:val="0"/>
              <w:spacing w:before="0" w:after="283"/>
              <w:jc w:val="left"/>
              <w:rPr/>
            </w:pPr>
            <w:r>
              <w:rPr/>
              <w:t>  </w:t>
            </w:r>
            <w:r>
              <w:rPr/>
              <w:t>9</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10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21,687,906</w:t>
            </w:r>
          </w:p>
        </w:tc>
      </w:tr>
      <w:tr>
        <w:trPr/>
        <w:tc>
          <w:tcPr>
            <w:tcW w:w="2103"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547" w:type="dxa"/>
            <w:tcBorders/>
          </w:tcPr>
          <w:p>
            <w:pPr>
              <w:pStyle w:val="TableContents"/>
              <w:bidi w:val="0"/>
              <w:spacing w:before="0" w:after="283"/>
              <w:jc w:val="left"/>
              <w:rPr/>
            </w:pPr>
            <w:r>
              <w:rPr/>
              <w:t>10</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10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83"/>
        <w:gridCol w:w="125"/>
        <w:gridCol w:w="671"/>
        <w:gridCol w:w="214"/>
        <w:gridCol w:w="214"/>
        <w:gridCol w:w="214"/>
        <w:gridCol w:w="8081"/>
      </w:tblGrid>
      <w:tr>
        <w:trPr/>
        <w:tc>
          <w:tcPr>
            <w:tcW w:w="58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8081" w:type="dxa"/>
            <w:tcBorders/>
            <w:vAlign w:val="center"/>
          </w:tcPr>
          <w:p>
            <w:pPr>
              <w:pStyle w:val="TableContents"/>
              <w:bidi w:val="0"/>
              <w:spacing w:before="0" w:after="283"/>
              <w:jc w:val="left"/>
              <w:rPr>
                <w:sz w:val="4"/>
                <w:szCs w:val="4"/>
              </w:rPr>
            </w:pPr>
            <w:r>
              <w:rPr>
                <w:sz w:val="4"/>
                <w:szCs w:val="4"/>
              </w:rPr>
            </w:r>
          </w:p>
        </w:tc>
      </w:tr>
      <w:tr>
        <w:trPr/>
        <w:tc>
          <w:tcPr>
            <w:tcW w:w="58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94"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21,687,906</w:t>
            </w:r>
          </w:p>
        </w:tc>
      </w:tr>
      <w:tr>
        <w:trPr/>
        <w:tc>
          <w:tcPr>
            <w:tcW w:w="58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8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19.7%</w:t>
            </w:r>
          </w:p>
        </w:tc>
      </w:tr>
      <w:tr>
        <w:trPr/>
        <w:tc>
          <w:tcPr>
            <w:tcW w:w="58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94"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pPr>
            <w:r>
              <w:rPr/>
              <w:t>CUSIP No. 00534A102</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pPr>
            <w:r>
              <w:rPr/>
              <w:t>Page 2 of 3 pages</w:t>
            </w:r>
          </w:p>
        </w:tc>
      </w:tr>
    </w:tbl>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This Amendment No. 3 (</w:t>
      </w:r>
      <w:r>
        <w:rPr>
          <w:rFonts w:ascii="Times New Roman" w:hAnsi="Times New Roman"/>
          <w:sz w:val="20"/>
          <w:u w:val="single"/>
        </w:rPr>
        <w:t>Amendment No. 3</w:t>
      </w:r>
      <w:r>
        <w:rPr>
          <w:rFonts w:ascii="Times New Roman" w:hAnsi="Times New Roman"/>
          <w:sz w:val="20"/>
        </w:rPr>
        <w:t>) amends and supplements the Schedule 13D originally filed by Adimab, LLC (the </w:t>
      </w:r>
      <w:r>
        <w:rPr>
          <w:rFonts w:ascii="Times New Roman" w:hAnsi="Times New Roman"/>
          <w:sz w:val="20"/>
          <w:u w:val="single"/>
        </w:rPr>
        <w:t>Reporting Person</w:t>
      </w:r>
      <w:r>
        <w:rPr>
          <w:rFonts w:ascii="Times New Roman" w:hAnsi="Times New Roman"/>
          <w:sz w:val="20"/>
        </w:rPr>
        <w:t>) with the Securities and Exchange Commission (the </w:t>
      </w:r>
      <w:r>
        <w:rPr>
          <w:rFonts w:ascii="Times New Roman" w:hAnsi="Times New Roman"/>
          <w:sz w:val="20"/>
          <w:u w:val="single"/>
        </w:rPr>
        <w:t>Commission</w:t>
      </w:r>
      <w:r>
        <w:rPr>
          <w:rFonts w:ascii="Times New Roman" w:hAnsi="Times New Roman"/>
          <w:sz w:val="20"/>
        </w:rPr>
        <w:t>) on March 30, 2022, as amended and supplemented by Amendment No. 1 thereto, filed with the Commission on April 26, 2022, and Amendment No. 2 thereto, filed with the Commission on June 24, 2022 (the </w:t>
      </w:r>
      <w:r>
        <w:rPr>
          <w:rFonts w:ascii="Times New Roman" w:hAnsi="Times New Roman"/>
          <w:sz w:val="20"/>
          <w:u w:val="single"/>
        </w:rPr>
        <w:t>Original 13D</w:t>
      </w:r>
      <w:r>
        <w:rPr>
          <w:rFonts w:ascii="Times New Roman" w:hAnsi="Times New Roman"/>
          <w:sz w:val="20"/>
        </w:rPr>
        <w:t>, and together with this amendment, the </w:t>
      </w:r>
      <w:r>
        <w:rPr>
          <w:rFonts w:ascii="Times New Roman" w:hAnsi="Times New Roman"/>
          <w:sz w:val="20"/>
          <w:u w:val="single"/>
        </w:rPr>
        <w:t>Schedule 13D</w:t>
      </w:r>
      <w:r>
        <w:rPr>
          <w:rFonts w:ascii="Times New Roman" w:hAnsi="Times New Roman"/>
          <w:sz w:val="20"/>
        </w:rPr>
        <w:t xml:space="preserve">).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No. 3 have the meanings ascribed to them in the Original 13D.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Security and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1 of the Schedule 13D is hereby supplemented as follows: </w:t>
      </w:r>
    </w:p>
    <w:p>
      <w:pPr>
        <w:pStyle w:val="TextBody"/>
        <w:bidi w:val="0"/>
        <w:spacing w:before="120" w:after="0"/>
        <w:jc w:val="left"/>
        <w:rPr>
          <w:rFonts w:ascii="Times New Roman" w:hAnsi="Times New Roman"/>
          <w:sz w:val="20"/>
        </w:rPr>
      </w:pPr>
      <w:r>
        <w:rPr>
          <w:rFonts w:ascii="Times New Roman" w:hAnsi="Times New Roman"/>
          <w:sz w:val="20"/>
        </w:rPr>
        <w:t>On September 9, 2022, Invivyd, Inc. (the </w:t>
      </w:r>
      <w:r>
        <w:rPr>
          <w:rFonts w:ascii="Times New Roman" w:hAnsi="Times New Roman"/>
          <w:sz w:val="20"/>
          <w:u w:val="single"/>
        </w:rPr>
        <w:t>Issuer</w:t>
      </w:r>
      <w:r>
        <w:rPr>
          <w:rFonts w:ascii="Times New Roman" w:hAnsi="Times New Roman"/>
          <w:sz w:val="20"/>
        </w:rPr>
        <w:t xml:space="preserve">) filed a certificate of amendment to its Amended and Restated Certificate of Incorporation with the Secretary of State of the State of Delaware solely to change the Issuers name from Adagio Therapeutics, Inc. to Invivyd, Inc. The name change became effective on September 13,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Item 5(a), Item 5(b) and Item 5(c) of the Schedule 13D are hereby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 (b)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beneficially owned: 21,687,906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 of Class: 19.7%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the Reporting Person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vote or direct the vote: 21,687,906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vote: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dispose or direct the disposition of: 21,687,906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dispose or direct the disposition of: 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percentage is based on 110,114,960 shares of Common Stock outstanding as of November 2, 2023, as reported in the Issuers Quarterly Report on Form 10-Q for the quarter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(c) On January 19, 2024, the Reporting Person sold 5,000,000 shares of Common Stock pursuant to Rule 144 under the Securities Act of 1933, as amended, at a price of $3.95 per share. Except as set forth above, neither the Reporting Person nor, to the best knowledge of the Reporting Person, any of the Related Persons or other individuals named in Item 2 of the Schedule 13D, has effected any transaction in shares of Common Stock during the past 60 days.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pPr>
            <w:r>
              <w:rPr/>
              <w:t>CUSIP No. 00534A102</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13D</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pPr>
            <w:r>
              <w:rPr/>
              <w:t>Page 3 of 3 pages</w:t>
            </w:r>
          </w:p>
        </w:tc>
      </w:tr>
    </w:tbl>
    <w:p>
      <w:pPr>
        <w:pStyle w:val="TextBody"/>
        <w:bidi w:val="0"/>
        <w:spacing w:before="0" w:after="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January 22,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Adimab, LLC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vAlign w:val="bottom"/>
          </w:tcPr>
          <w:p>
            <w:pPr>
              <w:pStyle w:val="TableContents"/>
              <w:bidi w:val="0"/>
              <w:spacing w:before="0" w:after="283"/>
              <w:jc w:val="left"/>
              <w:rPr/>
            </w:pPr>
            <w:r>
              <w:rPr/>
              <w:t>/s/ Philip Chase</w:t>
            </w:r>
          </w:p>
        </w:tc>
      </w:tr>
      <w:tr>
        <w:trPr/>
        <w:tc>
          <w:tcPr>
            <w:tcW w:w="705"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Philip Chase</w:t>
            </w:r>
          </w:p>
        </w:tc>
      </w:tr>
      <w:tr>
        <w:trPr/>
        <w:tc>
          <w:tcPr>
            <w:tcW w:w="705"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896</Words>
  <Characters>4234</Characters>
  <CharactersWithSpaces>5196</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