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0002008797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0"/>
        <w:gridCol w:w="3305"/>
      </w:tblGrid>
      <w:tr>
        <w:trPr/>
        <w:tc>
          <w:tcPr>
            <w:tcW w:w="6900" w:type="dxa"/>
            <w:tcBorders/>
            <w:vAlign w:val="center"/>
          </w:tcPr>
          <w:p>
            <w:pPr>
              <w:pStyle w:val="TableContents"/>
              <w:bidi w:val="0"/>
              <w:spacing w:before="0" w:after="283"/>
              <w:jc w:val="left"/>
              <w:rPr/>
            </w:pPr>
            <w:r>
              <w:rPr/>
              <w:t>Name of Issuer</w:t>
            </w:r>
          </w:p>
        </w:tc>
        <w:tc>
          <w:tcPr>
            <w:tcW w:w="3305" w:type="dxa"/>
            <w:tcBorders/>
            <w:vAlign w:val="center"/>
          </w:tcPr>
          <w:p>
            <w:pPr>
              <w:pStyle w:val="TableContents"/>
              <w:bidi w:val="0"/>
              <w:spacing w:before="0" w:after="0"/>
              <w:jc w:val="left"/>
              <w:rPr/>
            </w:pPr>
            <w:r>
              <w:rPr/>
              <w:t>Invivyd, Inc.</w:t>
            </w:r>
          </w:p>
        </w:tc>
      </w:tr>
      <w:tr>
        <w:trPr/>
        <w:tc>
          <w:tcPr>
            <w:tcW w:w="6900" w:type="dxa"/>
            <w:tcBorders/>
            <w:vAlign w:val="center"/>
          </w:tcPr>
          <w:p>
            <w:pPr>
              <w:pStyle w:val="TableContents"/>
              <w:bidi w:val="0"/>
              <w:spacing w:before="0" w:after="283"/>
              <w:jc w:val="left"/>
              <w:rPr/>
            </w:pPr>
            <w:r>
              <w:rPr/>
              <w:t>SEC File Number</w:t>
            </w:r>
          </w:p>
        </w:tc>
        <w:tc>
          <w:tcPr>
            <w:tcW w:w="3305" w:type="dxa"/>
            <w:tcBorders/>
            <w:vAlign w:val="center"/>
          </w:tcPr>
          <w:p>
            <w:pPr>
              <w:pStyle w:val="TableContents"/>
              <w:bidi w:val="0"/>
              <w:spacing w:before="0" w:after="0"/>
              <w:jc w:val="left"/>
              <w:rPr/>
            </w:pPr>
            <w:r>
              <w:rPr/>
              <w:t>001-40703</w:t>
            </w:r>
          </w:p>
        </w:tc>
      </w:tr>
      <w:tr>
        <w:trPr/>
        <w:tc>
          <w:tcPr>
            <w:tcW w:w="6900" w:type="dxa"/>
            <w:tcBorders/>
            <w:vAlign w:val="center"/>
          </w:tcPr>
          <w:p>
            <w:pPr>
              <w:pStyle w:val="TableContents"/>
              <w:bidi w:val="0"/>
              <w:spacing w:before="0" w:after="283"/>
              <w:jc w:val="left"/>
              <w:rPr/>
            </w:pPr>
            <w:r>
              <w:rPr/>
              <w:t>Address of Issuer</w:t>
            </w:r>
          </w:p>
        </w:tc>
        <w:tc>
          <w:tcPr>
            <w:tcW w:w="3305" w:type="dxa"/>
            <w:tcBorders/>
            <w:vAlign w:val="center"/>
          </w:tcPr>
          <w:p>
            <w:pPr>
              <w:pStyle w:val="TableContents"/>
              <w:bidi w:val="0"/>
              <w:spacing w:before="0" w:after="0"/>
              <w:jc w:val="left"/>
              <w:rPr/>
            </w:pPr>
            <w:r>
              <w:rPr/>
              <w:t>205 Church Street</w:t>
              <w:br/>
              <w:t>New Haven</w:t>
              <w:br/>
              <w:t xml:space="preserve">CONNECTICUT </w:t>
              <w:br/>
              <w:t>06510</w:t>
            </w:r>
          </w:p>
        </w:tc>
      </w:tr>
      <w:tr>
        <w:trPr/>
        <w:tc>
          <w:tcPr>
            <w:tcW w:w="6900" w:type="dxa"/>
            <w:tcBorders/>
            <w:vAlign w:val="center"/>
          </w:tcPr>
          <w:p>
            <w:pPr>
              <w:pStyle w:val="TableContents"/>
              <w:bidi w:val="0"/>
              <w:spacing w:before="0" w:after="283"/>
              <w:jc w:val="left"/>
              <w:rPr/>
            </w:pPr>
            <w:r>
              <w:rPr/>
              <w:t>Phone</w:t>
            </w:r>
          </w:p>
        </w:tc>
        <w:tc>
          <w:tcPr>
            <w:tcW w:w="3305" w:type="dxa"/>
            <w:tcBorders/>
            <w:vAlign w:val="center"/>
          </w:tcPr>
          <w:p>
            <w:pPr>
              <w:pStyle w:val="TableContents"/>
              <w:bidi w:val="0"/>
              <w:spacing w:before="0" w:after="0"/>
              <w:jc w:val="left"/>
              <w:rPr/>
            </w:pPr>
            <w:r>
              <w:rPr/>
              <w:t>781-819-0080</w:t>
            </w:r>
          </w:p>
        </w:tc>
      </w:tr>
      <w:tr>
        <w:trPr/>
        <w:tc>
          <w:tcPr>
            <w:tcW w:w="6900" w:type="dxa"/>
            <w:tcBorders/>
            <w:vAlign w:val="center"/>
          </w:tcPr>
          <w:p>
            <w:pPr>
              <w:pStyle w:val="TableContents"/>
              <w:bidi w:val="0"/>
              <w:spacing w:before="0" w:after="283"/>
              <w:jc w:val="left"/>
              <w:rPr/>
            </w:pPr>
            <w:r>
              <w:rPr/>
              <w:t>Name of Person for Whose Account the Securities are To Be Sold</w:t>
            </w:r>
          </w:p>
        </w:tc>
        <w:tc>
          <w:tcPr>
            <w:tcW w:w="3305" w:type="dxa"/>
            <w:tcBorders/>
            <w:vAlign w:val="center"/>
          </w:tcPr>
          <w:p>
            <w:pPr>
              <w:pStyle w:val="TableContents"/>
              <w:bidi w:val="0"/>
              <w:spacing w:before="0" w:after="0"/>
              <w:jc w:val="left"/>
              <w:rPr/>
            </w:pPr>
            <w:r>
              <w:rPr/>
              <w:t>Green Julie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0" w:type="dxa"/>
            <w:tcBorders/>
            <w:vAlign w:val="center"/>
          </w:tcPr>
          <w:p>
            <w:pPr>
              <w:pStyle w:val="TableContents"/>
              <w:bidi w:val="0"/>
              <w:spacing w:before="0" w:after="283"/>
              <w:jc w:val="left"/>
              <w:rPr/>
            </w:pPr>
            <w:r>
              <w:rPr/>
              <w:t>Relationship to Issuer</w:t>
            </w:r>
          </w:p>
        </w:tc>
        <w:tc>
          <w:tcPr>
            <w:tcW w:w="33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40800</w:t>
            </w:r>
          </w:p>
        </w:tc>
        <w:tc>
          <w:tcPr>
            <w:tcW w:w="1385" w:type="dxa"/>
            <w:tcBorders/>
            <w:vAlign w:val="center"/>
          </w:tcPr>
          <w:p>
            <w:pPr>
              <w:pStyle w:val="TableContents"/>
              <w:bidi w:val="0"/>
              <w:spacing w:before="0" w:after="283"/>
              <w:jc w:val="left"/>
              <w:rPr/>
            </w:pPr>
            <w:r>
              <w:rPr/>
              <w:t>29412.72</w:t>
            </w:r>
          </w:p>
        </w:tc>
        <w:tc>
          <w:tcPr>
            <w:tcW w:w="1559" w:type="dxa"/>
            <w:tcBorders/>
            <w:vAlign w:val="center"/>
          </w:tcPr>
          <w:p>
            <w:pPr>
              <w:pStyle w:val="TableContents"/>
              <w:bidi w:val="0"/>
              <w:spacing w:before="0" w:after="283"/>
              <w:jc w:val="left"/>
              <w:rPr/>
            </w:pPr>
            <w:r>
              <w:rPr/>
              <w:t>294758746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08/15/2026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102000</w:t>
            </w:r>
          </w:p>
        </w:tc>
        <w:tc>
          <w:tcPr>
            <w:tcW w:w="1049" w:type="dxa"/>
            <w:tcBorders/>
            <w:vAlign w:val="center"/>
          </w:tcPr>
          <w:p>
            <w:pPr>
              <w:pStyle w:val="TableContents"/>
              <w:bidi w:val="0"/>
              <w:spacing w:before="0" w:after="283"/>
              <w:jc w:val="left"/>
              <w:rPr/>
            </w:pPr>
            <w:r>
              <w:rPr/>
              <w:t>08/15/2026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$0.7209 for the Issuer's common stock on August 14, 2026. The actual number of shares sold will depend on the sale price of the Issuer's common stock at the time of sale.</w:t>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08/17/2026</w:t>
            </w:r>
          </w:p>
        </w:tc>
      </w:tr>
      <w:tr>
        <w:trPr/>
        <w:tc>
          <w:tcPr>
            <w:tcW w:w="2058" w:type="dxa"/>
            <w:tcBorders/>
            <w:vAlign w:val="center"/>
          </w:tcPr>
          <w:p>
            <w:pPr>
              <w:pStyle w:val="TableContents"/>
              <w:bidi w:val="0"/>
              <w:spacing w:before="0" w:after="283"/>
              <w:jc w:val="left"/>
              <w:rPr/>
            </w:pPr>
            <w:r>
              <w:rPr/>
              <w:t>Date of Plan Adoption or Giving of Instruction, If Relying on Rule 10b5-1</w:t>
            </w:r>
          </w:p>
        </w:tc>
        <w:tc>
          <w:tcPr>
            <w:tcW w:w="8147"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 Jill Andersen attorney-in-fact for Julie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3504</Characters>
  <CharactersWithSpaces>4141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