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64770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 w:lineRule="exact"/>
        <w:rPr>
          <w:sz w:val="24"/>
          <w:szCs w:val="24"/>
          <w:color w:val="auto"/>
        </w:rPr>
      </w:pPr>
    </w:p>
    <w:p>
      <w:pPr>
        <w:ind w:left="4100" w:right="2840" w:hanging="4079"/>
        <w:spacing w:after="0" w:line="325" w:lineRule="auto"/>
        <w:tabs>
          <w:tab w:leader="none" w:pos="485"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 For the fiscal year ended December 31, 2025</w:t>
      </w:r>
    </w:p>
    <w:p>
      <w:pPr>
        <w:ind w:left="552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w:t>
      </w:r>
    </w:p>
    <w:p>
      <w:pPr>
        <w:spacing w:after="0" w:line="39" w:lineRule="exact"/>
        <w:rPr>
          <w:sz w:val="24"/>
          <w:szCs w:val="24"/>
          <w:color w:val="auto"/>
        </w:rPr>
      </w:pPr>
    </w:p>
    <w:p>
      <w:pPr>
        <w:ind w:left="480"/>
        <w:spacing w:after="0"/>
        <w:tabs>
          <w:tab w:leader="none" w:pos="2520" w:val="left"/>
        </w:tabs>
        <w:rPr>
          <w:sz w:val="20"/>
          <w:szCs w:val="20"/>
          <w:color w:val="auto"/>
        </w:rPr>
      </w:pPr>
      <w:r>
        <w:rPr>
          <w:rFonts w:ascii="Times New Roman" w:cs="Times New Roman" w:eastAsia="Times New Roman" w:hAnsi="Times New Roman"/>
          <w:sz w:val="16"/>
          <w:szCs w:val="16"/>
          <w:b w:val="1"/>
          <w:bCs w:val="1"/>
          <w:color w:val="auto"/>
        </w:rPr>
        <w:t>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001-40703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INVIVYD, INC.</w:t>
      </w:r>
    </w:p>
    <w:p>
      <w:pPr>
        <w:sectPr>
          <w:pgSz w:w="11900" w:h="16838" w:orient="portrait"/>
          <w:cols w:equalWidth="0" w:num="1">
            <w:col w:w="11240"/>
          </w:cols>
          <w:pgMar w:left="320" w:top="1060" w:right="339" w:bottom="1440" w:gutter="0" w:footer="0" w:header="0"/>
        </w:sectPr>
      </w:pPr>
    </w:p>
    <w:p>
      <w:pPr>
        <w:spacing w:after="0" w:line="5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8"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8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85-1403134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33" w:lineRule="exact"/>
        <w:rPr>
          <w:sz w:val="24"/>
          <w:szCs w:val="24"/>
          <w:color w:val="auto"/>
        </w:rPr>
      </w:pPr>
    </w:p>
    <w:p>
      <w:pPr>
        <w:sectPr>
          <w:pgSz w:w="11900" w:h="16838" w:orient="portrait"/>
          <w:cols w:equalWidth="0" w:num="2">
            <w:col w:w="7460" w:space="480"/>
            <w:col w:w="3300"/>
          </w:cols>
          <w:pgMar w:left="320" w:top="1060" w:right="339" w:bottom="1440" w:gutter="0" w:footer="0" w:header="0"/>
          <w:type w:val="continuous"/>
        </w:sectPr>
      </w:pPr>
    </w:p>
    <w:p>
      <w:pPr>
        <w:ind w:left="2100"/>
        <w:spacing w:after="0"/>
        <w:rPr>
          <w:sz w:val="20"/>
          <w:szCs w:val="20"/>
          <w:color w:val="auto"/>
        </w:rPr>
      </w:pPr>
      <w:r>
        <w:rPr>
          <w:rFonts w:ascii="Times New Roman" w:cs="Times New Roman" w:eastAsia="Times New Roman" w:hAnsi="Times New Roman"/>
          <w:sz w:val="18"/>
          <w:szCs w:val="18"/>
          <w:b w:val="1"/>
          <w:bCs w:val="1"/>
          <w:color w:val="auto"/>
        </w:rPr>
        <w:t>209 Church Street</w:t>
      </w:r>
    </w:p>
    <w:p>
      <w:pPr>
        <w:spacing w:after="0" w:line="31" w:lineRule="exact"/>
        <w:rPr>
          <w:sz w:val="24"/>
          <w:szCs w:val="24"/>
          <w:color w:val="auto"/>
        </w:rPr>
      </w:pPr>
    </w:p>
    <w:p>
      <w:pPr>
        <w:ind w:left="2200"/>
        <w:spacing w:after="0"/>
        <w:tabs>
          <w:tab w:leader="none" w:pos="8180" w:val="left"/>
        </w:tabs>
        <w:rPr>
          <w:sz w:val="20"/>
          <w:szCs w:val="20"/>
          <w:color w:val="auto"/>
        </w:rPr>
      </w:pPr>
      <w:r>
        <w:rPr>
          <w:rFonts w:ascii="Times New Roman" w:cs="Times New Roman" w:eastAsia="Times New Roman" w:hAnsi="Times New Roman"/>
          <w:sz w:val="18"/>
          <w:szCs w:val="18"/>
          <w:b w:val="1"/>
          <w:bCs w:val="1"/>
          <w:color w:val="auto"/>
        </w:rPr>
        <w:t>New Haven, CT</w:t>
      </w:r>
      <w:r>
        <w:rPr>
          <w:sz w:val="20"/>
          <w:szCs w:val="20"/>
          <w:color w:val="auto"/>
        </w:rPr>
        <w:tab/>
      </w:r>
      <w:r>
        <w:rPr>
          <w:rFonts w:ascii="Times New Roman" w:cs="Times New Roman" w:eastAsia="Times New Roman" w:hAnsi="Times New Roman"/>
          <w:sz w:val="18"/>
          <w:szCs w:val="18"/>
          <w:b w:val="1"/>
          <w:bCs w:val="1"/>
          <w:color w:val="auto"/>
        </w:rPr>
        <w:t>06510</w:t>
      </w:r>
    </w:p>
    <w:p>
      <w:pPr>
        <w:spacing w:after="0" w:line="32" w:lineRule="exact"/>
        <w:rPr>
          <w:sz w:val="24"/>
          <w:szCs w:val="24"/>
          <w:color w:val="auto"/>
        </w:r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28" w:lineRule="exact"/>
        <w:rPr>
          <w:sz w:val="24"/>
          <w:szCs w:val="24"/>
          <w:color w:val="auto"/>
        </w:rPr>
      </w:pPr>
    </w:p>
    <w:p>
      <w:pPr>
        <w:ind w:left="328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(781) 819-0080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3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9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960" w:type="dxa"/>
            <w:vAlign w:val="bottom"/>
            <w:gridSpan w:val="3"/>
          </w:tcPr>
          <w:p>
            <w:pPr>
              <w:jc w:val="center"/>
              <w:ind w:right="12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Common Stock, $0.0001 par value per share</w:t>
            </w:r>
          </w:p>
        </w:tc>
        <w:tc>
          <w:tcPr>
            <w:tcW w:w="120" w:type="dxa"/>
            <w:vAlign w:val="bottom"/>
          </w:tcPr>
          <w:p>
            <w:pPr>
              <w:spacing w:after="0"/>
              <w:rPr>
                <w:sz w:val="14"/>
                <w:szCs w:val="14"/>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IVVD</w:t>
            </w:r>
          </w:p>
        </w:tc>
        <w:tc>
          <w:tcPr>
            <w:tcW w:w="120" w:type="dxa"/>
            <w:vAlign w:val="bottom"/>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388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4"/>
                <w:szCs w:val="14"/>
                <w:color w:val="auto"/>
              </w:rPr>
              <w:t>The Nasdaq Global Market</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Securities registered pursuant to Section 12(g) of the Act: </w:t>
            </w:r>
            <w:r>
              <w:rPr>
                <w:rFonts w:ascii="Times New Roman" w:cs="Times New Roman" w:eastAsia="Times New Roman" w:hAnsi="Times New Roman"/>
                <w:sz w:val="14"/>
                <w:szCs w:val="14"/>
                <w:b w:val="1"/>
                <w:bCs w:val="1"/>
                <w:color w:val="auto"/>
              </w:rPr>
              <w:t>None</w:t>
            </w: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3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80" w:type="dxa"/>
            <w:vAlign w:val="bottom"/>
          </w:tcPr>
          <w:p>
            <w:pPr>
              <w:ind w:left="2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2"/>
        </w:trPr>
        <w:tc>
          <w:tcPr>
            <w:tcW w:w="7360" w:type="dxa"/>
            <w:vAlign w:val="bottom"/>
            <w:gridSpan w:val="5"/>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3880" w:type="dxa"/>
            <w:vAlign w:val="bottom"/>
          </w:tcPr>
          <w:p>
            <w:pPr>
              <w:ind w:left="1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6" w:lineRule="exact"/>
        <w:rPr>
          <w:sz w:val="24"/>
          <w:szCs w:val="24"/>
          <w:color w:val="auto"/>
        </w:rPr>
      </w:pPr>
    </w:p>
    <w:p>
      <w:pPr>
        <w:jc w:val="both"/>
        <w:ind w:right="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Accelerated filer</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740" w:type="dxa"/>
            <w:vAlign w:val="bottom"/>
          </w:tcPr>
          <w:p>
            <w:pPr>
              <w:ind w:left="48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2"/>
        </w:trPr>
        <w:tc>
          <w:tcPr>
            <w:tcW w:w="176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5100" w:type="dxa"/>
            <w:vAlign w:val="bottom"/>
          </w:tcPr>
          <w:p>
            <w:pPr>
              <w:ind w:left="3140"/>
              <w:spacing w:after="0"/>
              <w:rPr>
                <w:sz w:val="20"/>
                <w:szCs w:val="20"/>
                <w:color w:val="auto"/>
              </w:rPr>
            </w:pPr>
            <w:r>
              <w:rPr>
                <w:rFonts w:ascii="Times New Roman" w:cs="Times New Roman" w:eastAsia="Times New Roman" w:hAnsi="Times New Roman"/>
                <w:sz w:val="14"/>
                <w:szCs w:val="14"/>
                <w:color w:val="auto"/>
              </w:rPr>
              <w:t>Emerging growth company</w:t>
            </w:r>
          </w:p>
        </w:tc>
        <w:tc>
          <w:tcPr>
            <w:tcW w:w="520" w:type="dxa"/>
            <w:vAlign w:val="bottom"/>
          </w:tcPr>
          <w:p>
            <w:pPr>
              <w:ind w:left="4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73"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716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4"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4"/>
          <w:szCs w:val="14"/>
          <w:color w:val="auto"/>
        </w:rPr>
        <w:t>As of June 30, 2025, the last business day of the registrant’s most recently completed second fiscal quarter, the aggregate market value of voting and non-voting common equity held by non-affiliates of the registrant was approximately $50.9 million based on the closing price of the registrant’s common stock on June 30, 2025. The calculation excludes shares of the registrant’s common stock held by current executive officers, directors and stockholders that the registrant has concluded are affiliates of the registrant. This determination of affiliate status is not a determination for other purposes.</w:t>
      </w:r>
    </w:p>
    <w:p>
      <w:pPr>
        <w:spacing w:after="0" w:line="16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The number of shares of the registrant’s common stock outstanding as of February 26, 2026 was 282,594,729.</w:t>
      </w:r>
    </w:p>
    <w:p>
      <w:pPr>
        <w:spacing w:after="0" w:line="42"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type w:val="continuous"/>
        </w:sectPr>
      </w:pPr>
    </w:p>
    <w:bookmarkStart w:id="1" w:name="page2"/>
    <w:bookmarkEnd w:id="1"/>
    <w:p>
      <w:pPr>
        <w:spacing w:after="0" w:line="261" w:lineRule="auto"/>
        <w:rPr>
          <w:sz w:val="20"/>
          <w:szCs w:val="20"/>
          <w:color w:val="auto"/>
        </w:rPr>
      </w:pPr>
      <w:r>
        <w:rPr>
          <w:rFonts w:ascii="Times New Roman" w:cs="Times New Roman" w:eastAsia="Times New Roman" w:hAnsi="Times New Roman"/>
          <w:sz w:val="14"/>
          <w:szCs w:val="14"/>
          <w:color w:val="auto"/>
        </w:rPr>
        <w:t>Certain portions of the registrant’s definitive proxy statement for its 2026 Annual Meeting of Stockholders, which the registrant intends to file pursuant to Regulation 14A with the Securities and Exchange Commission no later than 120 days after the registrant’s fiscal year ended December 31, 2025,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60" w:type="dxa"/>
            <w:vAlign w:val="bottom"/>
            <w:gridSpan w:val="9"/>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60" w:type="dxa"/>
            <w:vAlign w:val="bottom"/>
          </w:tcPr>
          <w:p>
            <w:pPr>
              <w:spacing w:after="0"/>
              <w:rPr>
                <w:sz w:val="24"/>
                <w:szCs w:val="24"/>
                <w:color w:val="auto"/>
              </w:rPr>
            </w:pPr>
          </w:p>
        </w:tc>
        <w:tc>
          <w:tcPr>
            <w:tcW w:w="10300" w:type="dxa"/>
            <w:vAlign w:val="bottom"/>
            <w:gridSpan w:val="30"/>
            <w:vMerge w:val="restart"/>
          </w:tcPr>
          <w:p>
            <w:pPr>
              <w:spacing w:after="0"/>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10300" w:type="dxa"/>
            <w:vAlign w:val="bottom"/>
            <w:gridSpan w:val="30"/>
            <w:vMerge w:val="continue"/>
          </w:tcPr>
          <w:p>
            <w:pPr>
              <w:spacing w:after="0"/>
              <w:rPr>
                <w:sz w:val="14"/>
                <w:szCs w:val="14"/>
                <w:color w:val="auto"/>
              </w:rPr>
            </w:pPr>
          </w:p>
        </w:tc>
        <w:tc>
          <w:tcPr>
            <w:tcW w:w="7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300" w:type="dxa"/>
            <w:vAlign w:val="bottom"/>
            <w:gridSpan w:val="30"/>
          </w:tcPr>
          <w:p>
            <w:pPr>
              <w:spacing w:after="0" w:line="196" w:lineRule="exact"/>
              <w:rPr>
                <w:sz w:val="20"/>
                <w:szCs w:val="20"/>
                <w:color w:val="auto"/>
              </w:rPr>
            </w:pPr>
            <w:r>
              <w:rPr>
                <w:rFonts w:ascii="Times New Roman" w:cs="Times New Roman" w:eastAsia="Times New Roman" w:hAnsi="Times New Roman"/>
                <w:sz w:val="18"/>
                <w:szCs w:val="18"/>
                <w:color w:val="0000FF"/>
              </w:rPr>
              <w:t>Summary of Risk Factors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60" w:type="dxa"/>
            <w:vAlign w:val="bottom"/>
            <w:tcBorders>
              <w:right w:val="single" w:sz="8" w:color="0000EE"/>
            </w:tcBorders>
          </w:tcPr>
          <w:p>
            <w:pPr>
              <w:spacing w:after="0" w:line="20" w:lineRule="exact"/>
              <w:rPr>
                <w:sz w:val="1"/>
                <w:szCs w:val="1"/>
                <w:color w:val="auto"/>
              </w:rPr>
            </w:pPr>
          </w:p>
        </w:tc>
        <w:tc>
          <w:tcPr>
            <w:tcW w:w="110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20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Business</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2"/>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bottom w:val="single" w:sz="8" w:color="0000EE"/>
            </w:tcBorders>
          </w:tcPr>
          <w:p>
            <w:pPr>
              <w:spacing w:after="0"/>
              <w:rPr>
                <w:sz w:val="17"/>
                <w:szCs w:val="17"/>
                <w:color w:val="auto"/>
              </w:rPr>
            </w:pPr>
          </w:p>
        </w:tc>
        <w:tc>
          <w:tcPr>
            <w:tcW w:w="8280" w:type="dxa"/>
            <w:vAlign w:val="bottom"/>
            <w:gridSpan w:val="22"/>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1B.</w:t>
            </w:r>
          </w:p>
        </w:tc>
        <w:tc>
          <w:tcPr>
            <w:tcW w:w="20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8"/>
              </w:rPr>
              <w:t>Unresolved Staff Comments</w:t>
            </w:r>
          </w:p>
        </w:tc>
        <w:tc>
          <w:tcPr>
            <w:tcW w:w="7160" w:type="dxa"/>
            <w:vAlign w:val="bottom"/>
            <w:gridSpan w:val="14"/>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6"/>
              </w:rPr>
              <w:t>Cybersecurity</w:t>
            </w:r>
          </w:p>
        </w:tc>
        <w:tc>
          <w:tcPr>
            <w:tcW w:w="8200" w:type="dxa"/>
            <w:vAlign w:val="bottom"/>
            <w:gridSpan w:val="21"/>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720" w:type="dxa"/>
            <w:vAlign w:val="bottom"/>
            <w:tcBorders>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5"/>
              </w:rPr>
              <w:t>Properties</w:t>
            </w:r>
          </w:p>
        </w:tc>
        <w:tc>
          <w:tcPr>
            <w:tcW w:w="40" w:type="dxa"/>
            <w:vAlign w:val="bottom"/>
            <w:tcBorders>
              <w:bottom w:val="single" w:sz="8" w:color="0000EE"/>
            </w:tcBorders>
          </w:tcPr>
          <w:p>
            <w:pPr>
              <w:spacing w:after="0"/>
              <w:rPr>
                <w:sz w:val="17"/>
                <w:szCs w:val="17"/>
                <w:color w:val="auto"/>
              </w:rPr>
            </w:pPr>
          </w:p>
        </w:tc>
        <w:tc>
          <w:tcPr>
            <w:tcW w:w="8440" w:type="dxa"/>
            <w:vAlign w:val="bottom"/>
            <w:gridSpan w:val="26"/>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2"/>
          </w:tcPr>
          <w:p>
            <w:pPr>
              <w:spacing w:after="0" w:line="20" w:lineRule="exact"/>
              <w:rPr>
                <w:sz w:val="1"/>
                <w:szCs w:val="1"/>
                <w:color w:val="auto"/>
              </w:rPr>
            </w:pPr>
          </w:p>
        </w:tc>
        <w:tc>
          <w:tcPr>
            <w:tcW w:w="7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4"/>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5.</w:t>
            </w:r>
          </w:p>
        </w:tc>
        <w:tc>
          <w:tcPr>
            <w:tcW w:w="920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6"/>
              </w:rPr>
              <w:t>[Reserved]</w:t>
            </w:r>
          </w:p>
        </w:tc>
        <w:tc>
          <w:tcPr>
            <w:tcW w:w="20" w:type="dxa"/>
            <w:vAlign w:val="bottom"/>
            <w:tcBorders>
              <w:top w:val="single" w:sz="8" w:color="0000FF"/>
              <w:bottom w:val="single" w:sz="8" w:color="0000EE"/>
            </w:tcBorders>
          </w:tcPr>
          <w:p>
            <w:pPr>
              <w:spacing w:after="0"/>
              <w:rPr>
                <w:sz w:val="17"/>
                <w:szCs w:val="17"/>
                <w:color w:val="auto"/>
              </w:rPr>
            </w:pPr>
          </w:p>
        </w:tc>
        <w:tc>
          <w:tcPr>
            <w:tcW w:w="7280" w:type="dxa"/>
            <w:vAlign w:val="bottom"/>
            <w:tcBorders>
              <w:top w:val="single" w:sz="8" w:color="0000FF"/>
            </w:tcBorders>
            <w:gridSpan w:val="23"/>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646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740" w:type="dxa"/>
            <w:vAlign w:val="bottom"/>
            <w:gridSpan w:val="4"/>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7A.</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3320" w:type="dxa"/>
            <w:vAlign w:val="bottom"/>
            <w:tcBorders>
              <w:top w:val="single" w:sz="8" w:color="0000FF"/>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7"/>
                <w:szCs w:val="17"/>
                <w:color w:val="auto"/>
              </w:rPr>
            </w:pPr>
          </w:p>
        </w:tc>
        <w:tc>
          <w:tcPr>
            <w:tcW w:w="1000" w:type="dxa"/>
            <w:vAlign w:val="bottom"/>
            <w:tcBorders>
              <w:top w:val="single" w:sz="8" w:color="0000FF"/>
            </w:tcBorders>
            <w:gridSpan w:val="2"/>
          </w:tcPr>
          <w:p>
            <w:pPr>
              <w:spacing w:after="0"/>
              <w:rPr>
                <w:sz w:val="17"/>
                <w:szCs w:val="17"/>
                <w:color w:val="auto"/>
              </w:rPr>
            </w:pPr>
          </w:p>
        </w:tc>
        <w:tc>
          <w:tcPr>
            <w:tcW w:w="4860" w:type="dxa"/>
            <w:vAlign w:val="bottom"/>
            <w:gridSpan w:val="7"/>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9A.</w:t>
            </w:r>
          </w:p>
        </w:tc>
        <w:tc>
          <w:tcPr>
            <w:tcW w:w="1760" w:type="dxa"/>
            <w:vAlign w:val="bottom"/>
            <w:tcBorders>
              <w:top w:val="single" w:sz="8" w:color="0000FF"/>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8"/>
              </w:rPr>
              <w:t>Controls and Procedures</w:t>
            </w:r>
          </w:p>
        </w:tc>
        <w:tc>
          <w:tcPr>
            <w:tcW w:w="4740" w:type="dxa"/>
            <w:vAlign w:val="bottom"/>
            <w:tcBorders>
              <w:top w:val="single" w:sz="8" w:color="0000FF"/>
            </w:tcBorders>
            <w:gridSpan w:val="14"/>
          </w:tcPr>
          <w:p>
            <w:pPr>
              <w:spacing w:after="0"/>
              <w:rPr>
                <w:sz w:val="17"/>
                <w:szCs w:val="17"/>
                <w:color w:val="auto"/>
              </w:rPr>
            </w:pPr>
          </w:p>
        </w:tc>
        <w:tc>
          <w:tcPr>
            <w:tcW w:w="2700" w:type="dxa"/>
            <w:vAlign w:val="bottom"/>
            <w:gridSpan w:val="3"/>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9B.</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0"/>
        </w:trPr>
        <w:tc>
          <w:tcPr>
            <w:tcW w:w="1260" w:type="dxa"/>
            <w:vAlign w:val="bottom"/>
            <w:tcBorders>
              <w:right w:val="single" w:sz="8" w:color="0000EE"/>
            </w:tcBorders>
            <w:gridSpan w:val="2"/>
          </w:tcPr>
          <w:p>
            <w:pPr>
              <w:spacing w:after="0" w:line="20" w:lineRule="exact"/>
              <w:rPr>
                <w:sz w:val="1"/>
                <w:szCs w:val="1"/>
                <w:color w:val="auto"/>
              </w:rPr>
            </w:pPr>
          </w:p>
        </w:tc>
        <w:tc>
          <w:tcPr>
            <w:tcW w:w="1320" w:type="dxa"/>
            <w:vAlign w:val="bottom"/>
            <w:tcBorders>
              <w:right w:val="single" w:sz="8" w:color="0000EE"/>
            </w:tcBorders>
            <w:gridSpan w:val="9"/>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9C.</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10.</w:t>
            </w:r>
          </w:p>
        </w:tc>
        <w:tc>
          <w:tcPr>
            <w:tcW w:w="920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1800" w:type="dxa"/>
            <w:vAlign w:val="bottom"/>
            <w:tcBorders>
              <w:top w:val="single" w:sz="8" w:color="0000FF"/>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top w:val="single" w:sz="8" w:color="0000FF"/>
              <w:bottom w:val="single" w:sz="8" w:color="0000EE"/>
            </w:tcBorders>
          </w:tcPr>
          <w:p>
            <w:pPr>
              <w:spacing w:after="0"/>
              <w:rPr>
                <w:sz w:val="17"/>
                <w:szCs w:val="17"/>
                <w:color w:val="auto"/>
              </w:rPr>
            </w:pPr>
          </w:p>
        </w:tc>
        <w:tc>
          <w:tcPr>
            <w:tcW w:w="2260" w:type="dxa"/>
            <w:vAlign w:val="bottom"/>
            <w:tcBorders>
              <w:top w:val="single" w:sz="8" w:color="0000FF"/>
            </w:tcBorders>
            <w:gridSpan w:val="7"/>
          </w:tcPr>
          <w:p>
            <w:pPr>
              <w:spacing w:after="0"/>
              <w:rPr>
                <w:sz w:val="17"/>
                <w:szCs w:val="17"/>
                <w:color w:val="auto"/>
              </w:rPr>
            </w:pPr>
          </w:p>
        </w:tc>
        <w:tc>
          <w:tcPr>
            <w:tcW w:w="5120" w:type="dxa"/>
            <w:vAlign w:val="bottom"/>
            <w:gridSpan w:val="8"/>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920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7280" w:type="dxa"/>
            <w:vAlign w:val="bottom"/>
            <w:tcBorders>
              <w:top w:val="single" w:sz="8" w:color="0000FF"/>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920" w:type="dxa"/>
            <w:vAlign w:val="bottom"/>
            <w:gridSpan w:val="2"/>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5440" w:type="dxa"/>
            <w:vAlign w:val="bottom"/>
            <w:tcBorders>
              <w:top w:val="single" w:sz="8" w:color="0000FF"/>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3760" w:type="dxa"/>
            <w:vAlign w:val="bottom"/>
            <w:gridSpan w:val="5"/>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434"/>
        </w:trPr>
        <w:tc>
          <w:tcPr>
            <w:tcW w:w="1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8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26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15.</w:t>
            </w:r>
          </w:p>
        </w:tc>
        <w:tc>
          <w:tcPr>
            <w:tcW w:w="9200" w:type="dxa"/>
            <w:vAlign w:val="bottom"/>
            <w:gridSpan w:val="29"/>
          </w:tcPr>
          <w:p>
            <w:pPr>
              <w:spacing w:after="0" w:line="194"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00" w:type="dxa"/>
            <w:vAlign w:val="bottom"/>
            <w:gridSpan w:val="2"/>
          </w:tcPr>
          <w:p>
            <w:pPr>
              <w:jc w:val="right"/>
              <w:ind w:right="20"/>
              <w:spacing w:after="0" w:line="194" w:lineRule="exact"/>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196"/>
        </w:trPr>
        <w:tc>
          <w:tcPr>
            <w:tcW w:w="12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54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8"/>
              </w:rPr>
              <w:t>Form 10-K Summary</w:t>
            </w:r>
          </w:p>
        </w:tc>
        <w:tc>
          <w:tcPr>
            <w:tcW w:w="20" w:type="dxa"/>
            <w:vAlign w:val="bottom"/>
            <w:tcBorders>
              <w:top w:val="single" w:sz="8" w:color="0000FF"/>
              <w:bottom w:val="single" w:sz="8" w:color="0000EE"/>
            </w:tcBorders>
          </w:tcPr>
          <w:p>
            <w:pPr>
              <w:spacing w:after="0"/>
              <w:rPr>
                <w:sz w:val="17"/>
                <w:szCs w:val="17"/>
                <w:color w:val="auto"/>
              </w:rPr>
            </w:pPr>
          </w:p>
        </w:tc>
        <w:tc>
          <w:tcPr>
            <w:tcW w:w="1580" w:type="dxa"/>
            <w:vAlign w:val="bottom"/>
            <w:tcBorders>
              <w:top w:val="single" w:sz="8" w:color="0000FF"/>
            </w:tcBorders>
            <w:gridSpan w:val="7"/>
          </w:tcPr>
          <w:p>
            <w:pPr>
              <w:spacing w:after="0"/>
              <w:rPr>
                <w:sz w:val="17"/>
                <w:szCs w:val="17"/>
                <w:color w:val="auto"/>
              </w:rPr>
            </w:pPr>
          </w:p>
        </w:tc>
        <w:tc>
          <w:tcPr>
            <w:tcW w:w="6060" w:type="dxa"/>
            <w:vAlign w:val="bottom"/>
            <w:gridSpan w:val="11"/>
          </w:tcPr>
          <w:p>
            <w:pPr>
              <w:spacing w:after="0"/>
              <w:rPr>
                <w:sz w:val="17"/>
                <w:szCs w:val="17"/>
                <w:color w:val="auto"/>
              </w:rPr>
            </w:pPr>
          </w:p>
        </w:tc>
        <w:tc>
          <w:tcPr>
            <w:tcW w:w="80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and Section 21E of the Securities Exchange Act of 1934, as amended (the “Exchange Act”). Forward-looking statements include, but are not limited to, statements regarding our management team’s expectations, hopes, beliefs, intentions or strategies regarding the future, projections, forecasts or other characterizations of future events or circumstances, including any underlying assumptions, and are not guarantees of future performance. The words “may,” “anticipate,” “believe,” “could,” “expect,” “intends,” “might,” “plan,” “possible,” “potential,” “aim,” “predict,” “project,” “should,” “will,” “would” and similar expressions may identify forward-looking statements, but the absence of these words does not mean that a statement is not forward-looking. These statements speak only as of the date of this Annual Report on Form 10-K and involve known and unknown risks, uncertainties and other important factors that may cause our actual results, performance or achievements to be materially different from any future results, performance or achievements expressed or implied by the forward-looking statements. We have based these forward-looking statements largely on our current expectations and projections about future events and financial trends that we believe may affect our business, financial condition and results of operations. These forward-looking statements include, without limitation, statements about the following:</w:t>
      </w:r>
    </w:p>
    <w:p>
      <w:pPr>
        <w:spacing w:after="0" w:line="84"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related to the commercialization of PEMGARDA® (pemivibart), which received emergency use authorization (“EUA”) from the U.S. Food and Drug Administration (“FDA”) in March 2024, including our expectations about the potential market opportunity;</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related to VYD2311, our next generation monoclonal antibody (“mAb”) candidate for COVID-19, the REVOLUTION clinical program for VYD2311 and the potential of VYD2311 to offer the ability to deliver clinically meaningful titer levels through more healthcare system- and patient-friendly means;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periodically introduce new mAb candidates as the SARS-CoV-2 virus evolves over time;</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design, progress and results of preclinical studies and clinical trials of our product candidates, including statements regarding initiation or completion of studies or trials and related preparatory work, the period during which results of any studies or trials will become available, and potential regulatory submissions;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devotion to delivering protection from serious viral infectious diseases, and our commitment to developing a robust pipeline of product candidates that could be used in prevention or treatment of serious viral infectious diseases, starting with COVID-19 and expanding into other high-need indications, such as respiratory syncytial virus (“RSV”) and measles;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advance differentiated product candidates to address infectious diseases through internal research and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 of establishing streamlined development pathways to efficiently introduce new mAb candidates targeting SARS-CoV-2;</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timing of any submission of filings for regulatory authorization or approval of, and our ability to obtain and maintain regulatory authorizations or approvals for,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size of the patient populations, market acceptance and opportunity for and clinical utility of our product candidates, if authorized or approved for commercial use;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continued reliance on third parties for clinical trials and the manufacture and testing of our product candidates, as well as to perform ongoing research and development and other services on our behalf;</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capabilities and strategy, and our expectations regarding supply and demand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our product candidates, if authorized or approved, including our distribution capabilities and strategy;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deliver new product candidates that exert continuous pharmaceutical activity in the face of viral evolution and that can be updated quickly as necessary via our bespoke platform;</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SPEAR (Spike Protein Elimination and Recovery) Study Group, including its anticipated focus, goals and plans;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estimates of our expenses, ongoing losses, future potential revenue, capital requirements and our need for or ability to obtain additional funding;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 w:name="page5"/>
    <w:bookmarkEnd w:id="4"/>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continue as a going concern; and</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 and the development of and projections relating to our competitors or our industry.</w:t>
      </w:r>
    </w:p>
    <w:p>
      <w:pPr>
        <w:spacing w:after="0" w:line="225" w:lineRule="exact"/>
        <w:rPr>
          <w:sz w:val="20"/>
          <w:szCs w:val="20"/>
          <w:color w:val="auto"/>
        </w:rPr>
      </w:pPr>
    </w:p>
    <w:p>
      <w:pPr>
        <w:ind w:left="5063"/>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23"/>
          </w:cols>
          <w:pgMar w:left="837" w:top="1201" w:right="1440" w:bottom="1440" w:gutter="0" w:footer="0" w:header="0"/>
        </w:sectPr>
      </w:pPr>
    </w:p>
    <w:bookmarkStart w:id="5" w:name="page6"/>
    <w:bookmarkEnd w:id="5"/>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foregoing list of forward-looking statements is not exhaustive. You should refer to the “Risk Factors” section of this Annual Report on Form 10-K for a discussion of important factors that may cause our actual results to differ materially from those expressed or implied by our forward-looking statements. Other sections of this Annual Report on Form 10-K may include additional factors that could harm our business and financial performance. Moreover, we operate in an evolving environment. New risk factors and uncertainties may emerge from time to time, and it is not possible for management to predict all risk factors and uncertainties. As a result of these factors, we cannot assure you that the forward-looking statements in this Annual Report on Form 10-K will prove to be accurate. Except as required by applicable law, we do not plan to publicly update or revise any forward-looking statements contained herein, whether as a result of any new information, future events, changed circumstances or otherwise. You should, however, review the factors and risks and other information we describe in the reports we file from time to time with the Securities and Exchange Commission (the “SEC”).</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You should read this Annual Report on Form 10-K and the documents that we reference in this Annual Report on Form 10-K and have filed as exhibits to this Annual Report on Form 10-K completely and with the understanding that our actual future results may be materially different from what we expect. We qualify all of our forward-looking statements by these cautionary statements.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7" w:lineRule="exact"/>
        <w:rPr>
          <w:sz w:val="20"/>
          <w:szCs w:val="20"/>
          <w:color w:val="auto"/>
        </w:rPr>
      </w:pPr>
    </w:p>
    <w:p>
      <w:pPr>
        <w:ind w:right="40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summarizes the principal factors that make an investment in us speculative or risky, all of which are more fully described in the “Risk Factors” section of this Annual Report on Form 10-K. This summary should be read in conjunction with the “Risk Factors” section and should not be relied upon as an exhaustive summary of the material risks facing our business.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08" w:lineRule="exact"/>
        <w:rPr>
          <w:sz w:val="20"/>
          <w:szCs w:val="20"/>
          <w:color w:val="auto"/>
        </w:rPr>
      </w:pPr>
    </w:p>
    <w:p>
      <w:pPr>
        <w:ind w:left="900" w:hanging="383"/>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raises substantial doubt regarding our ability to continue as a going concern.</w:t>
      </w:r>
    </w:p>
    <w:p>
      <w:pPr>
        <w:spacing w:after="0" w:line="117"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significant losses since our inception and are highly dependent on the commercial success of our only authorized product, PEMGARDA, for the foreseeable future, until VYD2311 or any other product candidate is authorized or approved and successfully commercialized, if ever. We may not achieve or maintain profitability.</w:t>
      </w:r>
    </w:p>
    <w:p>
      <w:pPr>
        <w:spacing w:after="0" w:line="54"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limited experience with commercializing products, which may make it difficult for an investor to evaluate the success of our business to date and to assess our future viability.</w:t>
      </w:r>
    </w:p>
    <w:p>
      <w:pPr>
        <w:spacing w:after="0" w:line="40" w:lineRule="exact"/>
        <w:rPr>
          <w:rFonts w:ascii="Times New Roman" w:cs="Times New Roman" w:eastAsia="Times New Roman" w:hAnsi="Times New Roman"/>
          <w:sz w:val="18"/>
          <w:szCs w:val="18"/>
          <w:color w:val="auto"/>
        </w:rPr>
      </w:pPr>
    </w:p>
    <w:p>
      <w:pPr>
        <w:jc w:val="both"/>
        <w:ind w:left="900" w:hanging="383"/>
        <w:spacing w:after="0" w:line="25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In April 2025, we entered into a Term Facility (as defined below); however, if we are unable to satisfy certain conditions of the Loan Agreement (as defined below), we will be unable to draw down the amounts of such Term Facility. If we are unable to secure and access additional funding when needed, we could be forced to curtail our planned operations and the pursuit of our growth strategy.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08" w:lineRule="exact"/>
        <w:rPr>
          <w:sz w:val="20"/>
          <w:szCs w:val="20"/>
          <w:color w:val="auto"/>
        </w:rPr>
      </w:pPr>
    </w:p>
    <w:p>
      <w:pPr>
        <w:jc w:val="both"/>
        <w:ind w:left="90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Newly emerging and future SARS-CoV-2 variants could reduce the activity and effectiveness of mAbs for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54"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date, we have received regulatory authorization for only one product candidate, PEMGARDA. If we are unable to successfully develop, receive and maintain an EUA or regulatory approval for and commercialize our product candidates for the indications we seek or successfully develop any other product candidates, or experience significant delays in doing so, our business will be substantially harmed.</w:t>
      </w:r>
    </w:p>
    <w:p>
      <w:pPr>
        <w:spacing w:after="0" w:line="40"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COVID-19 product candidates represent novel approaches to the prevention and/or treatment of a relatively new disease, there are many uncertainties regarding the development, market acceptance, third-party reimbursement coverage and commercial potential of our COVID-19 product candidates. We may not be successful in aligning with regulators on an expedited and replicable pathway to SARS-CoV-2 mAb authorization or approval.</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56"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the public health emergency in the U.S. declared under Section 564 of the Federal Food, Drug, and Cosmetic Act (the “FDCA”) permitting the FDA to authorize COVID-19 drugs and biologics for emergency use, such as the EUA for PEMGARDA, will continue to be in place for an extended period of time. If the EUA for PEMGARDA is terminated or revoked, we will be unable to sell PEMGARDA and instead would need to pursue traditional regulatory approval processes, which are lengthy, time consuming and inherently unpredictable, and which we may determine not to pursue. If we are not able to maintain regulatory authorization for PEMGARDA, our business will be substantially harmed.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obtaining the regulatory approval necessary to sell our product candidates.</w:t>
      </w:r>
    </w:p>
    <w:p>
      <w:pPr>
        <w:spacing w:after="0" w:line="9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4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awareness or negative public opinion of mAb therapies and increased regulatory scrutiny of mAb therapies to prevent or treat COVID-19 or other infectious diseases may adversely impact the development or commercial success of our product candidates.</w:t>
      </w:r>
    </w:p>
    <w:p>
      <w:pPr>
        <w:spacing w:after="0" w:line="4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or difficulties in the enrollment and/or retention of patients in clinical trials, or we may pause, delay or terminate enrollment of our clinical trials, which could in turn delay or prevent our receipt of necessary regulatory authorizations or approvals.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ind w:left="90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build a pipeline of additional product candidates through internal efforts or through partnerships for discovery of novel antibody product candidates.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08" w:lineRule="exact"/>
        <w:rPr>
          <w:sz w:val="20"/>
          <w:szCs w:val="20"/>
          <w:color w:val="auto"/>
        </w:rPr>
      </w:pPr>
    </w:p>
    <w:p>
      <w:pPr>
        <w:jc w:val="both"/>
        <w:ind w:left="90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Monoclonal antibody therapies are complex, difficult and time-consuming to manufacture, and we currently rely on a single contract manufacturer for our COVID-19 product candidates. We could experience manufacturing problems, may be unable to access desired future manufacturing capacity within desired timeframes, or may be unable to access raw materials due to global supply chain shortages or otherwise, that result in delays in the development, supply, or commercialization of our product candidates or otherwise harm our business.</w:t>
      </w:r>
    </w:p>
    <w:p>
      <w:pPr>
        <w:spacing w:after="0" w:line="71" w:lineRule="exact"/>
        <w:rPr>
          <w:rFonts w:ascii="Times New Roman" w:cs="Times New Roman" w:eastAsia="Times New Roman" w:hAnsi="Times New Roman"/>
          <w:sz w:val="18"/>
          <w:szCs w:val="18"/>
          <w:color w:val="auto"/>
        </w:rPr>
      </w:pPr>
    </w:p>
    <w:p>
      <w:pPr>
        <w:jc w:val="both"/>
        <w:ind w:left="900" w:hanging="383"/>
        <w:spacing w:after="0" w:line="261" w:lineRule="auto"/>
        <w:tabs>
          <w:tab w:leader="none" w:pos="9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depend on sole-source third-party suppliers and a single contract manufacturer for materials and services that are necessary for the conduct of preclinical studies, manufacture and testing of our COVID-19 product candidates for clinical trials and commercial supply, and the loss of these third-party suppliers or contract manufacturer or their inability to supply us with sufficient quantities of adequate materials or services, or to do so at acceptable quality levels, acceptable pricing terms, and on a timely basis, could harm our business.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08" w:lineRule="exact"/>
        <w:rPr>
          <w:sz w:val="20"/>
          <w:szCs w:val="20"/>
          <w:color w:val="auto"/>
        </w:rPr>
      </w:pPr>
    </w:p>
    <w:p>
      <w:pPr>
        <w:jc w:val="both"/>
        <w:ind w:left="900" w:hanging="383"/>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FDA revokes or terminates our EUA for PEMGARDA, we will be required to stop commercial distribution of PEMGARDA immediately unless we can obtain FDA approval for PEMGARDA under a traditional regulatory pathway, which may be lengthy and expensive, which could harm our future business prospects.</w:t>
      </w:r>
    </w:p>
    <w:p>
      <w:pPr>
        <w:spacing w:after="0" w:line="5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candidates may fail to achieve the degree of market acceptance by physicians, patients, third-party payors and others in the medical community necessary for commercial success, due to the product profile, reimbursement dynamics or other reasons.</w:t>
      </w:r>
    </w:p>
    <w:p>
      <w:pPr>
        <w:spacing w:after="0" w:line="53" w:lineRule="exact"/>
        <w:rPr>
          <w:rFonts w:ascii="Times New Roman" w:cs="Times New Roman" w:eastAsia="Times New Roman" w:hAnsi="Times New Roman"/>
          <w:sz w:val="18"/>
          <w:szCs w:val="18"/>
          <w:color w:val="auto"/>
        </w:rPr>
      </w:pPr>
    </w:p>
    <w:p>
      <w:pPr>
        <w:jc w:val="both"/>
        <w:ind w:left="900" w:hanging="383"/>
        <w:spacing w:after="0" w:line="266"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5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affected populations for our product candidates, including PEMGARDA, may be smaller than we or third parties currently project, which may affect the addressable markets for our product candidates.</w:t>
      </w:r>
    </w:p>
    <w:p>
      <w:pPr>
        <w:spacing w:after="0" w:line="4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mAb product candidates, including PEMGARDA, may face significant competition from vaccines, antiviral agents and other therapeutics for COVID-19 that are currently available or in development.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21" w:lineRule="exact"/>
        <w:rPr>
          <w:sz w:val="20"/>
          <w:szCs w:val="20"/>
          <w:color w:val="auto"/>
        </w:rPr>
      </w:pPr>
    </w:p>
    <w:p>
      <w:pPr>
        <w:jc w:val="both"/>
        <w:ind w:left="900" w:hanging="383"/>
        <w:spacing w:after="0" w:line="266"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54"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initiate legal proceedings alleging that we are infringing, misappropriating or otherwise violating their intellectual property rights, the outcome of which would be uncertain.</w:t>
      </w:r>
    </w:p>
    <w:p>
      <w:pPr>
        <w:spacing w:after="0" w:line="40"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trademarks we have obtained or may obtain may be infringed or otherwise violated, or successfully challenged, resulting in harm to our business.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21" w:lineRule="exact"/>
        <w:rPr>
          <w:sz w:val="20"/>
          <w:szCs w:val="20"/>
          <w:color w:val="auto"/>
        </w:rPr>
      </w:pPr>
    </w:p>
    <w:p>
      <w:pPr>
        <w:ind w:left="900" w:hanging="383"/>
        <w:spacing w:after="0" w:line="282" w:lineRule="auto"/>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shares of our common stock has been and may continue to be volatile, and purchasers of our common stock could incur substantial losses.</w:t>
      </w:r>
    </w:p>
    <w:p>
      <w:pPr>
        <w:spacing w:after="0" w:line="4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we will continue to be able to comply with the continued listing standards of Nasdaq.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08" w:lineRule="exact"/>
        <w:rPr>
          <w:sz w:val="20"/>
          <w:szCs w:val="20"/>
          <w:color w:val="auto"/>
        </w:rPr>
      </w:pPr>
    </w:p>
    <w:p>
      <w:pPr>
        <w:jc w:val="both"/>
        <w:ind w:left="900" w:hanging="383"/>
        <w:spacing w:after="0" w:line="266"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global economic conditions and geopolitical events, including as a result of trade tensions between the U.S. and China, could adversely affect our business, financial condition or results of operations, including conduct of our clinical trials and our manufacturing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Invivyd, Inc. is a biopharmaceutical company focused on the discovery, development and commercialization of monoclonal antibody (“mAb”) therapies for the prevention and treatment of serious viral infectious diseases. We are devoted to delivering protection from serious viral infectious diseases, beginning with SARS-CoV-2, the virus that causes COVID-19. PEMGARDA® (pemivibart) is our first mAb to receive regulatory authorization and was designed to exert continuous pharmaceutical activity in the face of viral evolution.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COVID-19 persists and continues to impact patients, notably those who are immunocompromised, and combating this disease will require for years to come a variety of prevention and treatment options with demonstrated efficacy and safety. By leveraging our capabilities, which we have developed through our experience with adintrevimab and pemivibart and over five years in the COVID-19 space, we aim to develop mAbs that could be used in prevention or treatment of serious viral infectious diseases, starting with COVID-19 and expanding into other high-need indications, such as respiratory syncytial virus (“RSV”) and measles.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(“IV”)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January 2024, we nominated VYD2311, a next generation mAb candidate for COVID-19, as a drug candidate. VYD2311 is a mAb with high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neutralization potency shown against prominent SARS-CoV-2 variants tested to date. In September 2024, we announced dosing of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in a Phase 1/2 clinical trial of VYD2311.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healthcare system- and patient-friendly than IV administration. In June 2025, we announced positive full Phase 1/2 clinical data for VYD2311 for both safety and pharmacokinetics.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August 2025, we announced alignment with advice from the FDA on a compact and, therefore, rapid pathway to potential Biologics License Application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includes two clinical trials, DECLARATION and LIBERTY. In December 2025, we initiated DECLARATION, which is a Phase 3 randomized, triple-blind, placebo-controlled clinical trial to evaluate VYD2311 safety and efficacy in prevention of symptomatic, RT-PCR-confirmed COVID-19 at three months, with either a single dose or monthly doses of VYD2311, each administered via IM injection, compared to placebo. DECLARATION is designed to support potential BLA submission, with top-line data anticipated in mid-2026. In February 2026, we announced alignment with the FDA on LIBERTY, which is designed as a Phase 3, randomized, double-blind clinical trial to evaluate the safety, serum virus neutralizing antibody responses, and pharmacokinetics of (1) VYD2311, (2) an mRNA COVID vaccine, and (3)</w:t>
      </w: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co-administered VYD2311 with an mRNA COVID vaccine. 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our next generation mAb candidate for COVID-19, against the same contemporary viruses, and we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w:t>
      </w:r>
    </w:p>
    <w:p>
      <w:pPr>
        <w:spacing w:after="0" w:line="81" w:lineRule="exact"/>
        <w:rPr>
          <w:sz w:val="20"/>
          <w:szCs w:val="20"/>
          <w:color w:val="auto"/>
        </w:rPr>
      </w:pPr>
    </w:p>
    <w:p>
      <w:pPr>
        <w:jc w:val="both"/>
        <w:ind w:firstLine="557"/>
        <w:spacing w:after="0" w:line="258" w:lineRule="auto"/>
        <w:rPr>
          <w:sz w:val="20"/>
          <w:szCs w:val="20"/>
          <w:color w:val="auto"/>
        </w:rPr>
      </w:pPr>
      <w:r>
        <w:rPr>
          <w:rFonts w:ascii="Times New Roman" w:cs="Times New Roman" w:eastAsia="Times New Roman" w:hAnsi="Times New Roman"/>
          <w:sz w:val="18"/>
          <w:szCs w:val="18"/>
          <w:color w:val="auto"/>
        </w:rPr>
        <w:t>In addition to our COVID-19 programs, in November 2025, we announced the selection of VBY329, a potential best-in-class mAb candidate being developed for the prevention of RSV infections in neonates, infants and children. We expect to advance VBY329 toward IND readiness in the second half of 2026. Through our proprietary technology platform, we continue to investigate additional mAbs for protection and treatment of other important infectious diseases, such as measles. We are targeting identification of a preclinical mAb candidate for treatment and prevention of measles in the first half of 2026.</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(“CMC”) development, testing and clinical and commercial manufacturing activities. In 2022, we secured dedicated laboratory space and expanded our research team in order to enable internal discovery and development of our mAb candidates, while continuing to leverage our existing partnership with Adimab, LLC (“Adimab”), including Adimab’s platform technology. In addition, we expect to continue to rely on third parties for clinical trials and the manufacture and testing of our product candidates, as well as to perform ongoing research and development and other services on our behalf.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strategy is to discover, develop and commercialize differentiated product candidates that could be used in prevention or treatment of serious viral infectious diseases, starting with COVID-19 and expanding into other high-need indications. In order to achieve this goal, our strategy involves execution of the following key elements:</w:t>
      </w:r>
    </w:p>
    <w:p>
      <w:pPr>
        <w:spacing w:after="0" w:line="64" w:lineRule="exact"/>
        <w:rPr>
          <w:sz w:val="20"/>
          <w:szCs w:val="20"/>
          <w:color w:val="auto"/>
        </w:rPr>
      </w:pPr>
    </w:p>
    <w:p>
      <w:pPr>
        <w:jc w:val="both"/>
        <w:ind w:left="1140" w:hanging="504"/>
        <w:spacing w:after="0" w:line="256"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Continued execution of PEMGARDA commercial launch in the U.S. </w:t>
      </w:r>
      <w:r>
        <w:rPr>
          <w:rFonts w:ascii="Times New Roman" w:cs="Times New Roman" w:eastAsia="Times New Roman" w:hAnsi="Times New Roman"/>
          <w:sz w:val="18"/>
          <w:szCs w:val="18"/>
          <w:color w:val="auto"/>
        </w:rPr>
        <w:t>On March 22, 2024, we received an EUA from the FDA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 To support the commercialization of PEMGARDA, we have directly hired key leaders for our sales, marketing, market access, and medical affairs teams who have extensive experience commercializing products within the infectious and rare diseases spaces, and we have directly hired a field sales force.</w:t>
      </w:r>
    </w:p>
    <w:p>
      <w:pPr>
        <w:spacing w:after="0" w:line="74" w:lineRule="exact"/>
        <w:rPr>
          <w:rFonts w:ascii="Times New Roman" w:cs="Times New Roman" w:eastAsia="Times New Roman" w:hAnsi="Times New Roman"/>
          <w:sz w:val="18"/>
          <w:szCs w:val="18"/>
          <w:color w:val="auto"/>
        </w:rPr>
      </w:pPr>
    </w:p>
    <w:p>
      <w:pPr>
        <w:jc w:val="both"/>
        <w:ind w:left="1140" w:hanging="504"/>
        <w:spacing w:after="0" w:line="259" w:lineRule="auto"/>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VYD2311 through clinical development and regulatory review. </w:t>
      </w:r>
      <w:r>
        <w:rPr>
          <w:rFonts w:ascii="Times New Roman" w:cs="Times New Roman" w:eastAsia="Times New Roman" w:hAnsi="Times New Roman"/>
          <w:sz w:val="18"/>
          <w:szCs w:val="18"/>
          <w:color w:val="auto"/>
        </w:rPr>
        <w:t>Following FDA IND clearance and alignment on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REVOLUTION clinical program, we have initiated our Phase 3 DECLARATION clinical trial. We have also aligned with FDA on the LIBERTY clinical trial, which will evaluate comparative safety and immunology of VYD2311 versus an mRNA COVID vaccine, as well as explore the safety and immunology of co-administered VYD2311 and an mRNA COVID vaccine. The FDA has granted Fast Track designation for VYD2311 for the prevention of COVID-19 in individuals with underlying risk factors for progression to severe disease.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jc w:val="both"/>
        <w:ind w:left="1140" w:hanging="504"/>
        <w:spacing w:after="0" w:line="257"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Establishing streamlined development pathways that would allow us to efficiently introduce new mAb candidates targeting SARS-CoV-2. </w:t>
      </w:r>
      <w:r>
        <w:rPr>
          <w:rFonts w:ascii="Times New Roman" w:cs="Times New Roman" w:eastAsia="Times New Roman" w:hAnsi="Times New Roman"/>
          <w:sz w:val="18"/>
          <w:szCs w:val="18"/>
          <w:color w:val="auto"/>
        </w:rPr>
        <w:t>We continue to engage with the FDA with the aim of establishing expedited and replicable pathways for the authorization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of new SARS-CoV-2 mAbs. There are precedents for streamlined development pathways in the influenza and COVID-19 vaccine spaces for leveraging existing safety and efficacy data to bridge quickly to new or modified vaccines, and there are expedited regulatory review and approval approaches that we may pursue for our product candidates, such as the FDA’s accelerated approval pathway, Fast Track designation and breakthrough therapy designation.</w:t>
      </w:r>
    </w:p>
    <w:p>
      <w:pPr>
        <w:spacing w:after="0" w:line="74" w:lineRule="exact"/>
        <w:rPr>
          <w:rFonts w:ascii="Times New Roman" w:cs="Times New Roman" w:eastAsia="Times New Roman" w:hAnsi="Times New Roman"/>
          <w:sz w:val="18"/>
          <w:szCs w:val="18"/>
          <w:color w:val="auto"/>
        </w:rPr>
      </w:pPr>
    </w:p>
    <w:p>
      <w:pPr>
        <w:ind w:left="1140" w:hanging="504"/>
        <w:spacing w:after="0" w:line="28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Developing potential best-in-class antibody therapies across multiple virus targets. </w:t>
      </w:r>
      <w:r>
        <w:rPr>
          <w:rFonts w:ascii="Times New Roman" w:cs="Times New Roman" w:eastAsia="Times New Roman" w:hAnsi="Times New Roman"/>
          <w:sz w:val="18"/>
          <w:szCs w:val="18"/>
          <w:color w:val="auto"/>
        </w:rPr>
        <w:t>In addition to our work in targeting SARS-CoV-2,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we are using our bespoke platform to identify mAbs for other infectious diseases, including RSV and measles.</w:t>
      </w:r>
    </w:p>
    <w:p>
      <w:pPr>
        <w:spacing w:after="0" w:line="46" w:lineRule="exact"/>
        <w:rPr>
          <w:rFonts w:ascii="Times New Roman" w:cs="Times New Roman" w:eastAsia="Times New Roman" w:hAnsi="Times New Roman"/>
          <w:sz w:val="18"/>
          <w:szCs w:val="18"/>
          <w:color w:val="auto"/>
        </w:rPr>
      </w:pPr>
    </w:p>
    <w:p>
      <w:pPr>
        <w:jc w:val="both"/>
        <w:ind w:left="1140" w:hanging="504"/>
        <w:spacing w:after="0" w:line="259"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Ensuring supply of drug product for PEMGARDA and future clinical product candidates. </w:t>
      </w:r>
      <w:r>
        <w:rPr>
          <w:rFonts w:ascii="Times New Roman" w:cs="Times New Roman" w:eastAsia="Times New Roman" w:hAnsi="Times New Roman"/>
          <w:sz w:val="18"/>
          <w:szCs w:val="18"/>
          <w:color w:val="auto"/>
        </w:rPr>
        <w:t>We have partnered with WuXi Biologics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CMC development and for clinical and commercial drug substance and drug product supply of PEMGARDA and VYD2311. We believe we have secured sufficient supply to meet demand for PEMGARDA and anticipated initial demand for VYD2311, if approved. We continue to evaluate access to capacity at WuXi Biologics and other CDMOs so we can aim to meet potential future demand for our product candidates.</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Advancing our differentiated product candidates to address infectious diseases through internal research and collaborations. </w:t>
      </w:r>
      <w:r>
        <w:rPr>
          <w:rFonts w:ascii="Times New Roman" w:cs="Times New Roman" w:eastAsia="Times New Roman" w:hAnsi="Times New Roman"/>
          <w:sz w:val="18"/>
          <w:szCs w:val="18"/>
          <w:color w:val="auto"/>
        </w:rPr>
        <w:t>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built a portfolio of broadly neutralizing SARS-CoV-2 antibodies as our lead disease area of focus. We have exclusive access to Adimab’s industry-leading B-cell mining, protein and antibody engineering capabilities for coronavirus antibody discovery. We are currently leveraging this partnership and building internal capabilities to further expand our portfolio with additional uniquely differentiated anti-viral antibodies targeting SARS-CoV-2, as well as other infectious diseases. In addition, we can employ unique protein engineering strategies to enhance activity of our antibodies against circulating SARS-CoV-2 variants of concern (“VoCs”). With our cutting edge viral and epidemiological surveillance, we aim to stay ahead of potential future VoCs with our repertoire of broadly neutralizing mAbs.</w:t>
      </w:r>
    </w:p>
    <w:p>
      <w:pPr>
        <w:spacing w:after="0" w:line="74"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Leveraging our team’s collective expertise in development, manufacturing and commercialization to deliver future product candidates to patients. </w:t>
      </w:r>
      <w:r>
        <w:rPr>
          <w:rFonts w:ascii="Times New Roman" w:cs="Times New Roman" w:eastAsia="Times New Roman" w:hAnsi="Times New Roman"/>
          <w:sz w:val="18"/>
          <w:szCs w:val="18"/>
          <w:color w:val="auto"/>
        </w:rPr>
        <w:t>We have assembled a leadership team composed of seasoned executives with extensive experience, including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 to development, manufacturing and commercializing novel medicines for infectious disease. In addition to infectious disease, our leaders’ combined experience spans a broad set of therapeutic areas, such as oncology, organ transplant, rare disease, orphan disease and immunology, which provides a diverse perspective and skill set to serve our patient communities. Based on our team’s collective track record, we executed on the clinical, regulatory, and manufacturing plan for PEMGARDA. We expect to leverage this experience to support our anticipated follow-on programs, including VYD2311.</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Background on COVID-19 and SARS-CoV-2 Variants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COVID-19, the disease caused by SARS-CoV-2 and its variants, gave rise to a global pandemic in 2020. SARS-CoV-2 continues to cause infections and disease. COVID-19 remains a significant global health problem. According to estimates from the World Health Organization (“WHO”) as of January 2026, there have been approximately 779 million cases of laboratory-confirmed COVID-19 and 7.1 million COVID-19-related deaths worldwide, with approximately 103 million laboratory-confirmed cases of COVID-19 and more than 1.2 million COVID-19-related deaths in the U.S. Disease modeling conducted by several different organizations suggests that these estimates significantly underrepresent the true number of infections and deaths related to COVID-19.</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Evolution of SARS-CoV-2 resulting in the rise of new variants and VoCs continues to pose significant issues. A VoC is a variant designated by the WHO for which there is evidence of an increase in transmissibility, more severe disease, significant reduction in neutralization by antibodies generated during previous infection or vaccination, reduced effectiveness of treatments or vaccines, or diagnostic detection failures. From early 2022, several Omicron sublineages have represented the dominant VoCs circulating globally. Several of the amino acid substitutions within the receptor binding domain (“RBD”) of the spike glycoprotein of the Omicron sublineages are associated with escape from common classes of neutralizing antibodies, thereby endowing Omicron with significantly increased resistance to serum neutralizing antibodies induced following natural infection and vaccination with ancestral strains of the virus. Importantly, all therapeutic mAbs targeting SARS-CoV-2 previously authorized, prior to the EUA for PEMGARDA, have had their authorizations revoked in the U.S. due to loss of activity as new variants emerged.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Current Approaches for Prevention and Treatment of COVID-19 and Their Limitations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response to the COVID-19 pandemic, multiple therapeutics have been discovered, developed and authorized at an unprecedented speed. Currently available vaccines demonstrate limited effectiveness, and antiviral medications can have significant drug-drug interactions, particularly in the immunocompromised, that can limit their utility. Monoclonal antibody therapies have the potential to provide vulnerable populations with additional protection from COVID-19.</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mAbs for Prevention or Treatment of COVID-19 in the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Despite this progress in the availability of mAbs for the prevention and treatment of COVID-19, the clinical utility of these products has varied over time due to the emergence of SARS-CoV-2 variants demonstrating partial or full resistance to neutralization. At this time, none of these products are authorized for the treatment of COVID-19 in the U.S. and, other than PEMGARDA, none are authorized for prevention in the U.S., due to loss of activity as new variants emerged.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Approach to The Development of Antibody-based Solutions for COVID-19 and Other Viral Diseases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approach is designed to deliver new product candidates that exert continuous pharmaceutical activity in the face of viral evolution and that can be updated quickly as necessary via our bespoke platform. By coupling ongoing variant surveillance and prediction of viral evolution with our discovery and engineering capabilities, our innovation engine has generated a pipeline of therapeutic candidates which could be used in prevention or treatment of serious viral infectious diseases, starting with COVID-19. In order to provide solutions to vulnerable people as new variants emerge, we seek to leverage evolving regulatory paradigms, which may rely on surrogate endpoints or rapid compact outcome-directed clinical trials, to expedite drug development. Our product candidates can be tuned to improve potency, breadth of neutralization and route of administration, including half-life extending and other fragment crystallizable (“Fc”) region modifications. Key elements that we believe differentiate our approach include:</w:t>
      </w:r>
    </w:p>
    <w:p>
      <w:pPr>
        <w:spacing w:after="0" w:line="293" w:lineRule="exact"/>
        <w:rPr>
          <w:sz w:val="20"/>
          <w:szCs w:val="20"/>
          <w:color w:val="auto"/>
        </w:rPr>
      </w:pPr>
    </w:p>
    <w:p>
      <w:pPr>
        <w:jc w:val="both"/>
        <w:ind w:left="1020" w:hanging="503"/>
        <w:spacing w:after="0" w:line="25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Recognition of the importance of broadly neutralizing antibodies with a reduced risk of viral escape: </w:t>
      </w:r>
      <w:r>
        <w:rPr>
          <w:rFonts w:ascii="Times New Roman" w:cs="Times New Roman" w:eastAsia="Times New Roman" w:hAnsi="Times New Roman"/>
          <w:sz w:val="18"/>
          <w:szCs w:val="18"/>
          <w:color w:val="auto"/>
        </w:rPr>
        <w:t>From the outset of our COVID-19 program, we have chosen to identify and engineer mAbs with a high potential to resist SARS-CoV-2 variant escape. We are targeting epitopes that are (1) minimally polymorphic since the emergence of Omicron variants, (2) privileged with respect to contemporary population-level immune pressure, and (3) potentially conserved across other human sarbecoviruses (such as SARS-CoV-2) that utilize angiotensin converting enzyme-2 (“ACE-2”) to infect cells, providing anticipated neutralization breadth to our mAb candidates.</w:t>
      </w:r>
    </w:p>
    <w:p>
      <w:pPr>
        <w:spacing w:after="0" w:line="71" w:lineRule="exact"/>
        <w:rPr>
          <w:rFonts w:ascii="Times New Roman" w:cs="Times New Roman" w:eastAsia="Times New Roman" w:hAnsi="Times New Roman"/>
          <w:sz w:val="18"/>
          <w:szCs w:val="18"/>
          <w:color w:val="auto"/>
        </w:rPr>
      </w:pPr>
    </w:p>
    <w:p>
      <w:pPr>
        <w:ind w:left="1020" w:right="180" w:hanging="503"/>
        <w:spacing w:after="0" w:line="291" w:lineRule="auto"/>
        <w:tabs>
          <w:tab w:leader="none" w:pos="102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Continuous monitoring for SARS-CoV-2 variants: </w:t>
      </w:r>
      <w:r>
        <w:rPr>
          <w:rFonts w:ascii="Times New Roman" w:cs="Times New Roman" w:eastAsia="Times New Roman" w:hAnsi="Times New Roman"/>
          <w:sz w:val="17"/>
          <w:szCs w:val="17"/>
          <w:color w:val="auto"/>
        </w:rPr>
        <w:t>We continuously maintain and improve our in-house suite of digital monitoring tools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identifying new and upcoming SARS-CoV-2 variants before they become VoCs. Further, by pinpointing dominant spike glycoprotein sites targeted by human antibody repertoires and mapping common mutational escape routes, we aim to predict future variants.</w:t>
      </w:r>
    </w:p>
    <w:p>
      <w:pPr>
        <w:spacing w:after="0" w:line="44" w:lineRule="exact"/>
        <w:rPr>
          <w:rFonts w:ascii="Times New Roman" w:cs="Times New Roman" w:eastAsia="Times New Roman" w:hAnsi="Times New Roman"/>
          <w:sz w:val="17"/>
          <w:szCs w:val="17"/>
          <w:color w:val="auto"/>
        </w:rPr>
      </w:pPr>
    </w:p>
    <w:p>
      <w:pPr>
        <w:jc w:val="both"/>
        <w:ind w:left="1020" w:hanging="503"/>
        <w:spacing w:after="0" w:line="259"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Industry-leading antibody mining, engineering and developability screening capabilities through internal expertise and our partnership with Adimab: </w:t>
      </w:r>
      <w:r>
        <w:rPr>
          <w:rFonts w:ascii="Times New Roman" w:cs="Times New Roman" w:eastAsia="Times New Roman" w:hAnsi="Times New Roman"/>
          <w:sz w:val="18"/>
          <w:szCs w:val="18"/>
          <w:color w:val="auto"/>
        </w:rPr>
        <w:t>We leverage deep B-cell mining capabilities to isolate broadly neutralizing antibodies linked to utilization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antibody engineering capabilities to improve the potency, breadth, biophysical properties and developability of our candidates we advance into preclinical development. Where applicable, we specifically engineer our antibodies, such as to extend their half-lives or modify their Fc-mediated innate immune effector function.</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Expedited path to the clinic and market: </w:t>
      </w:r>
      <w:r>
        <w:rPr>
          <w:rFonts w:ascii="Times New Roman" w:cs="Times New Roman" w:eastAsia="Times New Roman" w:hAnsi="Times New Roman"/>
          <w:sz w:val="18"/>
          <w:szCs w:val="18"/>
          <w:color w:val="auto"/>
        </w:rPr>
        <w:t>In order to deliver new mAb products in a rapid and timely manner to patients at risk, we believe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new, expedited approaches and pathways are needed across nonclinical, clinical and CMC development. We are leveraging and applying our experience with adintrevimab, which demonstrated clinically meaningful results and a robust safety package, and PEMGARDA to new therapeutic candidates, including VYD2311. We seek to streamline nonclinical toxicology studies where possible, with the intention of reducing dependence on animal studies, which we believe is well in line with the FDA’s position. Furthermore, the SARS-CoV-2 RBD is a well validated target and mechanism of action for mAbs with robust safety and efficacy</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jc w:val="both"/>
        <w:ind w:left="1020"/>
        <w:spacing w:after="0" w:line="258" w:lineRule="auto"/>
        <w:rPr>
          <w:sz w:val="20"/>
          <w:szCs w:val="20"/>
          <w:color w:val="auto"/>
        </w:rPr>
      </w:pPr>
      <w:r>
        <w:rPr>
          <w:rFonts w:ascii="Times New Roman" w:cs="Times New Roman" w:eastAsia="Times New Roman" w:hAnsi="Times New Roman"/>
          <w:sz w:val="18"/>
          <w:szCs w:val="18"/>
          <w:color w:val="auto"/>
        </w:rPr>
        <w:t>data generated across the class. We believe that these data should enable the application of surrogate endpoints in future development programs, an approach that was leveraged in our Phase 3 CANOPY clinical trial of pemivibart with the use of calculated serum neutralizing antibody titers as a correlate of protection. We also seek to streamline our manufacturing approach, leveraging platform processes and historical data to ensure product quality for our product candidates. We anticipate actively engaging with regulatory authorities in pursuit of these proposals as we advance our product candidates.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employing similar antibody discovery, variant monitoring, and development strategies for other antigenically variable viruses, such as RSV, measles, and others.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Emergency Use Authorization Environment in the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Section 564 of the FDCA, the FDA Commissioner has the authority to authorize the emergency use of an unapproved medical product or an unapproved use of an approved medical product for certain emergency circumstances after the Secretary of the U.S. Department of Health and Human Services (“HHS”) has made a declaration of an emergency or threat justifying authorization of emergency use. On January 31, 2020, the Secretary of HHS issued a declaration of a public health emergency related to COVID-19 under Section 319 of the Public Health Service Act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 circumstances exist justifying the authorization of the emergency use of drugs and biological products during the COVID-19 pandemic, subject to the terms of any authorization issued by the FDA.</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the Biden Administration allowed the COVID-19 public health emergency declared by HHS under Section 319 of the PHS Act to expire on May 11, 2023, this did not impact the FDA’s ability to authorize COVID-19 drugs and biological products for emergency use pursuant to the relevant declaration under Section 564 of the FDCA. The FDA, therefore, may continue to issue new EUAs going forward when criteria for issuance are met. Such authority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Addressable Patient Populations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Pre-Exposure Prophylaxis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issued an EUA for PEMGARDA (pemivibart) in March 2024 for the pre-exposure prophylaxis of COVID-19 in certain patients with moderate-to-severe immune compromise; no other mAb therapies for prevention of COVID-19 are currently authorized. Furthermore, no other mAb therapies for the prevention of COVID-19 have been authorized by the FDA since January 2023, when the last of the previously authorized mAb therapies lost activity against then-circulating variants.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our market research and internal analysis, we believe that there are more than 9 million immunocompromised people, with varying degrees of immune compromise, in the U.S. alone who may not adequately respond to COVID-19 vaccination, increasing their risk for severe COVID-19. Vaccines for pre-exposure prophylaxis of COVID-19 have not demonstrated adequate efficacy against symptomatic disease or more significant outcomes in the immunocompromised population. This vulnerable population that is unlikely to mount an adequate response to vaccination has been left with no therapeutic options for prevention of COVID-19 outside of PEMGARDA.</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total addressable market in the U.S. for PEMGARDA is limited to the population that falls within the product’s authorized use, specifically certain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that there are still gaps in COVID-19 treatment alternatives. For instance, significant drug-drug interactions can limit the utility of some oral antivirals as a treatment option for immunocompromised people or others who are taking certain medications. While PEMGARDA is not authorized for use for treatment of COVID-19 or for post-exposure prophylaxis of COVID-19, we believe there could be opportunities to further explore the development of mAbs for the treatment of COVID-19, Long COVID, or PVS.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Pediatrics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Although children are at lower risk of developing severe COVID-19 compared to adults, a subset of children experience severe disease and poor outcomes, such as multisystem inflammatory syndrome and Long COVID, and safe and effective therapies are needed to prevent disease and hospitalization in high-risk children, including with respect to these complications. Although there is a paucity of data regarding the immune response to COVID-19 vaccines in children with moderate-to-severe immunocompromise, a subset of these children may have suboptimal immune responses to vaccines similar to adults with certain forms of immunocompromise and thus have the potential to benefit from a passive immune approach.</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Pipeline Overview</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devoted to delivering protection from serious viral infectious diseases. By pairing state-of-the-art viral surveillance and predictive modeling with advanced antibody engineering techniques, we are committed to developing a robust pipeline of product candidates designed for the prevention or treatment of serious viral infectious diseases, starting with COVID-19 and expanding into other high-need indications, such as RSV and measles.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PEMGARDA is our first mAb to receive regulatory authorization and was designed to exert continuous pharmaceutical activity in the face of viral evolution. VYD2311 is our next generation mAb candidate being developed for COVID-19 to continue to address the urgent need for new prophylactic and therapeutic options. As the SARS-CoV-2 virus evolves over time, we anticipate periodically introducing new mAb candidates, an approach that could be analogous to the periodic updates made to influenza and COVID-19 vaccines.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Beyond PEMGARDA and VYD2311, we have additional anti-SARS-CoV-2 mAb candidates in discovery and preclinical characterization. Our robust pipeline reflects our strategy to continuously discover and engineer new candidates that can respond to emerging virus variants or improve upon the biophysical properties and clinical profiles of our current antibodies. Our technology and bespoke approach to antibody discovery and development may provide a mechanism for discovery of novel mAbs to prevent or treat other serious viral infectious diseases such as RSV, measles,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57150</wp:posOffset>
            </wp:positionV>
            <wp:extent cx="5606415" cy="41573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06415"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PEMGARDA</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Pre-Exposure Prophylaxis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PEMGARDA® (pemivibart) is a half-life extended investigational mAb. PEMGARDA was engineered from adintrevimab, our investigational mAb that has a robust safety data package and provided evidence of clinical efficacy in global Phase 2/3 clinical trials for the prevention and treatment of COVID-19. PEMGARDA has demonstrated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major SARS-CoV-2 variants, including JN.1, KP.3.1.1, XEC, LP.8.1 and XFG. PEMGARDA targets the SARS-CoV-2 spike protein RBD, thereby inhibiting virus attachment to the human ACE2 receptor on host cells.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PEMGARDA (pemivibart) injection (4500 mg), for IV use received EUA from the FDA in March 2024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had recent known exposure to a person infected with SARS-CoV-2.</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Per the PEMGARDA Fact Sheet for Healthcare Providers, medical conditions or treatments that may result in moderate-to-severe immune compromise and an inadequate immune response to COVID-19 vaccination include:</w:t>
      </w:r>
    </w:p>
    <w:p>
      <w:pPr>
        <w:spacing w:after="0" w:line="54"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treatment for solid tumor and hematologic malignancies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Hematologic malignancies associated with poor responses to COVID-19 vaccines regardless of current treatment status (e.g., chronic lymphocytic leukemia, non-Hodgkin lymphoma, multiple myeloma, acute leukemia)</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solid-organ transplant or an islet transplant and taking immunosuppressive therapy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chimeric antigen receptor (CAR)-T-cell or hematopoietic stem cell transplant (within 2 years of transplantation or taking immunosuppressive therapy)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Moderate or severe primary immunodeficiency (e.g., common variable immunodeficiency disease, severe combined immunodeficiency, DiGeorge syndrome, Wiskott-Aldrich syndrome)</w:t>
      </w:r>
    </w:p>
    <w:p>
      <w:pPr>
        <w:spacing w:after="0" w:line="60" w:lineRule="exact"/>
        <w:rPr>
          <w:rFonts w:ascii="Times New Roman" w:cs="Times New Roman" w:eastAsia="Times New Roman" w:hAnsi="Times New Roman"/>
          <w:sz w:val="18"/>
          <w:szCs w:val="18"/>
          <w:color w:val="auto"/>
        </w:rPr>
      </w:pPr>
    </w:p>
    <w:p>
      <w:pPr>
        <w:ind w:left="1020" w:right="20" w:hanging="503"/>
        <w:spacing w:after="0" w:line="233"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or untreated HIV infection (people with HIV and CD4 cell counts &lt;200/mm</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history of an AIDS-defining illness without immune reconstitution, or clinical manifestations of symptomatic HIV)</w:t>
      </w:r>
    </w:p>
    <w:p>
      <w:pPr>
        <w:spacing w:after="0" w:line="9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treatment with high-dose corticosteroids (i.e., ≥20 mg prednisone or equivalent per day when administered for ≥2 weeks), alkylating agents, antimetabolites, transplant-related immunosuppressive drugs, cancer chemotherapeutic agents classified as severely immunosuppressive, and biologic agents that are immunosuppressive or immunomodulatory (e.g., B-cell depleting agents)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PEMGARDA is not authorized for the treatment of COVID-19, Long COVID, or PVS, or for post-exposure prophylaxis of COVID-19 in individuals who have been exposed to someone infected with SARS-CoV-2. Pre-exposure prophylaxis with PEMGARDA is not a substitute for vaccination in individuals for whom COVID-19 vaccination is recommended. Individuals for whom COVID-19 vaccination is recommended, including individuals with moderate-to-severe immune compromise who may derive benefit from COVID-19 vaccinations, should receive COVID-19 vaccination. In individuals who have received a COVID-19 vaccine, PEMGARDA should be administered at least 2 weeks after vaccination.</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for pre-exposure prophylaxis of COVID-19 in certain adults and adolescent individuals (12 years of age and older weighing at least 40 kg). The emergency use of PEMGARDA is only authorized for the duration of the declaration that circumstances exist justifying the authorization of the emergency use of drugs and biological products during the COVID-19 pandemic under Section 564(b)(1) of the FDCA, 21 U.S.C. § 360bbb-3(b)(1), unless the declaration is terminated or the authorization is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Based on the FDA’s review of the totality of scientific evidence available, the FDA determined that it is reasonable to believe that PEMGARDA may be effective for pre-exposure prophylaxis of COVID-19 in certain adults and adolescents, as described in the EUA, and that when used under the conditions described in the EUA, the known and potential benefits of PEMGARDA outweigh the known and potential risks of such product. To support the EUA for PEMGARDA, an immunobridging approach was used to determine if PEMGARDA may be effective for pre-exposure prophylaxis of COVID-19. Immunobridging is based on the serum neutralization titer-efficacy relationships identified with other neutralizing human mAbs against SARS-CoV-2. This includes adintrevimab, the parent mAb of pemivibart, and other mAbs that were previously authorized for EUA.</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 w:name="page16"/>
    <w:bookmarkEnd w:id="1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limitations of the data supporting the benefits of PEMGARDA. Evidence of clinical efficacy for other neutralizing human mAbs against SARS-CoV-2 was based on different populations and SARS-CoV-2 variants that are no longer circulating. Additionally, the variability associated with cell-based EC50 value determinations, along with limitations related to pharmacokinetic data and efficacy estimates for the mAbs in prior clinical trials, impact the ability to precisely estimate protective titer ranges. Additionally, certain SARS-CoV-2 viral variants may emerge that have substantially reduced susceptibility to PEMGARDA, and PEMGARDA may not be effective at preventing COVID-19 caused by these SARS-CoV-2 viral variants.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With regards to the safety profile, anaphylaxis has been observed with PEMGARDA and the PEMGARDA Fact Sheet for Healthcare Providers includes a boxed warning for anaphylaxis. The most common adverse reactions included systemic infusion-related reactions and hypersensitivity reactions, local infusion site reactions, and infusion site infiltration or extravasation.</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concentrated on the healthcare practitioners and institutions who specialize in hematology, oncology, rheumatology and transplant, serving moderately to severely immunocompromised adults and adolescents through a highly focused field sales organization which can potentially expand over time to reach additional healthcare practitioners and institutions who care for other groups of moderately to severely immunocompromised adults and adolescents. We have directly hired key leaders for our sales, marketing, market access, and medical affairs teams, and we have directly hired a field sales force.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Treatment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2025, the FDA declined our request to expand the existing EUA for PEMGARDA to cover treatment of mild-to-moderate COVID-19 in adults and adolescents who have moderate-to-severe immune compromise due to certain medical conditions such as cancer and organ transplant, and for whom alternative COVID-19 treatment options are not accessible or clinically appropriate. The existing EUA for PEMGARDA covering pre-exposure prophylaxis of COVID-19 in certain immunocompromised patients remains in effect.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VYD2311</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VYD2311 is a novel mAb candidate being developed for COVID-19 to continue to address the urgent need for new prophylactic and therapeutic options. The pharmacokinetic profile and antiviral potency of VYD2311 may offer the ability to deliver clinically meaningful titer levels through more healthcare system- and patient-friendly means such as an IM route of administration. In October 2025, we announced that the FDA cleared our IND application for VYD2311 and provided feedback to advance our REVOLUTION clinical program, which is our development program for VYD2311 comprising two clinical trials, DECLARATION and LIBERTY. DECLARATION is a Phase 3 randomized, triple-blind, placebo-controlled clinical trial to evaluate VYD2311 safety and efficacy in prevention of symptomatic, RT-PCR-confirmed COVID-19 at three months, with either a single dose or monthly doses of VYD2311, each administered via IM injection, compared to placebo. DECLARATION is designed to support potential BLA submission, with top-line data anticipated in mid-2026. In February 2026, we announced alignment with the FDA on LIBERTY, which is designed as a Phase 3, randomized, double-blind clinical trial to evaluate the safety, serum virus neutralizing antibody responses, and pharmacokinetics of (1) VYD2311, (2) an mRNA COVID vaccine, and (3) co-administered VYD2311 with an mRNA COVID vaccine. The FDA has granted “Fast Track” designation for VYD2311 for the prevention of COVID-19 in individuals with underlying risk factors for progression to severe disease.</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VYD2311 was engineered using our proprietary integrated technology platform and is the product of serial molecular evolution designed to generate an antibody optimized for neutralizing contemporary virus lineages. VYD2311 leverages the same antibody backbone as pemivibart, our investigational mAb granted EUA in the U.S. for the pre-exposure prophylaxis of COVID-19 in certain immunocompromised patients, and adintrevimab, our investigational mAb that has a robust safety data package and demonstrated clinically meaningful results in global Phase 2/3 clinical trials for the prevention and treatment of COVID-19.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Strategy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do not currently own or operate any manufacturing facilities, and we have invested significant resources to develop commercial-scale manufacturing in partnership with our sole contract manufacturing partner for COVID-19 product candidates, WuXi Biologics, with whom we have been working since our inception. We have contracted with WuXi Biologics for the manufacturing of commercial-scale PEMGARDA and VYD2311. PEMGARDA and VYD2311 are produced using an industry standard mAb manufacturing process including a recombinant Chinese Hamster Ovary commercial cell line, fed-batch</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suspension cell culture and a chromatography column-based purification process. WuXi Biologics uses an industry standard sterile liquid drug product manufacturing process.</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established long-term master services agreements with WuXi Biologics pursuant to which we purchase drug substance and drug product for both clinical and commercial supply. The master services agreements are also applicable to any future clinical candidates identified for development should we elect to use WuXi Biologics for development and supply of those candidates. We may stop placing orders under the master services agreements at any time, provided that we fulfill our obligations to make payment for, or pay cancellation-related costs related to, all committed purchases. Either party may also terminate the master services agreements with respect to an uncured breach by the other party in accordance with the terms of the agreements. We may terminate the master services agreements effective immediately in connection with certain new or existing U.S. laws and regulations, in accordance with the terms of the agreements. With advance notice, we may also terminate the master services agreements for convenience. The agreements include confidentiality and intellectual property provisions to protect our proprietary rights related to our product candidates.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also established a cell line license agreement with WuXi Biologics that allows for the transfer and use in drug substance manufacturing of any cell line developed by WuXi Biologics on our behalf, including those used in the manufacture of PEMGARDA, VYD2311 and other product candidates. This license enables cell line and manufacturing process transfer to additional contract manufacturers.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have devoted significant resources to the manufacture of PEMGARDA and VYD2311, and we believe we have secured sufficient supply to meet demand for PEMGARDA and anticipated initial demand for VYD2311, if approved.</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Foreign contract manufacturing organizations, including WuXi Biologics, may become subject to U.S. legislation, such as the National Defense Authorization Act, investigations, sanctions, trade restrictions, tariffs, and other foreign regulatory requirements, which could increase the cost or reduce the supply of material available to us, delay or impact clinical trials, delay procurement of commercial supply, or impact potential U.S. government contracting opportunities. Accordingly, we continue to evaluate access to capacity at WuXi Biologics, as well as other CDMOs, so we can aim to meet potential future demand for PEMGARDA, VYD2311, and future clinical product candidates.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Strategy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Unlike previous EUAs for COVID-19, where products were available via an advance purchase agreement with the U.S. federal government, PEMGARDA follows a traditional commercial distribution model in which end customers either purchase the product directly from third-party specialty distributors or for a small number of infusion centers, healthcare provider and provider institutions, directly with us. The product is then shipped directly to the various sites of care, including provider institutions, infusion centers and clinics that bill health insurance plans for the product.</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entered a third-party logistics distribution agreement (the “3PL Agreement”) with a distribution agent (the “3PL Agent”) that distributes our product to our end customers. The 3PL Agent provides us with services that include storage, distribution, processing product returns, customer service support, logistics support, electronic data interface and system access support.</w:t>
      </w:r>
    </w:p>
    <w:p>
      <w:pPr>
        <w:spacing w:after="0" w:line="68"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our net product revenue was generated from sales to third-party specialty distributors and directly to a small number of infusion centers, healthcare providers and provider institutions in the U.S. Three specialty distributors accounted for 46%, 23% and 17% of total gross sales for the year ended December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Relationship with Adimab</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Since our founding in June 2020, we have focused on the development of mAbs for both the prevention and treatment of COVID-19. Adimab is a leading provider of antibody discovery, engineering and optimization services and has established an extensive presence in the drug discovery industry.</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Since July 2020, we are party to an assignment and license agreement with Adimab (the “Adimab Assignment Agreement”) under which Adimab assigned to us its rights to all existing coronavirus antibodies controlled by it and their derivatives, including adintrevimab. See “—Licensing, Collaborations and Partnerships—Adimab Assignment Agreement.” In May 2021, we entered into a collaboration agreement with Adimab (as amended in November 2022 and September 2023, the “Adimab Collaboration Agreement”) focused on discovery efforts for new antibodies that may be effective against other coronaviruses and influenza, both of which have the potential to cause pandemics. In the event that Adimab discovers an antibody that is expected to meet certain product profiles developed by us, we will have the exclusive option to require Adimab to assign us its rights in any such antibody and to grant us certain licenses. See “—Licensing, Collaborations and Partnerships—Adimab Collaboration Agreement.” In addition, in September 2022, we entered into a platform transfer agreement with Adimab (the “Adimab Platform Transfer Agreement”). Under the Adimab Platform Transfer Agreement, we were granted the right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jc w:val="both"/>
        <w:spacing w:after="0" w:line="258" w:lineRule="auto"/>
        <w:rPr>
          <w:sz w:val="20"/>
          <w:szCs w:val="20"/>
          <w:color w:val="auto"/>
        </w:rPr>
      </w:pPr>
      <w:r>
        <w:rPr>
          <w:rFonts w:ascii="Times New Roman" w:cs="Times New Roman" w:eastAsia="Times New Roman" w:hAnsi="Times New Roman"/>
          <w:sz w:val="18"/>
          <w:szCs w:val="18"/>
          <w:color w:val="auto"/>
        </w:rPr>
        <w:t>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See “—Licensing, Collaborations and Partnerships—Adimab Platform Transfer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Collaborations and Partnerships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we entered into the Adimab Assignment Agreement with respect to discovery and optimization of coronavirus-specific antibodies, including COVID-19 and SARS. Under the Adimab Assignment Agreement, Adimab assigned to us its rights, title and interest in and to certain of its coronavirus-specific antibodies (each, a “CoV Antibody” and together, the “CoV Antibodies”), including modified or derivative forms thereof, and related intellectual property. Adimab also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We are entitled to sublicense the assigned rights and licensed intellectual property solely with respect to any CoV Antibody or Product, subject to specified conditions of the agreement. We are obligated to use commercially reasonable efforts to achieve specified development and regulatory milestones for Products in certain major markets and to commercialize a product in any country in which we obtain marketing approval.</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in consideration for the rights assigned and license conveyed under the Adimab Assignment Agreement, we issued 5,000,000 shares of our Series A preferred stock, then having a fair value of $40.0 million, to Adimab. In addition,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Through December 31, 2025, we made aggregate milestone payments of $11.1 million to Adimab under the Adimab Assignment Agreement. We are also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While reserving all rights under the Adimab Assignment Agreement and the applicable law, through December 31, 2025, we made aggregate royalty payments of $2.5 million.</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We may terminate the Adimab Assignment Agreement at any time for any or no reason upon advance written notice to Adimab or in the event of a material breach by Adimab that is not cured with specific periods. Adimab may only terminate the agreement if we materially breach, and do not cure, our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Through December 31, 2025, we had made aggregate payments of $16.2 million to Adimab under the Adimab Assignment Agreement, inclusive of the aforementioned milestone and royalty payments. As of December 31, 2025, $0.7 million was accrued under the Adimab Assignment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May 2021, we entered into the Adimab Collaboration Agreement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Adimab’s platform patents and technology and antibody patents to perform our responsibilities during the ongoing research period and for a specified evaluation period thereafter (the “Evaluation Term”). We granted Adimab a license to certain of our patents and intellectual property solely to perform Adimab’s responsibilities under the research plans. Under the Adimab Collaboration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jc w:val="both"/>
        <w:spacing w:after="0" w:line="258" w:lineRule="auto"/>
        <w:rPr>
          <w:sz w:val="20"/>
          <w:szCs w:val="20"/>
          <w:color w:val="auto"/>
        </w:rPr>
      </w:pPr>
      <w:r>
        <w:rPr>
          <w:rFonts w:ascii="Times New Roman" w:cs="Times New Roman" w:eastAsia="Times New Roman" w:hAnsi="Times New Roman"/>
          <w:sz w:val="18"/>
          <w:szCs w:val="18"/>
          <w:color w:val="auto"/>
        </w:rPr>
        <w:t>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to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Collaboration Agreement, we are obligated to use commercially reasonable efforts to develop, seek marketing approval for, and commercialize one product that contains an antibody discovered in each optioned research program.</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Adimab Collaboration Agreement, we agreed to pay Adimab a quarterly fee of $1.3 million, which could be cancelled at our option at any time. For so long as we were paying such quarterly fee (or earlier if (i) we experienced a change of control after the third anniversary of the Adimab Collaboration Agreement or (ii) Adimab owned less than a specified percentage of our equity), Adimab and its affiliates agreed not to assist or direct certain third parties to discover or optimize antibodies intended to bind to coronaviruses or influenza viruses. Under the Adimab Collaboration Agreement, we could also elect to decrease the scope of Adimab’s exclusivity obligations and obtain a corresponding decrease in the quarterly fee. In December 2023, we elected to decrease the scope of Adimab’s exclusivity obligations to cover only coronaviruses and obtained a corresponding decrease in the quarterly fee. Effective January 2024, we became obligated to pay Adimab a quarterly fee of $0.6 million.</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obligated to pay Adimab up to $18.0 million upon the achievement of specified development and regulatory milestones for each product under the Adimab Collaboration Agreement that achieves such milestones. We are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we do not exercise any option, upon the conclusion of the last Evaluation Term for the research programs, or (ii) if we exercise an option, on the expiration of the last royalty term for a product in a particular country, unless the agreement is earlier terminated. We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2025, we had made aggregate payments of $22.8 million to Adimab under the Adimab Collaboration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we entered into the Adimab Platform Transfer Agreement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w:t>
      </w:r>
    </w:p>
    <w:p>
      <w:pPr>
        <w:spacing w:after="0" w:line="7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obligated to pay Adimab an annual fee of single digit millions on each of the first four anniversaries of the Adimab Platform Transfer Agreement Effective Date, which allows us to receive material improvements to the platform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technology, including materially improved antibody optimization libraries, updates that provide new functionality to the platform, and software upgrades, from Adimab through June 2027. The first annual fee became due in September 2023 and was paid in October 2023. Beginning in July 2027 and ending in June 2042, unless terminated earlier, we have the option to receive additional material improvements to the platform technology from Adimab, subject to a commercially reasonable fee to be negotiated by the parties.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also obligated to pay Adimab up to $9.5 million upon the achievement of specified development and regulatory milestones for each product under the Adimab Platform Transfer Agreement that achieves such milestones.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Through December 31, 2025, we had made aggregate payments of $9.0 million to Adimab under the Adimab Platform Transfer Agreement.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Population Health Partners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we entered into a Master Services Agreement with Population Health Partners, L.P. (“PHP”), pursuant to which PHP agreed to provide services and create deliverables for us as agreed between us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we and PHP entered into the first work order under the PHP MSA (the “PHP Work Order”), pursuant to which PHP agreed to advise and counsel us regarding clinical development and regulatory matters with respect to our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 Tamsin Berry, a member of our board of directors, is a Limited Partner of PHP.</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we paid PHP a cash fee of $0.5 million per month during the term of the PHP Work Order for an aggregate fee of $3.0 million.</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we issued a warrant to purchase shares of our common stock, par value $0.0001 (“Common Stock”), to PHP (the “PHP Warrant”). The exercise price of the PHP Warrant is $3.48 per share of Common Stock, which was equal to the Nasdaq official closing price of a share of Common Stock on the trading day immediately prior to the PHP Effective Date. The PHP Warrant is exercisable for up to an aggregate of 6,824,712 shares of Common Stock, and vests in up to three separate tranches upon either the achievement of corresponding market capitalization targets or a consummation of a fundamental transaction (as defined in the PHP Warrant). As of December 31, 2025, no portion of the PHP Warrant had vested.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Cell Line License Agreement with WuXi Biologics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party to a Cell Line License Agreement with WuXi Biologics, entered into as of December 2, 2020, as amended in February 2023, March 2024 and March 2026. Through December 31, 2025, we made aggregate payments of $0.2 million to WuXi Biologics under the Cell Line License Agreement. See “Management’s Discussion and Analysis of Financial Condition and Results of Operations—Contractual Obligations and Commitments” and “—Other Commitments.”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biotechnology and pharmaceutical industry is characterized by the rapid evolution of technologies and understanding of disease etiology, intense competition and a strong emphasis on intellectual property. We believe that our approach, strategy, scientific, development and manufacturing capabilities, know-how, partnerships and experience provide us with competitive advantages. However, competition may come from multiple sources, including major pharmaceutical, specialty pharmaceutical and existing or emerging biotechnology companies, academic research institutions, governmental agencies and public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jc w:val="both"/>
        <w:spacing w:after="0" w:line="255" w:lineRule="auto"/>
        <w:rPr>
          <w:sz w:val="20"/>
          <w:szCs w:val="20"/>
          <w:color w:val="auto"/>
        </w:rPr>
      </w:pPr>
      <w:r>
        <w:rPr>
          <w:rFonts w:ascii="Times New Roman" w:cs="Times New Roman" w:eastAsia="Times New Roman" w:hAnsi="Times New Roman"/>
          <w:sz w:val="18"/>
          <w:szCs w:val="18"/>
          <w:color w:val="auto"/>
        </w:rPr>
        <w:t>private research institutions worldwide. Many of our potential competitors, either alone or through collaborations, have significantly greater financial resources and expertise in research and development, preclinical testing, conducting clinical trials, manufacturing, obtaining regulatory authorizations or approvals, and commercializing authorized or approved products than we do. Smaller or early-stage companies may also prove to be significant competitors, particularly through collaborative arrangements with large and established companies. These entities also compete with us in recruiting and retaining qualified scientific, clinical, manufacturing and management personnel, establishing clinical trial sites and enrolling patient in clinical trials, as well as in acquiring technologies complementary to, or necessary for, our programs. As a result, our competitors may discover, develop, license or commercialize products before or more successfully than we do.</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face competition from segments of the pharmaceutical, biotechnology and other related markets that pursue the development of antibody and small molecule antivirals targeting COVID-19, as well as other therapeutic areas in which we are actively performing research and discovery activities, including RSV and measles. Companies that have active COVID-19 antibody-based programs include, but may not be limited to, AstraZeneca plc and Roche Pharmaceuticals. In addition, companies that have approved or authorized antiviral programs for the treatment of COVID-19 include Merck and Co., Inc. (oral), Pfizer Pharmaceuticals (oral), and Gilead (IV).</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Aside from pemivibart, which is authorized under EUA, there are no other currently authorized or approved mAbs for COVID-19 prevention in the U.S. Actemra® (Genentech) is utilized for the treatment of COVID in hospitalized adults and children requiring oxygen/ventilation. Alternative COVID-19 prevention competition exists from mRNA vaccine manufacturers Moderna and Pfizer-BioNTech, as well as protein subunit vaccine from Novavax (authorized for people 12 years and older).</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Current RSV prevention options for adults are limited to protein-based vaccines from Pfizer and GSK and an mRNA vaccine from Moderna. Currently there is a mAb, Beyfortus® (nirsevimab), offered jointly by AstraZeneca and Sanofi authorized for use by infants and children up to 24 months of age who remain vulnerable to severe RSV disease through their second RSV season. In addition, Enflonsia™ (clesrovimab) is a mAb produced by Merck for passive immunization to prevent serious RSV lower respiratory tract disease in newborns and infants entering their first RSV season.</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Existing options for measles prevention are limited to MMR (Measles, Mumps, Rubella) vaccines produced by Merck and GSK; there are no current measles mAb products authorized or approved for use.</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could see a reduction or elimination in our commercial opportunity if our competitors develop and commercialize drugs that are safer, better tolerated, more effective, more convenient to administer, less expensive, more resistant to viral escape, or receive a more favorable label than PEMGARDA or our other product candidates. Some of our competitors have already previously obtained EUAs from the FDA for the prevention of COVID-19 in immunocompromised patients and the treatment of mild to moderate COVID-19 in high-risk patients, and others in the future may obtain EUAs from the FDA or other regulatory approval or authorization more rapidly than we may, which could result in our competitors establishing a strong market position. The key competitive factors affecting the success of PEMGARDA and our other product candidates, if authorized or approved, are likely to be their efficacy, safety, convenience, price and the availability of reimbursement from government and other third-party payors.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patent and other proprietary protection in the U.S. and in other countries for commercially important technology, current and future inventions, improvements and know-how related to our business; defend and enforce our patents and other intellectual property; preserve the confidentiality of our trade secrets; and operate without infringing, misappropriating or otherwise violating the valid enforceable patents and proprietary rights of third parties. Our ability to stop third parties from making, using, selling, offering to sell or importing our products may depend on the extent to which we have rights under valid and enforceable patents or trade secrets that cover these activities. With respect to both licensed and company-owned intellectual property, we cannot be sure that patents will be granted with respect to any of our pending patent applications or with respect to any patent applications filed by us in the future, nor can we be sure that any of our existing patents or any patents that may be granted to us in the future will be commercially useful in protecting our commercial products and methods of manufacturing the same.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 Patent and Trademark Office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See “Risk Factors—Risks Related to Our Intellectual Property.”</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actively seek to protect our proprietary technology, inventions and other intellectual property that is commercially important to the development of our business by a variety of means, such as seeking, maintaining, and defending patent rights, whether developed internally or licensed from third parties. We also may rely on trade secrets and know-how relating to our proprietary technology platform, on continuing technological innovation and on in-licensing opportunities to develop, strengthen and maintain the strength of our position in the antibody field that may be important for the development of our business. We also intend to seek patent protection or rely upon trade secret rights to protect other technologies that may be used to discover and validate targets, as well as to manufacture and develop novel antibody products. Additional regulatory protection may also be afforded through data exclusivity, market exclusivity and patent term extensions where available.</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file patent applications directed to compositions comprising our antibodies, classes of antibodies covering our product candidates, use of such antibodies for preventing and treating disease, diagnostic methods, pharmaceutical compositions, combination therapies, and methods of manufacturing. We continue to review new inventions for patent filings.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February 15, 2026, we own one patent family for which we have three issued U.S. patents (U.S. 11,192,940, issued December 7, 2021; U.S. 11,220,536, issued January 11, 2022; and U.S. 11,414,479, issued August 16, 2022), one pending U.S. non-provisional patent application, and foreign patent applications in Argentina, Canada, China, Europe, and Mexico. This patent family is directed to broadly neutralizing anti-coronavirus antibodies, including ADG20 (adintrevimab) and ADG10, and uses thereof. These patents and patent applications and any additional U.S. non-provisional patent applications or foreign patent applications timely filed based upon such applications, if issued, are expected to expire in 2041, without taking into account any possible patent term adjustment or extension.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February 15, 2026, we own another patent family for which we have one pending U.S. non-provisional patent application. This patent family is directed to formulations and methods of use for ADG20 (adintrevimab). Any additional U.S. non-provisional patent applications timely filed based upon such application, if issued, are expected to expire in 2042, without taking into account any possible patent term adjustment or extension.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15, 2026, we own a patent family directed to additional broadly neutralizing anti-coronavirus antibodies, combination therapies, and uses thereof, for which we have one pending U.S. non-provisional patent application, and foreign patent applications in Europe and Taiwan. These patent applications and any additional U.S. non-provisional patent applications or foreign patent applications timely filed based upon such applications, if issued, are expected to expire in 2043, without taking into account any possible patent term adjustment or extension.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February 15, 2026, we own a patent family directed to additional broadly neutralizing anti-coronavirus antibodies, including VYD222, as well as combination therapies, and uses thereof, for which we have one pending U.S. non-provisional patent application and foreign patent applications in Australia, Canada, and Europe. These patent applications and any additional U.S. non-provisional patent applications or foreign patent applications timely filed based upon these patent applications, if issued, are expected to expire in 2043, without taking into account any possible patent term adjustment or extension.</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15, 2026, we own a patent family directed to additional broadly neutralizing anti-coronavirus antibodies, including VYD2311, combination therapies, and uses thereof, for which we have a pending PCT application and a U.S. non-provisional patent application. Any additional U.S. non-provisional patent applications or foreign patent applications timely filed based upon such patent applications, if issued, are expected to expire in 2045, without taking into account any possible patent term adjustment or extension.</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February 15, 2026, we own a patent family directed to additional broadly neutralizing anti-RSV antibodies, including VBY329, combination therapies, and uses thereof for which we have a pending U.S. provisional patent application. Any U.S. non-provisional patent applications or foreign patent applications timely filed based upon the U.S. provisional patent application, if issued, are expected to expire in 2046, without taking into account any possible patent term adjustment or extension.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features of our business and product candidates are protected by trademarks. As of February 15, 2026, we have filed trademark applications for marks including INVIVYD, PEMGARDA and INVYMAB, as well as logos and certain stylized versions of these word marks. Applications have been filed inside and outside of the U.S., and while many are still pending, a number of registrations have been issued in the U.S., Australia, China, the European Union, Japan, New Zealand, Norway, Switzerland, and the United Kingdom.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 and Proprietary Information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also rely, in some circumstances, on trade secrets to protect our technology, including our proprietary scientific, business and technical information and know-how that is not or may not be patentable or that we elect not to patent. We seek to protect our proprietary information, data and processes, in part, by confidentiality agreements and invention assignment agreements with our employees, consultants, scientific advisors, contractors and partners. Although these agreements are designed to protect our proprietary information, we cannot be certain that our trade secrets and other confidential proprietary information will not be disclosed or that competitors will not otherwise gain access to our trade secrets or independently develop substantially equivalent information and techniques. Although we generally require all of our employees to assign their inventions to us, and require all of our employees, consultants, advisors and any third parties who have access to our proprietary know-how, information or technology to enter into confidentiality agreements, we cannot provide any assurances that all such agreements have been duly executed with all third parties who may have helped to develop our intellectual property or who had access to our proprietary information, or that our agreements will not be breached. For more information regarding the risks related to our intellectual property, see “Risk Factors—Risks Related to Our Intellectual Property.”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U.S., we are subject to extensive regulation by the FDA and other federal, state, and local regulatory agencies. In the U.S., biologics such as our product candidates are licensed by the FDA for marketing under the PHS Act and regulated under the FDCA. Both the FDCA and the PHS Act and their corresponding regulations govern, among other things, the testing, development, manufacturing, quality control, safety, purity, potency, efficacy, approval, labeling, packaging, storage, record keeping, distribution, marketing, sales, import, export, reporting, advertising and other promotional practices involving biologics. FDA clearance must be obtained before clinical testing of biological product candidates. FDA licensure also must be obtained before biologics can be marketed. Additionally, although significant regulatory aspects in the European Union are addressed in a centralized way through the European Medicines Agency (the “EMA”) and the European Commission, country-specific regulation remains essential in many respects. Further, any failure to comply with applicable laws and regulations could have a material negative impact on our ability to successfully develop and commercialize product candidates and our financial performance. In addition, the laws, rules and regulations that apply to our business are subject to change and it is difficult to foresee whether, how, or when such changes may affect our business. The process of obtaining regulatory authorizations and/or approvals and the subsequent compliance with appropriate federal, state, local and foreign statutes and regulations require the expenditure of substantial time and financial resources.</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Development Process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biological product candidate may be marketed in the U.S. generally involves the following:</w:t>
      </w:r>
    </w:p>
    <w:p>
      <w:pPr>
        <w:spacing w:after="0" w:line="117" w:lineRule="exact"/>
        <w:rPr>
          <w:sz w:val="20"/>
          <w:szCs w:val="20"/>
          <w:color w:val="auto"/>
        </w:rPr>
      </w:pPr>
    </w:p>
    <w:p>
      <w:pPr>
        <w:ind w:left="1140" w:hanging="504"/>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and animal studies according to current Good Laboratory Practices (“cGLP”) and applicable requirements for the humane use of laboratory animals or other applicable regulations;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preparation of clinical trial material in accordance with applicable current Good Manufacturing Practices (“cGMP”);</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contains, among other data and information, nonclinical testing results and provides a basis for the FDA to conclude that there is an adequate basis for testing the investigational product in humans. If the FDA does not object to the IND application within 30 days of submission, the clinical testing proposed in the IND may begin. Even after the IND has gone into effect and clinical testing has begun, the FDA may put clinical trials on “clinical hold,” suspending (or in some cases, ending) them because of safety concerns or for other reasons;</w:t>
      </w:r>
    </w:p>
    <w:p>
      <w:pPr>
        <w:spacing w:after="0" w:line="7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(“IRB”), reviewing each clinical site before each clinical trial may be initiated;</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the FDA’s bioresearch monitoring regulations and current Good Clinical Practices (“cGCP”), which establish standards for conducting, recording data from, and reporting the results of clinical trials, with the goals of assuring that the data and results are credible and accurate and that study participants’ rights, safety and well-being are protected, and any additional requirements for the protection of human research subjects and their health information to establish the safety, purity, potency and efficacy of the proposed biological product candidate for its intended use. Each clinical trial must be conducted under a protocol which details, among other things, the study objectives and parameters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ind w:left="1140"/>
        <w:spacing w:after="0" w:line="282" w:lineRule="auto"/>
        <w:rPr>
          <w:sz w:val="20"/>
          <w:szCs w:val="20"/>
          <w:color w:val="auto"/>
        </w:rPr>
      </w:pPr>
      <w:r>
        <w:rPr>
          <w:rFonts w:ascii="Times New Roman" w:cs="Times New Roman" w:eastAsia="Times New Roman" w:hAnsi="Times New Roman"/>
          <w:sz w:val="18"/>
          <w:szCs w:val="18"/>
          <w:color w:val="auto"/>
        </w:rPr>
        <w:t>monitoring safety and the efficacy criteria, if any, to be evaluated. The protocol is submitted to the FDA as part of the IND and reviewed by the agency;</w:t>
      </w:r>
    </w:p>
    <w:p>
      <w:pPr>
        <w:spacing w:after="0" w:line="54" w:lineRule="exact"/>
        <w:rPr>
          <w:sz w:val="20"/>
          <w:szCs w:val="20"/>
          <w:color w:val="auto"/>
        </w:rPr>
      </w:pPr>
    </w:p>
    <w:p>
      <w:pPr>
        <w:ind w:left="1140" w:hanging="504"/>
        <w:spacing w:after="0" w:line="282"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BLA for marketing approval that includes substantive evidence of safety, purity, potency, and efficacy from results of nonclinical testing and clinical trials;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 potential FDA pre-licensure inspection prior to BLA approval of the manufacturing facility or facilities where the biological product candidate is produced to assess compliance with cGMP to assure that the facilities, methods and controls are adequate to preserve the biological product candidate’s identity, strength, quality and purity;</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audit of the nonclinical and clinical trial sites that generated the data in support of the BLA;</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FDA advisory committee meeting to elicit expert input on critical issues, including a vote by external committee members;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and payment of associated user fees, when applicable.</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Before testing any biological product candidate in humans, the product candidate enters the preclinical testing stage. Nonclinical tests include laboratory evaluations of product chemistry, pharmacology, toxicity and formulation, and may also include animal studies to assess the potential safety and activity of the product candidate. The conduct of the nonclinical tests must comply with applicable federal regulations and requirements, including cGLP and the Animal Welfare Act, which are enforced by the Department of Agriculture.</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clinical trial sponsor must submit the results of the nonclinical tests, together with manufacturing information, analytical data, any available clinical data or literature and a proposed clinical protocol, to the FDA as part of the IND before clinical testing may begin.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raises concerns or questions regarding the proposed clinical trial, including, for example, if the FDA questions whether subjects will be exposed to unreasonable health risks, requests certain changes to a protocol before the trial can begin, or places the clinical trial on hold within that 30-day time period. In such a case, the IND sponsor and the FDA must resolve any outstanding concerns before the clinical trial can begin. The FDA may also impose clinical holds on a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Clinical trials may involve the administration of the biological product candidate to healthy volunteers or subjects under the supervision of qualified investigators. Such investigators are generally physicians who are not employed by or under the trial sponsor’s control. Clinical trials involving some products for certain diseases may begin with testing in patients with the disease.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occur. Each protocol and any amendments to the protocol must be submitted to the FDA as part of the IND. Clinical trials must be conducted and monitored in accordance with cGCP and FDA regulations, including the requirement that all research subjects or their legal representative provide informed consent. Further, each clinical trial must be reviewed and approved by an independent IRB at or servicing each institution at which the clinical trial will be conducted. IRBs are charged with protecting the welfare and rights of study participants and consider such items as whether the risks to individuals participating in clinical trials are minimized and are reasonable in relation to potential benefits, if any.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8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 sponsor who wishes to conduct a clinical trial outside the U.S. may, but need not, obtain FDA authorization to conduct the clinical trial under an IND. Foreign trials conducted under an IND must meet the same requirements that apply to trials being conducted in the U.S. If a foreign clinical trial is not conducted under an IND, the sponsor may submit data from the clinical trial to the FDA in support of a BLA so long as the clinical trial is conducted in compliance with cGCP, including review and approval by an independent ethics committee and compliance with informed consent principles, the foreign data are applicable to the U.S. population and U.S. medical practice, and the FDA is able to validate the data from the study through an on-site inspection if deemed necessary.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sequential phases that may overlap or be combined:</w:t>
      </w:r>
    </w:p>
    <w:p>
      <w:pPr>
        <w:spacing w:after="0" w:line="113" w:lineRule="exact"/>
        <w:rPr>
          <w:sz w:val="20"/>
          <w:szCs w:val="20"/>
          <w:color w:val="auto"/>
        </w:rPr>
      </w:pPr>
    </w:p>
    <w:p>
      <w:pPr>
        <w:jc w:val="both"/>
        <w:ind w:left="520" w:hanging="512"/>
        <w:spacing w:after="0" w:line="268"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1</w:t>
      </w:r>
      <w:r>
        <w:rPr>
          <w:rFonts w:ascii="Times New Roman" w:cs="Times New Roman" w:eastAsia="Times New Roman" w:hAnsi="Times New Roman"/>
          <w:sz w:val="18"/>
          <w:szCs w:val="18"/>
          <w:color w:val="auto"/>
        </w:rPr>
        <w:t>. The biological product candidate is initially introduced into healthy human subjects and tested for safety. In the case of some biological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candidates for rare diseases, the initial human testing is often conducted in the intended patient population. In addition to testing for safety, the purpose of these clinical trials is to assess the metabolism, pharmacologic action, and side effect tolerability of the biological product candidate.</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68"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2</w:t>
      </w:r>
      <w:r>
        <w:rPr>
          <w:rFonts w:ascii="Times New Roman" w:cs="Times New Roman" w:eastAsia="Times New Roman" w:hAnsi="Times New Roman"/>
          <w:sz w:val="18"/>
          <w:szCs w:val="18"/>
          <w:color w:val="auto"/>
        </w:rPr>
        <w:t>. The biological product candidate is evaluated in a limited population of patients afflicted with the target disease to identify possible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adverse effects and safety risks, to preliminarily evaluate the efficacy of the biological product candidate for specific targeted diseases and to determine dosage tolerance, optimal dosage and dosing schedule.</w:t>
      </w:r>
    </w:p>
    <w:p>
      <w:pPr>
        <w:spacing w:after="0" w:line="62" w:lineRule="exact"/>
        <w:rPr>
          <w:rFonts w:ascii="Times New Roman" w:cs="Times New Roman" w:eastAsia="Times New Roman" w:hAnsi="Times New Roman"/>
          <w:sz w:val="18"/>
          <w:szCs w:val="18"/>
          <w:color w:val="auto"/>
        </w:rPr>
      </w:pPr>
    </w:p>
    <w:p>
      <w:pPr>
        <w:jc w:val="both"/>
        <w:ind w:left="520" w:hanging="512"/>
        <w:spacing w:after="0" w:line="259"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Phase 3</w:t>
      </w:r>
      <w:r>
        <w:rPr>
          <w:rFonts w:ascii="Times New Roman" w:cs="Times New Roman" w:eastAsia="Times New Roman" w:hAnsi="Times New Roman"/>
          <w:sz w:val="18"/>
          <w:szCs w:val="18"/>
          <w:color w:val="auto"/>
        </w:rPr>
        <w:t>. The biological product candidate is further evaluated in terms of dosage, clinical efficacy, potency and safety in an expanded patient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population (typically from several hundred to several thousand subjects) often at geographically dispersed clinical trial sites. These clinical trials are intended to establish the overall risk-benefit ratio of the biological product candidate and provide an adequate basis for product labeling. In biologics for rare diseases where patient populations are small and there is an urgent need for treatment, Phase 3 trials might not be required if a positive risk-benefit assessment can be demonstrated from the Phase 2 trial.</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 In certain instances, the FDA may mandate the performance of Phase 4 clinical trials as a condition of licensure of a BLA.</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for human subjects, or any clinically important increase in the rate of a serious suspected adverse reaction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the sponsor or the sponsor’s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biologic has been associated with a serious harm to patients.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Concurrent with clinical trials, companies must also develop additional information about the physical characteristics of the biologic as well as finalize a process for manufacturing the product in commercial quantities in accordance with cGMP requirements. To help reduce the risk of the introduction of adventitious agents with the use of biologics, the PHS Act emphasizes the importance of manufacturing control for biological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biological product candidate does not undergo unacceptable deterioration over its shelf life.</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about certain clinical trials must be submitted within specific timeframes to the National Institutes of Health for public dissemination on its clinicaltrials.gov website. Sponsors or distributors of investigational products for the diagnosis, monitoring or treatment of one or more serious diseases or conditions that have reached certain development milestones must also have a publicly available policy on evaluating and responding to requests for expanded access.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Review and Approval Processes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After the completion of clinical trials of a biological product candidate, FDA approval of a BLA must be obtained before commercial marketing of the product. The BLA must include results of product development, nonclinical studies, clinical trials, information on the manufacture and composition of the product, proposed labeling and other relevant information. The product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and approval processes require substantial time and effort, and there can be no assurance that the FDA will accept the BLA for filing and, even if filed, that any approval will be granted on a timely basis, if at all.</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Prescription Drug User Fee Act, as amended (the “PDUFA”), each BLA may be accompanied by significant user fees.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Within 60 days following submission of the application, the FDA reviews the BLA to determine if it is substantially complete before the agency accepts it for filing. The FDA may refuse to file any BLA that it deems incomplete or not properly reviewable at the time of submission and may request additional information. In this event, the BLA may be filed under protest or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the FDA’s systems, the BLA can be refused for filing. Once the submission is accepted for filing, the FDA begins an in-depth substantive review of the BLA. The current FDA performance goals provide that the FDA should review and act on 90% of standard new molecular entity New Drug Applications and original BLAs within ten months after the 60-day filing date. The FDA may miss or extend these goal actions dates under certain circumstances, including if there is a major amendment to the application. The targeted action date can also be shortened to within six months after the 60-day filing date, or eight months after BLA submission, for product candidates that are granted priority review designation because they are intended to treat serious or life-threatening conditions and demonstrate the potential to address unmet medical needs. However, even if priority review is awarded, the FDA may miss or extend the action date.</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reviews the BLA to determine, among other things, whether the proposed product is safe, potent and effective for its intended use, has an acceptable purity profile and is being manufactured in accordance with cGMP to assure and preserve the product’s identity, safety, strength, quality, potency and purity. The FDA may refer applications for novel products or products that present difficult questions of safety or efficacy to an advisory committee, which is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biological product approval process, the FDA also will determine whether a Risk Evaluation and Mitigation Strategy (“REMS”) is necessary to mitigate certain specific safety risks of the biological product. If the FDA concludes a REMS is needed, the sponsor of the BLA must submit a proposed REMS; the FDA will not approve the BLA without a REMS, if required.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Before approving a BLA, the FDA may inspect the facilities at which the product candidate is manufactured. The FDA will not approve the product candidate unless it determines that the manufacturing processes and facilities are in compliance with cGMP requirements and are adequate to assure consistent production of the product within required specifications. Additionally, before approving a BLA, the FDA will typically inspect one or more clinical trial sites to assure that the clinical trials were conducted in compliance with IND study requirements and cGCP requirements. To assure cGMP and cGCP compliance, an applicant must incur a significant expenditure of time, money and effort in the areas of training, record keeping, production and quality control, among others.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After the FDA evaluates a BLA, it may issue an approval letter or a complete response letter. An approval letter authorizes commercial marketing of the product candidate with specific prescribing information for specific indications. A complete response letter indicates that the review cycle of the application is complete and the FDA will not approve the application in its present form. A complete response letter usually describes all of the specific deficiencies in the BLA identified by the FDA. The complete response letter may require additional clinical data and/or one or more additional pivotal Phase 3 clinical trials, and/or other significant and time-consuming requirements related to clinical trials, nonclinical studies or manufacturing. If a complete response letter is issued, the applicant may either resubmit the BLA, addressing all of the deficiencies identified in the letter, or withdraw the application. The applicant may also appeal the decision through the FDA’s formal dispute resolution process. Even if such additional data and information are submitted in a BLA resubmission, the FDA may ultimately decide that the BLA does not satisfy the criteria for approval. Data obtained from clinical trials are not always conclusive, and the FDA may interpret data differently than the sponsor interprets the same data.</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a product candidate receives regulatory approval, the approved conditions of use may be significantly limited to specific diseases and dosages, which could restrict the commercial value of the product. Further, the FDA may require that certain contraindications, warnings or precautions, or other safety information be included in the product labeling. The FDA may impose restrictions and conditions on product distribution, prescribing or dispensing in the form of a REMS, or otherwise limit the scope of any approval. In addition, the FDA may require post-approval clinical trials, sometimes referred to as Phase 4 clinical trials, designed to further assess a biological product’s safety and effectiveness, and testing and surveillance programs to monitor the safety of approved products that have been commercialized. As a condition for approval, the FDA may also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8"/>
          <w:szCs w:val="18"/>
          <w:color w:val="auto"/>
        </w:rPr>
        <w:t>require additional trials or nonclinical testing as a Phase 4 commitment. Product approvals may be withdrawn for non-compliance with regulatory requirements if problems occur following launch, or if the FDA determines that the product is no longer safe or effective.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Pediatric Trials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Food and Drug Administration Safety and Innovation Act, which was signed into law on July 9, 2012, amended the FDCA to require that a sponsor who is planning to submit a marketing application for a drug that includes a new active ingredient, new indication, new dosage form, new dosing regimen or new route of administration submit an initial Pediatric Study Plan (“PSP”) within 60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agreement on the PSP. A sponsor can submit amendments to an agreed-upon initial PSP at any time if changes to the pediatric plan need to be considered based on data collected from nonclinical studies, early phase clinical trials, and/or other clinical development programs. The FDA, if it learns of new information, may also request that the sponsor amend the initial PSP.</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Emergency Use Authorization in the U.S.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Secretary of HHS, the FDA has the authority to issue an EUA for a medical product to allow unapproved medical products or unapproved uses of cleared or approved medical products to be used to diagnose, treat or prevent serious or life-threatening diseases or conditions caused by chemical, biological, radiological or nuclear warfare threat agents when there are no adequate, approved and available alternatives.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Under this authority, the FDA may issue an EUA for a medical product if the following four statutory criteria have been met: (1) a serious or life-threatening condition exists; (2) evidence that the medical product “may be effective” to prevent, diagnose, or treat the relevant disease or condition exists;</w:t>
      </w:r>
    </w:p>
    <w:p>
      <w:pPr>
        <w:jc w:val="both"/>
        <w:ind w:firstLine="8"/>
        <w:spacing w:after="0" w:line="251" w:lineRule="auto"/>
        <w:tabs>
          <w:tab w:leader="none" w:pos="26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risk-benefit analysis shows that the known and potential benefits of the product outweigh the known and potential risks; and (4) no other adequate, approved, and available alternatives exist for diagnosing, preventing or treating the disease or condition. The “may be effective” standard for EUAs requires a lower level of evidence than the “effectiveness” standard that FDA uses for product clearances or approvals in non-emergency situations. The FDA assesses the potential effectiveness of a possible EUA product on a case-by-case basis using a risk-benefit analysis. In determining whether the known and potential benefits of the product outweigh the known and potential risks, the FDA examines the totality of the scientific evidence to make an overall risk-benefit determination. Such evidence, which could arise from a variety of sources, may include (but is not limited to) results of domestic and foreign clinical trials,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efficacy data from animal models,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as well as the quality and quantity of the available evidence. Although the criteria of an EUA differ from the criteria for approval of a BLA, EUAs nevertheless require the development and submission of data to satisfy the relevant FDA standards, and EUA holders must comply with a number of ongoing compliance obligations.</w:t>
      </w:r>
    </w:p>
    <w:p>
      <w:pPr>
        <w:spacing w:after="0" w:line="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expects EUA holders to work toward submission of full applications, such as a BLA or a New Drug Application, as soon as possible. An EUA is also subject to additional conditions and restrictions that may be product-specific. Once granted, an EUA will remain in effect and generally terminate on the earlier of (1) the determination by the Secretary of HHS that the public health emergency has ceased or (2) a change in the approval status of the product such that the authorized use(s) of the product are no longer unapproved. After the EUA is no longer valid, the product is no longer considered to be legally marketed and one of the FDA’s non-emergency premarket pathways would be necessary to resume or continue distribution of the subject product.</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FDA also may revise or revoke an EUA if the circumstances justifying its issuance no longer exist, the criteria for its issuance are no longer met, or other circumstances make a revision or revocation appropriate to protect the public health or safety.</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Section 564 of the FDCA, the FDA Commissioner has the authority to authorize the emergency use of an unapproved medical product or an unapproved use of an approved medical product for certain emergency circumstances after the Secretary of HHS has made a declaration of an emergency or threat justifying authorization of emergency use. On January 31, 2020, the Secretary of HHS issued a declaration of a public health emergency related to COVID-19 under Section 319 of the PHS Act. On February 4, 2020, the Secretary of HHS determined pursuant to his authority under Section 564 of the FDCA that COVID-19 represented a public health emergency with significant potential to affect national security or the health and security of U.S. citizens living abroad. Following this determination, on March 27, 2020, the Secretary of HHS declared that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circumstances exist justifying the authorization of emergency use of drugs and biological products during the COVID-19 pandemic, subject to the terms of any authorization issued by the FDA.</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the Biden Administration allowed the COVID-19 public health emergency declared by HHS under Section 319 of the PHS Act to expire on May 11, 2023, this did not impact the FDA’s ability to authorize COVID-19 drugs and biological products for emergency use pursuant to the relevant declaration under Section 564 of the FDCA. The FDA therefore may continue to issue new EUAs going forward when criteria for issuance are met. Such authority arises from the determinations and declarations issued pursuant to Section 564 of the FDCA, including the EUA declaration on March 27, 2020, which remains in effect unless or until the Secretary of HHS terminates such declaration. If an EUA declaration is terminated, the EUAs based on such declaration would cease to be in effect and the FDA may no longer issue EUAs for products covered by such declaration.</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Post-Authorization or Post-Approval Requirements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Maintaining compliance with applicable federal, state and local statutes and regulations requires the expenditure of substantial time and financial resources. Rigorous and extensive FDA regulation of biological products continues after authorization or approval, particularly with respect to cGMP. If ongoing regulatory requirements are not met, safety problems occur after a product reaches market, or additional data change the FDA’s view of the risk-benefit profile of the product, the FDA may take actions to change the conditions under which the product is marketed, such as requiring labeling modifications, restricting distribution, or even withdrawing authorization or approval. We rely, and expect to continue to rely, on third parties for the production of clinical and commercial quantities of any products that we may commercialize. Manufacturers of our product candidates are required to comply with applicable requirements in the cGMP regulations, including quality control and quality assurance and maintenance of records and documentation.</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Good Manufacturing Practices. </w:t>
      </w:r>
      <w:r>
        <w:rPr>
          <w:rFonts w:ascii="Times New Roman" w:cs="Times New Roman" w:eastAsia="Times New Roman" w:hAnsi="Times New Roman"/>
          <w:sz w:val="18"/>
          <w:szCs w:val="18"/>
          <w:color w:val="auto"/>
        </w:rPr>
        <w:t>Companies engaged in manufacturing drug and biological products or their components must comply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cGMP requirements, which include requirements regarding organization and training of personnel, facility registration, building and facilities, equipment, control of components and drug product containers, closures, production and process controls, packaging and labeling controls, holding and distribution, laboratory controls and records and reports. The FDA often inspects equipment, facilities and manufacturing processes before authorization or approval and conducts periodic re-inspections after authorization or approval. If, after receiving authorization or approval, a company makes a material change in manufacturing equipment, location, or process (all of which are, to some degree, incorporated in the EUA or BLA), additional regulatory review and approval may be required. Failure to comply with applicable cGMP requirements or the conditions of the product’s authorization or approval may lead the FDA to take enforcement actions, such as issuing a warning letter, or to seek sanctions, including fines, civil penalties, injunctions, suspension of manufacturing operations, imposition of operating restrictions, withdrawal of FDA authorization or approval, seizure or recall of products, and criminal prosecution. Although we periodically monitor FDA compliance of the third parties on which we rely for manufacturing our product candidates, we cannot be certain that our present or future third-party manufacturers will consistently comply with cGMP or other applicable FDA regulatory requirements.</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After a BLA is approved or an EUA is issued,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may conduct laboratory research related to the regulatory standards on the safety, purity, potency, and effectiveness of biological products. Systems need to be put in place to record and evaluate adverse events reported by healthcare providers and patients and to assess product complaints. An increase in severity or new adverse events can result in labeling changes or product recalls. Defects in manufacturing of commercial products can result in product recalls.</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We also must comply with the FDA’s advertising and promotion requirements, such as those related to direct-to-patient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advertising, promotion to healthcare practitioners and payors, the prohibition on promoting products for uses or patient populations that are not described in the product’s approved labeling (known as “off-label use”), industry-sponsored scientific and educational activities, and promotional activities involving the internet. In addition to FDA restrictions on marketing of pharmaceutical products, state and federal fraud and abuse laws have been applied to restrict certain marketing practices in the pharmaceutical industry. Discovery of previously unknown problems or the failure to comply with applicable regulatory requirements, including the FDA, the Department of Justice, the Office of the Inspector General of HHS, and/or state authorities may result in restrictions on the marketing of a product or withdrawal of the product from the market, as well as possible civil or criminal sanctions. Failure to comply with applicable U.S. requirements at any time during the product development process, authorization or approval process or after authorization or approval may subject an applicant or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spacing w:after="0" w:line="258" w:lineRule="auto"/>
        <w:rPr>
          <w:sz w:val="20"/>
          <w:szCs w:val="20"/>
          <w:color w:val="auto"/>
        </w:rPr>
      </w:pPr>
      <w:r>
        <w:rPr>
          <w:rFonts w:ascii="Times New Roman" w:cs="Times New Roman" w:eastAsia="Times New Roman" w:hAnsi="Times New Roman"/>
          <w:sz w:val="18"/>
          <w:szCs w:val="18"/>
          <w:color w:val="auto"/>
        </w:rPr>
        <w:t>manufacturer to administrative or judicial civil or criminal sanctions and adverse publicity. FDA sanctions could include refusal to authorize or approve pending applications, withdrawal of an authorization or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 on our business and operations.</w:t>
      </w:r>
    </w:p>
    <w:p>
      <w:pPr>
        <w:spacing w:after="0" w:line="73"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Requirements. </w:t>
      </w:r>
      <w:r>
        <w:rPr>
          <w:rFonts w:ascii="Times New Roman" w:cs="Times New Roman" w:eastAsia="Times New Roman" w:hAnsi="Times New Roman"/>
          <w:sz w:val="18"/>
          <w:szCs w:val="18"/>
          <w:color w:val="auto"/>
        </w:rPr>
        <w:t>Companies that manufacture or distribute drug products pursuant to EUAs or approved BLAs must meet numerous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regulatory requirements, including adverse event reporting, submission of periodic reports, and record-keeping obligations.</w:t>
      </w:r>
    </w:p>
    <w:p>
      <w:pPr>
        <w:spacing w:after="0" w:line="5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federal, state and foreign laws and regulations governing data privacy and security of health information, and the collection, use and disclosure, and protection of health-related and other personal information. The legislative and regulatory landscape for privacy and data protection continues to evolve, and there has been an increasing focus on privacy and data protection issues that may affect our business, including recently enacted laws in all jurisdictions where we operate. Numerous federal and state laws, including state security breach notification laws, state health information privacy laws, and federal and state consumer protection and privacy laws (including, for example, Section 5 of the Federal Trade Commission Act of 1914 (“FTC Act”), the FTC Health Breach Notification Rule, and the California Consumer Privacy Act (“CCPA”), as amended by the California Privacy Rights Act (“CPRA”)), govern the collection, use and disclosure of personal information. These laws may differ from each other in significant ways, thus complicating compliance efforts. Federal regulators, state attorneys general, and plaintiffs’ attorneys have been and will likely continue to be active in this space. Activities outside of the U.S. implicate local and national data protection standards, impose additional compliance requirements and generate additional risks of enforcement for non-compliance. The European Union’s General Data Protection Regulation (the “GDPR”), the United Kingdom’s General Data Protection Regulation, the United Kingdom’s Data Protection Act 2018, the United Kingdom’s Data (Use and Access) Act 2025 and other data protection, privacy and similar national, state/provincial and local laws may restrict the access, use and disclosure of patient health information abroad. Compliance efforts will likely be an increasing and substantial cost in the future.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Failure to comply with such laws and regulations could result in government enforcement actions and create liability for us (including the imposition of significant penalties), private litigation and/or adverse publicity that could negatively affect our business. In addition, we may obtain health information from third parties, including research institutions from which we obtain clinical trial data, that are subject to privacy and security requirements under the federal Health Insurance Portability and Accountability Act, as amended by the Health Information Technology for Economic and Clinical Health Act of 2009, and the regulations promulgated thereunder (collectively, “HIPAA”). HIPAA imposes privacy and security obligations on covered entity health care providers, health plans, and health care clearinghouses, as well as their “business associates” (i.e., certain persons or entities that create, receive, maintain, or transmit protected health information in connection with providing a specified service or performing a function for or on behalf of a covered entity). Depending on the facts and circumstances, we could be subject to criminal penalties if we, our affiliates, or our agents knowingly receive individually identifiable health information maintained by a HIPAA-covered entity in a manner that is not authorized or permitted by HIPAA, and subject to other civil and/or criminal penalties if we obtain, use, or disclose information in a manner not permitted by other privacy and data security and consumer protection laws. We rely on third party vendors and services to support various aspects of our business operations; however, these third parties may pose risks related to data security compliance and contractual obligations. A breach or failure by a third party to adequately protect our data could have adverse consequences for our business and reputation.</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Also at the federal level, the Federal Trade Commission (“FTC”),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 With respect to privacy, the FTC also sets expectations for failing to honor the privacy promises made to individuals about how the company handles consumers’ personal information; such failure may also constitute unfair or deceptive acts or practices in violation of the FTC Act. The FTC also has the power to enforce the Health Breach Notification Rule, which imposes notification obligations on companies for breaches of certain health information contained in personal health records. Enforcement by the FTC under the FTC Act and Health Breach Notification Rule can result in civil penalties or enforcement actions.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as a result of the broad scale release and availability of Artificial Intelligence (“AI”) technologies such as generative AI, there is a global trend towards more regulation (e.g., the European Union AI Act and AI laws passed by U.S. states) to ensure the ethical use, privacy, and security of AI and the data that it processes. Compliance with such laws will likely be an increasing and substantial cost in the future.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Expedited Review and Approval Programs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has various approaches, including Fast Track designation, priority review, accelerated approval and breakthrough therapy designation, that are intended to expedite the process for the development and/or FDA review of certain biological product candidates that are intended for the treatment of serious or life-threatening diseases or conditions and demonstrate the potential to address unmet medical needs. These designations provide benefits such as early regulatory interactions, rolling reviews, shorter approval timelines, and shorter review timelines, potentially accelerating patient access to innovative therapies.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Fast Track designation is a process designed to facilitate the development and expedite the review of drugs to treat serious conditions and fill an unmet medical need. To be eligible for a Fast Track designation, the FDA must determine, based on the request of a sponsor, that a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more frequent interactions with the FDA, the FDA may initiate review of sections of a Fast Track BLA before the application is complete, a process known as rolling review.</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Food and Drug Administration Safety and Innovation Act enacted in 2012, a sponsor can request designation of a product candidate as a “breakthrough therapy.” A product may receive a breakthrough therapy designation if it is a drug or biological product that is intended, alone or in combination with one or more other drugs or biologics,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may also be eligible for Fast Track benefits (including priority review) and use of the accelerated approval pathway. The FDA must take certain actions, such as holding timely meetings and providing advice, intended to expedite the development and review of an application for approval of a breakthrough therapy.</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Prior to approval, each drug marketed in the U.S. must go through a detailed FDA review process. In 1992, under PDUFA, the FDA agreed to specific goals for improving the marketing application review time and set forth two review tracks – standard review and priority review. The FDA may give a priority review designation, such as a rare pediatric disease designation, to biological products that treat a serious condition and, if approved, would provide a significant improvement in safety or effectiveness. A priority review means that the goal for the FDA’s review of an application is six months from the 60-day filing date rather than the standard goal of ten months from the 60-day filing date under current PDUFA performance goals. Products that receive Fast Track designation are eligible to receive a priority review if the relevant criteria are met.</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Mindful of the fact that it may take an extended period of time to measure a drug’s intended clinical benefit, in 1992 FDA instituted the accelerated approval regulations, and this pathway was codified in the FDCA in 2012. Biological products studied for their safety and effectiveness in treating serious or life-threatening illnesses and that provide meaningful therapeutic benefit over existing treatments may receive accelerated approval on the basis of adequate and well-controlled clinical trials establishing that the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to perform post-approval studies to verify and describe the predicted effect on irreversible morbidity or mortality or other clinical endpoints, and the biological product may be subject to accelerated withdrawal procedures.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 biological product can qualify for multiple expedited pathways and designations if it meets the respective criteria. 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are not intended to lower the standards for approval and may not ultimately expedite the development or approval process.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Biologics Price Competition and Innovation Act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Biologics Price Competition and Innovation Act of 2009 (“BPCIA”), which was enacted as part of the Patient Protection and Affordable Care Act of 2010, as amended by the Health Care and Education Reconciliation Act of 2010 (the “ACA”), created an abbreviated approval pathway for biological products that are demonstrated to be “biosimilar” or “interchangeable” with an FDA-licensed reference biological product via an approved BLA. Biosimilarity to an approved reference product requires that there be no differences in conditions of use, route of administration, dosage form and strength and no clinically meaningful differences between the biological product and the reference product in terms of safety, purity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and potency. Biosimilarity is demonstrated in steps beginning with rigorous analytical studies or “fingerprinting,”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studies,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animal studies and generally at least one clinical trial, absent a waiver from the Secretary of the HHS. The biosimilarity exercise tests the hypothesis that the investigational product and the reference product are the same. If at any point in the stepwise biosimilarity process a significant difference is observed, then the products are not biosimilar, and the development of a standalone BLA is necessary. In order to meet the higher hurdle of interchangeability, a sponsor must demonstrate that the biosimilar product can be expected to produce the same clinical result as the reference product, and for a product that is administered more than once, that the risk of switching between the reference product and biosimilar product is not greater than the risk of maintaining the patient on the reference product. Complexities associated with the larger, and often more complex, structures of biological products, as well as the process by which such products are manufactured, pose significant hurdles to implementation that are still being evaluated by the FDA. Under the BPCIA, a reference biologic is granted 12 years of exclusivity from the time of first licensure of the reference product.</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 Patent Term Restoration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Depending upon the timing, duration and specifics of FDA approval of product candidates, some of a sponsor’s U.S. patents may be eligible for limited patent term extension under the Drug Price Competition and Patent Term Restoration Act of 1984 (the “Hatch-Waxman Amendments”). The Hatch-Waxman Amendments permit a patent restoration term of up to five years as compensation for patent term lost during the product development and FDA regulatory review process. However, patent term restoration cannot extend the remaining term of a patent beyond a total of 14 years from the product’s approval date. The patent term restoration period generally is one-half the time between the effective date of an IND and the submission date of a BLA less any time the sponsor did not act with due diligence during the period, plus the time between the submission date of a BLA and the approval of that application less any time the sponsor did not act with due diligence during the period. Only one patent applicable to an approved biological product is eligible for the extension, only those claims covering the approved drug, a method for using it or a method for manufacturing it may be extended and the application for the extension must be submitted prior to the expiration of the patent. Moreover, a given patent may only be extended once based on a single product. The USPTO, in consultation with the FDA, reviews and approves the application for any patent term extension or restoration.</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Regulation Outside of the U.S.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to regulations in the U.S., we may be subject to a variety of regulations in other jurisdictions governing, among other things, clinical trials and any commercial sales and distribution of our product candidates. Because biologically sourced raw materials are subject to unique contamination risks, their use may be restricted in some countries. Whether or not we obtain FDA authorization or approval for a product, we must obtain the requisite approvals from regulatory authorities in foreign countries prior to the commencement of clinical trials or marketing of the product in those countries. Certain countries outside of the U.S. have a similar process that requires the submission of a clinical trial application much like the IND prior to the commencement of human clinical trials.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the European Union, for example, a clinical trial must be authorized by the competent authority of each country where the trial is to be conducted, and be subject to ethical review by the relevant national ethics committee(s). Clinical trials are governed by the Clinical Trials Regulation (Regulation (EU) No 536/2014) (the “CTR”), which came into effect on January 31, 2022, and is applicable in all the European Union Member States, as well as in Iceland, Liechtenstein and Norway. The CTR repealed the previous Clinical Trials Directive (Directive 2001/20/EC) (the “CTD”). Under the CTR, sponsors submit one application via an online platform known as the Clinical Trials Information System (“CTIS”) for authorization to run a clinical trial in one or more European Union countries. While a part of the application assessment is done by the country designated as the Reporting Member State, the decision on the authorization of clinical trials, however, remains a responsibility of each country. The use of the CTIS is mandatory for clinical trial applications (“CTAs”) submitted on or after January 31, 2023. Clinical trials authorized under the CTD before January 31, 2023 could continue without any discontinuation or hold requirements. However, beginning on January 31, 2025, such clinical trials had to be transitioned to the CTR framework, including being subject to the requirement to record information on the trials in the CTIS.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Once a CTA is approved in accordance with the applicable requirements, clinical trial development may proceed. The requirements and processes governing the conduct of clinical trials are overall harmonized at the European Union level. In all cases, the clinical trials are conducted in accordance with cGCP, applicable regulatory requirements and applicable ethical principles.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To obtain regulatory approval of a biological medicinal product under the European Union regulatory system, we would be required to submit a Marketing Authorization Application (“MAA”). The application used to file the BLA in the U.S. is similar to that required in the European Union, with the exception of, among other things, country-specific document requirements. In the European Union, marketing authorization for a medicinal product can be obtained through a centralized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31" w:name="page32"/>
    <w:bookmarkEnd w:id="3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procedure, mutual recognition procedure, decentralized procedure, or the national procedure of an individual European Union Member State. A marketing authorization, irrespective of its route to authorization, may be granted only to an applicant established in the European Union.</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marketing authorization by the European Commission that is valid for all 27 European Union Member States, as well as Iceland, Liechtenstein and Norway. Under the centralized procedure, the Committee for Medicinal Products for Human Use (the “CHMP”) established at the EMA is responsible for conducting the initial assessment of a product. The maximum timeframe for the evaluation of an MAA is 210 days. This period excludes clock stops during which additional information or written or oral explanations are to be provided by the applicant in response to questions posed by the CHMP. A request for accelerated assessment might be granted by the CHMP in exceptional cases when a medicinal product is expected to be of a major public health interest. There is no single definition of what constitutes a major public health interest. This should be justified by the applicant and assessed by the CHMP on a case by case basis. Typically, the justification should include the major benefits expected and demonstrate that the medicinal product introduces new methods of therapy or improves on existing methods, thereby addressing to a significant extent public health unmet needs. If the CHMP accepts to review a medicinal product under the accelerated assessment procedure, the time limit of 210 days will be reduced to 150 days. It is, however, possible that the CHMP can revert to the standard time limit for the centralized procedure if it considers that it is no longer appropriate to conduct an accelerated assessment.</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Irrespective of the related procedure, at the completion of the review period the CHMP will provide a scientific opinion concerning whether or not a marketing authorization should be granted in relation to a medicinal product. This opinion is based on a review of the quality, safety, and efficacy of the product. Within 15 days of the adoption, the EMA will forward its opinion to the European Commission for its decision. Following the opinion of the EMA, the European Commission makes a final decision on whether or not to grant a centralized marketing authorization. The centralized procedure is mandatory for certain types of medicinal products, including orphan medicinal products, medicinal products derived from certain biotechnological processes such as those developed by means of hybridoma and monoclonal antibody methods, advanced therapy medicinal products and medicinal products containing a new active substance for the treatment of certain diseases. This route is optional for certain other products, including medicinal products that are of significant therapeutic, scientific or technical innovation, or whose authorization would be in the interest of patients’ health at European Union level.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marketing authorization procedure requires a separate application to, and leads to separate authorizations by, the authorities of each European Union Member State in which the product is to be marketed. This application process is identical to the application that would be submitted to the EMA for authorization through the centralized procedure and must be completed within 210 days, excluding potential clock-stops, during which the applicant can respond to questions. One of the relevant European Union Member States is selected by the applicant as the Reference Member State and prepares a draft assessment report, a draft Summary of Product Characteristics (“SmPC”), and a draft of the labeling and package leaflet. The other concerned European Union Member States must decide whether to approve the assessment report and related materials. If a European Union Member State cannot approve the assessment report and related materials due to concerns relating to a potential serious risk to public health, disputed elements will be referred to a coordination group and could thereafter be referred to the EMA, which could result in a decision from the European Commission.</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mutual recognition procedure is used in order to obtain marketing authorizations in several European Union Member States where the medicinal product in question has already received a marketing authorization in any European Union Member State at the time of application. The holder of a national marketing authorization may submit an application to the authority of a European Union Member State requesting that this authority recognize the marketing authorization delivered by the authority of another European Union Member State.</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Innovative products that target an unmet medical need may be eligible for a number of expedited development and review programs in the European Union, such as The Priority Medicines scheme, which provides incentives similar to the breakthrough therapy designation in the U.S. Such products are generally eligible for accelerated assessment and may also benefit from different types of fast-track approvals, such as a conditional marketing authorization or a marketing authorization under exceptional circumstances granted on the basis of less comprehensive clinical data than normally required (respectively in the likelihood that the sponsor will provide such data within an agreed timeframe or when comprehensive data cannot be obtained even after authorization).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European Union also provides opportunities for market exclusivity. For example, in the European Union, upon receiving marketing authorization, new active substances generally receive eight years of data exclusivity and an additional two years of market exclusivity. If granted, data exclusivity prevents, during the applicable period, applicants and regulatory authorities in the European Union from referencing the innovator’s data to apply for or assess a generic or biosimilar application. During the additional two-year period of market exclusivity, a generic or biosimilar marketing authorization can be submitted and authorized, and the innovator’s data may be referenced, but no generic or biosimilar product can be marketed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2" w:name="page33"/>
    <w:bookmarkEnd w:id="32"/>
    <w:p>
      <w:pPr>
        <w:jc w:val="both"/>
        <w:spacing w:after="0" w:line="261" w:lineRule="auto"/>
        <w:rPr>
          <w:sz w:val="20"/>
          <w:szCs w:val="20"/>
          <w:color w:val="auto"/>
        </w:rPr>
      </w:pPr>
      <w:r>
        <w:rPr>
          <w:rFonts w:ascii="Times New Roman" w:cs="Times New Roman" w:eastAsia="Times New Roman" w:hAnsi="Times New Roman"/>
          <w:sz w:val="18"/>
          <w:szCs w:val="18"/>
          <w:color w:val="auto"/>
        </w:rPr>
        <w:t>until the expiration of the market exclusivity.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European Union’s regulatory authorities to be a new active substance, and products may not qualify for data exclusivity.</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Pediatric Investigation Plan (“PIP”) in the European Union is aimed at ensuring that the necessary data are obtained to determine the conditions in which a medicinal product may be authorized to treat the pediatric population. All applications for marketing authorization for new medicinal products have to include the results of studies as described in an agreed PIP, unless the medicinal product is exempt because of a deferral or waiver. This requirement also applies when a marketing-authorization holder wants to add a new indication, pharmaceutical form or route of administration for a medicinal product that is already authorized and covered by intellectual property rights. Several rewards and incentives for the development of pediatric medicinal products are available in the European Union. Medicinal products authorized with the results of studies from a PIP included in the product information are eligible for an extension of their supplementary protection certificate by six months, even when the results of the studies are negative. Scientific advice and protocol assistance at the EMA are free of charge for questions relating to the development of pediatric medicinal products. Medicinal products developed specifically for children that are not protected by a patent or supplementary protection certificate are eligible for a pediatric-use marketing authorization, which if granted, provides ten years of market protection.</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The European Union pharmaceutical legislation is currently under review. On April 26, 2023, the European Commission published its proposal to revise the European Union pharmaceutical legislation (the “EU Pharma Package”), consisting of a new Directive and a new Regulation, which would revise and replace the existing general pharmaceutical legislation (Regulation 726/2004 and Directive 2001/83/EC) and the legislation on medicinal products for pediatric use and on orphan medicinal products (Regulation 1901/2006 and Regulation 141/2000, respectively). In December 2025, the European Parliament and the Council of the European Union reached a provisional agreement on the EU Pharma Package. Among others, this provisional agreement contemplates certain changes to regulatory exclusivity periods. The regulatory data protection period is proposed to be kept at eight years, with one additional year of regulatory market protection. Pharmaceutical companies would be eligible for additional one-year periods of regulatory market protection: (i) if the particular product addresses an unmet medical need; (ii) if the particular product contains a new active substance, it meets a combination of conditions on comparative clinical trials carried out in several European Union Member States, and the application for marketing authorization occurs within 90 days after the submission of the first MAA outside the European Union; or (iii) if the company obtains an authorization for one or more new therapeutic indications that bring a significant clinical benefit in comparison with existing therapies. The provisional agreement sets a cap of 11 years on the combined regulatory market protection period. The timeframe for the evaluation of an MAA is expected to be reduced to 180 days (from the current 210 days). The provisional agreement is still subject to the formal approval by the European Parliament and the Council of the European Union and subsequent publication in the Official Journal of the European Union. After a transition period, the new legislation is expected to apply beginning in mid-2028.</w:t>
      </w:r>
    </w:p>
    <w:p>
      <w:pPr>
        <w:spacing w:after="0" w:line="8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Medicines and Healthcare products Regulatory Agency (“MHRA”) is responsible for regulating the United Kingdom medicinal products market (Great Britain and Northern Ireland). The United Kingdom left the European Union on January 31, 2020.</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the Human Medicines (Amendment etc.) (EU Exit) Regulations 2019, the United Kingdom regulatory regime for clinical trials, marketing authorizations, importing, exporting and pharmacovigilance largely mirrors that of the European Union. As part of the Trade and Cooperation Agreement (“TCA”), the European Union and the United Kingdom recognize cGMP inspections carried out by the other party and the acceptance of official cGMP documents issued by the other party. The TCA also encourages, although it does not oblige, the parties to consult one another on proposals to introduce significant changes to technical regulations or inspection procedures. Among the areas of absence of mutual recognition are batch testing and batch release. The United Kingdom has unilaterally agreed to accept European Union batch testing and batch release, and any change to this position is subject to a minimum two-year notice period. However, the European Union continues to apply European Union laws that require batch testing and batch release to take place in the European Union territory. This means that medicinal products that are tested and released in the United Kingdom must be retested and re-released when entering the European Union market for commercial use.</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it relates to marketing authorizations, from January 1, 2025, when the Windsor Framework took effect, a single marketing authorization now covers the whole of the United Kingdom and has replaced previous separate licenses for Great Britain and Northern Ireland. Marketing authorizations obtained under the European Union centralized authorization procedure are no longer valid in Northern Ireland, and have been converted into a United Kingdom-wide marketing authorization. The Windsor Framework has also introduced United Kingdom-only labelling changes for all medicines placed on the United Kingdom market and disapplied the European Union Falsified Medicines Directive in Northern Ireland. The United Kingdom also has an international recognition procedure (the “IRP”) which provides for an expedited authorization procedure for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spacing w:after="0" w:line="261" w:lineRule="auto"/>
        <w:rPr>
          <w:sz w:val="20"/>
          <w:szCs w:val="20"/>
          <w:color w:val="auto"/>
        </w:rPr>
      </w:pPr>
      <w:r>
        <w:rPr>
          <w:rFonts w:ascii="Times New Roman" w:cs="Times New Roman" w:eastAsia="Times New Roman" w:hAnsi="Times New Roman"/>
          <w:sz w:val="18"/>
          <w:szCs w:val="18"/>
          <w:color w:val="auto"/>
        </w:rPr>
        <w:t>applicants that have already received an authorization for the same product from one of MHRA’s specified reference regulators (each, an “RR”). A positive opinion from the CHMP is considered for this purpose as an RR authorization. The IRP allows the MHRA to take into account the expertise and decision-making of trusted regulatory partners, including the EMA. The MHRA will conduct a targeted assessment of IRP applications but retains the authority to reject applications.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other countries outside of the European Union, such as countries in Eastern Europe, Latin America or Asia, the requirements governing the conduct of clinical studies, product licensing, pricing and reimbursement vary from country to country. In all cases, again, clinical studies are conducted in accordance with cGCP and the applicable regulatory requirements and the ethical principles that have their origin in the Declaration of Helsinki.</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Pharmaceutical coverage, pricing and reimbursement</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Significant uncertainty exists as to obtaining and maintaining coverage and adequate reimbursement for our product candidates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 candidates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One payor’s determination to provide coverage for a drug product does not ensure that other payors will also provide coverage or adequate reimbursement. The principal decisions about reimbursement for new medicines are typically made on the federal level by the Centers for Medicare &amp; Medicaid Services (“CMS”), an agency within HHS that administers the Medicare and Medicaid programs, and, on the state level, by state Medicaid programs. CMS and state Medicaid programs decide whether and to what extent products will be covered and reimbursed under Medicare and Medicaid, and private payors tend to follow Medicare and Medicaid to a substantial degree.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Further, increasing efforts by third-party payors in the U.S. and abroad to cap or reduce healthcare costs may cause such organizations to limit both coverage and the level of reimbursement for newly authorized or approved products and, as a result, they may not cover or provide adequate payment for our product candidates. In order to secure coverage and reimbursement for any product that might be authorized or approved for sale, we may need to conduct expensive pharmacoeconomic studies to demonstrate the medical necessity and cost-effectiveness of our product candidates, in addition to the costs required to obtain FDA or comparable regulatory approvals.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There may be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Coverage and adequate reimbursement may not be available with respect to the treatments in which our product candidates, if approved, are used under any foreign reimbursement system. In the European Union, each European Union Member State can restrict the range of medicinal products for which its national health insurance system provides reimbursement and can control the prices of medicinal products for human use marketed on its territory. As a result, following receipt of marketing authorization in a European Union Member State, through any application route, the applicant is required to engage in pricing discussions and negotiations with the relevant pricing authority in the individual European Union Member State. The governments of the European Union Member States influence the price of pharmaceutical products through their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jc w:val="both"/>
        <w:spacing w:after="0" w:line="253" w:lineRule="auto"/>
        <w:rPr>
          <w:sz w:val="20"/>
          <w:szCs w:val="20"/>
          <w:color w:val="auto"/>
        </w:rPr>
      </w:pPr>
      <w:r>
        <w:rPr>
          <w:rFonts w:ascii="Times New Roman" w:cs="Times New Roman" w:eastAsia="Times New Roman" w:hAnsi="Times New Roman"/>
          <w:sz w:val="18"/>
          <w:szCs w:val="18"/>
          <w:color w:val="auto"/>
        </w:rPr>
        <w:t>pricing and reimbursement rules and control of national healthcare systems that fund a large part of the cost of those products to consumers. Some European Union Member States operate positive and negative list systems under which products may only be marketed once a reimbursement price has been agreed upon. To obtain reimbursement or pricing approval, some of these countries may require the completion of clinical trials that compare the cost-effectiveness of a particular product candidate to currently available therapies. Others adopt a system of reference pricing, basing the price or reimbursement level in their territories either on the pricing and reimbursement levels in other countries or on the pricing and reimbursement levels of medicinal products intended for the same therapeutic indication. Further, some European Union Member States approve a specific price for the medicinal product or may instead adopt a system allowing companies to fix their own prices with direct or indirect controls on the profitability of the company placing the medicinal product on the market. The downward pressure on healthcare costs in general, particularly prescription drugs, has become more intense. As a result, increasingly high barriers are being erected to the entry of new products. In addition, we may face competition for our product candidates from lower-priced products in foreign countries that have placed price controls on pharmaceutical products. In addition, in some countries, cross-border imports from low-priced markets exert a commercial pressure on pricing within a country.</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Health Technology Assessment (“HTA”) of medicinal products is becoming an increasingly common part of the pricing and reimbursement procedures in some European Union Member States. These European Union Member States include France, Germany, Ireland, Italy and Sweden. HTA is the procedure according to which the assessment of the public health impact, therapeutic impact and the economic and societal impact of use of a given medicinal product in the national healthcare systems of the individual country is conducted. HTA generally focuses on the clinical efficacy and effectiveness, safety, cost, and cost-effectiveness of individual medicinal products as well as their potential implications for the healthcare system. Those elements of medicinal products are compared with other treatment options available on the market. The outcome of HTA regarding specific medicinal products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varies between European Union Member States.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European Union’s HTA Regulation was adopted on December 13, 2021, entered into force on January 11, 2022 and became effective on January 12, 2025. The HTA Regulation provides that European Union Member States will be able to use common HTA tools, methodologies, and procedures across the European Union and sets the basis for permanent and sustainable cooperation at the European Union level for joint clinical assessments. Individual European Union Member States will continue to be responsible for drawing conclusions on the overall value of new health technology for their healthcare system, and pricing and reimbursement decisions.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Laws and Regulations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Sales of our product candidates, if authorized or approved, or any other future product candidate will be subject to healthcare regulation and enforcement by the federal government and the states and foreign governments in which we might conduct our business. The healthcare laws and regulations that may affect our ability to operate include the following:</w:t>
      </w:r>
    </w:p>
    <w:p>
      <w:pPr>
        <w:spacing w:after="0" w:line="68" w:lineRule="exact"/>
        <w:rPr>
          <w:sz w:val="20"/>
          <w:szCs w:val="20"/>
          <w:color w:val="auto"/>
        </w:rPr>
      </w:pPr>
    </w:p>
    <w:p>
      <w:pPr>
        <w:jc w:val="both"/>
        <w:ind w:left="1140" w:hanging="504"/>
        <w:spacing w:after="0" w:line="253"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to knowingly and willfully, directly or indirectly, solicit, receive, offer, or pay any remuneration that is in exchange for or to induce or reward the referral of an individual or the purchase, order, lease, or arranging for or recommending purchasing, leasing, or ordering any item or service for which payment may be made under a federal healthcare program, such as Medicare or Medicaid. The term “remuneration” has been broadly interpreted to include anything of value. This statute has been interpreted to apply to arrangements between pharmaceutical companies on one hand and prescribers, patients, purchasers, and formulary managers on the other. Liability under the Anti-Kickback Statute may be established without proving actual knowledge of the statute or specific intent to violate it. In addition, the government may assert that a claim including items or services resulting from a violation of the federal Anti-Kickback Statute constitutes a false or fraudulent claim for purposes of the federal civil False Claims Act. Violations of this law may be punishable by up to ten years in prison, criminal fines, damages, administrative civil money penalties, and exclusion from participation in federal healthcare programs. Analogous anti-kickback laws and regulations exist in the European Union;</w:t>
      </w:r>
    </w:p>
    <w:p>
      <w:pPr>
        <w:spacing w:after="0" w:line="83"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false claims and false statement laws, including the federal civil False Claims Act, which prohibits, among other things, any person or entity from knowingly presenting, or causing to be presented, claims for payment of government funds, including Medicare and Medicaid, that are false or fraudulent, or knowingly making, using, or causing to be made or used, a false record or statement material to an obligation to pay or transmit money to the federal government, or knowingly concealing or improperly avoiding or decreasing an obligation to pay money to the federal government. Actions under the False Claims Act may be brought by the federal government or as a qui tam action by a private individual in the name of the government. Penalties for a False Claims Act violation may include three times the actual damages sustained by the government, plus significant civil penalties for each separate false or fraudulent claim, and the potential for exclusion from participation in federal healthcare programs.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jc w:val="both"/>
        <w:ind w:left="1140" w:hanging="504"/>
        <w:spacing w:after="0" w:line="254"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Union, the advertising and promotion of medicinal products are subject to laws governing promotion of medicinal products, interactions with physicians, misleading and comparative advertising and unfair commercial practices. For example, applicable laws require that promotional materials and advertising in relation to medicinal products comply with the authorized product’s SmPC. The SmPC is the document that provides information to physicians concerning the safe and effective use of the product. Promotional activity that does not comply with the SmPC is considered off-label and is prohibited in the European Union. Other applicable laws at the European Union level and in the individual European Union Member States also apply to the advertising and promotion of medicinal products, including laws that prohibit the direct-to-consumer advertising of prescription-only medicinal products and further limit or restrict the advertising and promotion of products to the general public and to health care professionals. Violations of the rules governing the promotion of medicinal products in the European Union could be penalized by administrative measures, fines and imprisonment;</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 including those by private payors;</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imposes obligations on certain types of individuals and entities regarding the electronic exchange of information in common healthcare transactions, as well as standards relating to the privacy and security of individually identifiable health information. In the European Union, there has been increased attention to privacy and data security issues that could potentially affect our business, including the GDPR, which became effective on May 25, 2018. The GDPR regulates the processing of personal data and imposes strict obligations and restrictions on the ability to collect, analyze and transfer personal data from the European Union to the U.S., including health data from clinical trials. The GDPR confers a private right of action on data subjects and consumer associations to lodge complaints with supervisory authorities, seek judicial remedies, and obtain compensation for damages resulting from violations of the GDPR. Failure to comply with the requirements of GDPR may result in fines of up to 20,000,000 Euros or up to 4% of the total worldwide annual turnover of the preceding financial year, whichever is higher, and other administrative penalties;</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ownership and investment interests, or other transfers of value made to physicians (defined to include doctors, dentists, optometrists, podiatrists and chiropractors), other healthcare professionals (such as physician assistants and nurse practitioners) and teaching hospitals.</w:t>
      </w:r>
    </w:p>
    <w:p>
      <w:pPr>
        <w:spacing w:after="0" w:line="75"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European Union, interactions between pharmaceutical companies and physicians are also governed by strict laws, regulations, industry self-regulation codes of conduct and physicians’ codes of professional conduct. The provision of benefits or advantages to physicians to induce or encourage the prescription, recommendation, endorsement, purchase, supply, order or use of medicinal products, which is prohibited in the European Union, is governed by the national anti-bribery laws of the European Union Member States. Violation of these laws could result in substantial fines and imprisonment. Certain European Union Member States, or industry codes of conduct, require that payments made to physicians be publicly disclosed. Moreover, agreements with physicians must often be the subject of prior notification and approval by the physician’s employer, his/her competent professional organization, and/or the competent authorities of the individual European Union Member States. Failure to comply with these requirements could result in reputational risk, public reprimands, administrative penalties, fines or imprisonment; and</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 Our business activities outside of the U.S. are subject to similar anti-bribery or anti-corruption laws, regulations, industry self-regulation codes of conduct and physicians’ codes of professional conduct or rules of other countries in which we operate, including the United Kingdom Bribery Act of 2010.</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we may be subject to state laws that require pharmaceutical companies to comply with the federal government’s and/or pharmaceutical industry’s voluntary compliance guidelines and state laws that require drug and biologics manufacturers to report information related to payments and other transfers of value to physicians and other healthcare providers or marketing expenditures, as well as state and foreign laws governing the privacy and security of health information, many of which differ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6" w:name="page37"/>
    <w:bookmarkEnd w:id="36"/>
    <w:p>
      <w:pPr>
        <w:jc w:val="both"/>
        <w:spacing w:after="0" w:line="282" w:lineRule="auto"/>
        <w:rPr>
          <w:sz w:val="20"/>
          <w:szCs w:val="20"/>
          <w:color w:val="auto"/>
        </w:rPr>
      </w:pPr>
      <w:r>
        <w:rPr>
          <w:rFonts w:ascii="Times New Roman" w:cs="Times New Roman" w:eastAsia="Times New Roman" w:hAnsi="Times New Roman"/>
          <w:sz w:val="18"/>
          <w:szCs w:val="18"/>
          <w:color w:val="auto"/>
        </w:rPr>
        <w:t>from each other in significant ways and often are not preempted by HIPAA. Additionally, to the extent that any of our products, if approved, are sold in a foreign country, we may be subject to similar foreign laws.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federal and state healthcare laws described above or any other governmental regulations that apply to us, we may be subject to significant penalties, including without limitation, civil, criminal and/or administrative penalties, damages, fines, disgorgement, imprisonment, exclusion from participation in government programs, such as Medicare and Medicaid, injunctions, private “qui tam” actions brought by individual whistleblowers in the name of the government, refusal to allow us to enter into government contracts, contractual damages, reputational harm, administrative burdens, diminished profits and future earnings and the curtailment or restructuring of our operations.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U.S. and many foreign jurisdictions have enacted or proposed legislative and regulatory changes affecting the healthcare system. The U.S.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and biologics. In recent years, Congress has considered reductions in Medicare reimbursement levels for drugs and biologics administered by physicians. CMS also has authority to revise reimbursement rates and to implement coverage restrictions for some drugs and biologics. Cost reduction initiatives and changes in coverage implemented through legislation or regulation could decrease utilization of and reimbursement for any authorized or approved products. While Medicare laws and regulations apply only to benefits for Medicare beneficiaries, private payors often follow Medicare coverage policy and payment limitations in setting their own reimbursement rates. Therefore, any reduction in Medicare reimbursement may result in a similar reduction in payments from private payors.</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manufacturers and impose additional health policy reforms. Among other things, the ACA expanded rebate liability for manufacturers that participate in the Medicaid Drug Rebate Program and expanded the 340B program. The ACA also requires pharmaceutical manufacturers of branded prescription drugs and biologics to pay a branded prescription drug fee to the federal government. Each individual pharmaceutical manufacturer pays a prorated share of the branded prescription drug fee, based on the dollar value of its branded prescription drug sales to certain federal programs identified in the law. The Inflation Reduction Act of 2022 (“IRA”) ended the Part D coverage cap discount program, which was first enacted as part of the ACA, under which manufacturers agreed to offer point-of-sale discounts off negotiated prices of applicable brand drugs to eligible beneficiaries during the coverage gap period, and replaced it with a new Part D Manufacturer Discount Program that began in 2025. Under this Manufacturer Discount Program, manufacturers are generally required to provide a 10% discount on a covered Part D drug where a beneficiary is in the initial phase of Part D coverage and a 20% discount where a beneficiary is in the catastrophic phase of Part D coverage.</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 regulations governing the ACA have been finalized. Since enactment, there have been significant efforts to modify or challenge the ACA. For example, the Tax Cuts and Jobs Act (the “Tax Act”), enacted on December 22, 2017, repealed the shared responsibility payment for individuals who fail to maintain minimum essential coverage under section 5000A of the Internal Revenue Code of 1986, as amended, commonly referred to as the individual mandate.</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passage of the ACA. For example, on August 2, 2011, the Budget Control Act of 2011, among other things, created the Joint Select Committee on Deficit Reduction to recommend to Congress proposals for spending reductions. The Joint Select Committee did not achieve a targeted deficit reduction, which triggered the legislation’s automatic reductions. In concert with subsequent legislation, this has resulted in aggregate reductions to Medicare payments to providers. Sequestration is currently set at 2% through 2033. The American Rescue Plan Act of 2021 eliminated the statutory Medicaid drug rebate cap, previously set at 100% of a drug’s AMP, for single-source and innovator multiple-source drugs, as of January 1, 2024. Additionally, the American Taxpayer Relief Act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IRA, among other things, established a Medicare Part B inflation rebate scheme, under which, generally speaking, manufacturers owe rebates if a reportable average sales price of an eligible Part B rebatable drug, not including certain vaccines, increases faster than the pace of inflation. The IRA also established a Medicare Part D inflation rebate scheme, under which, generally speaking, manufacturers owe rebates if a reported annualized average manufacturer price (“AMP”) of an eligible Part D rebatable drug increases faster than the pace of inflation. Failure to timely pay a Part B or Part D inflation rebate for a product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18"/>
          <w:szCs w:val="18"/>
          <w:color w:val="auto"/>
        </w:rPr>
        <w:t>subject to these programs is subject to a civil monetary penalty. The IRA also created a drug price negotiation program under which the prices for Medicare units of certain FDA approved or licensed high Medicare spend drugs and biologics without generic or biosimilar competition will be capped by reference to, among other things, a specified non-federal AMP. Failure to comply with requirements under the drug price negotiation program is subject to an excise tax and/or a civil monetary penalty. The IRA further made several changes to the Medicare Part D benefit, including a limit on annual out-of-pocket costs, and a change in manufacturer liability under the program for an applicable drug that could negatively affect the profitability of our product candidates. The IRA also prohibited Medicare Part D plans from imposing cost-sharing for certain vaccines that are recommended by the Advisory Committee on Immunization Practices. Congress continues to examine various policy proposals that may result in pressure on the prices of prescription drugs in the government health benefit programs. The IRA or other legislative change could impact the market conditions for our product candidates. Payment methodologies may be subject to changes in healthcare legislation and regulatory initiatives as well. For example, CMS may develop new payment and delivery models, such as pricing or bundled payment models.</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signed into law. The OBBBA is projected to decrease federal health care spending by approximately $1 trillion by reducing Medicaid spending and enrollment and making changes to federal Medicare spending. The law also made changes to ACA marketplace enrollment that are projected to decrease the number of individuals with marketplace coverage. It is unclear if these changes will impact demand for our products, once authorized or approved.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legislative and regulatory changes related to the aforementioned laws remain possible. It is unknown what form any other such changes or law would take and how or whether it may affect our business in the future. We expect that changes or additions to the ACA, IRA or their implementing regulations or guidance, changes to the Medicare and Medicaid programs, changes regarding the federal government’s authority to directly negotiate drug prices and changes stemming from other healthcare reform measures, especially with regard to healthcare access or financing or other legislation in individual states, could have a material adverse effect on the healthcare industry and our business.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has been heightened governmental scrutiny over the manner in which manufacturers set prices for their marketed products. Such scrutiny has resulted in several recent congressional inquiries, executive orders and proposed and enacted federal and state legislation and regulation designed to, among other things, bring more transparency to drug pricing, review the relationship between pricing and manufacturer patient programs, reduce the cost of drugs under Medicare and Medicaid and reform government program reimbursement methodologies for pharmaceutical products. At the federal level, the government has shown substantial interest in taking a variety of measures aimed at lowering U.S. prescription drug prices to align with the lowest prices available for the same drugs in comparable developed nations (so called “most favored nation” pricing). As another example of federal activity in this area, the FDA concurrently released a final rule and guidance in September 2020 providing pathways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implementation of this rule has been delayed until 2032 and it is uncertain if and how it will be implemented.</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At the state level, legislatures have increasingly passed legislation and implemented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some individual states have begun establishing Prescription Drug Affordability Boards to review high-cost drugs and, in some cases, set upper payment limits.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federal, state and foreign healthcare reform measures will be adopted in the future, any of which could limit the amounts that governmental health benefit programs or commercial payors will pay for healthcare products and services, which could result in limited coverage and reimbursement and reduced demand for our products, once authorized or approved, or additional pricing pressures.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February 1, 2026, we had 122 employees, all of which were full-time employees. Approximately 16 of our employees have Ph.D. or M.D. degrees and 35 of our employees are engaged in research and development activities. We have a hybrid workforce, with approximately 34% of our employees based in Massachusetts, 9% based in Connecticut, 7% based in California, 7% based in New Jersey, and the remaining 43% in various additional states. None of our employees are represented by labor unions or covered by collective bargaining agreements. We consider our relationship with our employees to be strong.</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human capital resources objectives include identifying, recruiting, retaining, incentivizing and integrating our existing and new employees, advisors and consultants, and ensuring we have a diverse and inclusive team.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as a hybrid company with employees working at our corporate headquarters in New Haven, Connecticut, our laboratory in Newton, Massachusetts and remotely.</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rent office space in an office building in New Haven, Connecticut for general and administrative purposes. We rent laboratory and office space in a shared laboratory building in Newton, Massachusetts for research and development purposes. We believe that our hybrid working approach is adequate to meet our ongoing needs, and that, if we require additional physical facilities, we will be able to obtain additional facilities on commercially reasonable terms.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information sets forth risk factors that could cause our actual results to differ materially from those contained in forward-looking statements we have made in this Annual Report on Form 10-K and those we may make from time to time. You should carefully consider the risks described below, in addition to the other information contained in this Annual Report on Form 10-K and our other public filings. Our business, financial condition or results of operations could be harmed by any of these risks. The risks and uncertainties described below are not the only ones we face. Additional risks not presently known to us or other factors not perceived by us to present significant risks to our business at this time also may impair our business operations.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Needs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Our </w:t>
      </w:r>
      <w:r>
        <w:rPr>
          <w:rFonts w:ascii="Times New Roman" w:cs="Times New Roman" w:eastAsia="Times New Roman" w:hAnsi="Times New Roman"/>
          <w:sz w:val="18"/>
          <w:szCs w:val="18"/>
          <w:b w:val="1"/>
          <w:bCs w:val="1"/>
          <w:i w:val="1"/>
          <w:iCs w:val="1"/>
          <w:color w:val="231F20"/>
        </w:rPr>
        <w:t>financial condition raises substantial doubt regarding our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231F20"/>
        </w:rPr>
        <w:t>Our consolidated financial statements have been prepared assuming that we will continue to operate as a going concern, which contemplates the realization of assets, and the satisfaction of liabilities and commitments in the ordinary course of business. Based on our current operating plans and excluding any contribution from future revenues or external financing, however, we believe that our existing cash and cash equivalents will not be sufficient to fund our operating expenses and capital expenditure requirements for more than one year from the issuance of the consolidated financial statements for the year ended December 31, 2025. As a result, we have determined that there is substantial doubt regarding our ability to continue as a going concern, and our independent registered public accounting firm has included in its audit opinion for the year ended December 31, 2025, an explanatory paragraph about such substantial doubt regarding our ability to continue as a going concern.</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color w:val="231F20"/>
        </w:rPr>
        <w:t>substantial doubt regarding our ability to continue as a going concern may adversely affect our stock price and our ability to raise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necessary to execute our current operating plans. If we are unable to obtain additional capital, we may not be able to continue our operations on the scope or scale as currently conducted, and that could have a material adverse effect on our business, results of operations, financial condition, and ability to operate as a going concern.</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and are highly dependent on the commercial success of our only authorized product, PEMGARDA, for the foreseeable future, until VYD2311 or any other product candidate is authorized or approved and successfully commercialized, if ever. We may not achieve or maintain profitability.</w:t>
      </w:r>
    </w:p>
    <w:p>
      <w:pPr>
        <w:spacing w:after="0" w:line="6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our inception, we have incurred significant losses, and we may continue to incur significant expenses and operating losses for the foreseeable future. Our net losses were $52.5 million and $169.9 million for the years ended December 31, 2025 and 2024, respectively. As of December 31, 2025, we had an accumulated deficit of $954.5 million. Since our inception, we have financed our operations primarily with net proceeds from several public and private offerings of our capital stock. After receiving EUA in March 2024, we have also funded our operations from sales of PEMGARDA, but have no other products authorized or approved for commercialization.</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may continue to incur significant expenses and operating losses. Our net losses may fluctuate significantly from quarter to quarter and year to year. Our expenses could increase substantially as we:</w:t>
      </w:r>
    </w:p>
    <w:p>
      <w:pPr>
        <w:spacing w:after="0" w:line="54" w:lineRule="exact"/>
        <w:rPr>
          <w:sz w:val="20"/>
          <w:szCs w:val="20"/>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 as well as advance development of our other product candidates, such as VBY329;</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 and prepare for its potential commercial launch, if approved;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 including our REVOLUTION clinical program for VYD2311;</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new indications or patient populations;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such as RSV and measles, including development and screening of additional antibodies;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regulatory authorizations or approvals and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validate our commercial-scale cGMP manufacturing processes, and manufacture material under cGMP at our contracted manufacturing facilities for clinical trials and potential commercial sales;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0" w:name="page41"/>
    <w:bookmarkEnd w:id="40"/>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ability to become and remain profitable is heavily dependent on our ability to develop and commercialize product candidates that generate significant revenue. This will require us to be successful in a range of challenging activities on a timeline that keeps pace with viral evolution, including completing preclinical testing and clinical trials of our product candidates, validating manufacturing processes, obtaining regulatory authorization or approval, and manufacturing, distributing, marketing, and selling any products for which we obtain regulatory authorization or approval, as well as discovering and developing additional product candidates. We will remain highly dependent on the commercial success of our only authorized product, PEMGARDA, for the foreseeable future, until VYD2311 or any other product candidate is authorized or approved and successfully commercialized, if ever.</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product candidate development, we are unable to accurately predict the timing or amount of expenses or when, or if, we will be able to achieve profitability. 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authorizations or approvals, diversify our offerings or continue our operations. A decline in the value of our company could also cause you to lose all or part of your investment.</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limited experience with commercializing products, which may make it difficult for an investor to evaluate the success of our business to date and to assess our future viability.</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We commenced operations in June 2020, and to date, we have received regulatory authorization for only one product candidate, PEMGARDA, which received an EUA from the FDA in March 2024 for pre-exposure prophylaxis of COVID-19 in certain immunocompromised patients. It is uncertain as to if or when we may be successful in expanding the authorized use of PEMGARDA, if ever. Our operations to date have been largely focused on organizing and staffing, building an intellectual property portfolio, business planning, conducting research and development, regulatory activities, establishing and executing arrangements for third-party manufacturing of our product candidates, commercializing PEMGARDA, and capital raising. Our recent focus has been and will continue to be supporting the commercialization of PEMGARDA, advancing VYD2311 as our next generation mAb candidate for COVID-19, and preparing for the potential commercial launch of VYD2311, if approved. Furthermore, while we continue to advance our BLA-enabling clinical program for VYD2311, it is uncertain as to if or when we may submit such BLA for VYD2311 or an application for regulatory authorization or approval for any other product candidate, and we may not be successful in receiving any such additional regulatory authorization or approval. Consequently, any predictions you make about our future success or viability may not be as accurate as they could be if we had a longer operating or commercial history. In addition, as a business with a limited operating history, we may encounter unforeseen expenses, difficulties, complications, delays and other known and unknown factors.</w:t>
      </w:r>
    </w:p>
    <w:p>
      <w:pPr>
        <w:spacing w:after="0" w:line="7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If we are unable to secure and access additional funding when needed, we could be forced to curtail our planned operations and the pursuit of our growth strategy.</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operations have consumed substantial amounts of cash since inception, and, although we received an EUA from the FDA for PEMGARDA in March 2024, we may continue to incur significant expenses and operating losses as we continue to advance VYD2311 as our next generation mAb candidate for COVID-19 and otherwise develop our product candidate pipeline. Aside from any revenue generated from sales of PEMGARDA, additional revenue, if any, will be derived from sales of products that may not be commercially available for a number of years, if at all. Furthermore, even if we obtain regulatory authorization to expand the authorized use of PEMGARDA or if we obtain regulatory approval of VYD2311 or regulatory authorization or approval for another product candidate that we develop or otherwise acquire, we may incur significant commercialization expenses related to product sales, marketing, distribution and manufacturing. Accordingly, until such time, if ever, as we can generate substantial revenue from PEMGARDA or sales of any future authorized or approved product, we expect to finance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spacing w:after="0" w:line="282" w:lineRule="auto"/>
        <w:rPr>
          <w:sz w:val="20"/>
          <w:szCs w:val="20"/>
          <w:color w:val="auto"/>
        </w:rPr>
      </w:pPr>
      <w:r>
        <w:rPr>
          <w:rFonts w:ascii="Times New Roman" w:cs="Times New Roman" w:eastAsia="Times New Roman" w:hAnsi="Times New Roman"/>
          <w:sz w:val="18"/>
          <w:szCs w:val="18"/>
          <w:color w:val="auto"/>
        </w:rPr>
        <w:t>our operations through a combination of equity offerings, government or private-party grants, debt financings or other capital sources, such as collaborations with other companies, strategic alliances or licensing arrangements.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$226.7 million. We plan to use our cash and cash equivalents to fund research and development, manufacturing supply and commercialization costs for our product candidates, the development of additional programs in our pipeline and for working capital and other general corporate purposes. The timing and amount of our funding requirements will depend on many factors, including:</w:t>
      </w:r>
    </w:p>
    <w:p>
      <w:pPr>
        <w:spacing w:after="0" w:line="68" w:lineRule="exact"/>
        <w:rPr>
          <w:sz w:val="20"/>
          <w:szCs w:val="20"/>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progress in the development of our product candidates, such as VYD2311 and VBY329;</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and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124"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We expect to require additional capital to achieve our business objectives. 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pursuant to which we may, at our option, offer and sell shares of our common stock from time to time through Cantor in transactions deemed to be “at the market offerings”, as defined in Rule 415 under the Securities Act of 1933. Funds additional to the proceeds we may raise under the Sales Agreement may not be available on a timely basis, on favorable terms or at all, and such funds, if raised, may not be sufficient to enable us to continue to implement our long-term business strategy. Any additional fundraising efforts may divert our management from their day-to-day activities, which may adversely affect our ability to develop and commercialize our product candidates. Further, our ability to raise additional capital may be adversely impacted by potential worsening global economic conditions, including tariff uncertainty, higher inflation rates, changes in interest rates and the recent disruptions to and volatility in the credit and financial markets in the U.S. and worldwide. If we are</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unable to secure additional funding when needed, we could be forced to curtail our planned operations and the pursuit of our growth strategy.</w:t>
      </w:r>
    </w:p>
    <w:p>
      <w:pPr>
        <w:spacing w:after="0" w:line="113"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sales of authorized or approved products, such as PEMGARDA, we expect to finance our operations through a combination of equity offerings, government or private-party grants, debt financings or other capital sources, such as collaborations with other companies, strategic alliances or licensing arrangements. Aside from our milestone-based Term Facility (as defined below), we do not currently have any other committed external source of funds. To the extent that we raise additional capital through the sale of equity, including pursuant to our existing Sales Agreement with Cantor, or convertible debt securities, your ownership interest will be diluted, and the terms of such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we raise additional funds through collaborations, strategic alliances or licensing arrangements with third parties, we may be required to relinquish valuable rights to our technologies, future revenue streams or product candidates, grant licenses on terms that may not be favorable to us or commit to future payment streams. If we are unable to raise additional funds when needed, we may be required to delay, limit, reduce or terminate our product development or commercialization efforts or grant rights to develop and market product candidates that we would otherwise prefer to develop and market ourselves.</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or other terms of our Loan Agreement, including as a result of events beyond our control, could result in a default under the Loan Agreement that could materially and adversely affect the ongoing viability of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(the “Closing Date”), we entered into that certain Loan and Security Agreement (the “Loan Agreement”) with Silicon Valley Bank, a division of First-Citizens Bank &amp; Trust Company, as lender (the “Lender”), that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(collectively, the “Term Loans”).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Term Loans (i) are due and payable on March 1, 2029 (the “Maturity Date”) and (ii)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Term Loans advanced under the Term Facility. The Loan Agreement provides for an unused term loan commitment fee equal to 1.00% of the Term Facility upon the earliest to occur of (1) July 1, 2027, (2) the occurrence of an Event of Default and (3) the termination of the Loan Agreement; provided, that such fee will be waived by the Lender in the event that we have requested and the Lender has funded any loans under the Term Facility prior to such date.</w:t>
      </w:r>
    </w:p>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obligations under the Loan Agreement are secured by a pledge of substantially all of our assets, excluding intellectual property. Certain of our future subsidiaries, if any, will be required to become co-borrowers under the Loan Agreement or guarantee our obligations under the Loan Agreement. In addition, such subsidiaries will be required to pledge substantially all of their assets, excluding intellectual property, to secure our obligations under the Loan Agreement. None of our subsidiaries in existence as of the Closing Date were required to be co-borrowers or guarantors or to so pledge their assets.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Loan Agreement contains affirmative and negative covenants, including limitations on our ability and our subsidiaries’ abilities, among other things, to incur additional debt, grant or permit additional liens, make investments and acquisitions, merge or consolidate with others, dispose of assets, pay dividends and distributions, enter into affiliate transactions and change our line of business, in each case, subject to certain exceptions. In addition, the Loan Agreement contains quarterly financial covenants requiring us to maintain (a) commencing at the end of the quarter following the advance of any loans under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the Term Facility, a certain amount of minimum net product revenue and (b) commencing with the quarter ending December 31, 2025, either (i) a certain amount of minimum EBITDA or (ii) minimum unrestricted cash and cash equivalents in an amount equal to or greater than the greater of (x) an amount equal to the sum of our six-month Cash Burn (as defined in the Loan Agreement) and the aggregate amount of loans outstanding under the Term Facility and (y) the aggregate amount of loans outstanding under the Term Facility multiplied by two (the “Minimum Cash Threshold”). In addition, if we no longer maintain active sales of a product in the U.S., we will be required to maintain the Minimum Cash Threshold at all times.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Loan Agreement also includes Events of Default, in certain cases subject to customary periods to cure, following which the Lender may accelerate all amounts outstanding under the Term Facility and stop advancing money or extending credit. For example, the Lender may elect to accelerate the repayment of all unpaid principal of the Term Loans, accrued interest and other amounts owed under the Loan Agreement upon the occurrence of certain Events of Default, including, among other things:</w:t>
      </w:r>
    </w:p>
    <w:p>
      <w:pPr>
        <w:spacing w:after="0" w:line="72" w:lineRule="exact"/>
        <w:rPr>
          <w:sz w:val="20"/>
          <w:szCs w:val="20"/>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in a payment obligation under the Loan Agreement;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breach of the restrictive covenants or other terms of the Loan Agreement;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a material adverse change in our business operations or condition (financial or otherwise);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impairment in the perfection or priority of the Lender’s lien in the collateral specified in the Loan Agreement;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judgment defaults and cross-defaults to other debt agreements;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specified change of control transaction;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specified insolvency and bankruptcy-related events.</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we draw down any of the Term Loans under the Term Facility, our assets or cash flow may not be sufficient to fully repay our obligations under the Loan Agreement if the obligations thereunder are accelerated upon any Events of Default. Further, if we are unable to repay, refinance or restructure our obligations under the Loan Agreement, the Lender could proceed to protect and enforce their rights under the Loan Agreement by exercising such remedies (including foreclosure on the assets securing our obligations under the Loan Agreement) as are available to the Lender and in respect thereof under applicable law, either by suit in equity or by action at law, or both, whether for specific performance of any covenant or other agreement contained in the Loan Agreement or in aid of the exercise of any power granted in the Loan Agreement. The foregoing would materially and adversely affect the ongoing viability of our business.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satisfy certain conditions in the Loan Agreement, we will be unable to draw down the amounts of the term loan facility.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our Loan Agreement, we must satisfy certain conditions to be eligible to draw down the Term Loans.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Term A Loans shall be available to be drawn from and after August 15, 2025 through December 31, 2026 upon compliance with certain financial covenants, provided that we satisfy certain conditions described in the Loan Agreement. The Term B Loans shall be available to be drawn during the period commencing on the date of the achievement of certain net product revenue milestones and ending on June 30, 2027, provided that we satisfy certain conditions described in the Loan Agreement. The Term C Loans shall be available to be drawn during the period commencing on the date of the achievement of certain net product revenue milestones and ending on June 30, 2027, provided that we satisfy certain conditions described in the Loan Agreement. As of December 31, 2025, we had not satisfied certain financial covenants and conditions, including the net product revenue milestone required to be eligible to access proceeds from the Term Facility. Accordingly, as of December 31, 2025, no amounts have been drawn down under the Loan Agreement.</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If we are unable to satisfy those conditions, we would not be able to draw down the respective Term Loans and may not be able to obtain alternative financing on commercially reasonable terms or at all.</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Loan Agreement contains restrictions that limit our flexibility in operating our business.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Loan Agreement contains various covenants that limit our ability to engage in specified types of transactions without the prior consent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including our ability to, among other things:</w:t>
      </w:r>
    </w:p>
    <w:p>
      <w:pPr>
        <w:spacing w:after="0" w:line="99" w:lineRule="exact"/>
        <w:rPr>
          <w:sz w:val="20"/>
          <w:szCs w:val="20"/>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 sell, lease, transfer, assign, or otherwise dispose of our assets;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any business other than the businesses currently engaged in by us or reasonably related thereto;</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liquidate or dissolve;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all or substantially all of the stock, partnership, membership, or other ownership interest or other equity securities or property of another entity;</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incur or assume additional indebtedness;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encumber or permit liens on certain of our assets;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restricted payments, including paying dividends on, repurchasing or making distributions with respect to our common stock, subject to certain exceptions;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specified investments;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transactions with our affiliates.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covenants in our Loan Agreement may limit our ability to take certain actions that may be in our long-term best interests. In the event that we breach one or more covenants, the Lender may choose to declare an Event of Default and require that we immediately repay any amounts outstanding under the Loan Agreement, plus fees, terminate the Lender’s commitments to fund any undrawn Term Loans and foreclose on the collateral granted to them to secure the obligations under the Loan Agreement. Such repayment could have a material adverse effect on our business, operating results and financial condition.</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service our indebtedness, as applicable, we will require a significant amount of cash and our ability to generate cash depends on many factors beyond our control.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ability to make cash payments on our indebtedness, as applicable, will depend on our ability to generate significant operating cash flow in the future. This ability is, to a significant extent, subject to general economic, financial, competitive, legislative, regulatory and other factors, that will be beyond our control. In addition, our business may not generate sufficient cash flow from operations to enable us to pay our indebtedness or to fund our other liquidity needs. In any such circumstance, we may need to refinance all or a portion of our indebtedness, on or before maturity. We may not be able to refinance any indebtedness on commercially reasonable terms or at all. If we cannot service our indebtedness, as applicable, we may have to take actions such as selling assets, seeking additional equity or reducing or delaying capital expenditures, strategic acquisitions and investments. Any such action, if necessary, may not be effected on commercially reasonable terms or at all. The instruments governing our indebtedness may restrict our ability to sell assets and our use of the proceeds from such sales.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Development of our Product Candidates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Newly emerging and future SARS-CoV-2 variants could reduce the activity and effectiveness of mAbs for potential prevention of or treatment for symptomatic COVID-19, which may significantly and adversely affect our ability to complete our clinical trials and to obtain and maintain authorization or approval of and commercialize our product candidates.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Our primary focus since inception has been the development of antibodies against COVID-19. Multiple variants of the virus that causes COVID-19 have been documented in the U.S. and globally, and newly emerging and future SARS-CoV-2 variants could reduce the activity and effectiveness of mAbs for potential prevention of or treatment for symptomatic COVID-19, which may significantly and adversely affect our ability to complete our clinical trials and to obtain and maintain authorization or approval of and commercialize our product candidates. For example, although preclinical studies showed that our investigational mAb adintrevimab had the potential to broadly neutralize SARS-CoV-2 and previously predominantly circulating variants, including Alpha, Beta, Delta, and Gamma,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to evaluate neutralizing activity of adintrevimab against the Omicron variant and its sublineages generated data showing reduced neutralizing activity of adintrevimab against the Omicron BA.1 and BA.1.1 sublineages compared to a reference strain and a lack of neutralizing activity against Omicron BA.2. As a result, we paused enrollment in adintrevimab’s Phase 2/3 trials in January 2022, which were subsequently closed, and we paused submission of an EUA request.</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PEMGARDA, which received an EUA from the FDA in March 2024, is an engineered version of adintrevimab, which we modified to improve binding to the Omicron variant and its sublineages. PEMGARDA is authorized for use only when the combined national frequency of variants with substantially reduced susceptibility to PEMGARDA is less than or equal to 90%. To date, PEMGARDA has demonstrated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major SARS-CoV-2 variants, including JN.1, KP.3.1.1, XEC, LP.8.1 and XFG. However, newly emerging and future SARS-CoV-2 variants could reduce the neutralizing activity and effectiveness of PEMGARDA. If this were to occur, the FDA may revise or revoke the EUA for PEMGARDA, which would adversely affect our commercial prospects, and our ability to generate revenues from PEMGARDA may be limited or lost.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As the SARS-CoV-2 virus evolves over time, we anticipate leveraging our integrated technology platform to periodically introduce new mAb candidates. Our platform is designed to produce new mAb candidates that provide broad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against past and current VOCs and their sublineages and that exert continuous pharmaceutical activity in the face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of viral evolution. For example, in January 2024, we nominated VYD2311, a mAb optimized for neutralization potency against SARS-CoV-2 lineages such as BA.2.86 and JN.1, as a drug candidate. However, new SARS-CoV-2 variants could be less susceptible to such modifications and their mechanisms of action, or the results shown in preclinical studies may not be replicated in clinical trials. Additionally, it is possible that even if a product candidate showed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neutralizing activity against the predominant SARS-CoV-2 variant at the initiation of a clinical trial, the predominant circulating variant may evolve and neutralizing activity of the candidate become reduced or negligible during the course of a clinical trial or at the time of our planned submission for regulatory authorization or approval. Further, we may not be able to address reductions in neutralization potency with adjustments to the dose or dosing frequency, and our current and future product candidates may not be durable enough to increase the probability of providing a longer period of protection than other antibody solutions or be high-functioning and long-lasting with a high barrier to viral escape. These risks may significantly and adversely affect our ability to complete our clinical trials and obtain and maintain approval of and commercialize VYD2311 or any other product candidates. In addition, if our planned dosing of a product candidate were to be increased in response to reduction in neutralizing activity against dominant circulating SARS-CoV-2 variants or for other reasons, it could impact drug supply and pricing, which could adversely affect our commercial prospects. Even if we obtain authorization or approval, such authorization or approval may be revised or revoked based on changes in circulating variants that reduce the neutralizing activity or effectiveness of our product candidates.</w:t>
      </w:r>
    </w:p>
    <w:p>
      <w:pPr>
        <w:spacing w:after="0" w:line="7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To date, we have received regulatory authorization for only one product candidate, PEMGARDA. If we are unable to successfully develop, receive and maintain an EUA or regulatory approval for and commercialize our product candidates for the indications we seek, or successfully develop any other product candidates, or experience significant delays in doing so, our business will be substantially harmed.</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received regulatory authorization for only one product candidate, PEMGARDA, which has not been approved, but has been authorized for emergency use by the FDA under an EUA only for pre-exposure prophylaxis of COVID-19 in certain adults and adolescent individuals (12 years of age and older weighing at least 40 kg). We currently have no other products approved or authorized for sale. In January 2024, we nominated VYD2311, a next generation mAb candidate for COVID-19, as a drug candidate, and in October 2025, we announced that the FDA cleared our IND application for VYD2311 and provided feedback to advance our REVOLUTION clinical program, which is our development program for VYD2311 comprising two clinical trials, DECLARATION and LIBERTY. In December 2025, we initiated DECLARATION, and in February 2026, we announced alignment with the FDA on LIBERTY, each as further described in Part I, Item 1 “Business” of this Annual Report on Form 10-K. However, we cannot be certain of the current or future development, regulatory or commercialization timelines of VYD2311. Our ability to generate revenue from VYD2311 or any of our other product candidates will depend heavily on successfully completing development, obtaining regulatory authorization or approval, obtaining manufacturing supply, capacity and expertise, and eventually commercializing such product candidates.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success of PEMGARDA, VYD2311 or any other product candidates that we develop or otherwise may acquire will depend on many factors, including:</w:t>
      </w:r>
    </w:p>
    <w:p>
      <w:pPr>
        <w:spacing w:after="0" w:line="54" w:lineRule="exact"/>
        <w:rPr>
          <w:sz w:val="20"/>
          <w:szCs w:val="20"/>
          <w:color w:val="auto"/>
        </w:rPr>
      </w:pPr>
    </w:p>
    <w:p>
      <w:pPr>
        <w:jc w:val="both"/>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epitopes targeted by PEMGARDA, VYD2311 or any other COVID-19 mAb candidates remain structurally intact, and whether any such product candidates are able to demonstrate and sustain neutralizing activity against new or emerging SARS-CoV-2 variants or whether such SARS-CoV-2 variants reduce the neutralizing activity and effectiveness of such product candidates;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need for therapies for the prevention and treatment of COVID-19, including as a result of the development of COVID-19 into an endemic disease, and the existence of any other available therapies that effectively prevent or treat COVID-19 in the populations targeted by our product candidates;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our discovery, nonclinical, and clinical development activities;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nonclinical and clinical programs we decide to pursue;</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work with the FDA or other regulatory authorities to establish streamlined development pathways that would allow us to efficiently periodically introduce new mAb candidates targeting SARS-CoV-2, including willingness of regulators to utilize a correlate of protection (surrogate of clinical efficacy) to understand and quantify the relationship between COVID-19 mAbs and estimated clinical protection for related mAbs derived from the same platform without requiring clinical assessment of every individual SARS-CoV-2 variant;</w:t>
      </w:r>
    </w:p>
    <w:p>
      <w:pPr>
        <w:spacing w:after="0" w:line="75"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align with the FDA or other regulatory authorities as to the design or implementation of our clinical trials, and our eligibility for expedited regulatory review and approval approaches that we may pursue for our product candidates;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6" w:name="page47"/>
    <w:bookmarkEnd w:id="46"/>
    <w:p>
      <w:pPr>
        <w:ind w:left="1140" w:right="2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align with the FDA or other regulatory authorities on the data required to support the regulatory authorization or approvals that we seek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financial and other resources to complete the necessary nonclinical studies and clinical trials, manufacture our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for clinical and commercial supply of our product candidates, and to successfully develop, obtain regulatory authorization or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discovery and development of any additional product candidates we identify in-house or acquire through collaborations;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and the scope and duration of any emergency use authorization received, such as the EUA for PEMGARDA;</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expanding sales, marketing and distribution capabilities and commercializing products, if authorized or approved, whether alone or in collaboration with others;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secure and maintain required state licenses for distribution of our products, if authorized or approved, or other distribution disruptions;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benefits and use of our products, including method of administration, if authorized or approved, by patients, the medical community and third-party payors, for their authorized or approved indications;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adverse events experienced with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perceived advantages, cost, safety and efficacy of alternative therapies for any product candidate that we develop;</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third-party coverage and adequate reimbursement for our product candidates, if authorized or approved, and the extent to which patients are willing to pay out-of-pocket for such products, in the absence of such coverage or reimbursement;</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cGCP, cGLP, and cGMP, and to comply effectively with other rules, regulations and procedures applicable to the development and sale of pharmaceutical products;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 continued acceptable safety, tolerability and efficacy profile of products following any authorization or approval;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not successful with respect to one or more of these factors in a timely manner or at all, we could experience significant delays or an inability to successfully commercialize PEMGARDA or any other product candidates for which we receive regulatory authorization or approval, which would substantially harm our business. If we do not maintain regulatory authorization for PEMGARDA or receive and maintain regulatory authorization or approval for VYD2311 or any other product candidates we develop or otherwise may acquire, we may not be able to continue our operations.</w:t>
      </w:r>
    </w:p>
    <w:p>
      <w:pPr>
        <w:spacing w:after="0" w:line="68"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our COVID-19 product candidates represent novel approaches to the prevention and/or treatment of a relatively new disease, there are many uncertainties regarding the development, market acceptance, third-party</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reimbursement coverage and commercial potential of our COVID-19 product candidates. We may not be successful in aligning with regulators on an expedited and replicable pathway to SARS-CoV-2 mAb authorization or approval.</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COVID-19 is a relatively new disease, and the prevention and treatment of this disease is evolving. Another party may be successful in producing a more efficacious prophylaxis or treatment for COVID-19, which may make it more difficult for us to obtain funding or lead to decreased demand for our product candidates. Other small and large companies may be developing therapies for the prevention and/or treatment of COVID-19, including antibodies, vaccines, antivirals and other products. Some of these are being marketed and others are further along in the development and commercialization process than we are and several of these companies have access to larger pools of capital, including government funding, and broader infrastructure that may make them more successful at developing, manufacturing or commercializing their products for the prevention and/or treatment of COVID-19. The success or failure of other companies, or perceived success or failure, may impact our ability to obtain future funding or to successfully commercialize our product candidates for COVID-19 prevention and/or treatment.</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As of the date of this report, no mAb has been approved in the U.S. for prevention (pre- or post-exposure) or treatment of COVID-19. Other than the EUA for PEMGARDA issued by the FDA in March 2024, the FDA previously issued an EUA for tixagevimab/cilgavimab for pre-exposure prophylaxis of COVID-19, in addition to EUAs for casirivimab/imdevimab and bamlanivimab/etesevimab for post-exposure prophylaxis of COVID-19 in certain individuals. In addition, four mAb products, casirivimab/imdevimab, bamlanivimab/etesevimab, sotrovimab, and bebtelovimab received an EUA from the FDA for the treatment of COVID-19 in patients at high risk of disease progression. However, the clinical utility of these products has varied over time due to the emergence of SARS-CoV-2 variants demonstrating partial or full resistance to neutralization and at this time none of these products are authorized for the treatment of COVID-19 and, other than PEMGARDA, none of these products are authorized for prevention of COVID-19 in the U.S., due to loss of activity as new variants emerged.</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the use of mAbs is a relatively new and expanding area of novel therapeutic interventions, there are many uncertainties related to development, marketing, reimbursement and the commercial potential for our product candidates. For example, the development pathways for our COVID-19 mAb candidates have evolved over time. In pursuing, and eventually obtaining, an EUA for PEMGARDA (pemivibart) in the U.S., we aligned with the FDA on a primary efficacy analysis for our CANOPY Phase 3 pivotal clinical trial that used a correlate of protection (surrogate of clinical efficacy) in an immunobridging approach comparing data obtained in the CANOPY clinical trial to certain historical data from our previous Phase 2/3 clinical trial of adintrevimab for the prevention of COVID-19 (EVADE). Based on FDA feedback, the use of a correlate of protection in an immunobridging approach to a pivotal EUA-directed clinical trial may be a reasonable approach for a new mAb candidate when clinical trial data from a “prototype” mAb is available and the new mAb candidate satisfies certain criteria. With respect to VYD2311, our next-generation mAb candidate for COVID-19, rather than pursuing an EUA in the U.S., we aligned with the FDA on a compact and, therefore, rapid pathway to potential BLA approval.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and the FDA subsequently cleared our IND application and provided feedback to advance our REVOLUTION clinical program for VYD2311.</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continue to engage with the FDA with the aim of establishing expedited and replicable pathways for the authorization or approval of SARS-CoV-2 mAbs. We are leveraging and applying our experience with adintrevimab, which demonstrated clinically meaningful results and a robust safety package, and PEMGARDA to new therapeutic candidates, including VYD231. We seek to streamline nonclinical toxicology studies where possible, with the intention of reducing dependence on animal studies, and to leverage data to enable the application of surrogate endpoints in COVID development programs. However, there can be no assurance of the outcome of these discussions. In addition, the FDA or other comparable foreign regulatory authorities may take longer than usual to come to a decision on any request for authorization or approval that we submit and may ultimately determine that there is insufficient data, information or experience with our product candidates to support an authorization or approval decision. For example, in July 2024, we submitted a request to the FDA to expand the existing EUA for PEMGARDA to cover treatment of mild-to-moderate COVID-19 in certain immunocompromised patients, and thereafter we provided the FDA with updates as the SARS-CoV-2 virus evolved and we generated data for new variants as part of our ongoing industrial virology effort. The EUA process in the U.S. does not rely on a statutory timeline such as the timelines embedded into PDUFA-based regulatory actions such as a BLA approval process, and the FDA has discretion with respect to EUAs in making its determination about whether, based on the totality of scientific evidence available, the known and potential benefits of a product candidate outweigh the known and potential risks. In February 2025, the FDA declined our EUA amendment request.</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FDA or other comparable foreign regulatory authorities may also require that we conduct additional post-marketing studies or implement risk management programs, such as REMS, until more experience with our product candidates is obtained. Finally, after increased usage, we may find that our product candidates do not have the intended effect or have unanticipated side effects, potentially jeopardizing initial or continuing regulatory authorization or approval and commercial prospects.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8" w:name="page49"/>
    <w:bookmarkEnd w:id="48"/>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success of our business depends largely upon our ability to develop and periodically introduce new mAbs that can broadly neutralize SARS-CoV-2. Beyond PEMGARDA, which is currently authorized only for pre-exposure prophylaxis of COVID-19 in certain immunocompromised patients, we may fail to deliver future mAbs that effectively prevent or treat symptomatic COVID-19. Even if we are able to identify and develop such mAbs, such as VYD2311, we cannot ensure that such product candidates will achieve regulatory authorization or approval, or achieve commercial success, even if authorized or approved.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uncover any previously unknown risks related to our mAbs, or if we experience unanticipated expenses, problems or delays in developing our product candidates, we may be unable to continuously discover and engineer new mAb candidates that can be leveraged to exert continuous pharmaceutical activity in the face of viral evolution. Further, competitors who are developing products with similar technology may experience problems with their products that could identify problems that would potentially harm our business.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no assurance that the approaches offered by our product candidates will gain broad acceptance among healthcare practitioners or patients or that governmental agencies or third-party medical insurers will be willing to provide reimbursement coverage for our product candidates. Since our product candidates represent novel approaches to treating various conditions, it may be difficult, in any event, to accurately estimate the potential revenues from these product candidates. Accordingly, we may spend significant capital trying to obtain regulatory authorization or approval for product candidates that have an uncertain commercial market. The market for any products that we successfully develop will also depend on the product profile, including the route of administration, and cost of the product. If we do not successfully develop and commercialize products based upon our approach or find suitable and economical sources for materials used in the production of our products, we will not become profitable, which would materially and adversely affect the value of our common stock.</w:t>
      </w:r>
    </w:p>
    <w:p>
      <w:pPr>
        <w:spacing w:after="0" w:line="8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Preclinical studies and clinical trials are expensive, time-consuming, difficult to design and implement, and involve an uncertain outcome. Further, we may encounter substantial delays in completing the development of our product candidates. If we are not able to obtain and maintain required regulatory authorizations or approvals, we will not be able to successfully commercialize our product candidates, and our ability to generate product revenue will be adversely affected.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To date, we have received regulatory authorization for only one product candidate, PEMGARDA, which has not been approved, but has been authorized for emergency use by the FDA under an EUA only for pre-exposure prophylaxis of COVID-19 in certain immunocompromised patients. VYD2311 is in Phase 3 clinical development. All of our other product candidates, other than adintrevimab, are in preclinical development and their risk of failure is high. The clinical trials and manufacturing of our product candidates are, and the manufacturing and marketing of our products, if authorized or approved, will be, subject to extensive and rigorous review and regulation by numerous government authorities in the U.S. and in other countries where we may test and market our product candidates. Before obtaining regulatory authorization to commercialize any of our product candidates, we must demonstrate through complex and expensive preclinical testing and clinical trials certain efficacy and safety requirements of the applicable regulatory agencies. For regulatory approval, we must demonstrate that our product candidates are both safe and effective for use in each target indication, typically requiring lengthy, large, well-controlled clinical studies. In particular, because our product candidates are subject to regulation as biological products, we will need to demonstrate that they are safe, pure and potent for use in their target indications. Each product candidate must demonstrate an adequate risk versus benefit profile in its intended patient population and for its intended use.</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and depends upon numerous factors, including the substantial discretion of the regulatory authorities. In addition, authorization or approval policies, regulations or the type and amount of clinical data necessary to gain authorization or approval may change during the course of a product candidate’s clinical development and may vary among jurisdictions. We cannot guarantee that any clinical trials will be conducted as planned or completed on schedule, if at all. Failure can occur at any time during the clinical trial process, and we could encounter problems that cause us to abandon or repeat clinical trials. Even if our future clinical trials are completed as planned, we cannot be certain that their results will support the safety and effectiveness of our product candidates for their targeted indications or support continued clinical development of such product candidates. Our current or future clinical trial results may not be successful.</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even if such trials are successfully completed, we cannot guarantee that the FDA or foreign regulatory authorities will interpret the results as we do, and more trials could be required before we submit our product candidates for authorization or approval. Moreover, results acceptable to support authorization or approval in one jurisdiction may be deemed inadequate by another regulatory authority to support authorization or approval in that other jurisdiction. To the extent that the results of our trials are not satisfactory to the FDA or foreign regulatory authorities for support of an authorization or approval, we may be required to expend significant resources, which may not be available to us, to conduct additional preclinical studies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trials for our product candidates either prior to or post-authorization or approval, or they may object to elements of our clinical development program, requiring their alteration.</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Of the large number of products in development, only a small percentage successfully complete the FDA’s or comparable foreign regulatory authorities’ approval or authorization processes and are commercialized. Even if we eventually complete clinical testing and receive authorization for emergency use or approval of a BLA or foreign marketing application for our product candidates, the FDA or the comparable foreign regulatory authorities may grant approval or other marketing authorization contingent on the performance of costly additional clinical trials, including post-market clinical trials. The FDA or the comparable foreign regulatory authorities also may authorize or approve for marketing a product candidate for a more limited indication or patient population than we originally request, and the FDA or comparable foreign regulatory authorities may not approve or authorize the labeling that we believe is necessary or desirable for the successful commercialization of a product candidate. Any delay in obtaining, or inability to obtain, applicable regulatory authorization or approval would delay or prevent commercialization of that product candidate and adversely impact our business and prospects.</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and may experience delays in beginning or conducting clinical trials or numerous unforeseen events before, during or as a result of clinical trials that could delay or prevent our ability to complete clinical trials, receive regulatory authorization or approval or commercialize our product candidates.</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and may again in the future experience delays in conducting clinical trials, and we do not know whether our clinical trials will begin on time, need to be redesigned, recruit and enroll patients on time or be completed on schedule, or at all. We may experience numerous unforeseen events before, during or after the conduct of our clinical trials that could delay or prevent our ability to complete such trials or receive regulatory authorization or approval for or commercialize our product candidates, or that could significantly increase the cost of such trials, including:</w:t>
      </w:r>
    </w:p>
    <w:p>
      <w:pPr>
        <w:spacing w:after="0" w:line="70"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inability to generate sufficient preclinical, toxicology or other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data to support the initiation of clinical trials;</w:t>
      </w:r>
    </w:p>
    <w:p>
      <w:pPr>
        <w:spacing w:after="0" w:line="1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sufficiently developing, characterizing or controlling a manufacturing process suitable for advanced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developing suitable assays for screening patients for eligibility for trials with respect to certain product candidates;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the FDA or other regulatory authorities as to the design or implementation of our clinical trials, including the use of a correlate of protection (surrogate of clinical efficacy);</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regulatory authorization to commence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reaching an agreement on acceptable terms with clinical trial sites or prospective CROs, the terms of which can be subject to extensive negotiation and may vary significantly among different clinical trial sites;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IRB approval or Ethics Committees opinions at each trial site;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recruiting suitable patients to participate in a clinical trial;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having patients complete a clinical trial or return for post-treatment follow-up;</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findings from inspections of clinical trial sites or operations by applicable regulatory authorities, or the imposition of a clinical hold;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CROs or other third parties deviating from trial protocol or dropping out of a trial, including as a result of changing standards of care or the ineligibility of a site to participate;</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perform in accordance with the applicable regulatory requirements, including the FDA’s regulations and cGCP requirements, or applicable regulatory requirements in other countries;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addressing patient safety concerns that arise during the course of a trial, including the occurrence of adverse events associated with the product candidate that are viewed to outweigh its potential benefits;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SARS-CoV-2 variants during the course of a clinical trial may adversely impact the neutralizing activity of our product candidates and our ability to complete the trial if the potential benefits are no longer determined to outweigh the potential risks of any such product candidate as a result of reduced neutralizing activity against circulating SARS-CoV-2 variants;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recruit and/or successfully contract with a sufficient number of clinical trial sites;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0" w:name="page51"/>
    <w:bookmarkEnd w:id="50"/>
    <w:p>
      <w:pPr>
        <w:ind w:left="503"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manufacturing sufficient quantities of product candidate for use in clinical trials, including as a result of supply chain challenges or otherwise;</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suspensions or terminations by IRBs or Ethics Committees at the institutions where such trials are being conducted, by the independent Data Monitoring Committee for such trial or by the FDA or other regulatory authorities due to a number of factors, including those described above;</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or guidance, or feedback from regulatory authorities that requires us to modify the design or conduct of our clinical trials;</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and we may decide, or regulators may require us, to conduct additional clinical trials or abandon development programs;</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trials of our product candidates may be larger than we anticipate, especially if regulatory bodies require the completion of non-inferiority or superiority trials or the sample size needs to be increased based on the outcome rates observed during early trial conduct, enrollment in these clinical trials may be slower than we anticipate, or participants may drop out of these clinical trials at a higher rate than we anticipate;</w:t>
      </w:r>
    </w:p>
    <w:p>
      <w:pPr>
        <w:spacing w:after="0" w:line="71"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enrollment in clinical trials may be impacted by the emergence of variants and rate of infection prevalence in the relevant communities, which can change once a trial is initiated;</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SARS-CoV-2 variants during the course of a clinical trial may impact the prevalent variant of infection for patients at one or more sites and adversely impact enrollment potential;</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screen failure rate for clinical trials of our product candidates may be higher than we anticipate, requiring us to screen larger numbers of patients than originally planned;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or desire to modify a trial protocol;</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safety issues;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emergence of dosing issues;</w:t>
      </w:r>
    </w:p>
    <w:p>
      <w:pPr>
        <w:spacing w:after="0" w:line="117"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effectiveness data during clinical trials, including as a result of lower than anticipated viral attack rates in a study population that may inhibit the clinical trial from producing meaningful, statistically valid results, or require expanding the size of the clinical trial, which may be time-consuming and costly;</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standard of care of the indication being studied;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third-party contractors may fail to comply with regulatory requirements or meet their contractual obligations to us in a timely manner, or at all;</w:t>
      </w:r>
    </w:p>
    <w:p>
      <w:pPr>
        <w:spacing w:after="0" w:line="53" w:lineRule="exact"/>
        <w:rPr>
          <w:rFonts w:ascii="Times New Roman" w:cs="Times New Roman" w:eastAsia="Times New Roman" w:hAnsi="Times New Roman"/>
          <w:sz w:val="18"/>
          <w:szCs w:val="18"/>
          <w:color w:val="auto"/>
        </w:rPr>
      </w:pPr>
    </w:p>
    <w:p>
      <w:pPr>
        <w:jc w:val="both"/>
        <w:ind w:left="503" w:hanging="503"/>
        <w:spacing w:after="0" w:line="266"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investigators might have to suspend or terminate clinical trials of our product candidates for various reasons, including non-compliance with regulatory requirements, a finding that our product candidates have undesirable side effects or other unexpected characteristics, or a finding that the participants are being exposed to unacceptable health risks;</w:t>
      </w:r>
    </w:p>
    <w:p>
      <w:pPr>
        <w:spacing w:after="0" w:line="67" w:lineRule="exact"/>
        <w:rPr>
          <w:rFonts w:ascii="Times New Roman" w:cs="Times New Roman" w:eastAsia="Times New Roman" w:hAnsi="Times New Roman"/>
          <w:sz w:val="18"/>
          <w:szCs w:val="18"/>
          <w:color w:val="auto"/>
        </w:rPr>
      </w:pPr>
    </w:p>
    <w:p>
      <w:pPr>
        <w:jc w:val="both"/>
        <w:ind w:left="503" w:hanging="503"/>
        <w:spacing w:after="0" w:line="261"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conducted our STAMP trial (evaluating adintrevimab for the treatment of COVID-19) at sites outside of the U.S.; in the future, the applicable foreign regulatory authorities may determine that a placebo-controlled trial would expose patients to unacceptable health risks (because alternative effective therapies are or may become available in these regions during the conduct of the trial), which could delay enrollment of a trial and the authorization or approval of our products;</w:t>
      </w:r>
    </w:p>
    <w:p>
      <w:pPr>
        <w:spacing w:after="0" w:line="7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and we may not have funds to cover the costs;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 or may not be able to be procured or distributed as needed;</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guidance or requirements for authorizing or approving our product candidates, or such guidance or requirements may not be as we anticipate; and</w:t>
      </w:r>
    </w:p>
    <w:p>
      <w:pPr>
        <w:spacing w:after="0" w:line="53"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collaborators that conduct clinical trials may face any of the above issues and may conduct clinical trials in ways they view as advantageous to them but that are suboptimal for us.</w:t>
      </w:r>
    </w:p>
    <w:p>
      <w:pPr>
        <w:spacing w:after="0" w:line="162"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201" w:right="339" w:bottom="1440" w:gutter="0" w:footer="0" w:header="0"/>
        </w:sectPr>
      </w:pPr>
    </w:p>
    <w:bookmarkStart w:id="51" w:name="page52"/>
    <w:bookmarkEnd w:id="5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and timely complete clinical trials of our product candidates or other testing, if the results of these trials or tests are not positive or are only modestly positive or if there are safety concerns, we may:</w:t>
      </w:r>
    </w:p>
    <w:p>
      <w:pPr>
        <w:spacing w:after="0" w:line="68"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unplanned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or unsuccessful in obtaining authorization or approval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authorization or approval for indications or patient populations that are not as broad as intended or desired;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authorization or approval with labeling that includes significant use or distribution restrictions or safety warnings, including boxed warnings (such as for PEMGARDA) or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changes in the way the product is administered; 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regulatory authorities withdraw or suspend their authorization or approval of the product or impose restrictions on its distribution after obtaining authorization or approval.</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the FDA, other regulatory authorities outside the U.S. or an IRB or Ethics Committees may suspend a clinical trial at any time for various reasons, including if it appears that the clinical trial is exposing participants to unacceptable health risks, including, for example, because the predominant SARS-CoV-2 variant in the country or clinical trial site is not susceptible to our product candidate, or if the FDA or other regulatory authorities outside the U.S. find deficiencies in our IND or similar application outside the U.S. or the conduct of the trial. If we experience delays in the completion of, or the termination of, any clinical trial of any of our product candidates, the commercial prospects of such product candidate will be harmed, and our ability to generate product revenues from such product candidate will be delayed or rendered impossible. In addition, any delays in completing our clinical trials will increase our costs, slow down our product candidate development and authorization or approval process, and jeopardize our ability to commence product sales and generate revenues.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has not been approved, but has been authorized for emergency use by the FDA under an EUA. All of our product candidates will require extensive clinical testing before we would be in a position to submit a BLA to the FDA or MAA to the EMA or to other regulatory authorities for regulatory approval. We cannot predict with any certainty if or when we might complete the clinical development for our product candidates and submit a BLA or MAA for regulatory approval of any of our product candidates, if at all, or whether any such BLA or MAA will be approved. We may also seek feedback from the FDA, EMA or other regulatory authorities on our clinical development program, and the FDA, EMA or other regulatory authorities may not provide such feedback on a timely basis, or such feedback may not be favorable, which could further delay our development programs.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cannot predict with any certainty whether or when we might complete a given clinical trial, including those that are part of our REVOLUTION clinical program for VYD2311. If we experience delays in the commencement or completion of our clinical trials, or if we terminate a clinical trial prior to completion, the commercial prospects of our product candidates could be harmed, and our ability to generate revenues from our product candidates may be delayed or lost. In addition, any delays in our clinical trials could increase our costs, slow down the development and authorization or approval process and jeopardize our ability to commence product sales and generate revenues. Any of these occurrences may harm our business, financial condition and results of operations. In addition, many of the factors that cause, or lead to, a delay in the commencement or completion of clinical trials may also ultimately lead to the denial of regulatory authorization or approval of our product candidates.</w:t>
      </w:r>
    </w:p>
    <w:p>
      <w:pPr>
        <w:spacing w:after="0" w:line="77"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health emergency in the U.S. declared under Section 564 of the FDCA permitting the FDA to authorize COVID-19 drugs and biologics for emergency use, such as the EUA for PEMGARDA, will continue to be in place for an extended period of time. If the EUA for PEMGARDA is terminated or revoked, we will be unable to sell PEMGARDA and instead would need to pursue traditional regulatory approval processes, which are lengthy, time consuming and inherently unpredictable, and which we may determine not to pursue. If we are not able to maintain regulatory authorization for PEMGARDA, our business will be substantially harmed.</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PEMGARDA is our first and only product candidate that has received regulatory authorization. PEMGARDA is not approved, but has been authorized for emergency use by the FDA under an EUA only for pre-exposure prophylaxis of COVID-19 in certain immunocompromised patients. Such EUA authorizes us to market and sell PEMGARDA in the U.S. under certain conditions. The FDA may issue an EUA during a public health emergency declared under the FDCA if the FDA determines that the known and potential benefits of a product outweigh the known and potential risks and if other regulatory criteria are met. On February 4, 2020, the Secretary of HHS determined pursuant to his authority under Section 564 of the FDCA that COVID-19 represented a public health emergency with significant potential to affect national security or the health and security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jc w:val="both"/>
        <w:spacing w:after="0" w:line="255" w:lineRule="auto"/>
        <w:rPr>
          <w:sz w:val="20"/>
          <w:szCs w:val="20"/>
          <w:color w:val="auto"/>
        </w:rPr>
      </w:pPr>
      <w:r>
        <w:rPr>
          <w:rFonts w:ascii="Times New Roman" w:cs="Times New Roman" w:eastAsia="Times New Roman" w:hAnsi="Times New Roman"/>
          <w:sz w:val="18"/>
          <w:szCs w:val="18"/>
          <w:color w:val="auto"/>
        </w:rPr>
        <w:t>of U.S. citizens living abroad. Following this determination, on March 27, 2020, the Secretary of HHS declared that circumstances exist justifying the authorization of emergency use of COVID-19 drugs and biologics, subject to the terms of any authorization issued by the FDA. The EUA for PEMGARDA was issued under this declaration. The Secretary of HHS may terminate this EUA declaration at any time. If the Secretary of HHS terminates an EUA declaration under the FDCA, then any EUAs issued based on that declaration will cease to be in effect, and the FDA may no longer issue EUAs for products covered by that declaration. Accordingly, there is no guarantee of the duration for which we will be able to maintain the PEMGARDA EUA. The emergency use of PEMGARDA is only authorized for the duration of the declaration that circumstances exist justifying the authorization of the emergency use of drugs and biological products under Section 564 of the FDCA, unless the declaration is terminated or authorization is revoked sooner.</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market any drug product candidates in the U.S. until we receive regulatory authorization with an EUA or approval of a BLA from the FDA, and we cannot market in the European Union until we receive marketing authorization from the European Commission, or other required regulatory authorization or approval in other countries. Other than the EUA for PEMGARDA in the U.S. for pre-exposure prophylaxis of COVID-19 in certain immunocompromised patients, we have not obtained regulatory authorization or approval for any other product candidate, and it is possible that we may never be successful in expanding the authorized use of PEMGARDA or obtain regulatory authorization or approval for any other product candidates in the future, particularly in light of the FDA’s discretion with respect to EUAs in the U.S. in making its determination about whether, based on the totality of scientific evidence available, the known and potential benefits of a product candidate outweigh the known and potential risks.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Although we received an EUA from the FDA for PEMGARDA, there is no guarantee that we will apply for an EUA or similar authorization for any other product candidates or, if we do apply, that we will be able to obtain an EUA or such similar authorization. If an EUA or other authorization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Additionally, the FDA may terminate an EUA if safety issues or other concerns about our product, such as loss of neutralizing activity against dominant circulating SARS-CoV-2 variants, arise or if we fail to comply with the conditions of authorization.</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an existing EUA, such as the EUA for PEMGARDA, is revised or revoked, we would be unable to sell our product candidate and instead, we would need to pursue traditional regulatory approval processes.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authorization or approval policies, regulations, and the type and amount of clinical data necessary to gain authorization or approval may change during the course of a product candidate’s clinical development and may vary among jurisdictions.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and other regulatory authorities may also change their policies, issue additional regulations or revise existing regulations, or take other actions, which may prevent or delay authorization or approval of our future products under development on a timely basis. Such policy or regulatory changes could impose additional requirements upon us that could delay our ability to obtain, increase the costs of compliance or restrict our ability to maintain any regulatory authorizations or approvals we may have obtained. Further, evolving or changing plans or priorities at the FDA or other regulatory bodies, including based on regulatory policy changes, such as those at U.S. agencies such as HHS, FDA and the U.S. Centers for Disease Control due to the change in U.S. presidential administration in January 2025, may significantly impact our ability to obtain or maintain an EUA, including our EUA for PEMGARDA.</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not succeed in obtaining the regulatory approval necessary to sell our product candidates.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devoted significant financial resources and business efforts to the development of our product candidates. While PEMGARDA is our first and only product candidate that has received regulatory authorization, we cannot be certain that PEMGARDA, VYD2311 or any of our other product candidates will receive full regulatory approval.</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of a product candidate and issues relating to its approval and marketing are subject to extensive regulation by the FDA and other regulatory authorities in the U.S. and by comparable regulatory authorities in other countries. Other than pursuant to an EUA, such as the EUA for PEMGARDA, we are not permitted to market our product candidates in the U.S. until we receive approval of a BLA from the FDA. The time required to obtain regulatory approval by the FDA or comparable foreign authorities is unpredictable but typically takes many years following the commencement of clinical trials and depends on numerous factors, including the substantial discretion of the regulatory authorities. In addition, conditions for approval, regulations, standards of care or the type and amount of clinical data necessary to gain approval may change during the course of a product candidate’s clinical development and may vary among jurisdictions. In August 2025, we announced that we received and aligned with advice from the FDA on a compact and, therefore, rapid pathway to potential BLA for mAb candidate VYD2311 for the prevention of COVID-19. In October 2025, we announced the FDA subsequently cleared our IND</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application and provided feedback to advance our REVOLUTION clinical program for VYD2311 and, in December 2025, we announced initiation of our DECLARATION pivotal clinical trial. However, we cannot be certain that VYD2311 will receive the BLA that we are pursuing in the U.S.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Prior to obtaining approval pursuant to a traditional regulatory approval process to commercialize any drug product candidate in the U.S. or abroad, we must demonstrate with substantial evidence from well-controlled clinical trials, and to the satisfaction of the FDA or foreign regulatory agencies, that such product candidate is safe, pure and effective for its intended uses. BLA submissions must also include significant information regarding CMC for the product candidate. Results from preclinical studies and clinical trials can be interpreted in different ways. Even if we believe the preclinical or clinical data for our product candidates are promising, such data may not be sufficient to support approval by the FDA and other regulatory authorities. The FDA may also require us to conduct additional preclinical studies or clinical trials for our product candidates either prior to or after approval, or it may object to elements of our clinical development programs.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 or with our interpretation of data from preclinical studies or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product candidate is safe and effective for its proposed indication;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clinical and other benefits outweigh its safety risks;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collect sufficient data from clinical trials of our product candidates to support the submission and filing of a BLA with the FDA, MAA with the EMA or other submission;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bioresearch monitoring, FDA inspection or comparable foreign regulatory authorities’ inspection;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an FDA or comparable foreign regulatory authorities’ inspection of our third-party contract manufacturing or testing facilities for which we contract and test clinical and commercial supplies;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find our contract manufacturing related activities (e.g., process validation, product characterization, product stability and expiry, and comparability establishment) insufficient for approval;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authorities may significantly change in a manner rendering our clinical data insufficient for approval.</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a product candidate is approved, the FDA may limit the indication for which the product candidate may be marketed, require extensive warnings on the product labeling, or impose other expensive and time-consuming requirements or restrictions as conditions of approval, such as post-market requirements and commitments to conduct clinical trials or nonclinical testing, additional safety monitoring and reporting obligations, or restrictions on sale and distribution. Regulators in other countries and jurisdictions have their own procedures for approval of product candidates with which we must comply prior to marketing in those countries or jurisdictions.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Obtaining regulatory approval for marketing of a product candidate in one country does not ensure that we will be able to obtain regulatory approval in any other country. In addition, delays in approvals or rejections of marketing applications in the U.S. or other countries may be based upon many factors, including regulatory requests for additional analyses, reports, data, preclinical studies and clinical trials, regulatory questions regarding different interpretations of data and results, changes in regulatory policy during the period of product development and the emergence of new information regarding our product candidates or other products. Also, following approval, regulators may impose new or additional requirements or restrictions, or may withdraw regulatory approval altogether.</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Any delay or setback in the regulatory approval or commercialization of any of our product candidates could delay our ability to generate revenue and negatively impact our business, financial condition, results of operations and prospects.</w:t>
      </w:r>
    </w:p>
    <w:p>
      <w:pPr>
        <w:spacing w:after="0" w:line="5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Success in preclinical studies or earlier clinical trials may not be indicative of results in future clinical trials. Our product candidates may not have favorable results in later clinical trials, if any, or receive regulatory authorization or approval.</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Success in preclinical testing and early clinical trials does not ensure that later clinical trials will generate the same results or otherwise provide adequate data to demonstrate the efficacy and safety of a product candidate. Preclinical tests and Phase 1 and Phase 2 clinical trials are primarily designed to test safety, to study pharmacokinetics and pharmacodynamics and to</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4" w:name="page55"/>
    <w:bookmarkEnd w:id="54"/>
    <w:p>
      <w:pPr>
        <w:jc w:val="both"/>
        <w:spacing w:after="0" w:line="258" w:lineRule="auto"/>
        <w:rPr>
          <w:sz w:val="20"/>
          <w:szCs w:val="20"/>
          <w:color w:val="auto"/>
        </w:rPr>
      </w:pPr>
      <w:r>
        <w:rPr>
          <w:rFonts w:ascii="Times New Roman" w:cs="Times New Roman" w:eastAsia="Times New Roman" w:hAnsi="Times New Roman"/>
          <w:sz w:val="18"/>
          <w:szCs w:val="18"/>
          <w:color w:val="auto"/>
        </w:rPr>
        <w:t>understand the side effects of product candidates at various doses and schedules. Success in preclinical or animal studies and early clinical trials does not ensure that later large-scale clinical trials will be successful, nor does it predict final results. For example, we may be unable to identify suitable animal disease models for our product candidates, which could delay or frustrate our ability to proceed into clinical trials or obtain regulatory authorization or approval. Our product candidates may fail to show the desired safety and efficacy in clinical development despite having progressed through preclinical studies and initial clinical trials.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even after achieving promising results in preclinical testing and earlier-stage clinical trials. Data obtained from preclinical and clinical activities are subject to varying interpretations, which may delay, limit or prevent regulatory authorization or approval. In addition, we may experience regulatory delays or rejections as a result of many factors, including changes in regulatory policy during the period of our product candidate development. Any such delays could negatively impact our business, financial condition, results of operations and prospects.</w:t>
      </w:r>
    </w:p>
    <w:p>
      <w:pPr>
        <w:spacing w:after="0" w:line="71"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initial and preliminary results from our clinical trials that we announce or publish from time to time may change as more data become available and are subject to audit and verification procedures that could result in material changes in the final data.</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initial or preliminary results from our clinical trials.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and preliminary data should be viewed with caution until the final data are available. Differences between interim, top-line, initial or preliminary data and final data could significantly harm our business prospects and may cause the trading price of our common stock to fluctuate significantly. We also make assumptions, estimations, calculations and conclusions as part of our analyses of data, and we may not have received or had the opportunity to fully and carefully evaluate all data. As a result, any top-line results that we report may differ from future results of the same studies, or different conclusions or considerations may qualify such results once additional data have been received and fully evaluated.</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Many companies in the pharmaceutical and biotechnology industries have suffered significant setbacks in late-stage clinical trials after achieving positive results in early-stage development and we cannot be certain that we will not face similar setbacks. These setbacks have been caused by, among other things, preclinical and other nonclinical findings made while clinical trials were underway or safety or efficacy observations made in preclinical studies and clinical trials, including previously unreported adverse events. Further, others, including regulatory agencies may not accept or agree with our assumptions, estimates, calculations, conclusions or analyses or may interpret or weigh the importance of data differently, which could impact the value of the particular development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Any information we determine not to disclose may ultimately be deemed meaningful by you or others with respect to future decisions, conclusions, views, activities or otherwise regarding a particular product candidate or our business.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interim, top-line, initial or preliminary data that we report differ from actual results, or if others, including regulatory authorities, disagree with the conclusions reached, our ability to obtain authorization or approval for, and commercialize, our product candidates may be harmed, which could significantly harm our business prospects.</w:t>
      </w:r>
    </w:p>
    <w:p>
      <w:pPr>
        <w:spacing w:after="0" w:line="64"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preclinical studies and clinical trials may fail to demonstrate substantial evidence of the safety and efficacy of our product candidates, or serious adverse or unacceptable side effects may be identified during the development of our product candidates, which could prevent, delay or limit the scope of regulatory authorization or approval of our product candidates, limit their commercialization, increase our costs or necessitate the abandonment or limitation of the development of some of our product candidates.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obtain the requisite regulatory authorizations or approvals to commercialize our product candidates, we must demonstrate through lengthy, complex and expensive preclinical testing and clinical trials that our product candidates are safe, pure and potent for use in each target indication for obtaining product approval, or meet the clinical or surrogate efficacy and the safety primary endpoints of the pivotal clinical trial(s) for an EUA (in addition to other regulatory requirements) towards obtaining an EUA. These trials are expensive and time consuming, and their outcomes are inherently uncertain. Failures can occur at any time during the development process. Preclinical studies and clinical trials often fail to demonstrate safety or efficacy of the product candidate studied for the target indication, and most product candidates that begin clinical trials are never approved. We may fail to demonstrate with substantial evidence from adequate and well-controlled trials, and to the</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satisfaction of the FDA or comparable foreign regulatory authorities, that our product candidates are safe and effective for their intended uses or otherwise meet requirements for an EUA.</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product candidates are associated with undesirable effects in preclinical studies or clinical trials or have characteristics that are unexpected, we may decide or be required to perform additional preclinical studies or to halt or delay further clinical development of our product candidates or to limit their development to more narrow uses or subpopulations in which the undesirable side effects or other characteristics are less prevalent, less severe or more acceptable from a risk-benefit perspective, which may limit the commercial use for the product candidate, if authorized or approved. Some side effects may not be appropriately recognized or managed by the treating medical staff, such as anaphylaxis that has been seen in the class of mAbs of which PEMGARDA is a part, and toxicities resulting from mAb therapy targeting an exogenous target, as with our product candidates, which can be nonspecific. Anaphylaxis has been observed with PEMGARDA.</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any such adverse events occur, our clinical trials could be suspended or terminated. If we cannot demonstrate that any adverse events were not caused by the drug, the FDA or foreign regulatory authorities could order us to cease further development of, or deny approval of, our product candidates for any or all targeted indications, or require that we conduct additional animal or human studies regarding the safety and efficacy of our product candidates that we have not planned or anticipated. Side effects may also lead regulatory authorities to require stronger product warnings on the product label including boxed warnings or warnings and precautions, costly post-marketing studies, and/or a REMS, among other possible requirements. For example, PEMGARDA has been authorized with a boxed warning for anaphylaxis, which could impede our ability to successfully market and commercialize PEMGARDA and our ability to compete successfully against our competitors.</w:t>
      </w:r>
    </w:p>
    <w:p>
      <w:pPr>
        <w:spacing w:after="0" w:line="8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Such findings could further result in regulatory authorities failing to provide authorization or approval for our product candidates or limiting the scope of the authorized or approved indication, if authorized or approved. Many product candidates that initially showed promise in early-stage testing have later been found to cause side effects that prevented further development of the product candidate. Even if we are able to demonstrate that any serious adverse events are not product-related, such occurrences could affect patient recruitment or the ability of enrolled patients to complete the trial. Moreover, if we elect, or are required, to not initiate, delay, suspend or terminate any future clinical trial of any of our product candidates, the commercial prospects of such product candidates may be harmed and our ability to generate product revenues from any of these product candidates may be delayed or eliminated. Any of these occurrences may harm our ability to develop other product candidates and may harm our business, financial condition and prospects significantly.</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authorization or approval, and we or others identify undesirable side effects caused by such products, a number of potentially significant negative consequences could result, including:</w:t>
      </w:r>
    </w:p>
    <w:p>
      <w:pPr>
        <w:spacing w:after="0" w:line="54" w:lineRule="exact"/>
        <w:rPr>
          <w:sz w:val="20"/>
          <w:szCs w:val="20"/>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suspend, withdraw or limit authorizations or approvals of such product, or seek an injunction against its manufacture or distribution;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such as the boxed warning for PEMGARDA for anaphylaxis;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 or other requirements subject to a REMS;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or conduct additional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decide to remove the product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achieve or maintain third-party payor coverage and adequate reimbursement;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fines, injunctions or civil or criminal penalties;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and physician or patient acceptance of our products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resolve any issues related to any product-related adverse events to the satisfaction of the FDA or foreign regulatory agency in a timely manner or at all. Moreover, any of these events could prevent us from achieving or maintaining market acceptance of the particular product candidate, if authorized or approved, and could significantly harm our business, results of operations and prospects.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awareness or negative public opinion of mAb therapies and increased regulatory scrutiny of mAb therapies to prevent or treat COVID-19 or other infectious diseases may adversely impact the development or commercial success of our product candidates.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clinical and commercial success of our mAb therapies will depend in part on public acceptance of the use of mAb therapies to prevent or treat COVID-19 or other infectious diseases. Any adverse public attitudes about the use of mAb therapies may adversely impact our ability to enroll clinical trials or successfully commercialize any of our mAb therapies that are authorized or approved. Moreover, our success will depend upon physicians prescribing, and their patients’ willingness to receive, treatments that involve the use of product candidates we may develop in lieu of, or in addition to, existing treatments with which they are already familiar and for which greater clinical data may be available. Additionally, our success may be impacted by overall evolving dynamics in the commercial market for COVID-19 therapeutics, such as greater seasonality of demand, particularly as COVID-19 has developed into an endemic disease.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 restrictive government regulations or negative public opinion may have a negative effect on our business or financial condition and may delay or impair the development and commercialization of our product candidates or demand for any products that are authorized or approved. Adverse events in our or others’ clinical trials, even if not ultimately attributable to our product candidates, and the resulting publicity could result in increased governmental regulation, unfavorable public perception, potential regulatory delays in the authorization or approval of our product candidates, stricter labeling requirements for those product candidates that are authorized or approved or a decrease in demand for any such product candidates, all of which would have a negative impact on our business and operations.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delays or difficulties in the enrollment and/or retention of patients in clinical trials, or we may pause, delay or terminate enrollment of our clinical trials, which could in turn delay or prevent our receipt of necessary regulatory authorizations or approvals.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and maintain the enrollment of, a sufficient number of patients. Patient enrollment, a significant factor in the timing of clinical trials, is affected by many factors, including the size and nature of the patient population and competition for patients eligible for our clinical trials with competitors that may have ongoing clinical trials for product candidates that are under development to treat the same indications as one or more of our product candidates, or approved products for the conditions for which we are developing our product candidates.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 xml:space="preserve">Further, we may determine that enrollment in a clinical trial should be paused, delayed or terminated in order to revise trial protocols in light of preliminary data generated by the trial or new data generated in other studies. For example, following our review of data generated in external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analyses examining the neutralizing activity of adintrevimab against the Omicron SARS-CoV-2 BA.1 variant in both authentic and pseudovirus assays, in January 2022 we paused enrollment of new patients in both our EVADE (evaluating adintrevimab for the prevention of COVID-19) and STAMP (evaluating adintrevimab for the treatment of COVID-19) clinical trials to assess dosing strategy and revise our trial protocols in light of the global spread of the Omicron variant and its sublineages; we reported preliminary safety and efficacy data from both trials in March 2022, but as a result of the lack of neutralizing activity against the Omicron BA.2 variant, we paused the submission of an EUA request, and we closed such trials. Trials may also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or foreign regulatory authorities. We cannot predict how successful we will be at enrolling patients in future clinical trials. Patient enrollment is affected by other factors, including:</w:t>
      </w:r>
    </w:p>
    <w:p>
      <w:pPr>
        <w:spacing w:after="0" w:line="84" w:lineRule="exact"/>
        <w:rPr>
          <w:sz w:val="20"/>
          <w:szCs w:val="20"/>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 in question;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patient population and process for identifying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and difficulty of diagnosing the disease under investigation;</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infection prevalence may have on enrollment, as well as the emergence and evolution of SARS-CoV-2 variants, which may impact the prevalent variant of infection for patients at one or more clinical trial sites and adversely impact enrollment potential;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 protocol, including but not limited to the use of a placebo control or active comparator;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in the trial, including relating to mAb and/or vaccine approaches;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competing commercially available therapies and other competing therapeutic candidates’ clinical trials for the disease or condition under investigation;</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57" w:name="page58"/>
    <w:bookmarkEnd w:id="57"/>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patients to be enrolled in our clinical trials;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subject consents;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disruptions caused by a public health crisis, such as the COVID-19 pandemic, including difficulties in initiating clinical sites, enrolling and retaining participants, diversion of healthcare resources away from clinical trials, vaccine mandate policies, travel or quarantine policies that may be implemented, our ability to import and export clinical trial supplies, raw materials and commercial supply and other factors;</w:t>
      </w:r>
    </w:p>
    <w:p>
      <w:pPr>
        <w:spacing w:after="0" w:line="71"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subjects enrolled in our clinical trials will drop out of the trials before completion;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inability to enroll, or maintain the enrollment of, a sufficient number of patients for clinical trials would result in significant delays and could require us to abandon one or more clinical trials altogether. Enrollment pauses or delays in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71"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accelerated approval pathway, a Fast Track designation or a breakthrough therapy designation in the U.S. or the equivalent thereof in foreign jurisdictions (where available) for any product candidate may not lead to a faster development or regulatory review or approval process, and it does not increase the likelihood that the product candidate will receive full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has established various expedited drug development programs to facilitate more rapid and efficient development, review and approval of certain types of drugs. Such programs include accelerated approval, Fast Track designation and breakthrough therapy designation. In December 2025, the FDA granted VYD2311 Fast Track designation for the prevention of COVID in individuals with underlying risk factors for severe COVID. The FDA has broad discretion on whether or not to admit a drug candidate for these programs, so even if we believe a particular product candidate is eligible for an expedited drug development program, we cannot be sure that the FDA would agree. Even if any of our product candidates is admitted to any of the expedited drug development programs, such as the Fast Track designation granted for VYD2311,we may not experience a faster development process, review or approval compared to conventional FDA timelines, and the FDA may still ultimately decide to not grant full marketing approval to VYD2311 or any of such other product candidates.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example, we may pursue accelerated approval or the equivalent thereof in foreign jurisdictions (where available), for our product candidates. The FDA may grant accelerated approval to a product candidate for a serious or life-threatening condition that provides meaningful therapeutic advantage to patients over existing treatments based upon a determination that the product candidate has an effect on a surrogate endpoint that is reasonably likely to predict clinical benefit. The FDA may also grant accelerated approval for such a condition when the product candidate has an effect on an intermediate clinical endpoint that can be measured earlier than an effect on irreversible morbidity or mortality, and that is reasonably likely to predict an effect on irreversible morbidity or mortality or other clinical benefit, taking into account the severity, rarity, or prevalence of the condition and the availability or lack of alternative treatments. As a condition of a grant of accelerated approval, the FDA may require that the sponsor perform one or more controlled post-marketing clinical trials. Accelerated approval of a product candidate may be withdrawn if these trials fails to verify clinical benefit or do not demonstrate sufficient clinical benefit to justify the risks associated with the product candidate (e.g., shows a significantly smaller magnitude or duration of benefit than was anticipated based on the observed effect on the surrogate).</w:t>
      </w:r>
    </w:p>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granted Fast Track designation for VYD2311 in December 2025, and we may pursue Fast Track designation for other product candidates in the U.S., or the equivalent thereof in foreign jurisdictions (where available), which is designed to facilitate the development and expedite the review of therapies for serious conditions that fill an unmet medical need. A product candidate with a Fast Track designation may benefit from early and frequent communications with the FDA, be eligible for priority review and has the ability to submit a rolling application for regulatory review. If any of our product candidates receive Fast Track designation but do not continue to meet the criteria for Fast Track designation, or if our clinical trials are delayed, suspended or terminated, or put on clinical hold due to unexpected adverse events or issues with clinical supply or due to other issues, we will not receive the benefits associated with the Fast Track program. Fast Track designation alone does not guarantee qualification for the FDA’s priority review procedures.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we may apply for breakthrough therapy designation in the U.S. or the equivalent thereof in foreign jurisdictions (where available), for our product candidates.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Product candidates designated as breakthrough therapies by the FDA are also eligible for priority review if supported by clinical data at the time of the submission of the BLA.</w:t>
      </w:r>
    </w:p>
    <w:p>
      <w:pPr>
        <w:spacing w:after="0" w:line="8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Granting accelerated approval, Fast Track designation or breakthrough therapy designation is within the discretion of the FDA. Accordingly, even if we determine to pursue a BLA and we believe that one of our product candidates meets the criteria for accelerated approval, Fast Track designation or breakthrough therapy designation, the FDA may disagree and instead determine not to grant such designation. Even if one or more of our product candidates receives conditional approval via the accelerated approval pathway, the FDA may later decide that the product candidate no longer meets the qualifying criteria for such approval, or it may decide that the confirmatory trial(s) failed to verify the clinical benefit or demonstrate sufficient clinical benefit to justify the risks associated with the product candidate, and the FDA may withdraw its conditional approval and/or refuse to grant full approval. Furthermore, the receipt of a Fast Track designation or breakthrough therapy designation for a product candidate may not result in a faster development process, review or full approval compared to product candidates considered for approval under conventional FDA procedures or the traditional FDA approval pathway, and such designations would not assure ultimate approval by the FDA. In addition, even if one or more of our product candidates qualify for Fast Track designation or breakthrough therapy designation, the FDA may later decide that the product candidate no longer meets the conditions for qualification, or it may otherwise not shorten the application review period.</w:t>
      </w:r>
    </w:p>
    <w:p>
      <w:pPr>
        <w:spacing w:after="0" w:line="80"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Because we have limited financial and management resources, we must focus on development programs and product candidates that we identify for specific indications. As such, our current mission is focused on antibody-based therapies that protect vulnerable people from the consequences of viral threats, beginning with SARS-CoV-2, and we have committed a significant portion of our financial and personnel resources to the manufacturing and commercialization of PEMGARDA, which received an EUA from the FDA in March 2024, and the manufacturing and development of VYD2311, our next generation mAb candidate for COVID-19. Our business could be negatively impacted by our allocation of significant resources to a global health threat that is unpredictable and could change, dissipate or stabilize, which could limit or eliminate demand for PEMGARDA, VYD2311 or any new mAb candidates that we anticipate periodically introducing in the future as the SARS-CoV-2 virus evolves over time.</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conducted and may in the future conduct clinical trials for our product candidates outside the U.S., and the FDA and similar foreign regulatory authorities may not accept data from such trials conducted in locations outside of their jurisdiction.</w:t>
      </w:r>
    </w:p>
    <w:p>
      <w:pPr>
        <w:spacing w:after="0" w:line="51"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We have conducted and may in the future conduct clinical trials for our product candidates outside the U.S. The FDA may not accept or may impose additional conditions on trial data from clinical trials conducted outside the U.S. submitted in support of an IND, EUA or BLA. For example, in order for the FDA to accept a foreign clinical trial as support for an IND or application for marketing approval, the FDA requires the following conditions are met:</w:t>
      </w:r>
    </w:p>
    <w:p>
      <w:pPr>
        <w:spacing w:after="0" w:line="1" w:lineRule="exact"/>
        <w:rPr>
          <w:sz w:val="20"/>
          <w:szCs w:val="20"/>
          <w:color w:val="auto"/>
        </w:rPr>
      </w:pPr>
    </w:p>
    <w:p>
      <w:pPr>
        <w:jc w:val="both"/>
        <w:ind w:firstLine="8"/>
        <w:spacing w:after="0" w:line="251" w:lineRule="auto"/>
        <w:tabs>
          <w:tab w:leader="none" w:pos="2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data are applicable to the U.S. population and U.S. medical practice; (ii) the trial was conducted in accordance with cGCP standards; and (iii) the FDA is able to validate the data from the trial through an onsite inspection if the FDA deems it necessary.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or any similar foreign regulatory authority will accept data from trials conducted outside of the U.S. or the applicable jurisdiction. If the FDA or any similar foreign regulatory authority does not accept such data, it would result in the need for additional trials, which would be costly and time-consuming and delay aspects of our business plan, and which may result in our product candidates not receiving approval or authorization for commercialization in the applicable jurisdiction.</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build a pipeline of additional product candidates through internal efforts or through partnerships for discovery of novel antibody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continue to identify and develop new product candidates in addition to our current pipeline. Even if we are successful in continuing to build our pipeline of antibody therapies for COVID-19 and other serious viral infectious diseases, such as RSV and measles, the potential product candidates that we identify may not be suitable for clinical development. For example, product candidates may be shown to have harmful side effects or other characteristics that indicate that they are unlikely to be successfully developed, much less receive authorization or approval and achieve market acceptance. Further, even if we obtain authorization or approval for a product candidate for one indication that may have potential for new or additional indications, we may determine that those additional indications are not worth pursuing for strategic reasons, including new legislation that may impact our ability to commercialize such compounds for such indications, if authorized or approved. If we do not successfully develop and commercialize product candidates based upon our approach, we will not be able to obtain product revenue in future periods, which would result in significant harm to our financial position and adversely affect our stock price.</w:t>
      </w:r>
    </w:p>
    <w:p>
      <w:pPr>
        <w:spacing w:after="0" w:line="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public health outbreaks, pandemics or epidemics, such as the COVID-19 pandemic.</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COVID-19, the disease caused by SARS-CoV-2 and its variants, gave rise to a global pandemic in 2020, and continues to present public health and economic challenges around the world. The evolution and impact of the disease and the continued emergence of VoCs, and the availability, administration and acceptance of vaccines, mAbs, antiviral agents and other therapies may affect the design and enrollment of our clinical trials, the potential regulatory authorization or approval of our product candidates and the commercialization of our product candidates, if authorized or approved.</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our business and operations may be more broadly adversely affected by public health outbreaks, pandemics or epidemics, such as the COVID-19 pandemic, which pose the risk that we or our third-party contractors may be prevented from conducting normal business activities or operations due to spread of the disease, or due to restrictions that may be requested or mandated by federal, state or local governmental authorities.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experienced some delays in our development activities as a result of the COVID-19 pandemic. For example, in December 2020, shipment of adintrevimab clinical supply by WuXi Biologics was delayed due to the introduction by the Chinese government of a new procedure for the approval of the export of products for the treatment of COVID-19. There could be other disruptions, delays or uncertainties in our development activities as a result of any future public health outbreak, pandemic or epidemic.</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Public health outbreaks, pandemics or epidemics, such as the COVID-19 pandemic, which caused a broad impact globally, may also materially affect us economically. For example, a widespread outbreak, pandemic or epidemic could result in significant disruption of global financial markets, reducing our ability to access capital, which could in the future negatively affect our liquidity.</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to the extent that any public health outbreaks, pandemics or epidemics, such as the COVID-19 pandemic, adversely affects our business, financial condition and results of operations, it may also have the effect of heightening many of the other risks and uncertainties described in this “Risk Factors” section.</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be negatively impacted by future development or regulatory difficulties.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Authorized and approved drug products are subject to ongoing regulatory requirements and oversight, including requirements related to manufacturing, quality control, further development, labeling, packaging, storage, distribution, safety surveillance, import, export, advertising, promotion, recordkeeping and reporting. In addition, we are subject to continued compliance with cGMP and cGCP requirements for any clinical trials that we conduct post-authorization or approval. If we or any of the third parties on which we rely fail to meet those requirements, the FDA or comparable regulatory authorities outside the U.S. could initiate enforcement action. Other potential consequences include the issuance of fines, warning letters, untitled letters or holds on clinical trials, product seizure or detention or refusal to permit the import or export of our product candidates, permanent injunctions and consent decrees, or the imposition of civil or criminal penalties, any of which could significantly impair our ability to successfully commercialize a given product. If the FDA or a comparable regulatory authority outside the U.S. becomes aware of new safety information, it can impose additional restrictions on how the product is marketed or may seek to withdraw marketing authorization or approval altogether.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Manufacturing of our Product Candidates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Monoclonal antibody therapies are complex, difficult and time-consuming to manufacture, and we currently rely on a single contract manufacturer for our COVID-19 product candidates. We could experience manufacturing problems, may be unable to access desired future manufacturing capacity within desired timeframes, or may be unable to access raw</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0" w:name="page61"/>
    <w:bookmarkEnd w:id="6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materials due to global supply chain shortages or otherwise, that result in delays in the development, supply, or commercialization of our product candidates or otherwise harm our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manufacture of mAbs and other protein-based therapies are technically complex and necessitate substantial expertise and capital investment.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Production difficulties caused by unforeseen events may delay the availability of material for our clinical trials or commercialization efforts.</w:t>
      </w:r>
    </w:p>
    <w:p>
      <w:pPr>
        <w:spacing w:after="0" w:line="9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WuXi Biologics, a CDMO, for the development and manufacture of our COVID-19 product candidates for clinical and commercial use. Manufacturers of pharmaceutical products must comply with strictly enforced cGMP requirements, state and federal regulations, as well as foreign requirements when applicable. Any failure of us or our CDMO to adhere to or document compliance to such regulatory requirements could lead to a delay or interruption in the availability of product for clinical trials or commercial use, or enforcement action from the FDA or foreign or state regulatory authorities. If we or our CDMO were to fail to comply with the FDA or foreign or state regulatory authorities, it could result in sanctions being imposed on us, including clinical holds, fines, injunctions, civil penalties, delays, suspension or withdrawal of authorizations or approvals, license revocation, seizures or recalls of product candidates or products, operating restrictions and criminal prosecutions, any of which could significantly and adversely affect supplies of our product candidates. Our dependence upon others for the manufacture of our product candidates may also adversely affect our future profit margins, if any, and our ability to commercialize any product candidates that receive regulatory authorization or approval on a timely and competitive basis.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Biological products are inherently difficult and time-consuming to manufacture. Our program materials are manufactured and tested using technically complex processes and/or methods requiring specialized equipment and facilities and other production constraints, including a number of highly specific raw materials, cell lines and reagents with limited suppliers. Even though we aim to have backup supplies of raw materials, cell lines and reagents whenever possible, we cannot be certain they will be sufficient if our primary sources are unavailable. A shortage of a critical raw material, cell line or reagent, or a technical issue during development, manufacturing or testing, may lead to an inability to manufacture our product candidate, resulting in delays in clinical development or commercialization plans. Any changes in the manufacturing of components of the raw materials we use for manufacturing or testing of our product candidates could result in unanticipated or unfavorable effects in our manufacturing processes or product quality or timelines, resulting in delays.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Given the complex, difficult and time-consuming nature of manufacturing our product candidates, we must devote significant resources to the manufacture of our product candidates for clinical and potential commercial supply prior to receiving regulatory authorization or approval, and we may not realize a return on our investment in such supply if a product candidate is not ultimately authorized or approved. For example, we built supply of adintrevimab in anticipation of seeking regulatory authorization, but based on feedback from the FDA regarding adintrevimab’s lack of neutralizing activity against the Omicron BA.2 variant, we paused the submission of an EUA request. More recently, we have incurred substantial costs in building supply of VYD2311, which is currently in Phase 3 development, and we cannot be certain as to if or when we will receive regulatory approval for such product candidate. Even if we ultimately receive regulatory authorization or approval to commercialize a product candidate, such as the EUA for PEMGARDA, if sales do not meet the expected forecasts or a portion of our inventory becomes expired, it may be necessary to write down or write off such obsolete inventory, which could adversely affect our operating results.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we believe that we have secured sufficient supply to meet demand for PEMGARDA and anticipated initial demand for VYD2311, if approved, any delay, failure or inability to manufacture or test on a timely basis in the future could impact the timelines for our future clinical trials or our commercialization plans. Such delay, failure or inability to manufacture or test can result from:</w:t>
      </w:r>
    </w:p>
    <w:p>
      <w:pPr>
        <w:spacing w:after="0" w:line="68" w:lineRule="exact"/>
        <w:rPr>
          <w:sz w:val="20"/>
          <w:szCs w:val="20"/>
          <w:color w:val="auto"/>
        </w:rPr>
      </w:pPr>
    </w:p>
    <w:p>
      <w:pPr>
        <w:jc w:val="both"/>
        <w:ind w:left="1140" w:hanging="504"/>
        <w:spacing w:after="0" w:line="261"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the manufacturing process itself, for example by an error in manufacturing process, operator or human error, equipment failure, raw material or reagent failure, failure in any step of the manufacturing process, failure to maintain a cGMP environment or failure in quality systems applicable to manufacture (whether by us or our third-party contract development and manufacturing organization), sterility failures, testing failure or contamination during processing;</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reliability or reproducibility in the manufacturing process itself leading to variability in process execution or in product quality, which may lead to regulatory authorities placing a hold on a clinical trial or commercial supply and distribution or requesting further information on the process, which could in turn result in delays to the clinical trials or commercial supply and distributions;</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manufacturing or testing slots within desired timeframes or to have enough manufacturing slots to manufacture our product candidates to meet clinical or commercial requirements and demands;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or foreign or state regulatory inspection of the manufacturing or testing site;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61" w:name="page62"/>
    <w:bookmarkEnd w:id="61"/>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procure raw materials and reagents due to global supply chain shortages or otherwise;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depletion or performance degradation of the cell line starting material; and</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or close-down of any manufacturing facility used in the manufacture of our product candidates, or the inability to find alternative manufacturing capability in a timely fashion.</w:t>
      </w:r>
    </w:p>
    <w:p>
      <w:pPr>
        <w:spacing w:after="0" w:line="50"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biologics, and the manufacture of our product candidates is complex and subject to extensive regulations. If we or our third-party contractors fail to comply with such regulations, regulatory authorities may impose sanctions or require remedial measures that could be costly or time-consuming, and our ability to provide supply of our product candidates for clinical trials or commercialization could be delayed or stopped.</w:t>
      </w:r>
    </w:p>
    <w:p>
      <w:pPr>
        <w:spacing w:after="0" w:line="72"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All entities involved in the preparation of therapeutics for clinical trials or commercialization, including our existing contract manufacturer and testing facilities, labeling, packaging and storage facilities, and distributors, are subject to extensive regulation. Components of a finished therapeutic product authorized or approved for commercialization or used in clinical trials must be manufactured, tested, and stored in accordance with cGMP. These regulations govern manufacturing processes and procedures (including record keeping) and the implementation and operation of quality systems to control and ensure the quality of investigational products and products authorized or approved for sale. Poor control of production processes can lead to the introduction of adventitious agents or other contaminants, or to inadvertent changes in the properties or stability of our product candidates that may not be detectable in final product testing. We or our contract manufacturer must supply all necessary documentation in support of regulatory authorization or approval on a timely basis. Our facilities and quality systems and the facilities and quality systems of some or all of our third-party contractors will likely need to pass a pre-approval inspection (and may need to pass a pre-authorization inspection) for compliance with the applicable regulations as a condition of regulatory approval (or authorization) of our product candidates. In addition, regulatory authorities may, at any time, audit or inspect us or any of our contract manufacturing, testing, and storage facilities involved with the preparation of our product candidates or our other potential products or the associated quality systems for compliance with the regulations applicable to the activities being conducted, and they could put a hold on one or more of our clinical trials (or could delay regulatory authorization or approval) if the facilities or quality systems of our or third-party contractors do not pass such audit or inspections. Certain of our third-party contractors’ facilities have not yet been inspected by regulatory authorities. If any of our third-party contractors’ facilities do not pass a pre-approval, pre-authorization, or other facility inspection, regulatory approval or authorization of the products may not be granted.</w:t>
      </w:r>
    </w:p>
    <w:p>
      <w:pPr>
        <w:spacing w:after="0" w:line="8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regulatory authorities also may, at any time following authorization or approval of a product for sale, inspect or audit us or our third-party contractors. If any such inspection or audit identifies a failure to comply with applicable regulations or if compliance discrepancies with our product specifications or violations of applicable regulations occur independent of such an inspection or audit, we or the relevant regulatory authority may require remedial measures that may be costly and/or time-consuming for us or a third party to implement and that may include the temporary or permanent suspension of a clinical trial or commercial sales or the temporary or permanent closure of a facility. Any such remedial measures imposed upon us or third parties with whom we contract could harm our business. If we or any of our third-party contractors fail to maintain regulatory compliance, the FDA or other regulatory authorities can impose regulatory sanctions, including, among other things, refusal to authorize or approve a pending application or to issue a positive opinion for a new drug product, or revocation of a pre-existing authorization or approval. As a result, our business, financial condition and results of operations may be harmed. Additionally, if supply from an approved manufacturer is interrupted, there could be a significant disruption in commercial supply of any authorized or approved products. An alternative manufacturer would need to be qualified and approved, which could result in further delay. The regulatory agencies may also require additional studies if a new manufacturer is relied upon for commercial production. Switching manufacturers may involve substantial costs and is likely to result in a delay in our desired commercial timelines.</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factors could cause the delay of clinical trials, regulatory submissions, required approvals or commercialization of our product candidates, cause us to incur higher costs and prevent us from commercializing our products successfully, if authorized or approved, or could delay commercial supply once authorized or approved. Furthermore, if our third-party contractors fail to meet contractual requirements, and we are unable to secure one or more replacement contractors capable of production at a substantially equivalent cost, our clinical trials or commercialization efforts may be delayed or we could lose potential revenue.</w:t>
      </w:r>
    </w:p>
    <w:p>
      <w:pPr>
        <w:spacing w:after="0" w:line="7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depend on sole-source third-party suppliers and a single contract manufacturer for materials and services that are necessary for the conduct of preclinical studies, manufacture and testing of our COVID-19 product candidates for clinical trials and commercial supply, and the loss of these third-party suppliers or contract manufacturer or their inability to supply us with sufficient quantities of adequate materials or services, or to do so at acceptable quality levels, acceptable pricing terms, and on a timely basis, could harm our business.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Manufacturing and testing our product candidates and commercialization of any authorized or approved products requires many specialty materials and equipment, some of which are manufactured or supplied by small companies with limited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spacing w:after="0" w:line="261" w:lineRule="auto"/>
        <w:rPr>
          <w:sz w:val="20"/>
          <w:szCs w:val="20"/>
          <w:color w:val="auto"/>
        </w:rPr>
      </w:pPr>
      <w:r>
        <w:rPr>
          <w:rFonts w:ascii="Times New Roman" w:cs="Times New Roman" w:eastAsia="Times New Roman" w:hAnsi="Times New Roman"/>
          <w:sz w:val="18"/>
          <w:szCs w:val="18"/>
          <w:color w:val="auto"/>
        </w:rPr>
        <w:t>resources and experience to support commercial biologics production. We currently depend on a limited number of vendors for certain materials and equipment used in the manufacture and testing of our product candidates. For example, we are reliant on WuXi Biologics, our current CDMO, as the procurer of the raw materials used in the manufacture of our COVID-19 product candidates, including certain single-source purification resins and cell culture media, which increases the risk of delays in production.</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current CDMO’s or potential future CDMOs’ raw material suppliers may not have the capacity to support clinical and commercial products manufactured under cGMP by biopharmaceutical firms or may otherwise be ill-equipped to support our needs. We also do not have supply contracts with many of these suppliers directly, and we, our current CDMO or potential future CDMOs may not be able to obtain supply contracts with them on acceptable terms or at all. Accordingly, we, our current CDMO or potential future CDMOs may experience delays in receiving key raw materials and equipment to support clinical or commercial manufacturing.</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some of these specialty materials, we, our current CDMO or potential future CDMOs rely on and may in the future rely on sole-source suppliers or a limited number of suppliers. The supply of specialty materials and equipment that are necessary to produce our product candidates could be reduced or interrupted at any time. In such case, identifying and engaging an alternative supplier could result in delay, and we may not be able to find other acceptable suppliers on acceptable terms, or at all. Switching our suppliers may involve substantial costs and is likely to result in a delay in our desired clinical and commercial timelines. If our key suppliers are lost, or if the supply of the materials is diminished or discontinued, we may not be able to develop, test, manufacture and market our product candidates in a timely and competitive manner, or at all. An inability to continue to source product from any of these suppliers, which could be due to a number of issues, including regulatory actions or requirements affecting the supplier, adverse financial or other strategic developments experienced by a supplier, labor disputes or shortages, unexpected demands or quality issues, could adversely affect our ability to satisfy demand for our product candidates, which could adversely and materially affect our product sales and operating results or our ability to conduct clinical trials, either of which could significantly harm our business.</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addition, to date, we have relied on WuXi Biologics as our only CDMO for our COVID-19 product candidates. We have partnered with WuXi Biologics for CMC development and for clinical and commercial drug substance and drug product supply. While we believe that we have secured sufficient supply to meet demand for PEMGARDA and anticipated initial demand for VYD2311, if approved, the loss of this CDMO, a disruption in production at this CDMO or the inability of this CDMO to timely manufacture sufficient quantities on acceptable pricing terms to meet our needs, and our failure to find alternative manufacturing capability in a timely fashion, would impair our ability to develop and commercialize our product candidates. Although we believe there are other potential alternative CDMOs, the number of CDMOs with the necessary manufacturing and regulatory expertise and facilities to manufacture biologics like our mAb candidates is limited, and switching manufacturers or manufacturing sites would be expensive, difficult and time consuming. A new manufacturer or manufacturing site would have to be educated on, or develop substantially equivalent processes for, production of our product candidates, and it may be difficult or impossible to transfer certain elements of our manufacturing process to a new manufacturer or for us to find a replacement manufacturer on acceptable terms quickly, or at all. Furthermore, switching manufacturers or manufacturing sites may hinder our ability to leverage our platform approach to facilitate the generation of mAbs to exert continuous pharmaceutical activity in the face of viral evolution, which we expect will require a consistent CMC platform. Transferring manufacturing to a new manufacturer or manufacturing site could therefore interrupt supply, delay our clinical trials and commercialization efforts, increase our costs for our product candidates and disrupt our plans to use any potential streamlined development pathway that requires a consistent CMC platform, any of which could have an adverse effect on our business, financial condition, results of operations, and/or growth prospects.</w:t>
      </w:r>
    </w:p>
    <w:p>
      <w:pPr>
        <w:spacing w:after="0" w:line="8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contamination or interruption in our manufacturing process, shortages of raw materials or failure of our suppliers of reagents to deliver necessary components could result in delays in our clinical development or commercialization schedules.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Given the nature of mAb manufacturing, there is a risk of contamination, including in the manufacture of raw materials and in the manufacturing of our product candidates, or in the manufacturing or testing facility itself. Any contamination could adversely affect our ability to supply product candidates on schedule and could, therefore, harm our results of operations and cause reputational damage. Some of the raw materials required in our manufacturing process are derived from biologic sources. Such raw materials are difficult to procure and may be subject to contamination or recall. A material shortage, contamination, recall or restriction on the use of biologically derived substances in the manufacture or testing of our product candidates could adversely impact or disrupt the supply of commercial or clinical material, which could adversely affect our development timelines and our business, financial condition, results of operations and prospects.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product candidates proceed through preclinical studies to late-stage clinical trials towards potential approval and commercialization, it is common that various aspects of the development program, such as manufacturing methods and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spacing w:after="0" w:line="255" w:lineRule="auto"/>
        <w:rPr>
          <w:sz w:val="20"/>
          <w:szCs w:val="20"/>
          <w:color w:val="auto"/>
        </w:rPr>
      </w:pPr>
      <w:r>
        <w:rPr>
          <w:rFonts w:ascii="Times New Roman" w:cs="Times New Roman" w:eastAsia="Times New Roman" w:hAnsi="Times New Roman"/>
          <w:sz w:val="18"/>
          <w:szCs w:val="18"/>
          <w:color w:val="auto"/>
        </w:rPr>
        <w:t>formulation, are altered along the way in an effort to optimize processes and product characteristics. Such changes carry the risk that they will not achieve our intended objectives. Any such changes could cause our product candidates to perform differently or impact product stability and expiry and affect the results of planned clinical trials or other future clinical trials conducted with the materials manufactured using altered processes or could impact our planned development or commercialization schedule. Such changes may also require additional testing, FDA notification or FDA approval (and similar notifications and approvals by other comparable foreign regulatory authorities).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Commercialization of Our Product Candidates</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FDA revokes or terminates our EUA for PEMGARDA, we will be required to stop commercial distribution of PEMGARDA immediately unless we can obtain FDA approval for PEMGARDA under a traditional regulatory pathway, which may be lengthy and expensive, which could harm our future business prospects.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Under the FDCA, the FDA has authority to allow certain unapproved medical products or unapproved uses of approved medical products to be used in an emergency to diagnose, treat, or prevent serious or life-threatening diseases or conditions when there are no adequate, approved, and available alternatives. In issuing an EUA, the FDA will consider the totality of scientific evidence available to the FDA regarding safety, efficacy, and known and potential risks of such products and availability of alternatives to the emergency use products, among others. EUAs issued by the FDA specify the scope of authorization and conditions of authorization, including limitations on distribution and conditions related to product advertising and promotion. Once granted, an EUA is effective until the declaration permitting emergency use authorization is terminated or the EUA is revoked, after which the product must be approved by the FDA under a traditional pathway in order to remain on the market or to continue commercialization of the product in the U.S.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22, 2024, we received an 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distribution and advertising conditions set forth in our EUA limit our market opportunities and restrict how we can commercialize PEMGARDA. For example, according to our EUA, among other requirements, all descriptive printed matter, advertising, and promotional materials relating to the emergency use of PEMGARDA under the EUA must be consistent with the authorized labeling and other terms set forth in the EUA and such materials must be tailored to the intended audience, not take the form of reminder advertisements or reminder labeling, and be accompanied by authorized labeling under certain circumstances. In addition, according to our EUA, printed matter, advertising, and promotional materials relating to the emergency use of PEMGARDA must provide accurate descriptions of safety results and efficacy results on a clinical endpoint(s) or surrogate endpoint(s) from the clinical trial(s) summarized in the authorized labeling, including any limitations of the clinical trial data as described in the authorized labeling, and contain certain clear and conspicuous statements regarding the emergency use authorization. In addition, the PEMGARDA Fact Sheet for Healthcare Providers (“HCPs”) includes a boxed warning for anaphylaxis. If the FDA’s policies and guidance change unexpectedly and/or materially or if we misinterpret them, potential sales of PEMGARDA could be adversely impacted.</w:t>
      </w:r>
    </w:p>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the FDA would be required to revoke our existing or any future EUA if HHS determines that emergency use is no longer warranted. The FDA may also revoke our existing or any future EUA if new evidence becomes available that indicates that PEMGARDA is not as safe, effective, or reliable as the data provided in the EUA request. For example, the FDA may revise or revoke the EUA for PEMGARDA based on changes in circulating SARS-CoV-2 variants and a reduction in neutralizing activity or effectiveness of PEMGARDA against such variants. PEMGARDA is authorized for use only when the combined national frequency of variants with substantially reduced susceptibility to PEMGARDA is less than or equal to 90%. We cannot predict how long our EUA will remain effective, and we may not receive advance notice from the FDA regarding revocation of our EUA. The termination or revocation of our existing EUA for PEMGARDA would cause us to cease our commercialization efforts until and if we have obtained approval from the FDA through another regulatory pathway and would adversely impact our business, financial condition and results of operations.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Additionally, changes in FDA policies, guidance, and requirements for the submission of an EUA request may delay authorization of any additional emergency uses for PEMGARDA. Further, given the high volume of EUA requests received by the FDA, the FDA’s review of an amended or additional EUA request may be significantly delayed. The FDA may not grant an EUA for additional emergency uses of PEMGARDA on a timely basis or at all, which could harm our future business prospects. For example, in July 2024, we submitted a request to the FDA to expand the existing EUA for PEMGARDA to</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t>cover treatment of mild-to-moderate COVID-19 in certain immunocompromised patients, which request was denied by the FDA in February 2025.</w:t>
      </w:r>
    </w:p>
    <w:p>
      <w:pPr>
        <w:spacing w:after="0" w:line="113"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fail to achieve the degree of market acceptance by physicians, patients, third-party payors and others in the medical community necessary for commercial success, due to the product profile, reimbursement dynamics or other reasons.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any of our product candidates receive authorization or approval, such as PEMGARDA, which received an EUA from the FDA in March 2024, they may nonetheless fail to gain sufficient market acceptance by physicians, patients, third-party payors and others in the medical community, due to the product profile, reimbursement dynamics or other reasons. If our product candidates do not achieve an adequate level of acceptance, we may not generate significant revenue and we may not become profitable. The degree of market acceptance of our product candidates, if authorized or approved for sale, including PEMGARDA, will depend on a number of factors, including:</w:t>
      </w:r>
    </w:p>
    <w:p>
      <w:pPr>
        <w:spacing w:after="0" w:line="75" w:lineRule="exact"/>
        <w:rPr>
          <w:sz w:val="20"/>
          <w:szCs w:val="20"/>
          <w:color w:val="auto"/>
        </w:rPr>
      </w:pPr>
    </w:p>
    <w:p>
      <w:pPr>
        <w:ind w:left="1140" w:right="2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potential advantages compared to alternative treatments, including oral, intramuscular (IM) and intravenous (IV) options;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our products for sale at competitive prices;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convenience and ease of administration, including compared to any alternative treatments;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labeling or product insert requirements of the FDA or other foreign regulatory authorities, including any limitations or warnings contained in a product’s approved labeling, including any boxed warning (such as the boxed warning for anaphylaxis for PEMGARDA) or REMS;</w:t>
      </w:r>
    </w:p>
    <w:p>
      <w:pPr>
        <w:spacing w:after="0" w:line="6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required by the FDA or other regulatory authorities to conduct additional clinical trials or to modify the design of our current trials to support the initial or continued authorization or approval of a product candidate;</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treatments and of physicians to prescribe these treatments;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sales force in the U.S.;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any product candidates, once authorized or approved;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such as anaphylaxis for which PEMGARDA received a boxed warning;</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together with other medications or requirements that our products be used in combination with other products;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be effective against emerging SARS-CoV-2 variants.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commercial success of our product candidates, if authorized or approved, is dependent upon market acceptance by physicians, HCPs and patients, which will be informed, in part, by cost, convenience, route of administration, safety and efficacy, including efficacy against emerging SARS-CoV-2 variants over time.</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continue to build and maintain sales, marketing and distribution capabilities for PEMGARDA or any other product candidate that may receive regulatory authorization or approval, we may not be successful in commercializing PEMGARDA or such other product candidates if and when they are authorized or approved.</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began commercializing PEMGARDA after we received an EUA from the FDA in March 2024. As a result, we have limited experience marketing our product candidates. Our financial condition and results of operations are and will continue to be highly dependent on the ability of our marketing function to adequately promote PEMGARDA, or any other product candidate that receives regulatory authorization or approval, for appropriate patients in a manner that complies with applicable laws and regulations.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will need to continue to build and maintain a commercial infrastructure to support the marketing and distribution of PEMGARDA and any other product candidates that may be authorized or approved in the future. To support the commercialization of PEMGARDA, we initially directly hired key leaders for our sales, marketing, market access, and medical affairs teams, and leveraged contract organizations for certain field-based roles. We subsequently determined to invest in direct hire resources, including an internal sales force.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commercialization capabilities and with entering into arrangements with contract organizations. To the extent that we rely on third parties to perform sales, marketing or distribution services, we likely will have little control over such third parties, and any of them may fail to devote the necessary resources and attention to sell and market our products effectively. On the other hand, there are risks involved with establishing our commercial infrastructure. For example, establishing and training our own commercial team is expensive and time consuming.</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Factors that may inhibit our efforts to continue to build and maintain our commercialization capabilities include:</w:t>
      </w:r>
    </w:p>
    <w:p>
      <w:pPr>
        <w:spacing w:after="0" w:line="117" w:lineRule="exact"/>
        <w:rPr>
          <w:sz w:val="20"/>
          <w:szCs w:val="20"/>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our product candidates, once authorized or approved;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independent sales, marketing and market access organizations.</w:t>
      </w:r>
    </w:p>
    <w:p>
      <w:pPr>
        <w:spacing w:after="0" w:line="117"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key element of our business strategy is the continued expansion of our marketing infrastructure and building brand awareness. As we continue to increase our marketing efforts in connection with the expansion of PEMGARDA sales, we will need to further expand the reach of our marketing networks. Our future success will depend largely on our ability to continue to hire, train, retain and motivate a skilled marketing workforce, directly or through contract organizations, with significant industry-specific knowledge in various areas, including healthcare, prophylactic treatments, complex biologics, and applicable laws and regulations.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are unable to expand our marketing capabilities, we may not be able to effectively commercialize PEMGARDA. Relatedly, if any of our marketing platforms significantly increase their advertising fees, our ability to expand our marketing reach will be greatly impeded. Any such failure could adversely affect our reputation, revenue, and results of operations.</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affected populations for our product candidates, including PEMGARDA, may be smaller than we or third parties currently project, which may affect the addressable markets for our product candidates.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mission is to deliver antibody-based therapies that protect vulnerable people from the consequences of viral threats, beginning with COVID-19. In considering the market potential for our product candidates, our projections of the number of immunocompromised people in the U.S. who may not adequately respond to COVID-19 vaccination and the estimated U.S. total addressable market for our mAb candidates for the pre-exposure prophylaxis of COVID-19 are estimates based on Invivyd-sponsored market research and our internal analysis. The number of immunocompromised people in the U.S. who may not adequately respond to COVID-19 vaccination and the estimated U.S. total addressable market for our mAb candidates for the pre-exposure prophylaxis of COVID-19 may turn out to be lower than expected, and patients may not be amenable to our product candidates or may become increasingly difficult to identify and access, all of which would adversely affect our financial condition, results of operations and prospects. Further, even if we obtain authorization or approval for our product candidates, the FDA or other regulators may limit their authorized or approved indications to more narrow uses or subpopulations within the populations for which we are targeting development of our product candidates.</w:t>
      </w:r>
    </w:p>
    <w:p>
      <w:pPr>
        <w:spacing w:after="0" w:line="80"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decline, or a widespread perception of a decline, in the spread or severity of COVID-19, including disease due to variants with relative or absolute resistance to other products, or an increase in available alternative therapies for or widespread immunity to COVID-19, could reduce the total addressable market for our product candidates targeting COVID-19. Similarly, if new SARS-CoV-2 variants are less impacted by our product candidates and their mechanism of action than expected and such variants become more prevalent, the number of patients that we will be able to successfully treat with our product candidates, if authorized or approved, such as PEMGARDA, will be decreased.</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total addressable market opportunity for our product candidates, including PEMGARDA, will ultimately depend upon a number of factors, including the diagnosis and treatment criteria included on the final label, if authorized or approved for sale in specified indications, acceptance by the medical community, patient access, and product pricing and reimbursement. Incidence and prevalence estimates are frequently based on information and assumptions that are not exact and may not be appropriate, and the methodology is forward-looking and speculative. The process we have used in developing an estimated total addressable market has involved using a third party to model the number of people at high risk for severe COVID-19 based on a combination of different data sets, such as the incidence and prevalence of different medical conditions based on primary literature, the portion of patients who are receiving immunosuppressants based on claims data, and interviews/surveys with health care professionals. Accordingly, these estimates included in this filing may turn out to be inaccurate. Further,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6" w:name="page67"/>
    <w:bookmarkEnd w:id="66"/>
    <w:p>
      <w:pPr>
        <w:jc w:val="both"/>
        <w:spacing w:after="0" w:line="282" w:lineRule="auto"/>
        <w:rPr>
          <w:sz w:val="20"/>
          <w:szCs w:val="20"/>
          <w:color w:val="auto"/>
        </w:rPr>
      </w:pPr>
      <w:r>
        <w:rPr>
          <w:rFonts w:ascii="Times New Roman" w:cs="Times New Roman" w:eastAsia="Times New Roman" w:hAnsi="Times New Roman"/>
          <w:sz w:val="18"/>
          <w:szCs w:val="18"/>
          <w:color w:val="auto"/>
        </w:rPr>
        <w:t>data and statistical information used in this Annual Report on Form 10-K, and in our other filings with the SEC, including estimates derived from them, may differ from information and estimates made by our competitors or from current or future studies conducted by independent sources.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revenue we are able to generate from product sales will be dependent, in part, upon the size of the market in the U.S. (and any other jurisdiction for which we may in the future obtain an EUA or similar authorization or obtain regulatory approval and have commercial rights) and our ability to meet the market demand. If the markets or patient subsets that we are targeting are not as significant as we estimate, or if we do not have sufficient supply to meet the market demand, we may not generate significant revenues from sales of such products, even if authorized or approved.</w:t>
      </w:r>
    </w:p>
    <w:p>
      <w:pPr>
        <w:spacing w:after="0" w:line="68"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commercial prospects may be harmed if academic or other third-party labs not related to us generate virologic activity data that creates doubt regarding the neutralization activity of pemivibart or any other of our product candidates, even if such data is ultimately shown to be inconsistent with neutralization data generated through our industrial-grade virology efforts.</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From time to time, academic or other third-party labs not related to us may produce and run tests on their own molecules meant to resemble our molecules, such as pemivibart, or may run tests on our molecules utilizing differing assays and put neutralization findings of unknown quality into the public domain. In connection with the EUA for PEMGARDA, the FDA has acknowledged that neutralization findings from sources other than our independent, contracted vendor may differ due to, among other reasons, assay differences or because the molecule tested by other labs differs from pemivibart in sequence. Nevertheless, publicly available neutralization data against emerging SARS-CoV-2 variants are reviewed by the FDA and may be factored into the totality of evidence when considering the potential for adequate neutralization activity of PEMGARDA to support continued emergency use authorization.</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To the extent that virologic activity data in the public domain generated by academic or other third-party labs not related to us creates doubt regarding the neutralization activity of pemivibart or our other product candidates, it could adversely impact our regulatory authorization and market acceptance by HCPs or patients, particularly if such publicly available neutralization findings are referenced by the FDA in relation to the regulatory authorization of any product candidate of ours, which would adversely affect our commercial prospects and ability to generate revenues, even if such data is preliminary, non-peer-reviewed, and/or generated with molecules that are not authentic Invivyd molecules, and even if such data is ultimately shown to be inconsistent with neutralization data generated through our industrial-grade virology efforts.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For example, in October 2024, we withdrew formal revenue guidance for FY2024 following growth headwinds after the FDA updated the PEMGARDA Fact Sheet for HCPs in August 2024 to include a link to contested, non-peer-reviewed neutralization data of a non-pemivibart antibody generated by an academic lab, which indicated that PEMGARDA may have reduced susceptibility to certain SARS-CoV-2 variants, including KP.3.1.1. In September 2024, we announced that pseudovirus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data generated by our independent, contracted vendor as part of our industrial-grade virology efforts showed continued neutralizing activity of PEMGARDA against KP.3.1.1 and other SARS-CoV-2 variants tested, and later that month, the FDA re-issued an updated PEMGARDA Fact Sheet for HCPs to provide accurate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activity of PEMGARDA against dominant circulating variants, including KP.3.1.1. However, this series of events resulted in confusion in the HCP and vulnerable population communities with respect to PEMGARDA and negatively impacted our net product revenue growth.</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academic or other third-party labs not related to us generate virologic activity data that creates doubt regarding the neutralization activity of pemivibart or any other of our product candidates, our regulatory authorization and our commercial prospects may be harmed, even if such data is ultimately shown to be inconsistent with neutralization data generated through our industrial-grade virology efforts.</w:t>
      </w:r>
    </w:p>
    <w:p>
      <w:pPr>
        <w:spacing w:after="0" w:line="6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Off-label use or misuse of our products may harm our reputation in the marketplace, result in injuries that lead to costly product liability suits, and/or subject us to penalties if we fail to comply with regulatory requirements or experience unanticipated problems with any product.</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our product candidates are authorized or approved by the FDA or comparable foreign regulatory authorities, we may only promote or market our products for their specifically authorized or approved indications. We train our marketing and sales force against promoting our products for uses outside of the authorized or approved indications, known as “off-label uses.” We cannot, however, prevent a physician from using our products off-label. Furthermore, the use of our products for indications other than those authorized or approved by the FDA or comparable foreign regulatory authorities, may not effectively treat such conditions. Any such off-label use of our products could harm our reputation in the marketplace among physicians and patients. There may also be increased risk of injury to patients if physicians attempt to use our products for uses for which they are not authorized or approved, which could lead to product liability suits that might require significant financial and management resources and that could harm our reputation.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7" w:name="page68"/>
    <w:bookmarkEnd w:id="67"/>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authorization or approval in the U.S. will be heavily scrutinized by the FDA, the FTC, the Department of Justice (the “DOJ”), the Office of Inspector General of HHS, state attorneys general, members of the U.S. Congress, and the public. Additionally, advertising and promotion of any product candidate that obtains approval outside of the U.S. will be heavily scrutinized by comparable foreign entities and stakeholders. Violations, including actual or alleged promotion of our products for unapproved or off-label uses, are subject to enforcement letters, inquiries, investigations, and civil and criminal sanctions by the FDA, DOJ or comparable foreign bodies. Any actual or alleged failure to comply with labeling and promotion requirements may result in fines, warning letters, mandates to correct information to healthcare practitioners, injunctions, or civil or criminal penalties.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advertising and promotion of medicinal products in the European Union is subject to European Union and Member States’ national laws, which provide comprehensive regulatory requirements, including restrictions on promotional content, comparative advertising and unfair commercial practices, and may also restrict or impose limitations on the ability to advertise products directly to the general public. In addition, voluntary European Union and national Codes of Conduct provide guidelines on the advertising and promotion of products to the general public and may impose limitations on promotional activities with healthcare professionals. Any actual or alleged failure to comply with promotion requirements may result in fines, warning letters, injunctions, or civil or criminal penalties.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mAb product candidates, including PEMGARDA, may face significant competition from vaccines, antiviral agents and other therapeutics for COVID-19 that are currently available or in development.</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Other biotechnology and pharmaceutical companies are developing therapeutics for COVID-19 or vaccines against SARS-CoV-2, the virus that causes COVID-19, including large pharmaceutical companies that have greater resources for development and established commercialization capabilities. For example, the FDA has approved or granted EUA for several vaccines and therapeutics for the prevention or treatment of COVID-19 developed or marketed by other companies, many of which are large, established biotechnology and pharmaceutical companies. Many of these companies have also been successful in securing government funding to support research and development and/or manufacturing of their product candidates as well as government contracts to purchase their supply orders. Additional vaccines and therapeutics are in development by other pharmaceutical and biopharmaceutical companies. Given the products currently approved or authorized for use as well as those in development by others, any therapies we may develop could face significant competition. If any other company develops therapeutics more rapidly or effectively than we do, develops a therapeutic that becomes the standard of care, develops a therapeutic with a perceived superior risk-benefit profile or other perceived superior attributes such as mode of administration or dosing regimen, develops a therapeutic at a lower cost or is more successful at commercializing an approved therapeutic, we may not be able to successfully commercialize our product candidates targeting COVID-19, even if authorized or approved, or compete with other therapeutics or vaccines, which could adversely impact our business and operations. For example, PEMGARDA has been authorized with a boxed warning for anaphylaxis, which could impede our ability to successfully market and commercialize PEMGARDA and our ability to compete successfully against our competitors.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Many of our existing or potential competitors have substantially greater financial, technical and human resources than we do and significantly greater experience in the discovery, development and manufacture of product candidates, as well as in obtaining regulatory authorizations or approvals of those product candidates in the U.S. and in foreign countries. Our current and potential future competitors may also have significantly more experience commercializing drugs, particularly mAbs and other biological products, that have been authorized or approved for marketing. Furthermore, a number of our competitors have received government contracts to support research and development of their product candidates and supply orders. Mergers and acquisitions in the pharmaceutical and biotechnology industries could result in even more resources being concentrated among a small number of our competitors. Our success is also subject to the risk of current and future disruptive technologies, such as AI; if our competitors are able to more effectively utilize any such new technologies, including but not limited to those that may involve AI or be created using AI, to discover, develop and commercialize products that compete with any of our product candidates, such technologies could adversely impact our ability to compete against our competitors.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will face competition from other drugs or from other non-drug products currently authorized, approved or that will be authorized or approved in the future for the prevention or treatment of diseases we intend to target. Therefore, our ability to compete successfully will depend largely on our ability to:</w:t>
      </w:r>
    </w:p>
    <w:p>
      <w:pPr>
        <w:spacing w:after="0" w:line="68" w:lineRule="exact"/>
        <w:rPr>
          <w:sz w:val="20"/>
          <w:szCs w:val="20"/>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drugs that are differentiated from products in the market;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through our clinical trials that our product candidates are differentiated from existing and future therapies;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qualified scientific, product development and commercial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patent or other proprietary protection for our medicines;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required regulatory authorizations or approvals;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left="1140" w:right="20" w:hanging="504"/>
        <w:spacing w:after="0" w:line="282" w:lineRule="auto"/>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placement in COVID-19 prevention and treatment guidelines from organizations such as the CDC, the WHO and the Infectious Diseases Society of America (the “IDSA”);</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and negotiate competitive pricing with, third-party payors;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sufficient supply to meet market demand;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collaborate with pharmaceutical companies in the discovery, development and commercialization of new medicines.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availability of our competitors’ products could limit the demand and the price we are able to charge for any product candidate we develop, including PEMGARDA. The inability to compete with existing or subsequently introduced drugs would have an adverse impact on our business, financial condition and prospects. In addition, the reimbursement structure of authorized or approved mAbs by other companies could impact the anticipated reimbursement structure of our mAbs, if authorized or approved, and our business, financial condition, results of operations and prospects.</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government entities, such as the CDC, the WHO and non-government professional societies, such as the IDSA, may produce treatment and/or prevention guidelines for COVID-19, including the use of mAbs for these indications. However, our mAbs, even if authorized or approved, may fail to be added to such guidelines or receive poor positioning within such guidelines, which may instead recommend products of our competitors.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Established pharmaceutical companies may invest heavily to accelerate discovery and development of novel compounds or to in-license novel compounds that could make our product candidates less competitive. In addition, any new product that competes with an authorized or approved product must demonstrate compelling advantages in efficacy, convenience, tolerability and safety in order to overcome price competition and to be commercially successful. Accordingly, our competitors may succeed in obtaining patent protection, discovering, developing, receiving authorization or approval for, or commercializing, drugs before we do, which would have an adverse impact on our business and results of operations.</w:t>
      </w:r>
    </w:p>
    <w:p>
      <w:pPr>
        <w:spacing w:after="0" w:line="71"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PEMGARDA and our product candidates depends significantly on coverage and adequate reimbursement or the willingness of patients to pay for these therapies.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believe our success depends on obtaining and maintaining coverage and adequate reimbursement for our product candidates, including PEMGARDA, and the extent to which patients will be willing to pay out-of-pocket for such products, in the absence of reimbursement for all or part of the cost. In the U.S.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healthcare programs (e.g., Medicare, Medicaid, TRICARE), managed care providers, private health insurers, health maintenance organizations, and other organizations is essential for most patients to be able to afford medical services and pharmaceutical products such as our product candidates. Third-party payors often rely upon Medicare coverage policy and payment limitations in setting their own coverage and reimbursement policies. However, decisions regarding the extent of coverage and amount of reimbursement to be provided are made on a payor-by-payor basis and may change from one calendar year to the next. One payor’s determination to provide coverage for a drug product does not assure that other payors will also provide coverage, and adequate reimbursement. In the U.S., the principal decisions about Medicare reimbursement for new medicines are typically made by CMS, an agency within HHS. CMS decides whether and to what extent products will be covered and reimbursed under Medicare and private payors tend to follow CMS to a substantial degree. CMS has published in the Calendar Year 2023 Physician Fee Schedule Final Rule, and reaffirmed in subsequent Calendar Year Rulemaking, a policy that all COVID-19 mAbs for pre-exposure prophylaxis of COVID-19 and their administration will be covered and reimbursed under the Part B preventative vaccine benefit. CMS has not communicated a timeline for publishing coverage information for any such product once it has been granted an EUA. A significant delay in publication of product specific billing codes and their associated payment rates could impact initial prescription rates by providers and demand by patients. Furthermore, a delay by CMS in publishing updated payment limits following any price increase of a product could impact prescription rates by providers or lead to deferment in treatment for patients, which could adversely affect our sales.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Third-party payors determine which products and procedures they will cover and establish reimbursement levels. Even if a third-party payor covers a particular product or procedure, the resulting reimbursement payment rates may not be adequate. In addition, for products administered under the supervision of a physician, obtaining coverage and adequate reimbursement may be particularly difficult because of the higher prices often associated with such drugs.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Reimbursement by a third-party payor may depend upon a number of factors, including the third-party payor’s determination that a product is safe, effective and medically necessary; appropriate for the specific patient; cost-effective; supported by peer-reviewed medical journals; included in clinical practice guidelines; and neither cosmetic, experimental nor investigational. Government entities, such as the CDC, the WHO and non-government professional societies, such as the IDSA, may produce treatment and/or prevention guidelines for the prevention and treatment of COVID-19, including guidance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regarding the use of mAbs in these indications. If our product candidates, to the extent authorized or approved, fail to be added to these guidelines, or if they receive poor positioning within these guidelines, payors and other customers may be less inclined to add any such product candidate to their formularies, significantly reducing demand for such product candidate, if authorized or approved.</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increasing efforts by third-party payors in the U.S. and abroad to cap or reduce healthcare costs may cause such organizations to limit both coverage and the level of reimbursement for newly approved products and, as a result, they may not cover or provide adequate payment for our product candidates, if authorized or approved. In order to secure coverage and reimbursement for any product that might be authorized or approved for sale, we may need to conduct expensive pharmacoeconomic studies in order to demonstrate the medical necessity and cost-effectiveness of our products, in addition to the costs required to obtain FDA or comparable regulatory authorizations or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 at a profit. We expect to experience pricing pressures from third-party payors in connection with the potential sale of any of our product candidates. Decreases in third-party reimbursement for any product or a decision by a third-party payor not to cover a product could reduce physician usage and patient demand for the product and also have a material adverse effect on sales.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Foreign governments also have their own healthcare reimbursement systems, which vary significantly by country and region, and we cannot be sure that coverage and adequate reimbursement will be made available with respect to the treatments in which our products are used under any foreign reimbursement system, to the extent any of our product candidates are authorized or approved outside of the U.S. For example, in many countries in the European Union, procedures to obtain price approvals, coverage and reimbursement can take considerable time after the receipt of marketing authorization. Many European countries periodically review their reimbursement of medicinal products, which could have an adverse impact on reimbursement status. In addition, we expect that legislators, policymakers and healthcare insurance funds in the European Union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 Moreover, in order to obtain reimbursement for products in some European countries, including some European Union Member States, data comparing the cost-effectiveness of products to other available therapies may be required. Health Technology Assessment (“HTA”) of medicinal products is becoming an increasingly common part of the pricing and reimbursement procedures in some European Union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European Union Member States. The extent to which pricing and reimbursement decisions are influenced by the HTA of the specific medicinal product currently varies between European Union Member States, although the European Union’s HTA Regulation, which started to apply on January 12, 2025, aims to harmonize the clinical benefit assessment of HTA across the European Union. If in the future we seek but are unable to obtain and then maintain favorable pricing and reimbursement status in European Union Member States that represent significant markets, our anticipated revenue from and growth prospects for products in the European Union could be negatively affected. If we experience setbacks or unforeseen difficulties in obtaining favorable pricing and reimbursement decisions, any planned launches in the affected European Union Member States would be delayed, which could negatively impact any anticipated revenue from and growth prospects for relevant product candidates.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can be no assurance that PEMGARDA or any other product candidate, if authorized or approved for sale in the U.S. or in other countries, will be considered medically reasonable and necessary, that it will be considered cost-effective by third-party payors, that coverage or an adequate level of reimbursement will be available or that reimbursement policies and practices in the U.S. and in foreign countries where our products are sold will not adversely affect our ability to sell our product candidates profitably, if they are authorized or approved for sale.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Any product candidates for which we determine to seek approval as biological products may face biosimilar competition sooner than anticipated.</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if we are successful in achieving regulatory approval to commercialize any biological product candidate that we develop, such approved product may face competition from biosimilar products. In the U.S., product candidates are regulated by the FDA as biological products subject to approval under the BLA pathway. The ACA includes a subtitle called the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spacing w:after="0" w:line="256" w:lineRule="auto"/>
        <w:rPr>
          <w:sz w:val="20"/>
          <w:szCs w:val="20"/>
          <w:color w:val="auto"/>
        </w:rPr>
      </w:pPr>
      <w:r>
        <w:rPr>
          <w:rFonts w:ascii="Times New Roman" w:cs="Times New Roman" w:eastAsia="Times New Roman" w:hAnsi="Times New Roman"/>
          <w:sz w:val="18"/>
          <w:szCs w:val="18"/>
          <w:color w:val="auto"/>
        </w:rPr>
        <w:t>product was first licensed by the FDA.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an adverse effect on the future commercial prospects for biological products.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There is a risk that any of our product candidates approved as a biological product under a BLA would not qualify for the 12-year period of exclusivity or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In the European Union, biosimilars can only be authorized once the period of data exclusivity on our candidate, as ‘reference’ biological medicinal product, has expired. In general, this means that the biological reference medicine must have been authorized for at least eight years before another company can apply for authorization of a similar biological product. If competitors are able to obtain marketing approval for biosimilars referencing our candidates, if approved, our products may become subject to competition from such biosimilars, with the attendant competitive pressure and potential adverse consequences.</w:t>
      </w:r>
    </w:p>
    <w:p>
      <w:pPr>
        <w:spacing w:after="0" w:line="8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face an even greater risk as we sell any products that have been authorized or approved, such as PEMGARDA, which received an EUA from the FDA in March 2024. Side effects or adverse events known or reported to be associated with, or manufacturing defects in, the products sold by us could exacerbate a patient’s condition, or could result in serious injury or impairment or even death. For example, in the CANOPY clinical trial, the most common adverse reactions included systemic infusion-related reactions and hypersensitivity reactions, local infusion site reactions, and infusion site infiltration or extravasation. Anaphylaxis has been observed with PEMGARDA, and the PEMGARDA Fact Sheet for HCPs includes a boxed warning for anaphylaxis. This could result in product liability claims against us and/or recalls of one or more of our products. In many countries, including in European Union Member States, national laws provide for strict (no-fault) liability which applies even where damages are caused both by a defect in a product and by the act or omission of a third party. If we cannot successfully defend ourselves against claims that our product candidates or drugs caused injuries, we will incur substantial liabilities. Regardless of merit or eventual outcome, liability claims may result in:</w:t>
      </w:r>
    </w:p>
    <w:p>
      <w:pPr>
        <w:spacing w:after="0" w:line="86" w:lineRule="exact"/>
        <w:rPr>
          <w:sz w:val="20"/>
          <w:szCs w:val="20"/>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drugs that we may develop;</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paid to trial participants or patients;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exhaustion of any available insurance and our capital resources;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Although we maintain product liability insurance coverage, such insurance may not be adequate to cover all liabilities that we may incur. We may need to increase our insurance coverage as we expand our clinical trials or continue commercialization of our product candidates. Insurance coverage is increasingly expensive. We may not be able to maintain insurance coverage at a reasonable cost or in an amount adequate to satisfy any liability that may arise.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computer system failures, cyberattacks or a deficiency in our or our CDMO’s, CROs’, contractors’, consultants’ or collaborators’ cybersecurity.</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Maintaining the security of our information systems and communication systems is a critical issue for us, and we devote considerable internal and external resources to network security and other security measures to protect our systems and users, but these security measures cannot provide absolute security. The multitude and complexity of our information systems may make them susceptible to service interruption, cybersecurity incidents, disruption of data integrity, inadvertent errors that expose our data or systems, malicious intrusion, or cyberattacks. Despite our efforts, the possibility of these events occurring, and the ever-changing threat landscape, cannot be eliminated entirely and there can be no assurance that any measures we take will prevent cyber-attacks or cybersecurity incidents that could adversely affect our business.</w:t>
      </w:r>
    </w:p>
    <w:p>
      <w:pPr>
        <w:spacing w:after="0" w:line="79"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Our internal information systems, and those of third parties on which we rely, are also vulnerable to, among other things, computer viruses, malware, natural disasters, terrorism, war, telecommunication and electrical failures, system malfunctions, cyberattacks or cyber-intrusions over the Internet, social engineering (e.g., phishing attacks), attacks enhanced or facilitated by AI, and other similar threats. Further, adoption of AI tools by us or by third parties may pose new cybersecurity challenges. Threat actors may use AI tools to automate and enhance cybersecurity attacks against us. We use software and platforms designed to detect such cybersecurity threats, including AI-based tools, but these threats could become more sophisticated and harder to detect and counteract, which may pose significant risks to our data security and systems. The source of these vulnerabilities may be persons inside or outside our organization. We have in the past and plan to in the future identify defects, errors, or vulnerabilities, which could inadvertently permit access to or exposure of data, including personal data, that we maintain or which third parties maintain on our behalf. The risk of a cybersecurity incident, particularly through cyberattacks or cyber intrusion, including by computer hackers, foreign governments and cyber terrorists, has generally increased as the number, intensity and sophistication of attempted attacks and intrusions from around the world have increased. For example, the ongoing conflict between Russia and Ukraine has led to an increase in cyberattacks on Ukraine, including its government, companies, institutions and people, as well on the financial and communications infrastructure of other countries, companies and individuals therein. If any such event were to occur in countries in which we operate, it could lead to the loss, destruction, alteration, prevention of access to, disclosure, dissemination of, or damage or unauthorized access to, our data (including trade secrets or other confidential information, intellectual property, proprietary business information and personal data) or data that is processed or maintained on our behalf, and cause interruptions in our operations, resulting in a material disruption of our product development programs. For example, the loss or alteration of clinical trial data from completed or ongoing or planned clinical trials could result in delays in our regulatory approval efforts, significantly increase our costs to recover or reproduce the data, and reduce trial participants’ or patients’ trust in us. Additionally, such events could lead to an interruption in our supply chain for the manufacturing of clinical and commercial drug substance and drug product, as well as related materials, and could significantly impact development and commercialization timelines and capabilities. If our information systems or a third-party’s information systems on which we rely suffer severe damage, disruption or shutdown and issues are not resolved in a timely manner, we could experience delays in reporting our financial results, and we may lose revenue and profits as a result of our inability to timely manufacture or distribute our products. We continue to implement security measures to bolster our network security and protect our systems, however, such efforts are not guaranteed to prevent such events from occurring.</w:t>
      </w:r>
    </w:p>
    <w:p>
      <w:pPr>
        <w:spacing w:after="0" w:line="9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cannot ensure that our data protection efforts and our investment in information technology (“IT”), or the efforts or investments of our CDMO, CROs, consultants or other third parties with which we work, will prevent cybersecurity incidents that cause loss, destruction, unavailability, alteration, dissemination of, or damage or unauthorized access to, our data, including personal data, assets and other data processed or maintained on our behalf, that could have a material adverse effect upon our reputation, business, operations or financial condition. We rely on third parties to manufacture, package and label our product candidates, and any data breaches or other cybersecurity incidents relating to their information systems, or the information systems of other business partners, could also have a material adverse effect on our business. Controls employed by our IT department and our CDMO, CROs, consultants and other third parties could prove inadequate, and our ability to monitor such third parties’ data security practices is limited. Due to applicable laws, rules, regulations and standards or contractual obligations, we may be held responsible for actual or perceived information security failures or cybersecurity incidents attributed to our third-party service providers as they relate to the information we share with them. While we may be entitled to damages if our third-party service providers fail to satisfy their cybersecurity-related obligations to us, any award may be insufficient to cover our damages, or we may be unable to recover such award.</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Notifications and follow-up actions related to a data breach or other cybersecurity incident could impact our reputation and cause us to incur significant costs, including significant legal expenses and remediation costs as well as potential regulatory scrutiny. We expect to incur significant costs in an effort to detect and prevent cybersecurity incidents, and we may face increased costs and requirements to expend substantial resources in the event of an actual or perceived cybersecurity incident. However, we cannot guarantee that we will be able to detect or prevent any such cybersecurity incidents, or that we can remediate any such incidents in an effective or timely manner. Our efforts to improve security and protect data from compromise may also identify previously undiscovered cybersecurity incidents. Moreover, data protection laws and regulations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2" w:name="page73"/>
    <w:bookmarkEnd w:id="72"/>
    <w:p>
      <w:pPr>
        <w:jc w:val="both"/>
        <w:spacing w:after="0" w:line="253" w:lineRule="auto"/>
        <w:rPr>
          <w:sz w:val="20"/>
          <w:szCs w:val="20"/>
          <w:color w:val="auto"/>
        </w:rPr>
      </w:pPr>
      <w:r>
        <w:rPr>
          <w:rFonts w:ascii="Times New Roman" w:cs="Times New Roman" w:eastAsia="Times New Roman" w:hAnsi="Times New Roman"/>
          <w:sz w:val="18"/>
          <w:szCs w:val="18"/>
          <w:color w:val="auto"/>
        </w:rPr>
        <w:t>in the jurisdictions where we operate often require “reasonable,” “appropriate” or “adequate” technical and organizational cybersecurity measures, and the interpretation and application of those laws and regulations are often uncertain and evolving; there can be no assurance that our cybersecurity measures will be deemed adequate, appropriate or reasonable by a regulator or court. Further, even security measures that are deemed appropriate, reasonable, and/or in accordance with applicable legal standards or requirements may not be able to protect the information we maintain. To the extent that any disruption or cybersecurity incident was to result in a loss of or damage to our data or applications, or inappropriate disclosure of confidential or proprietary information or personal data, we could incur material reputational harm, penalties, regulatory scrutiny, liabilities, legal claims, and/or mandated changes in our business practices. It could also interfere with our ability to comply with financial or other legal reporting requirements or result in loss of competitive position and, furthermore, the development of our product candidates could be delayed. Any such event could also compel us to comply with federal and state breach notification laws, and foreign law equivalents, subject us to investigations or mandatory corrective action and otherwise subject us to substantial liability under laws, rules, regulations and standards that protect the privacy and security of personal data, which could result in significant legal and financial exposure and reputational damages that could potentially have an adverse effect on our business.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the cost and operational consequences of implementing further data protection measures could be significant, and theft of our intellectual property or proprietary business information could require substantial expenditures to remedy. Further, we cannot be certain that our liability insurance will be sufficient in type or amount to cover us against claims related to a cybersecurity incident, such coverage will cover any indemnification claims against us relating to any cybersecurity incident, such coverage will continue to be available to us on economically reasonable terms, or at all, or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 variety of privacy and data security laws, rules, regulations, policies, industry standards and contractual obligations, and our failure to comply with them could harm our business.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maintain a large quantity of sensitive information, including confidential business and personal information in connection with the conduct of our clinical trials and related to our employees, and we are subject to laws and regulations governing the privacy and security of such information. In the U.S., there are numerous federal and state privacy and data security laws and regulations governing the collection, use, disclosure and protection of personal information, including federal and state health information privacy laws, federal and state security breach notification laws and federal and state consumer protection laws. The legislative and regulatory landscape for privacy and data protection continues to evolve, and there has been an increasing focus on privacy and data protection issues, which may affect our business and is expected to increase our compliance costs and exposure to liability. In the U.S., numerous federal and state laws and regulations could apply to our operations or the operations of our partners, including state data breach notification laws, state health information privacy laws and federal and state consumer protection laws and regulations, including Section 5 of the FTC Act and the FTC Health Breach Notification Rule, that govern the collection, use, disclosure and protection of health-related and other personal information. In addition, we may obtain health information from third parties, including research institutions from which we obtain clinical trial data, that are subject to privacy and security requirements under the federal Health Insurance Portability and Accountability Act, as amended by the Health Information Technology for Economic and Clinical Health Act, and the regulations promulgated thereunder (“HIPAA”). HIPAA imposes privacy and security obligations on “covered entities,” covered entity health care providers, health plans, and health care clearinghouses, as well as their “business associates” (i.e., certain persons or entities that create, receive, maintain, or transmit protected health information in connection with providing a specified service or performing a function for or on behalf of a covered entity). Depending on the facts and circumstances, we could be subject to criminal penalties if we, our affiliates, or our agents knowingly receive individually identifiable health information maintained by a HIPAA-covered entity in a manner that is not authorized or permitted by HIPAA, and subject to other civil and/or criminal penalties if we obtain, use, or disclose information in a manner not permitted by other privacy and data security and consumer protection laws.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At the federal level, the FTC also sets expectations for failing to take appropriate steps to keep consumers’ personal information secure, or failing to provide a level of security commensurate to promises made to individuals about the security of their personal information (such as in a privacy notice) may constitute unfair or deceptive acts or practices in violation of the FTC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and has taken the position that individually identifiable health information is considered sensitive data that merits stronger safeguards. With respect to privacy, the FTC also sets expectations for failing to honor the privacy promises made to individuals about how a company handles consumers’ personal information; such failure may also constitute unfair or deceptive acts or practices in violation of the FTC Act. The FTC also has the power to enforce the Health</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Breach Notification Rule, which imposes notification obligations on companies for breaches of certain health information contained in personal health records. Enforcement by the FTC under the FTC Act can result in civil penalties or enforcement actions.</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States are also continuing to adopt new laws or amend existing laws, requiring attention to frequently changing regulatory requirements. For example, the CCPA gives California consumers (as defined by law) certain rights, including to access, correct and delete their personal information and to opt-out of certain personal information disclosures, including sales of their personal information. It also requires covered companies to provide disclosures to California consumers and includes opt-out rights for certain uses of sensitive data. Under the CCPA, the California Privacy Protection Agency is authorized to issue and has issued substantive regulations, including with respect to risk assessments and cybersecurity audits, which could result in increased privacy and information security enforcement. The CCPA provides for civil penalties for violations, as well as a private right of action for data breaches of certain types of data that is expected to increase data breach litigation. Similar state consumer protection laws have passed in other states and there are now more than a dozen in effect. Future laws may have potentially conflicting requirements that would make compliance challenging and present legal risk and could result in significant compliance costs. Health-specific consumer privacy laws also exist in multiple states, including Washington and Nevada.</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Europe and the United Kingdom, the GDPR, including as implemented in the United Kingdom, governs the processing of personal data of individuals within the European Economic Area (“EEA”) and the United Kingdom, including clinical trial data. Among other things, the GDPR imposes requirements regarding the security of personal data, notification of data breaches to the competent national authorities, and requires having lawful basis for processing personal data (which may in certain situations require explicit consent of data subjects). The GDPR imposes substantial fines for breaches and violations (for the most serious violations of up to the greater of €20 million or 4% of annual global turnover) and confers the right for data subjects to lodge complaints with supervisory authorities, seek judicial remedies and obtain compensation for damages resulting from violations of the GDPR. In addition, the GDPR generally restricts the transfers of personal data from the EEA, including the European Union and the United Kingdom, to other jurisdictions that the European Commission/United Kingdom Secretary of State, as applicable, does not recognize as having “adequate” data protection laws unless the parties to the transfer have implemented specific safeguards to protect the transferred personal data. With respect to the U.S., on July 10, 2023, the European Commission adopted its adequacy decision for the EU-US Data Privacy Framework, enabling personal data to be transferred from the European Union to U.S. organizations that are certified under the Data Privacy Framework.</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lack of valid transfer mechanisms for GDPR-covered data could increase exposure to enforcement actions as described above and may affect our business operations and require commercial cost (including potentially limiting our ability to collaborate/work with certain third parties and/or requiring an increase in our data processing capabilities in the European Union and United Kingdom). Further, the European Union and United Kingdom data protection laws (including laws on data transfers as set out above) may also be updated/revised, accompanied by new guidance and/or judicial/regulatory interpretations, which could entail further impacts on our compliance efforts and increased cost.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Compliance with these and any other applicable privacy and data security laws and regulations is a rigorous and time-intensive process, and we may be required to put in place additional mechanisms ensuring compliance with the new data protection rules. Any failure or perceived failure by us, a company that we acquire, or one of our service providers to comply with laws, regulations, policies, legal or contractual obligations, industry standards or regulatory guidance relating to privacy or data security could result in governmental investigations and enforcement actions, litigation, fines and penalties, exposure to indemnification obligations or other liabilities, and adverse publicity, all of which could have an adverse effect on our reputation, as well as our business, financial condition, and results of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Moreover, as a result of the broad scale release and availability of AI technologies such as generative AI, there is a global trend towards more regulation (e.g., the EU AI Act and AI laws passed in U.S. states) to ensure the ethical use, privacy, and security of AI and the data that it processes. Compliance with such laws will likely be an increasing and substantial cost in the future.</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With the GDPR, CCPA and other laws, regulations and other obligations relating to privacy and data protection imposing evolving and relatively burdensome obligations, and with the substantial uncertainty over the interpretation and application of these and other obligations, we may face challenges in addressing their requirements and making necessary changes to our policies and practices and may incur significant costs and expenses in an effort to do so. However, these policies and practices may not be aligned with every applicable legal or regulatory standard immediately, due in part to the rapidly shifting landscape of privacy and data security requirements. A regulatory review or other independent assessment of the privacy program may result in identifying one or more areas of non-compliance. Additionally, if third parties with which we work, such as vendors or service providers, violate applicable laws, rules or regulations or our policies or contractual obligations, such violations may also put our or our clinical trial and employee data, including personal data, at risk, which could in turn have an adverse effect on our business. The landscape of laws regulating personal data is constantly evolving, and compliance with these laws requires a flexible privacy framework and substantial resources. Accordingly compliance efforts will likely be an increasing and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jc w:val="both"/>
        <w:spacing w:after="0" w:line="282" w:lineRule="auto"/>
        <w:rPr>
          <w:sz w:val="20"/>
          <w:szCs w:val="20"/>
          <w:color w:val="auto"/>
        </w:rPr>
      </w:pPr>
      <w:r>
        <w:rPr>
          <w:rFonts w:ascii="Times New Roman" w:cs="Times New Roman" w:eastAsia="Times New Roman" w:hAnsi="Times New Roman"/>
          <w:sz w:val="18"/>
          <w:szCs w:val="18"/>
          <w:color w:val="auto"/>
        </w:rPr>
        <w:t>substantial cost in the future. Federal and foreign regulators, state attorneys general, and plaintiffs’ attorneys, including class action attorneys, have been and will likely continue to be active in this space.</w:t>
      </w:r>
    </w:p>
    <w:p>
      <w:pPr>
        <w:spacing w:after="0" w:line="50"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any contract manufacturers and suppliers we engage fail to comply with environmental, health and safety laws and regulations, we could become subject to fines or penalties or incur costs that could seriously harm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seriously harm our business.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 parties to conduct, supervise, analyze and monitor a significant portion of our nonclinical activities and clinical trials for our product candidates, and if those third parties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have engaged CROs and other third parties to conduct nonclinical activities and clinical trials for our product candidates, and to monitor and manage data. We expect to continue to rely on third parties such as clinical data management organizations, medical institutions and clinical investigators to conduct such activities and trials. We also rely on third parties for their research and discovery capabilities, including the nonclinical activity of assay development and virology testing of our product candidates.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on commercially reasonable terms, if at all. Switching or adding CROs or other third-party vendors requires management time and focus, and may involve substantial cost or result in delays that materially impact our ability to meet our desired program timelines for our product candidates. Though we intend to carefully manage our relationships with our CROs and other third-party vendors, there can be no assurance that we will not encounter challenges or delays in the future or that any such delays or challenges will not have a material adverse impact on our business, financial condition and prospects.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any third parties conducting our nonclinical activities or our clinical trials, or monitoring and managing our data, will not be our employees, and except for remedies available to us under our agreements with such third parties, we cannot control whether or not they devote sufficient time and resources to our programs. If these third parties do not successfully carry out their contractual duties or obligations or meet expected deadlines, or if the quality or accuracy of the nonclinical, clinical or other data they generate or otherwise obtain is compromised or not timely made available to us or regulatory authorities, due to the failure to adhere to applicable protocols, regulatory requirements, contractual obligations or for other reasons, our preclinical studies or clinical trials may be extended, delayed or terminated, the strength and reliability of our data may be adversely impacted, which may impact our ability to obtain or maintain regulatory authorization or approval, or result in modification to the regulatory authorization or approval documents (e.g., EUA fact sheet, letter of authorization or prescribing information), and may impact our ability to successfully commercialize our product candidates. Consequently, our results of operations and the commercial prospects for our product candidates may be harmed, our costs could increase substantially and our ability to generate revenue could be impaired significantly. For example, following receipt of EUA from the FDA in March 2024 for PEMGARDA (pemivibart) for the pre-exposure prophylaxis (prevention) of COVID-19 in certain adults and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5" w:name="page76"/>
    <w:bookmarkEnd w:id="75"/>
    <w:p>
      <w:pPr>
        <w:jc w:val="both"/>
        <w:spacing w:after="0" w:line="254" w:lineRule="auto"/>
        <w:rPr>
          <w:sz w:val="20"/>
          <w:szCs w:val="20"/>
          <w:color w:val="auto"/>
        </w:rPr>
      </w:pPr>
      <w:r>
        <w:rPr>
          <w:rFonts w:ascii="Times New Roman" w:cs="Times New Roman" w:eastAsia="Times New Roman" w:hAnsi="Times New Roman"/>
          <w:sz w:val="18"/>
          <w:szCs w:val="18"/>
          <w:color w:val="auto"/>
        </w:rPr>
        <w:t>adolescent individuals (12 years of age and older weighing at least 40 kg), we were informed in mid-July 2024 by our third-party authentic virus neutralization assay (“AVNA”) vendor that a possible contamination event may have impacted the AVNA potency value generated by such vendor for pemivibart against JN.1, which was the dominant circulating SARS-CoV-2 variant in the U.S. between January 2024 and April 2024. Along with the pseudotyped viral neutralization assay (“PVNA”) potency value for pemivibart against JN.1, the original PEMGARDA Fact Sheet for HCPs reflected the AVNA potency value for pemivibart against JN.1. As a result of the possible contamination event at our third-party AVNA vendor that may have impacted the AVNA potency value for pemivibart against JN.1, the FDA made modifications to the PEMGARDA Fact Sheet for HCPs, including, among other changes, removal of the AVNA potency value for pemivibart against JN.1 and incorporation of certain other available information for HCPs to consider when determining whether to prescribe PEMGARDA.</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reliance on CROs and other third parties reduces our control over our nonclinical activities and clinical trials, but does not relieve us of our regulatory responsibilities. For example, we will remain responsible for ensuring that each of our clinical trials is conducted in accordance with the general investigational plan and protocols for the trial. Moreover, the FDA requires us to comply with standards, commonly referred to as cGCPs, for conducting, recording and reporting the results of clinical trials to assure that data and reported results are credible and accurate and that the rights, integrity and confidentiality of trial participants are protected. If we or any of our CROs or other third parties, including trial sites, fail to comply with applicable cGCPs, the clinical data generated in our clinical trials may be deemed unreliable and the FDA or comparable foreign regulatory authorities may require us to perform additional clinical trials before authorizing or approving our product candidates. We cannot assure you that upon inspection by a given regulatory authority, such regulatory authority will determine that any of our clinical trials complies with cGCP regulations. In addition, our clinical trials must be conducted with product produced under cGMP conditions. Our failure to comply with these regulations may require us to repeat clinical trials, which would delay the regulatory authorization or approval process for our product candidates.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are required to register certain clinical trials and post the results of certain completed clinical trials on a government-sponsored database, such as ClinicalTrials.gov, within specified timeframes. This remains our obligation regardless of whether we have contracted any third party to assist and failure to do so can result in fines, adverse publicity and civil and criminal sanctions.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principal investigators for our clinical trials may serve as scientific advisors or consultants to us from time to time and receive compensation in connection with such services. Under certain circumstances, we may be required to report some of these relationships to the FDA. The FDA may conclude that a financial relationship between us and a principal investigator has created a conflict of interest or otherwise affected interpretation of the trial. The FDA may therefore question the integrity of the data generated at the applicable clinical trial site and the utility of the clinical trial itself may be jeopardized, which may lead to the delay or denial of regulatory authorization or approval for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label, package, store and distribute product supplies for our clinical trials. Any performance failure on the part of such third parties could delay clinical development or marketing approval or authorization of our product candidates or commercialization of our products, producing additional losses and depriving us of potential revenue.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our CROs or other third-party vendors do not successfully carry out their contractual duties, comply with regulatory requirements or otherwise perform satisfactorily, we may not be able to obtain or maintain regulatory authorization or approval or successfully commercialize product candidates, or such authorization or approval or commercialization may be delayed or impaired, and our business may be substantially harmed.</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to manufacture, test, label, package, store and distribute clinical and commercial supplies of our product candidates.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currently rely on third parties for manufacturing, testing, labeling, packaging, storing and distributing our product candidates. We do not own or operate any facilities for product manufacturing, testing, labeling, packaging, or storage.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facilities used by our third-party contractors to manufacture and test our product candidates may be inspected by the FDA after we submit an EUA or a BLA to the FDA. We rely on WuXi Biologics as our CDMO to manufacture our COVID-19 product candidates for clinical and commercial supply. We do not control the manufacturing process of, and are completely dependent on, our CDMO for compliance with the cGMP requirements. If our CDMO cannot successfully manufacture material that conforms to our specifications and the strict regulatory requirements of the FDA or other regulatory authorities, we will not be able to secure and/or maintain regulatory authorization or approval for our product candidates. In addition, we have limited control over the ability of our CDMO to maintain adequate quality control, quality assurance and qualified personnel, including their ability to adequately separate products within their multi-product manufacturing facilities to prevent cross-contamination. If the FDA or a comparable foreign regulatory authority does not approve these facilities for the manufacture of our product candidates or if it withdraws any such approval in the future, we may need to find alternative manufacturing facilities, which could significantly impact our ability to timely develop, obtain regulatory authorization or approval for or</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jc w:val="both"/>
        <w:spacing w:after="0" w:line="266" w:lineRule="auto"/>
        <w:rPr>
          <w:sz w:val="20"/>
          <w:szCs w:val="20"/>
          <w:color w:val="auto"/>
        </w:rPr>
      </w:pPr>
      <w:r>
        <w:rPr>
          <w:rFonts w:ascii="Times New Roman" w:cs="Times New Roman" w:eastAsia="Times New Roman" w:hAnsi="Times New Roman"/>
          <w:sz w:val="18"/>
          <w:szCs w:val="18"/>
          <w:color w:val="auto"/>
        </w:rPr>
        <w:t>market our product candidates, if authorized or approved. If we are not able to meet market demand for any authorized or approved product or if we are not able to produce supply at low enough costs, it would negatively impact our ability to generate revenue, harm our reputation, and could have an adverse effect on our business, financial condition, results of operations and prospects.</w:t>
      </w:r>
    </w:p>
    <w:p>
      <w:pPr>
        <w:spacing w:after="0" w:line="68"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currently rely exclusively on WuXi Biologics’ China-based facilities for clinical supply and commercial supply of our COVID-19 mAbs. Foreign CDMOs may be subject to trade restrictions and other foreign regulatory requirements, which could increase the cost or reduce the supply of material available to us, delay the procurement or supply of such material, or delay or prevent the shipment of material out of the foreign country to the U.S. There is additional uncertainty as it is not known what actions, including the imposition of potential sanctions or tariffs, may be taken by the U.S. presidential administration. Additionally, the biopharmaceutical industry in particular in China is strictly regulated by the Chinese government. Changes to Chinese regulations affecting biopharmaceutical companies are unpredictable and may have a material adverse effect on our partnerships in China, which could have an adverse effect on our business, financial condition, results of operations and prospects. Foreign CDMOs may also be the subject of U.S. legislation. For example, in December 2025, the BIOSECURE Act was enacted into law as part of the National Defense Authorization Act for fiscal year 2026. The new law prohibits U.S. federal executive agencies from contracting with any entity where the biotechnology equipment or services of a “biotechnology company of concern” would be used in the performance of that contract. Biotechnology companies of concern will include entities (1) listed on the Department of Defense Section 1260H list of “Chinese military companies” that are determined through an interagency process led by the Office of Management and Budget to be involved in the manufacturing, distribution, provision or procurement of any biotechnology equipment or service; and (2) additional entities later designated as biotechnology companies of concern through the same interagency process led by the Office of Management and Budget. The BIOSECURE Act has the potential to severely restrict our ability to purchase services or products from, or otherwise collaborate with, such “biotechnology companies of concern” without losing the ability to contract with, or otherwise receive funding from, the U.S. government. We do business with foreign companies, and it is possible some of our services providers could be impacted by the new legislation. WuXi Biologics is not currently identified as a “biotechnology company of concern,” but there is no assurance that this will remain the case. If WuXi Biologics or any of the other third parties that we engage to supply any materials or manufacture products for our preclinical tests and clinical trials should cease to continue to do so for any reason, we could experience delays in advancing these tests and trials while we identify and qualify replacement suppliers or manufacturers and we may be unable to obtain replacement supplies on terms that are favorable to us, or at all. In addition, if we are not able to obtain adequate supplies of our products or product candidates or the substances used to manufacture them, it will be more difficult for us to develop our product candidates, commercialize our products and compete effectively.</w:t>
      </w:r>
    </w:p>
    <w:p>
      <w:pPr>
        <w:spacing w:after="0" w:line="9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our reliance on third parties for manufacturing, testing, labeling, packaging and storing our product candidates entails risks to which we would not be subject if we manufactured, tested, labeled, packaged and stored our product candidates ourselves, including:</w:t>
      </w:r>
    </w:p>
    <w:p>
      <w:pPr>
        <w:spacing w:after="0" w:line="54" w:lineRule="exact"/>
        <w:rPr>
          <w:sz w:val="20"/>
          <w:szCs w:val="20"/>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access sufficient manufacturing capacity on desired timelines;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third-party manufacturer to execute our manufacturing procedures and other logistical support requirements appropriately;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negotiate additional manufacturing agreements with third parties under commercially reasonable terms, if at all;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termination or nonrenewal of manufacturing agreements in a manner or at a time that is costly or damaging to us;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ownership of the intellectual property rights in any improvements made by a third-party manufacturer in the manufacturing process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manufacturer may gain knowledge from working with us that could be used to supply one of our competitors with a product that competes with ours;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operations of a third-party manufacturer or suppliers by conditions unrelated to our business or operations, including the bankruptcy of the manufacturer or supplier.</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engaged WuXi Biologics for development and generation of the production cell line starting material manufacturing for our product candidates. The cell line expression technology used to generate the cell line is a licensed technology. Only high-level information identifying the general nature of the control elements in the expression vector has been provided to us. Details of the expression technology have not been provided, nor has there been sufficient information provided to enable a freedom-to-operate assessment of the expression technology.</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be sure that single-source suppliers for our manufacturing raw materials will remain in business, will not be subject to regulatory actions that impede our procurement of raw materials, or will not be purchased by one of our competitors or another company that is not interested in continuing to produce these raw materials for our intended purpose. In addition, the lead time needed to establish a relationship with a new supplier could be lengthy and we could experience delays in meeting demand in the event we must switch to a new supplier. The time and effort to qualify a new supplier could result in additional costs, delays resulting in supply disruptions, diversion of resources or reduced manufacturing yields, any of which would adversely impact our business, financial condition and results of operations.</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lead to clinical trial delays or failure to obtain or maintain regulatory authorization or approval or impact our ability to successfully commercialize our product candidates, if authorized or approved. Some of these events could be the basis for FDA action, including injunction, request for recall, seizure or total or partial suspension of production.</w:t>
      </w:r>
    </w:p>
    <w:p>
      <w:pPr>
        <w:spacing w:after="0" w:line="64"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collaborations with third parties for the discovery, development or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seek third-party collaborators for the discovery, development and commercialization of our product candidates, including for the commercialization of any of our product candidates that are approved for marketing outside the U.S. Our likely collaborators for any such arrangements include regional and national pharmaceutical companies and biotechnology companies. If we enter into any additional such arrangements with any third parties, we will likely have limited control over the amount and timing of resources that our collaborators dedicate to the development or commercialization of our product candidates. Our ability to generate revenue from these arrangements will depend on our collaborators’ abilities to successfully perform the functions assigned to them in these arrangements.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Collaborations involving our product candidates would pose the following risks to us:</w:t>
      </w:r>
    </w:p>
    <w:p>
      <w:pPr>
        <w:spacing w:after="0" w:line="117" w:lineRule="exact"/>
        <w:rPr>
          <w:sz w:val="20"/>
          <w:szCs w:val="20"/>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grant exclusive rights to our collaborators that would prevent us from collaborating with others;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discovered in collaboration with us may be viewed by our collaborators as competitive with their own product candidates or drugs, which may cause collaborators to cease to devote resources to the commercialization of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71"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8" w:name="page79"/>
    <w:bookmarkEnd w:id="78"/>
    <w:p>
      <w:pPr>
        <w:ind w:left="1140" w:hanging="50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could be required to raise additional capital to pursue further development or commercialization of the applicable product candidates.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Collaboration agreements may not lead to development or commercialization of product candidates in the most efficient manner or at all. If any future collaborator of ours were to be involved in a business combination, the continued pursuit and emphasis on our product development or commercialization program could be delayed, diminished or terminated.</w:t>
      </w:r>
    </w:p>
    <w:p>
      <w:pPr>
        <w:spacing w:after="0" w:line="68"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any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the European Commission or similar regulatory authorities outside the U.S.,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depend may be adversely affected by earthquakes, wildfires or other natural and manmade disasters, and our business continuity and disaster recovery plans may not adequately protect us from a serious disaster.</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unplanned event, such as flood, fire, explosion, earthquake, extreme weather condition, medical epidemics or pandemics, power shortage, telecommunication failure, armed conflict, or other natural or manmade accidents or incidents that result in the third parties upon whom we depend from being unable to fully utilize their facilities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wildfires or other natural disasters could further disrupt our operations and have a material and adverse effect on our business, financial condition, results of operations and prospects. If a natural disaster, power outage or other event prevented the third parties upon whom we depend from using all or a significant portion of their manufacturing facilities, or otherwise disrupted operations, it may be difficult or, in certain cases, impossible, for us to continue our business for a substantial period of time. Unforeseen natural or manmade accidents or incidents, such as freezer failure, natural disasters or theft, could also result in loss of cell line starting material.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the third parties on which we rely are unable to operate their facilities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maintain and enforce patent protection for our product candidates, or if the scope of the patent protection obtained is not sufficiently broad, our competitors or other third parties could develop and commercialize products similar or identical to ours and our ability to successfully develop and commercialize our product candidates may be adversely affected.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confidentiality agreements to protect the intellectual property related to our product candidates, including PEMGARDA, and technologies. Our success depends in large part on our ability to obtain and maintain patent and other intellectual property protection in the U.S. and in other countries with respect to our proprietary technology and product candidates. The risks associated with patent rights generally apply to patent rights that we in-license now or in the future, as well as patent rights that we may own now or in the future. We currently own three issued U.S. patents with claims directed to adintrevimab, ADG10, and methods of use of adintrevimab, alone or in combination with ADG10 (an antibody-based product candidate previously considered for potential use in combination with adintrevimab for the treatment and prevention of COVID-19), respectively. In addition, although we own a number of pending patent applications, we may not be successful in prosecuting our filed patent applications to obtain issuance of additional patents. Accordingly, there can be no assurance that we will be able to obtain patent protection for our product candidates. Our pending Patent Cooperation Treaty (“PCT”) patent applications, are not eligible to become issued patents until, among other things, we file a national stage patent application within 30 months in the countries in which we seek patent protection. Furthermore, our pending U.S. provisional patent applications are not eligible to become issued patents until, among other things, we file a non-provisional U.S. patent application within one year of filing of the U.S. provisional patent application with the USPTO. If we do not timely file any national stage patent applications or non-provisional U.S. patent applications, we may lose our priority date with respect to our PCT and provisional U.S. patent applications, and any patent protection on the inventions disclosed in such patent applications. We can provide no assurance that any of our current or future patent applications will result in issued patents or that any issued patents will provide us with any competitive advantage. In addition, the coverage claimed in any such patent application can be significantly reduced before the patent is issued, and its scope can be reinterpreted after issuance. Failure to obtain and maintain such issued patents could have a material adverse effect on our ability to develop and commercialize our product candidates.</w:t>
      </w:r>
    </w:p>
    <w:p>
      <w:pPr>
        <w:spacing w:after="0" w:line="8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strength of patents in the biotechnology and pharmaceutical field involves complex legal and scientific questions and can be uncertain. We cannot offer any assurances about which of our patent applications will issue, the breadth of any resulting patent or whether any of the issued patents will be found invalid and unenforceable or will be threatened by third parties. We cannot offer any assurances that the breadth of our resulting or granted patents will be sufficient to stop a competitor from developing and commercializing a product, including a biosimilar product, that would be competitive with one or more of our product candidates. There is no assurance that all the potentially relevant prior art relating to our patent and patent applications has been found, which can invalidate a patent or prevent a patent from issuing from a pending patent application. Since patent applications in the U.S. and most other countries are confidential for a period of time after filing, we cannot be certain that we or our future licensors were the first to file any patent application related to our product candidates and technologies. We additionally cannot guarantee that our employees, former employees or consultants will not file patent applications claiming our inventions. Because of the “first-to-file” laws, such unauthorized patent application filings may defeat our attempts to obtain patents on our own inventions. If a third party can establish that we or our licensors were not the first to make or the first to file for patent protection of such inventions, our owned or licensed patent applications may not issue as patents and, even if issued, may be challenged and invalidated or rendered unenforceable. Similarly, a derivation proceeding may be utilized to determine if an inventor in an earlier-filed application derived their invention from information that we did not know was disclosed without authorization by someone who later filed an application.</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issuance of a patent is not conclusive as to its inventorship, scope, validity or enforceability, and our owned and licensed patents may be challenged in courts or patent offices in the U.S. and abroad. For example, we may be subject to a third-party submission of prior art to the USPTO, challenging the validity of one or more claims of our owned or licensed patents. Such submissions may also be made prior to a patent’s issuance, precluding the granting of a patent based on one of our owned or licensed pending patent applications. A third party may also claim that our owned or licensed patent rights are invalid or unenforceable in litigation. The outcome following legal assertions of invalidity and unenforceability is unpredictable.</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successful challenge to any patents owned by or licensed to us after patent issuance could put one or more of our owned or in-licensed patents at risk of being invalidated or interpreted narrowly and could deprive us of rights necessary for the successful commercialization of any of our product candidates and technologies that we may develop. Even if they are unchallenged or such third-party challenges are unsuccessful, our patents and patent applications may not adequately protect our intellectual property, provide exclusivity for our product candidates and technologies or prevent others from designing around our claims. If the breadth or strength of protection provided by the patent and patent applications we hold, obtain or pursue with respect to our product candidates and technologies is challenged, or if they fail to provide meaningful exclusivity</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0" w:name="page81"/>
    <w:bookmarkEnd w:id="80"/>
    <w:p>
      <w:pPr>
        <w:jc w:val="both"/>
        <w:spacing w:after="0" w:line="266" w:lineRule="auto"/>
        <w:rPr>
          <w:sz w:val="20"/>
          <w:szCs w:val="20"/>
          <w:color w:val="auto"/>
        </w:rPr>
      </w:pPr>
      <w:r>
        <w:rPr>
          <w:rFonts w:ascii="Times New Roman" w:cs="Times New Roman" w:eastAsia="Times New Roman" w:hAnsi="Times New Roman"/>
          <w:sz w:val="18"/>
          <w:szCs w:val="18"/>
          <w:color w:val="auto"/>
        </w:rPr>
        <w:t>for our product candidates and technologies, it could threaten our ability to commercialize our product candidates and technologies. Further, if we encounter delays in regulatory approvals, the period of time during which we could market a product candidate under patent protection, if approved, would be reduced.</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We may not be able to prepare, file and prosecute all necessary or desirable patent applications at a commercially reasonable cost, in a timely manner or in all jurisdictions. It is also possible that we may fail to identify patentable aspects of inventions made in the course of development and commercialization activities before it is too late to obtain patent protection.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 Any of the foregoing could have an adverse impact on our business and results of operations.</w:t>
      </w:r>
    </w:p>
    <w:p>
      <w:pPr>
        <w:spacing w:after="0" w:line="7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trade secrets, our business and competitive position would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to the protection provided by our patent estate, we rely on trade secret protection and confidentiality agreements to protect proprietary scientific, business and technical information and know-how that is not or may not be patentable or that we or our partner(s) elect not to patent. Whether proprietary information, data and processes were developed internally, through collaboration partnering, or licensed from one or more third parties, we seek to protect them, in part, by confidentiality agreements and invention assignment agreements with our employees, consultants, scientific advisors, contractors and partners. Although these agreements are designed to protect proprietary information, we cannot be certain that our trade secrets and other confidential proprietary information will not be disclosed or that competitors will not otherwise gain access to trade secrets or independently develop substantially equivalent information and techniques. Although we generally require all of our employees to assign their inventions to us, and all of our employees, consultants, advisors and any third parties who have access to proprietary know-how, information or technology to enter into confidentiality agreements, we cannot provide any assurances that all such agreements have been duly executed with all third parties who may have helped to develop our intellectual property or who had access to proprietary information, or that our agreements will not be breached. If any of the parties to these confidentiality agreements breaches or violates the terms of such agreements, we may not have adequate remedies for any such breach or violation, and we could lose trade secrets as a result.</w:t>
      </w:r>
    </w:p>
    <w:p>
      <w:pPr>
        <w:spacing w:after="0" w:line="8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Enforcing a claim that a third party illegally obtained and is using our trade secrets, like patent litigation, is expensive and time-consuming, and the outcome is unpredictable. Further, the laws of some foreign countries do not protect proprietary rights to the same extent or in the same manner as the laws of the U.S. The enforceability of confidentiality agreements may vary from jurisdiction to jurisdiction. As a result, we may encounter significant problems in protecting and defending our intellectual property both in the U.S. and abroad. Additionally, if the steps taken to maintain our trade secrets are deemed inadequate, we may have insufficient recourse against third parties for misappropriating the trade secret.</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Trade secrets and know-how can be difficult to protect as trade secrets and know-how will over time be disseminated within the industry through independent development, the publication of journal articles and the movement of personnel skilled in the art from company to company or academic to industry scientific positions. Moreover, our competitors and other third parties may independently develop knowledge, methods and know-how equivalent to our trade secrets. Competitors and other third parties could purchase our products and attempt to replicate some or all of the competitive advantages we derive from our development efforts, willfully infringe, misappropriate or violate our intellectual property rights, design around our protected technology or develop their own technologies that fall outside of our intellectual property rights. If 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and proprietary know-how were to be disclosed to or independently developed by a competitor or other third party, our competitive position would be harmed.</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also seek to preserve the integrity and confidentiality of our data and trade secrets by maintaining physical security of our premises and physical and electronic security of our IT systems.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Monitoring unauthorized uses and disclosures is difficult, and we do not know whether the steps we have taken to protect our proprietary technologies will be effective.</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have confidence in these individuals, organizations and systems, our agreements or security measures may be breached, and we may not have adequate remedies for any breach. Also, if the steps taken to maintain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we are unable to prevent material disclosure of the non-patented intellectual property related to our technologies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1" w:name="page82"/>
    <w:bookmarkEnd w:id="81"/>
    <w:p>
      <w:pPr>
        <w:jc w:val="both"/>
        <w:spacing w:after="0" w:line="282" w:lineRule="auto"/>
        <w:rPr>
          <w:sz w:val="20"/>
          <w:szCs w:val="20"/>
          <w:color w:val="auto"/>
        </w:rPr>
      </w:pPr>
      <w:r>
        <w:rPr>
          <w:rFonts w:ascii="Times New Roman" w:cs="Times New Roman" w:eastAsia="Times New Roman" w:hAnsi="Times New Roman"/>
          <w:sz w:val="18"/>
          <w:szCs w:val="18"/>
          <w:color w:val="auto"/>
        </w:rPr>
        <w:t>to third parties, and there is no guarantee that we will have any such enforceable trade secret protection, we may not be able to establish or maintain a competitive advantage in our market, which could materially adversely affect our business, results of operations and financial condition.</w:t>
      </w:r>
    </w:p>
    <w:p>
      <w:pPr>
        <w:spacing w:after="0" w:line="5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Patent terms may be inadequate to protect our competitive position on our products for an adequate amount of time, and if we do not obtain protection under the Hatch-Waxman Amendments and similar non-U.S. legislation for extending the term of patents covering each of our product candidates, our business may be substantially harmed.</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Patents have a limited lifespan. In the U.S., the natural expiration of a patent is generally 20 years after its first effective filing date. Although various extensions may be available, the life of a patent, and the protection it affords, is limited. Even if patents covering our product candidates are obtained, once the patent life has expired for a product, we may be open to competition from generic and other competing medications. Given the amount of time required for the development, testing and regulatory review of new product candidates, patents protecting such candidates may expire before or shortly after such candidates are commercialized. Depending upon the timing, duration and conditions of FDA marketing approval of our product candidates, one or more of our U.S. patents may be eligible for limited patent term extension under the Hatch-Waxman Amendments, and similar legislation in the European Union. The Hatch-Waxman Amendments permit a patent term extension of up to five years for a patent covering an approved product as compensation for effective patent term lost during product development and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receive an extension if we fail to apply within applicable deadlines, fail to apply prior to expiration of relevant patents, fail to exercise due diligence during the testing phase or regulatory review process, or otherwise fail to satisfy applicable requirements. Moreover, the length of the extension could be less than we request. If we are unable to obtain patent term extension, or if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which could have a material adverse effect on our business.</w:t>
      </w:r>
    </w:p>
    <w:p>
      <w:pPr>
        <w:spacing w:after="0" w:line="84" w:lineRule="exact"/>
        <w:rPr>
          <w:sz w:val="20"/>
          <w:szCs w:val="20"/>
          <w:color w:val="auto"/>
        </w:rPr>
      </w:pPr>
    </w:p>
    <w:p>
      <w:pPr>
        <w:jc w:val="both"/>
        <w:ind w:right="2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an assignment and license agreement, a collaboration agreement and a platform transfer agreement with Adimab, pursuant to which we are obligated to make payments upon achievement of milestone events and royalties. If these agreements are terminated, our business and prospects will be materially and adversely affected.</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party to the Adimab Assignment Agreement with Adimab, under which Adimab has assigned to us its rights, title and interest in and to certain of its coronavirus-specific antibodies, including modified or derivative forms thereof, and related intellectual property. Pursuant to the Adimab Assignment Agreement, Adimab additionally granted us a non-exclusive, worldwide, royalty-bearing sublicensable license to certain of its platform patents and technology for the development, manufacture and commercialization of the CoV Antibodies and pharmaceutical products containing or comprising one or more CoV Antibodies for all indications and uses, with the exception of certain diagnostic uses and use as a research reagent. Under the Adimab Assignment Agreement, we are obligated to use commercially reasonable efforts to achieve specified development and regulatory milestones for subject products in certain major markets and to commercialize a subject product in any country in which we obtain marketing approval. This agreement additionally contains obligations that require us to make payments in the event certain milestone events are achieved and royalty payments on net sales of any subject products, in accordance with the Adimab Assignment Agreement, beginning upon the first commercial sale of a subject product in accordance with the Adimab Assignment Agreement, on a product-by-product and country-by-country basis, for a period ending on the later of (i) 12 years after the first commercial sale of such product in such country and (ii) the expiration of the last valid claim of a patent covering such product in such country.</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also party 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Adimab granted us a worldwide, non-exclusive license to certain of its platform patents and technology and antibody patents to perform our responsibilities during the Evaluation Term. In addition, we granted Adimab a license to certain of our patents and intellectual property solely to perform Adimab’s responsibilities under the research plans. Under the Adimab Collaboration Agreement, we have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our exercise of an option, Adimab will assign us all right, title and interest in the antibodies of the optioned research program and will grant us a worldwide, royalty-free, fully paid-up, non-exclusive, sublicensable license under the Adimab platform technology for the development, manufacture and commercialization of the antibodies for which we have exercised our options and products containing or comprising those antibodies. We are obligated to use commercially reasonable efforts to develop, seek marketing approval for, and commercialize one product that contains an antibody discovered in each optioned research program. The Adimab Collaboration Agreement additionally contains obligations that require us to make payments in the event certain milestone events are achieved and royalty payments on net sales of subject products, in accordance with the Adimab</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2" w:name="page83"/>
    <w:bookmarkEnd w:id="82"/>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Agreement, on a product-by-product and country-by-country basis, for a period ending 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68"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also party 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The Adimab platform has been transferred to us in accordance with the terms of the Adimab Platform Transfer Agreement. During the first four years of the Adimab Platform Transfer Agreement, we owe a fixed annual fee to Adimab, which allows us to receive material improvements to the platform technology, including materially improved antibody optimization libraries, updates that provide new functionality to the platform, and software upgrades, from Adimab through June 2027. After such time, until June 2042, unless terminated earlier, we have the option to receive additional material improvements to the platform technology from Adimab, subject to a commercially reasonable fee to be negotiated by the parties. The Adimab Platform Transfer Agreement also contains obligations that require us to make payments to Adimab in the event certain specified development and regulatory milestone events are achieved and royalty payments on net sales of subject products, in accordance with the Adimab Platform Transfer Agreement, on a product-by-product and country-by-country basis, for a period ending on the later of (i) 12 years after the first commercial sale of such product in such country and (ii) the expiration of the last valid claim of a program antibody patent for covering the program antibody contained in such product in such country.</w:t>
      </w:r>
    </w:p>
    <w:p>
      <w:pPr>
        <w:spacing w:after="0" w:line="8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While we are building our internal capabilities in order to discover and develop mAb candidates, our business continues to be reliant upon the intellectual property rights assigned and licensed to us under the Adimab Assignment Agreement, the Adimab Collaboration Agreement and the Adimab Platform Transfer Agreement. If we materially breach the Adimab Assignment Agreement, the Adimab Collaboration Agreement or the Adimab Platform Transfer Agreement, our licenses under the Adimab Assignment Agreement, the Adimab Collaboration Agreement and the Adimab Platform Transfer Agreement can be terminated, we can be required to return to Adimab the assigned patent rights and any patents or patent applications that claim priority to such patents, our rights to develop and commercialize our product candidates will be adversely affected, and we could be found liable for substantial monetary damages. If the Adimab Assignment Agreement, the Adimab Collaboration Agreement or the Adimab Platform Transfer Agreement is terminated as a result of our breach or otherwise, our business and prospects will be materially and adversely affected.</w:t>
      </w:r>
    </w:p>
    <w:p>
      <w:pPr>
        <w:spacing w:after="0" w:line="80"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rights to develop and commercialize our product candidates are subject, in part, to the terms and conditions of licenses granted to us by others.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rely on licensed intellectual property rights and intend to periodically explore a variety of additional possible strategic collaborations or licenses in an effort to gain access to additional product candidates, technologies or resources. At this time, we cannot predict what form such strategic collaborations or licenses might take in the future. We are likely to face significant competition in seeking appropriate strategic collaborators, and strategic collaborations and licenses can be complicated and time-consuming to negotiate and document. We may not be able to negotiate strategic collaborations on acceptable terms, or at all. We are unable to predict when, if ever, we will enter into any additional strategic collaborations or licenses because of the numerous risks and uncertainties associated with establishing them. Any delays in entering into new strategic collaborations or licenses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current and future collaborations and licenses could subject us to a number of risks, including:</w:t>
      </w:r>
    </w:p>
    <w:p>
      <w:pPr>
        <w:spacing w:after="0" w:line="117" w:lineRule="exact"/>
        <w:rPr>
          <w:sz w:val="20"/>
          <w:szCs w:val="20"/>
          <w:color w:val="auto"/>
        </w:rPr>
      </w:pPr>
    </w:p>
    <w:p>
      <w:pPr>
        <w:ind w:left="1140" w:hanging="504"/>
        <w:spacing w:after="0"/>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undertake the expenditure of substantial operational, financial and management resources;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comply with various development, diligence, commercialization and other obligations and meet development timelines, or exercise commercially reasonable efforts to develop and commercialize licensed products, in order to maintain the licenses (for example, under the Adimab Assignment Agreement, we are required to use commercially reasonable efforts to achieve specified development and regulatory milestones for products in certain major markets and to commercialize a product in any country in which we obtain marketing approval);</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issue equity securities that would dilute our stockholders’ percentage ownership of our company;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assume substantial actual or contingent liabilities;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our strategic collaborators devote to the development or commercialization of our product candidates;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have the right to control the preparation, filing, prosecution and maintenance of patents and patent applications covering the technology that we license, and we cannot always be certain that these patents and patent applications will be prepared, filed, prosecuted and maintained in a manner consistent with the best interests of our business (for example, we have no rights to control the preparation, filing, prosecution or maintenance of the patents licensed to us under Adimab’s antibody discovery and optimization platform technology under the Adimab Assignment Agreement);</w:t>
      </w:r>
    </w:p>
    <w:p>
      <w:pPr>
        <w:spacing w:after="0" w:line="75"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select indications or design clinical trials in a way that may be less successful than if we were doing so;</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delay clinical trials, provide insufficient funding, terminate a clinical trial or abandon a product candidate, repeat or conduct new clinical trials or require a new version of a product candidate for clinical testing;</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pursue further development and commercialization of products resulting from the strategic collaboration arrangement or may elect to discontinue research and development programs;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commit adequate resources to the marketing and distribution of our product candidates, limiting our potential revenue from these products;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our strategic collaborators that result in the delay or termination of the research, development or commercialization of our product candidates or that result in costly litigation or arbitration that diverts management’s attention and consumes resources; strategic collaborators may experience financial difficulties;</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may not properly maintain, enforce or defend our intellectual property rights or may use our proprietary information in a manner that could jeopardize or invalidate our proprietary information or expose us to potential litigation;</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strategic collaborator’s business strategy may adversely affect a strategic collaborator’s willingness or ability to complete its obligations under any arrangement;</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decide to move forward with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collaborators could terminate the arrangement or allow it to expire, which would delay the development and may increase the cost of developing our product candidates.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1" w:lineRule="auto"/>
        <w:tabs>
          <w:tab w:leader="none" w:pos="11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with respect to our current or future licensing agreements, including in connection with any of the forgoing, and, in spite of our efforts, our current and future licensors might conclude that we have materially breached our obligations under our license agreements and might therefore terminate such license agreements, thereby removing or limiting our ability to develop and commercialize products and technology covered by these license agreements.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license agreements are, and future license agreements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license agreements we enter into in the future may not provide exclusive rights to use intellectual property and technology in all relevant fields of use and in all territories in which we may wish to develop or commercialize our technology and products. Patents licensed to us could be put at risk of being invalidated or interpreted narrowly in litigation filed by or against our licensors or another licensee or in administrative proceedings brought by or against our licensors or another licensee in response to such litigation or for other reasons. As a result, we may not be able to prevent competitors from developing and commercializing competitive products in territories included in all of our licenses.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4" w:name="page85"/>
    <w:bookmarkEnd w:id="84"/>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Patent reform legislation could increase the uncertainties and costs surrounding the prosecution of our patent applications and licensed patents, and the enforcement or defense of our licensed patents or future owned patents.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ability to obtain patents is highly uncertain because, to date, some legal principles remain unresolved, and there has not been a consistent policy regarding the breadth or interpretation of claims allowed in patents in the U.S. Furthermore,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U.S. and other countries may diminish the value of our intellectual property or narrow the scope of our patent protection.</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For example, on September 16, 2011, the Leahy-Smith America Invents Act (the “Leahy-Smith Act”) was signed into law. The Leahy-Smith Act included a number of significant changes to U.S. patent law. These included provisions that affect the way patent applications are prosecuted and also affect patent litigation. The USPTO has developed new and untested regulations and procedures to govern the full implementation of the Leahy-Smith Act, and many of the substantive changes to patent law associated with the Leahy-Smith Act, and in particular, the first to file provisions, became effective in March 2013. The Leahy-Smith Act has also introduced procedures making it easier for third parties to challenge issued patents, as well as to intervene in the prosecution of patent applications. These include allowing third-party submission of prior art to the USPTO during patent prosecution and additional procedures to challenge the validity of a patent by USPTO administered post-grant proceedings, including post-grant review, inter partes review and derivation proceedings. Finally, the Leahy-Smith Act contained new statutory provisions that require the USPTO to issue new regulations for their implementation, and it may take the courts years to interpret the provisions of the new statute. The Leahy-Smith Act and its implementation could increase the uncertainties and costs surrounding the prosecution of our patent applications and the enforcement or defense of our future patents. 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patents that we have owned or licensed or that we might obtain in the future. An inability to obtain, enforce, and defend patents covering our proprietary technologies would materially and adversely affect our business prospects and financial condition.</w:t>
      </w:r>
    </w:p>
    <w:p>
      <w:pPr>
        <w:spacing w:after="0" w:line="8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Similarly,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may obtain in the future. Further, the laws of some foreign countries do not protect proprietary rights to the same extent or in the same manner as the laws of the U.S. As a result, we may encounter significant problems in protecting and defending our intellectual property both in the U.S. and abroad.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U.S. and other countries may materially diminish the value of our intellectual property or narrow the scope of our patent protection.</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one example, in Europe, a new unitary patent system became effective in June 2023, which may significantly impact European patents, including those granted before the introduction of such a system. Under the unitary patent system, European applications will soon have the option, upon grant of a patent, of becoming a Unitary Patent which will be subject to the jurisdiction of the Unitary Patent Court (“UPC”). As the UPC is a new court system, there is no precedent for the court, increasing the uncertainty of any litigation. Patents granted before the implementation of the UPC will have the option of opting out of the jurisdiction of the UPC and remaining as national patents in the UPC countries. Patents that remain under the jurisdiction of the UPC will be potentially vulnerable to a single UPC-based revocation challenge that, if successful, could invalidate the patent in all countries who are signatories to the UPC. We cannot predict with certainty the long-term effects of any potential changes.</w:t>
      </w:r>
    </w:p>
    <w:p>
      <w:pPr>
        <w:spacing w:after="0" w:line="7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our future patents, the patents of our licensors or our other intellectual property or proprietary rights, which could be expensive, time consuming and unsuccessful and our future issued patents and the patents of our licensors covering our product candidates could be found invalid or unenforceable.</w:t>
      </w:r>
    </w:p>
    <w:p>
      <w:pPr>
        <w:spacing w:after="0" w:line="6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Competitors or other third parties may infringe, misappropriate or otherwise violate the patents of our licensors or any patents issued as a result of our pending or future patent applications. To counter infringement, misappropriation or unauthorized use, we may be required to file infringement claims, which can be expensive and time-consuming. In addition, in an infringement proceeding, a court may decide that a patent of ours or our licensors is not valid, is unenforceable or is not</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5" w:name="page86"/>
    <w:bookmarkEnd w:id="85"/>
    <w:p>
      <w:pPr>
        <w:jc w:val="both"/>
        <w:spacing w:after="0" w:line="261" w:lineRule="auto"/>
        <w:rPr>
          <w:sz w:val="20"/>
          <w:szCs w:val="20"/>
          <w:color w:val="auto"/>
        </w:rPr>
      </w:pPr>
      <w:r>
        <w:rPr>
          <w:rFonts w:ascii="Times New Roman" w:cs="Times New Roman" w:eastAsia="Times New Roman" w:hAnsi="Times New Roman"/>
          <w:sz w:val="18"/>
          <w:szCs w:val="18"/>
          <w:color w:val="auto"/>
        </w:rPr>
        <w:t>infringed, or may refuse to stop the other party in such infringement proceeding from using the technology at issue on the grounds that our patents do not cover the technology in question. An adverse result in any litigation or defense proceedings could put one or more of our licensed or future owned patents at risk of being invalidated, held unenforceable or interpreted narrowly, and could put any of our owned or licensed patent applications at risk of not yielding an issued patent.</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initiate legal proceedings against a third party to enforce a patent covering one of our product candidates, the defendant could counterclaim that the patent covering our product or product candidate is invalid and/or unenforceable. In patent litigation in the U.S., counterclaims alleging invalidity and/or unenforceability are common, and there are numerous grounds upon which a third party can assert invalidity or unenforceability of a patent.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U.S. or abroad, even outside the context of litigation. Such mechanisms include re-examination, post grant review, inter partes review and equivalent proceedings in foreign jurisdictions (for example, opposition proceedings, nullity proceedings or litigation or invalidation trials or invalidation proceedings). Such proceedings could result in revocation of or amendment to our future patents in such a way that they no longer cover our product candidates or prevent third parties from competing with our product candidates. The outcome following legal assertions of invalidity and unenforceability is unpredictable. With respect to the validity of our patent applications, should they issue as patents,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us may be necessary to determine the priority of inventions or inventorship (and possibly also ownership) of inventions with respect to our patent applications or resulting patents, or patent applications or resulting patents of third parties. For example, we were notified in October 2020 that a third party claimed that one of its employees should be listed as an inventor on certain of our patent applications claiming SARS-COV-2 binding antibodies or their preparation; however, we believe such claim, if valid, would be limited to only a predecessor antibody to adintrevimab and, in any event, is without merit. The entity that assigned to us the relevant patent applications is required to indemnify us with respect to any potential financial ramifications relating to this claim. However, an unfavorable outcome in this claim or any other inventorship or ownership dispute could result in the loss of our exclusive rights in our technology and the associated intellectual property rights, require us to cease using the related technology or force us to take a license under the patent rights of the prevailing party, if available. Furthermore, our business could be harmed if the prevailing party does not offer us a license on commercially reasonable terms. Furthermore, any successful claim of inventorship by a third party could result in the loss of priority for our patent applications, potentially resulting in subsequently filed third-party patent applications having priority over our patent applications and thereby precluding our ability to obtain patent protection for the inventions claimed in our patent applications. Our defense of litigation or interference proceedings may fail and, even if successful, may result in substantial costs and distract our management and other employees. We may not be able to prevent, alone or with our licensors, infringement, misappropriation or other violations of our intellectual property rights, particularly in countries where the laws may not protect those rights as fully as in the U.S. For the patents and patent applications that we have licensed, we may have limited or no right to participate in the defense of any licensed patents against challenge by a third party. An adverse result in any litigation or defense proceedings could put one or more of our or our licensors’ patents at risk of being invalidated or interpreted narrowly, could put our patent applications at risk of not issuing and could have a material adverse impact on our business.</w:t>
      </w:r>
    </w:p>
    <w:p>
      <w:pPr>
        <w:spacing w:after="0" w:line="8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There could also be public announcements of the results of hearings, motions, or other interim proceedings or developments. If securities analysts or investors perceive these results to be negative, it could have a material adverse effect on the price of our common stock. Any of the foregoing could materially adversely affect our business, results of operations and financial condition.</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and market our products.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 candidates in any jurisdiction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patent applications do not publish until 18 months from the filing of a provisional patent application). For example, WuXi Biologics has provided only high-level information to us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6" w:name="page87"/>
    <w:bookmarkEnd w:id="86"/>
    <w:p>
      <w:pPr>
        <w:jc w:val="both"/>
        <w:spacing w:after="0" w:line="254" w:lineRule="auto"/>
        <w:rPr>
          <w:sz w:val="20"/>
          <w:szCs w:val="20"/>
          <w:color w:val="auto"/>
        </w:rPr>
      </w:pPr>
      <w:r>
        <w:rPr>
          <w:rFonts w:ascii="Times New Roman" w:cs="Times New Roman" w:eastAsia="Times New Roman" w:hAnsi="Times New Roman"/>
          <w:sz w:val="18"/>
          <w:szCs w:val="18"/>
          <w:color w:val="auto"/>
        </w:rPr>
        <w:t>identifying the general nature of the licensed control elements in the expression vector used in the production cell line starting material for product manufacturing. Details of the expression technology have not been provided, nor has there been sufficient information provided to enable a freedom-to-operate assessment of the expression technology. We therefore cannot be sure that we have licensed all intellectual property rights that are relevant to or necessary for the commercialization of our product candidates, and a third party may claim that our development or commercialization of our product candidates infringes its intellectual property rights. We could be required to acquire or obtain a license to such intellectual property from such third parties, and we may be unable to do so on commercially reasonable terms or at all. If we are unable to successfully obtain rights to required third-party intellectual property rights, we may be required to redesign our manufacturing process for our product candidates, which may not be feasible on a technical or commercial basis in a timely manner, and we may have to delay or abandon development of our product candidates, which could have a material adverse effect on our business.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We may incorrectly determine that our products are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 candidates. Our failure to identify and correctly interpret relevant third-party patents may negatively impact our ability to develop and market our products.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unsuccessful in licensing or acquiring intellectual property from third parties that may be required to develop and commercialize our product candidates.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 third party may hold intellectual property, including patent rights that are important or necessary to the development and commercialization of our product candidates. It may be necessary for us to use the patented or proprietary technology of third parties to commercialize our product candidates, in which case we would be required to acquire or obtain a license to such intellectual property from these third parties, and we may be unable to do so on commercially reasonable terms or at all.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Even if we are able to in-license any such necessary intellectual property, it could be on a non-exclusive basis, thereby giving our competitors and other third parties access to the same intellectual property licensed to us, and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be required to redesign our product candidates, which may not be feasible on a technical or commercial basis, and we may have to delay or abandon development of the relevant program or product candidate, which could have a material adverse effect on our business.</w:t>
      </w:r>
    </w:p>
    <w:p>
      <w:pPr>
        <w:spacing w:after="0" w:line="75"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commercial success depends in part on our ability to develop, manufacture, market and sell our product candidates and use our proprietary technologies without infringing, misappropriating or otherwise violating the patents, trademarks, and proprietary rights of third parties. As our product candidates progress toward commercialization, the possibility of a patent infringement claim against us increases. There is a substantial amount of litigation involving patents, trademarks, and other intellectual property rights in the biotechnology and pharmaceutical industries, including infringement lawsuits, interferences, derivation proceedings, post grant reviews, inter partes reviews, and reexamination proceedings before the USPTO or oppositions and other comparable proceedings in foreign jurisdictions. Numerous U.S. and foreign issued patents and pending patent applications, which are owned by third parties, exist in the fields in which we are developing product candidates, and there may be third-party patents or patent applications with claims to materials, formulations, methods of manufacture or methods for treatment related to the use or manufacture of our product candidates and technologies. Third parties, including our competitors may initiate legal proceedings against us alleging that we are infringing, misappropriating or otherwise violating their patents, trademarks, or other intellectual property rights.</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cannot provide any assurance that our product candidates do not infringe, misappropriate or otherwise violate other parties’ patents, trademarks, or other proprietary rights, and competitors or other parties may assert that we infringe, misappropriate or otherwise violate their proprietary rights in any event. We may become party to, or threatened with, adversarial proceedings or litigation regarding intellectual property rights with respect to our product candidates, including oppositions, interference proceedings, reexaminations, post-grant review, inter partes review, or derivation proceedings before the USPTO in the U.S. or any equivalent regulatory authority in other countries. Even if we believe such claims are without merit, a court of competent jurisdiction could hold that these third-party patents are valid, enforceable and infringed, which</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7" w:name="page88"/>
    <w:bookmarkEnd w:id="87"/>
    <w:p>
      <w:pPr>
        <w:jc w:val="both"/>
        <w:spacing w:after="0" w:line="258" w:lineRule="auto"/>
        <w:rPr>
          <w:sz w:val="20"/>
          <w:szCs w:val="20"/>
          <w:color w:val="auto"/>
        </w:rPr>
      </w:pPr>
      <w:r>
        <w:rPr>
          <w:rFonts w:ascii="Times New Roman" w:cs="Times New Roman" w:eastAsia="Times New Roman" w:hAnsi="Times New Roman"/>
          <w:sz w:val="18"/>
          <w:szCs w:val="18"/>
          <w:color w:val="auto"/>
        </w:rPr>
        <w:t>could have a negative impact on our ability to commercialize our product candidates. In order to successfully challenge the validity of any U.S. patents asserted against us in federal court, we would need to overcome a presumption of validity. As this burden is high and requires us to present clear and convincing evidence as to the invalidity of any such U.S. patent claim, there is no assurance that a court of competent jurisdiction would agree with us and invalidate the claims of any such U.S. patent. Moreover, given the vast number of patents in our field of technology, we cannot be certain that we do not infringe existing patents or that we will not infringe patents that may be granted in the future.</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may decide to initiate proceedings to challenge the validity of these or other patents in the future, we may be unsuccessful, and courts or patent offices in the U.S. and abroad could uphold the validity of any such patent.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product candidates. Regardless of when filed, we may fail to identify relevant third-party patents or patent applications, or we may incorrectly conclude that a third-party patent is invalid or not infringed by our product candidates or activities. If a patent holder believes that one of our product candidates infringes its patent, the patent holder may sue us even if we have received patent protection for our technology. In addition, third parties may obtain patents in the future and claim that our product candidates or technologies infringe upon these patents. Moreover, we may face patent infringement claims from non-practicing entities that have no relevant drug revenue and against whom our own patent portfolio may thus have no deterrent effect. If a patent infringement suit were threatened or brought against us, we could be forced to stop or delay research, development, manufacturing or sales of the drug or product candidate that is the subject of the actual or threatened suit.</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are found to infringe, misappropriate or otherwise violate a third party’s valid intellectual property rights, we could be required to obtain a license from such third party to continue commercializing our product candidates. However, we may not be able to obtain any required license on commercially reasonable terms or at all. For example, companies that perceive us to be a competitor may be unwilling to assign or license rights to us. Even if a license can be obtained on acceptable terms, the rights may be non-exclusive, which could give our competitors access to the same technology or intellectual property rights licensed to us. If we fail to obtain a required license, we may be unable to effectively market product candidates based on our technology, which could limit our ability to generate revenue or achieve profitability and possibly prevent us from generating revenue sufficient to sustain our operations. Alternatively, we may need to redesign our infringing products, which may be impossible or require substantial time and monetary expenditure. Under certain circumstances, we could be forced, including by court orders, to cease developing, manufacturing and commercializing our product candidates. In addition, in any such proceeding or litigation, we could be found liable for substantial monetary damages, potentially including treble damages and attorneys’ fees, if we are found to have willfully infringed the patent at issue. We may also be required to indemnify collaborators or contractors against such claims. A finding of infringement, misappropriation or other violation of third-party intellectual property rights could prevent us from commercializing our product candidates or force us to cease some of our business operations, which could harm our business. Any claims by third parties that we have misappropriated their confidential information or trade secrets could have a similar negative impact on our business.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 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 In addition, the uncertainties associated with litigation could compromise our ability to raise the funds necessary to continue our clinical trials, continue our internal research programs or in-license needed technology.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an adverse effect on the price of our common shares. Such litigation or proceedings could substantially increase our operating losses and reduce the resources available for development activities or any future sales, marketing or distribution activities.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consultants, or independent contractors have wrongfully used or disclosed confidential information of third parties.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employ individuals who were previously employed at other biotechnology or biopharmaceutical companies, including our competitors or potential competitors. Although we try to ensure that our employees, consultants and advisors do not use the proprietary information or know-how of others in their work for us, we may be subject to claims that we or our employees, consultants, or independent contractors have inadvertently or otherwise used or disclosed intellectual property, including confidential information of our employees’ former employers or other third parties. We may also be subject to claims that former employers or other third parties have an ownership interest in our future patents. Litigation may be necessary to defend against these claims. If we fail in defending any such claims, in addition to paying monetary damages, we may lose valuable intellectual property rights or personnel. There is no guarantee of success in defending these claims, and even if we are successful, litigation could result in substantial cost and be a distraction to our management and other employees.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future patents and other intellectual property.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also be subject to claims that former employees, collaborators, or other third parties have an ownership interest in our patent applications, our future patents issued as a result of our pending or future applications, or other intellectual property. We may be subject to ownership disputes in the future arising, for example, from conflicting obligations of consultants or others who are involved in developing our product candidates. Although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enforce our rights or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7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Reliance on third parties requires us to share our trade secrets, which increases the possibility that a competitor will discover them or that our trade secrets will be misappropriated or disclosed.</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our product candidates, and we collaborate with additional third parties for the development of such product candidates. We therefore must, at times, share trade secrets with them. We may also conduct joint research and development programs that may require us to share trade secrets under the terms of our research and development partnerships or similar agreements. We seek to protect our proprietary technology in part by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could have an adverse effect on our business and results of operations.</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these agreements typically restrict the ability of our advisors, employees, third-party contractors and consultants to publish data potentially relating to our trade secrets. Despite our efforts to protect our trade secrets, we may not be able to prevent the unauthorized disclosure or use of our technical know-how or other trade secrets by the parties to these agreements. Moreover, we cannot guarantee that we have entered into such agreements with each party that may have or have had access to our confidential information or proprietary technology and processes. Monitoring unauthorized uses and disclosures is difficult, and we do not know whether the steps we have taken to protect our proprietary technologies will be effective. If any of the collaborators, scientific advisors, employees, contractors and consultants who are parties to these agreements breaches or violates the terms of any of these agreements, we may not have adequate remedies for any such breach or violation, and we could lose our trade secrets as a result. Moreover, if confidential information that is licensed or disclosed to us by our partners, collaborators, or others is inadvertently disclosed or subject to a breach or violation, we may be exposed to liability to the owner of that confidential information.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89" w:name="page90"/>
    <w:bookmarkEnd w:id="89"/>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enjoy only limited geographical protection with respect to certain patents and we may not be able to protect our intellectual property rights throughout the world.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Filing and prosecuting patent applications and defending patents covering our product candidates in all countries throughout the world would be prohibitively expensive. Competitors may use our technologies in jurisdictions where we or our licensors have not obtained patent protection to develop their own products and, further, may export otherwise infringing products to territories where we or our licensors have patent protection, but enforcement rights are not as strong as those in the U.S. or Europe. These products may compete with our product candidates, and our future patents or other intellectual property rights may not be effective or sufficient to prevent them from competing. Additionally, unforeseen global events such as the conflict between Russia and Ukraine, and sanctions relating to these events could affect our ability to file, prosecute, and defend patents and patent applications in those jurisdictions.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 legal or regulatory action by various stakeholders or governments could potentially result in us not seeking intellectual property protection for or agreeing not to enforce or being restricted from enforcing intellectual property related to our products. For example, there were discussions at the World Trade Organization (the “WTO”) regarding the role of intellectual property in the context of the COVID-19 response, including a proposal that would release WTO members from their obligation under the WTO Agreement on Trade Related Aspects of Intellectual Property Rights to grant and enforce various types of intellectual property protection on health products and technology in relation to the treatment of COVID-19.</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we or our licensors may decide to abandon national and regional patent applications before they are granted. The examination of each national or regional patent application is an independent proceeding. As a result, patent applications in the same family may issue as patents in some jurisdictions, such as in the U.S.,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rights, especially those relating to life sciences, which could make it difficult for us to stop the infringement, misappropriation or other violation of our future patents or marketing of competing products in violation of our proprietary rights generally. For example, many countries limit the enforceability of patents against third parties, including government agencies or government contractors. In these countries, patents may provide limited or no benefit. Moreover, our and our licensors’ ability to protect and enforce our intellectual property rights may be adversely affected by unforeseen changes in foreign intellectual property laws.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Proceedings to enforce our or our licensors’ patent rights in other jurisdictions, whether or not successful, could result in substantial costs and divert our efforts and attention from other aspects of our business, could put our future patents or the patents of our licensors at risk of being invalidated or interpreted narrowly and our patent applications or the patent applications of our licensors at risk of not issuing as patents, and could provoke third parties to assert claims against us. We and our licensors may not prevail in any lawsuits that we or our licensors initiate and the damages or other remedies awarded, if any, may not be commercially meaningful.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enforce our intellectual property rights around the world may be inadequate to obtain a significant commercial advantage from the intellectual property that we develop or license from third parties.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Some countries also have compulsory licensing laws under which a patent owner may be compelled to grant licenses to third parties. As a result, it is possible that certain countries may take steps to facilitate compulsory licenses that permit the distribution of a therapeutic in those countries. In addition, some countries limit the enforceability of patents against government agencies or government contractors. In those countries, the patent owner may have limited remedies, which could materially diminish the value of such patents. If we or our licensors are forced to grant a license to third parties with respect to any patents relevant to our business, our competitive position may be impaired and our business, financial condition, results of operations and prospects may be adversely affected.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0" w:name="page91"/>
    <w:bookmarkEnd w:id="90"/>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 fees on patents and/or applications will be due to be paid to the USPTO and various government patent agencies outside of the U.S. over the lifetime of our owned and licensed patents and/or applications and any patent rights we may obtain in the future. Furthermore, the USPTO and various non-U.S. government patent agencies require compliance with several procedural, documentary, fee payment and other similar provisions during the patent application process. We employ reputable law firms and other professionals and rely on such third parties to help us comply with these requirements and effect payment of these fees with respect to the patent and patent applications that we own, and we rely upon our licensors to comply with these requirements and effect payment of these fees with respect to any patents and patent applications that we license. In many cases, an inadvertent lapse of a patent or patent application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w:t>
      </w:r>
    </w:p>
    <w:p>
      <w:pPr>
        <w:spacing w:after="0" w:line="76"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trademarks we have obtained or may obtain may be infringed or otherwise violated, or successfully challenged, resulting in harm to our business.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expect to rely on trademarks as one means to distinguish our product candidates, if approved for marketing, from the drugs of our competitors. We also expect to rely on trademarks to protect our company name. Once we select new trademarks and apply to register them, our trademark applications may not be approved. Although we would be given an opportunity to respond to those rejections, we may be unable to overcome such rejections. We also utilize marks that have not been registered with the USPTO and rely on common law rights to those marks, which may be challenged. We currently have trademark applications pending in the U.S. and in certain foreign jurisdictions, but we have no issued trademark registrations in the U.S. Third parties may oppose or attempt to cancel our trademark applications or trademarks, or otherwise challenge our use of the trademarks. For example, in October 2023, Ipsen Biopharm, LTD (“Ipsen”) and its affiliates filed oppositions against our trademark applications for “INVIVYD” in the USPTO based on Ipsen’s registered trademark for the oncology drug “ONIVYDE”. We resolved this issue by entering into a coexistence agreement with Ipsen in which Ipsen withdrew their oppositions of the INVIVYD mark and we agreed to limit our use of INVIVYD to a “house mark.”</w:t>
      </w:r>
    </w:p>
    <w:p>
      <w:pPr>
        <w:spacing w:after="0" w:line="80"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we are found to infringe the trademark rights of a third party, we could be forced to rebrand our company or our drugs, which could result in loss of brand recognition and could require us to devote resources to advertising and marketing new brands. In the event such infringement is found to have caused commercial harm, we could be found liable for substantial monetary damages, potentially including treble damages and attorneys’ fees, if we are found to have willfully infringed the trademark at issue. Our competitors may infringe or otherwise violate our trademarks and we may not have adequate resources to enforce our trademarks. Over the long term, if we are unable to establish name recognition based on our trademarks, then we may not be able to compete effectively, and our competitive position, business, financial condition, results of operations and prospects may be substantially harmed. Moreover, any name we propose to use with our product candidates in the U.S. must be approved by the FDA, regardless of whether we have registered it, or applied to register it,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Any of the foregoing events may have a material adverse effect on our business.</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54" w:lineRule="exact"/>
        <w:rPr>
          <w:sz w:val="20"/>
          <w:szCs w:val="20"/>
          <w:color w:val="auto"/>
        </w:rPr>
      </w:pPr>
    </w:p>
    <w:p>
      <w:pPr>
        <w:ind w:left="1140" w:hanging="504"/>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or otherwise competitive with our product candidates but that are not covered by the claims of any of our patents, should they issue;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in-license necessary for the manufacture, use, sale, offer for sale or importation of one or more of our product candidates may be terminated by the licensor;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make the inventions covered by our future issued patents or our pending patent applications;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collaborators might not have been the first to file patent applications covering certain of our inventions;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1" w:name="page92"/>
    <w:bookmarkEnd w:id="91"/>
    <w:p>
      <w:pPr>
        <w:ind w:left="1140" w:hanging="504"/>
        <w:spacing w:after="0" w:line="282"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misappropriating or otherwise violating our intellectual property rights;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be held invalid or unenforceable as a result of legal challenges by our competitors;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in-license may not provide coverage for all aspects of our product candidates in all countries;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U.S. and other countries that provide a safe harbor from patent infringement claims for certain research and development activities, as well as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11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received an EUA for PEMGARDA, which the FDA would be required to revoke if HHS determines that emergency use is no longer warranted, which would adversely impact our ability to market PEMGARDA in the United States.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has the authority to grant an EUA to allow unapproved medical products to be used in an emergency to diagnose, treat or prevent serious or life-threatening diseases or conditions when there are no adequate, approved and available alternatives. On March 22, 2024, we received an EUA from the FDA for PEMGARDA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FDCA, unless the declaration is terminated or authorization revoked sooner. Because the FDA is required to revoke an EUA if HHS determines that emergency use is no longer warranted, we cannot predict how long our EUA for PEMGARDA will remain in place. If the FDA terminates or revokes our EUA for PEMGARDA prior to us having pursued and received regulatory approval to commercialize PEMGARDA through a traditional approval pathway, we would be required to cease our commercialization efforts, which would substantially and negatively impact our business.</w:t>
      </w:r>
    </w:p>
    <w:p>
      <w:pPr>
        <w:spacing w:after="0" w:line="75"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healthcare providers, including physicians, and third-party payors are subject, directly or indirectly, to federal and state healthcare fraud and abuse laws, false claims laws, and other healthcare laws and regulations. If we are unable to comply, or have not fully complied, with such laws, we could face substantial penalties.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Healthcare providers, including physicians, and third-party payors in the U.S. and elsewhere play a primary role in the recommendation and prescription of any product candidates for which we obtain marketing authorization or approval. Our current and future arrangements with healthcare professionals, principal investigators, consultants, customers and third-party payors subject us to various federal and state fraud and abuse laws and other healthcare laws, including, without limitation, the federal Anti-Kickback Statute, the federal civil and criminal false claims laws, the Physician Payments Sunshine Act and regulations promulgated under such laws. These laws will impact, among other things, our clinical research, proposed sales, marketing and educational programs, and other interactions with healthcare professionals and patients. In addition, we may be subject to patient privacy laws by both the federal government and the states in which we conduct or may conduct our business. The laws that will affect our operations include, but are not limited to:</w:t>
      </w:r>
    </w:p>
    <w:p>
      <w:pPr>
        <w:spacing w:after="0" w:line="84" w:lineRule="exact"/>
        <w:rPr>
          <w:sz w:val="20"/>
          <w:szCs w:val="20"/>
          <w:color w:val="auto"/>
        </w:rPr>
      </w:pPr>
    </w:p>
    <w:p>
      <w:pPr>
        <w:jc w:val="both"/>
        <w:ind w:left="1140" w:hanging="504"/>
        <w:spacing w:after="0" w:line="255" w:lineRule="auto"/>
        <w:tabs>
          <w:tab w:leader="none" w:pos="11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individuals or entities from knowingly and willfully soliciting, receiving, offering or paying any remuneration, directly or indirectly, overtly or covertly, in cash or in kind in return for, or to induce, either the referral of an individual, or the purchase, lease, order or arrangement for or recommendation of the purchase, lease, order or arrangement for any item or service for which payment may be made, in whole or in part, under a federal healthcare program, such as the Medicare and Medicaid programs.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2" w:name="page93"/>
    <w:bookmarkEnd w:id="92"/>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be alleged to be intended to induce prescribing, purchases or recommendations may be subject to scrutiny if they do not qualify for an exception or safe harbor. A person does not need to have actual knowledge of this statute or specific intent to violate it in order to have committed a violation;</w:t>
      </w:r>
    </w:p>
    <w:p>
      <w:pPr>
        <w:spacing w:after="0" w:line="68" w:lineRule="exact"/>
        <w:rPr>
          <w:sz w:val="20"/>
          <w:szCs w:val="20"/>
          <w:color w:val="auto"/>
        </w:rPr>
      </w:pPr>
    </w:p>
    <w:p>
      <w:pPr>
        <w:jc w:val="both"/>
        <w:ind w:left="1140" w:hanging="504"/>
        <w:spacing w:after="0" w:line="253"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False Claims Act, which can be enforced by private citizens through civil whistleblower or qui tam actions, and which prohibits, among other things, individuals or entities from knowingly presenting, or causing to be presented, claims for payment of government funds, including from Medicare, Medicaid and other government payors, that are false or fraudulent, or knowingly making, using or causing to be made or used a false record or statement material to a false or fraudulent claim or to avoid, decrease or conceal an obligation to pay money to the federal government. A claim includes “any request or demand” for money or property presented for payment of government funds. Pharmaceutical and other healthcare companies have been investigated and have reached substantial financial settlements with the federal government under the civil False Claims Act for a variety of alleged misconduct, including, for example, allegedly providing free product to customers with the expectation that the customers would bill federal programs for the product. The government may deem companies to have “caused” the submission of false or fraudulent claims by, for example, the companies’ marketing of products for unapproved, and thus non-reimbursable, uses. In addition, the government may assert that a claim, including items or services resulting from a violation of the federal Anti-Kickback Statute constitutes a false or fraudulent claim for purposes of the federal False Claims Act;</w:t>
      </w:r>
    </w:p>
    <w:p>
      <w:pPr>
        <w:spacing w:after="0" w:line="81" w:lineRule="exact"/>
        <w:rPr>
          <w:rFonts w:ascii="Times New Roman" w:cs="Times New Roman" w:eastAsia="Times New Roman" w:hAnsi="Times New Roman"/>
          <w:sz w:val="18"/>
          <w:szCs w:val="18"/>
          <w:color w:val="auto"/>
        </w:rPr>
      </w:pPr>
    </w:p>
    <w:p>
      <w:pPr>
        <w:jc w:val="both"/>
        <w:ind w:left="1140" w:hanging="504"/>
        <w:spacing w:after="0" w:line="254"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and their implementing regulations, also imposes obligations, including mandatory contractual terms, on “covered entities,” certain healthcare providers, health plans, healthcare clearinghouses, and their respective “business associates,” certain persons or entities that create, receive, maintain or transmit protected health information for or on behalf of a covered entity as well as their covered subcontractors, with respect to safeguarding the privacy, security and transmission of protected health information. Other analogous state and foreign laws govern the privacy and security of health information in some circumstances. Additionally, numerous federal and state laws, including state security breach notification laws, and federal and state consumer protection and privacy laws, (including, for example, Section 5 of the FTC Act and the FTC Health Breach Notification Rule, and the CCPA, as amended by the CPRA) govern the collection, use and disclosure of personal information. Many of these laws differ from each other in significant ways and thus complicate compliance efforts;</w:t>
      </w:r>
    </w:p>
    <w:p>
      <w:pPr>
        <w:spacing w:after="0" w:line="80"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also created federal criminal statutes which prohibit, among other things, a person from knowingly and willfully executing, or attempting to execute, a scheme to defraud any healthcare benefit program, including private third-party payors and knowingly and willfully falsifying, concealing or covering up a material fact or making any materially false, fictitious or fraudulent statement in connection with the delivery of or payment for healthcare benefits, items or services, including those by private payors. Similar to the federal Anti-Kickback Statute, a person or entity does not need to have actual knowledge of the statute or specific intent to violate it in order to have committed a violation;</w:t>
      </w:r>
    </w:p>
    <w:p>
      <w:pPr>
        <w:spacing w:after="0" w:line="79" w:lineRule="exact"/>
        <w:rPr>
          <w:rFonts w:ascii="Times New Roman" w:cs="Times New Roman" w:eastAsia="Times New Roman" w:hAnsi="Times New Roman"/>
          <w:sz w:val="18"/>
          <w:szCs w:val="18"/>
          <w:color w:val="auto"/>
        </w:rPr>
      </w:pPr>
    </w:p>
    <w:p>
      <w:pPr>
        <w:jc w:val="both"/>
        <w:ind w:left="1140" w:hanging="504"/>
        <w:spacing w:after="0" w:line="256"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laws, including the federal Physician Payments Sunshine Act, which requires certain manufacturers of drugs, medical devices, biologicals and medical supplies for which payment is available under Medicare, Medicaid or the State Children’s Health Insurance Program, with specific exceptions, to report annually to CMS, information related to: (i) payments or other “transfers of value’’ made to physicians (defined to include doctors, dentists, optometrists, podiatrists and chiropractors), other healthcare professionals (such as physician assistants and nurse practitioners) and teaching hospitals, and (ii) ownership and investment interests held by physicians and their immediate family members; and</w:t>
      </w:r>
    </w:p>
    <w:p>
      <w:pPr>
        <w:spacing w:after="0" w:line="79" w:lineRule="exact"/>
        <w:rPr>
          <w:rFonts w:ascii="Times New Roman" w:cs="Times New Roman" w:eastAsia="Times New Roman" w:hAnsi="Times New Roman"/>
          <w:sz w:val="18"/>
          <w:szCs w:val="18"/>
          <w:color w:val="auto"/>
        </w:rPr>
      </w:pPr>
    </w:p>
    <w:p>
      <w:pPr>
        <w:jc w:val="both"/>
        <w:ind w:left="1140" w:hanging="504"/>
        <w:spacing w:after="0" w:line="258" w:lineRule="auto"/>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state laws that require manufacturers to report information related to payments and other transfers of value to physicians and other healthcare providers, marketing expenditures or drug pricing; state laws that require pharmaceutical companies to comply with the pharmaceutical industry’s voluntary compliance guidelines and the relevant compliance guidance promulgated by the federal government, or that otherwise restrict payments that may be made to healthcare providers; and state and local laws that require the registration of pharmaceutical sales representatives.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regulatory safe harbors available, it is possible that some of our business activities could be subject to challenge under one or more of such laws.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3" w:name="page94"/>
    <w:bookmarkEnd w:id="93"/>
    <w:p>
      <w:pPr>
        <w:jc w:val="both"/>
        <w:spacing w:after="0" w:line="266" w:lineRule="auto"/>
        <w:rPr>
          <w:sz w:val="20"/>
          <w:szCs w:val="20"/>
          <w:color w:val="auto"/>
        </w:rPr>
      </w:pPr>
      <w:r>
        <w:rPr>
          <w:rFonts w:ascii="Times New Roman" w:cs="Times New Roman" w:eastAsia="Times New Roman" w:hAnsi="Times New Roman"/>
          <w:sz w:val="18"/>
          <w:szCs w:val="18"/>
          <w:color w:val="auto"/>
        </w:rPr>
        <w:t>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and when we obtain regulatory authorization or approval for a product candidate, such products will remain subject to ongoing regulatory oversight, which may result in significant additional expense.</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If and when we obtain any regulatory authorization or approval for our product candidates, such as PEMGARDA, which received an EUA from the FDA in March 2024, they will be subject to ongoing regulatory requirements applicable to manufacturing, labeling, packaging, storage, advertising, promoting, sampling, record-keeping and submission of safety and other post-market information, among other things. For example, we will be required to immediately report any serious and unexpected adverse events and certain quality or production problems with our authorized or approved products to regulatory authorities along with other periodic reports. Any regulatory approvals that we receive for a product candidate may also be subject to a REMS, limitations on the approved indicated uses for which the drug may be marketed or to the conditions of approval, or requirements that we conduct potentially costly post-marketing testing and surveillance studies, including Phase 4 trials and surveillance to monitor the quality, safety and efficacy of the drug. An unsuccessful post-marketing study or failure to complete such a study could result in the withdrawal of marketing approval. Additionally, the FDA has expected that companies that receive an EUA for COVID-19 antibodies will proceed to licensure of their products under a BLA, which, if required of us by the FDA with respect to any product candidate for which we receive an EUA, would be time-consuming and expensive.</w:t>
      </w:r>
    </w:p>
    <w:p>
      <w:pPr>
        <w:spacing w:after="0" w:line="86"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Any new legislation addressing drug safety issues could result in delays in product development or commercialization, or increased costs to assure compliance. We will also have to comply with requirements concerning advertising and promotion for our products, including any limitations on advertising and promotion for a product authorized under an EUA, such as PEMGARDA.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authorization or approval, commonly known as off-label promotion. If one or more of our products were granted an EUA, such as PEMGARDA, there are additional limitations the FDA places upon manufacturers as to promotional communications and conditions the FDA imposes on manufacturers as to permissible form and substance and process for regulatory submission of promotional communications, which conditions are subject to change. If an EUA is granted, we will rely on the FDA or other applicable regulatory authority policies and guidance governing products authorized in this manner in connection with the marketing and sale of our product. If these policies and guidance change unexpectedly and/or materially or if we misinterpret them, potential sales of our product could be adversely impacted. Furthermore, the FDA may terminate an EUA, including our EUA for PEMGARDA, if safety issues or other concerns about our product, such as loss of neutralizing activity against dominant circulating SARS-CoV-2 variants, arise or if we fail to comply with the conditions of authorization. The holder of an approved BLA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drug manufacturers are subject to payment of user fees and continual review and periodic inspections by the FDA and other regulatory authorities for compliance with cGMP requirements and adherence to commitments made in an EUA, BLA or foreign marketing application. We need to monitor adverse events resulting from the use of our products candidates, as do the regulatory authorities, and we file periodic reports with the authorities concerning adverse events. The FDA, the competent authorities of the European Union Member States on behalf of the EMA, and the competent authorities of other European countries also periodically inspect records related to safety reporting. The EMA’s Pharmacovigilance Risk Assessment Committee may propose to the Committee for Medicinal Products for Human Use that a marketing authorization holder be required to take specific steps or advise that the existing marketing authorization be varied, suspended or revoked. If we, or a regulatory authority, discover previously unknown problems with a drug, such as adverse events of unanticipated severity or frequency, or problems with the facility where the drug is manufactured or if a regulatory authority disagrees with the promotion, marketing or labeling of that drug, a regulatory authority may impose restrictions relative to that drug, the</w:t>
      </w: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4" w:name="page95"/>
    <w:bookmarkEnd w:id="94"/>
    <w:p>
      <w:pPr>
        <w:ind w:right="20"/>
        <w:spacing w:after="0" w:line="282" w:lineRule="auto"/>
        <w:rPr>
          <w:sz w:val="20"/>
          <w:szCs w:val="20"/>
          <w:color w:val="auto"/>
        </w:rPr>
      </w:pPr>
      <w:r>
        <w:rPr>
          <w:rFonts w:ascii="Times New Roman" w:cs="Times New Roman" w:eastAsia="Times New Roman" w:hAnsi="Times New Roman"/>
          <w:sz w:val="18"/>
          <w:szCs w:val="18"/>
          <w:color w:val="auto"/>
        </w:rPr>
        <w:t>manufacturing facility or us, including requesting a recall or requiring variation, suspension or withdrawal of marketing authorization, or suspension of manufacturing, or imposition of financial penalties or other enforcement measures.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fail to comply with applicable regulatory requirements following authorization or approval of a product candidate, a regulatory authority may:</w:t>
      </w:r>
    </w:p>
    <w:p>
      <w:pPr>
        <w:spacing w:after="0" w:line="117" w:lineRule="exact"/>
        <w:rPr>
          <w:sz w:val="20"/>
          <w:szCs w:val="20"/>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an untitled letter or warning letter asserting that we are in violation of the law;</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administrative, civil or criminal penalties or monetary fines;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withdraw regulatory authorization or approval;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a pending marketing application or supplement to an approved application or comparable foreign marketing application (or any supplements thereto) submitted by us or our strategic partners;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 the marketing or manufacturing of the drug;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the drug or otherwise require the withdrawal of the drug from the market;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permit the import or export of products or product candidates; or</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allow us to enter into supply contracts, including government contracts.</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The occurrence of any event or penalty described above may inhibit our ability to successfully commercialize PEMGARDA or any other product candidates and harm our business, financial condition, results of operations and prospects.</w:t>
      </w:r>
    </w:p>
    <w:p>
      <w:pPr>
        <w:spacing w:after="0" w:line="64"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Despite obtaining authorization under an EUA for PEMGARDA in the U.S., we may never obtain authorization or approval for or commercialize PEMGARDA or any other product candidate in any other jurisdiction, which would limit our ability to realize any of their full market potential.</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market any products in any particular jurisdiction, we must establish and comply with numerous and varying regulatory requirements on a country-by-country basis regarding safety and efficacy.</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Authorization or approval by the FDA in the U.S. does not ensure authorization or approval by regulatory authorities in other countries or jurisdictions. However, the failure to obtain authorization or approval in one jurisdiction may negatively impact our ability to obtain authorization or approval elsewhere. In addition, clinical trials conducted in one country may not be accepted by regulatory authorities in other countries.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Authorization and approval processes vary among countries and can involve additional product testing and validation and additional administrative review periods. Seeking foreign regulatory authorization or approval could result in difficulties and increased costs for us and require additional preclinical studies or clinical trials which could be costly and time consuming. Regulatory requirements can vary widely from country to country and could delay or prevent the introduction of our products in those countries. We do not have any product candidates authorized or approved for sale in any jurisdiction other than PEMGARDA in the U.S. under an EUA, and we do not have experience in obtaining regulatory authorization or approval in international markets. If we fail to comply with regulatory requirements in international markets or to obtain and maintain required authorizations or approvals, or if regulatory authorizations or approvals in international markets are delayed, our market opportunity will be reduced and our ability to realize the full market potential of any product we develop will be unrealized.</w:t>
      </w:r>
    </w:p>
    <w:p>
      <w:pPr>
        <w:spacing w:after="0" w:line="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or regulatory reform measures may have a negative impact on our business and 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U.S. and some foreign jurisdictions, there have been, and continue to be, several legislative and regulatory changes and proposed changes regarding the healthcare system that could prevent or delay regulatory authorization or approval of product candidates, restrict or regulate post-authorization or post-approval activities, and affect our ability to profitably sell any product candidates for which we obtain regulatory authorization or approval.</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Among policy makers and payors in the U.S. and elsewhere, there is significant interest in promoting changes in healthcare systems with the stated goals of containing healthcare costs, improving quality and/or expanding access. In the U.S., the pharmaceutical industry has been a particular focus of these efforts and has been significantly affected by major legislative initiatives. The ACA substantially changed the way healthcare is financed by both the government and private insurers and significantly impacts the U.S. pharmaceutical industry. The ACA, among other things contains a number of provisions of particular import to the pharmaceutical and biotechnology industries, including, but not limited to, those governing enrollment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5" w:name="page96"/>
    <w:bookmarkEnd w:id="95"/>
    <w:p>
      <w:pPr>
        <w:jc w:val="both"/>
        <w:spacing w:after="0" w:line="266" w:lineRule="auto"/>
        <w:rPr>
          <w:sz w:val="20"/>
          <w:szCs w:val="20"/>
          <w:color w:val="auto"/>
        </w:rPr>
      </w:pPr>
      <w:r>
        <w:rPr>
          <w:rFonts w:ascii="Times New Roman" w:cs="Times New Roman" w:eastAsia="Times New Roman" w:hAnsi="Times New Roman"/>
          <w:sz w:val="18"/>
          <w:szCs w:val="18"/>
          <w:color w:val="auto"/>
        </w:rPr>
        <w:t>in federal healthcare programs, a new methodology by which rebates owed by manufacturers under the Medicaid Drug Rebate Program are calculated for drugs that are inhaled, infused, instilled, implanted or injected, and annual fees based on pharmaceutical companies’ share of sales to federal healthcare programs.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have been judicial and congressional challenges to certain aspects of the ACA and its implementing regulations as well as efforts to modify them or alter their interpretation or implementation. While the U.S. Congress has not passed comprehensive repeal legislation, several bills affecting the implementation of certain taxes under the ACA have been signed into law. The Tax Act included a provision that repealed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eliminated the ACA-mandated “Cadillac” tax on high-cost employer-sponsored health coverage and also eliminated the health insurer tax. Additional legislative changes, regulatory changes and judicial challenges related to the ACA remain possible, but the nature and extent of such potential changes or challenges are uncertain at this time. It is unclear how any efforts to modify, or invalidate the ACA, its implementing regulations, or portions thereof, and other reform measures that may be adopted in the future will affect our business.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ACA was enacted. These changes include aggregate reductions to Medicare payments to providers pursuant to the Budget Control Act of 2011, which began in 2013, and due to subsequent legislative amendments to the statute, including the BBA and the Infrastructure Investment and Jobs Act, will remain in effect through 2032. Under current legislation, sequestration is currently set at 2% through 2033. The American Taxpayer Relief Act of 2012, among other things, further reduced Medicare payments to several providers, including hospitals, and increased the statute of limitations period for the government to recover overpayments to providers from three to five years. Additionally, the American Rescue Plan Act of 2021 eliminated the statutory Medicaid drug rebate cap, effective January 1, 2024. These laws may result in additional reductions in Medicare, Medicaid and other healthcare funding or otherwise have an adverse effect on customers for our product candidates, if approved, and, accordingly, our financial operations.</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in the U.S.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government has shown substantial interest in taking a variety of measures aimed at lowering U.S. prescription drug prices to align with the lowest prices available for the same drugs in comparable developed nations (so called “most favored nation” pricing). As another example of federal activity in this area, FDA concurrently released a final rule and guidance in September 2020 providing pathways for states to build and submit importation plans for drugs from Canada. The Inflation Reduction Act of 2022 (the “IRA”), among other things, permits the HHS to negotiate prescription drug prices with companies, subject to a specified cap, for Medicare units of a specified number of certain FDA approved or licensed brand name drugs or biologics without generic or biosimilar competitors each year, with such prices first set to take effect starting in 2026 for such products reimbursed under Medicare Part D and in 2028 for products reimbursed under Medicare Part B. Failure to comply with requirements under the drug price negotiation program is subject to an excise tax and/or a civil monetary penalty. The IRA further made several changes to the Medicare Part D benefit, including a limit on annual out-of-pocket costs, and a change in manufacturer liability under the program for an applicable drug that could negatively affect the profitability of our product candidates. Failure to comply with requirements under the Part D benefit redesign is subject to a civil monetary penalty. The IRA also prohibited Medicare Part D plans from imposing cost-sharing for certain vaccines that are recommended by the Advisory Committee on Immunization Practices.</w:t>
      </w:r>
    </w:p>
    <w:p>
      <w:pPr>
        <w:spacing w:after="0" w:line="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on July 4, 2025, the One Big Beautiful Bill Act (the “OBBBA”) was signed into law. The OBBBA is projected to decrease federal health care spending by approximately $1 trillion by reducing Medicaid spending and enrollment and making changes to federal Medicare spending. The law also made changes to ACA marketplace enrollment that are projected to decrease the number of individuals with marketplace coverage. It is unclear if these changes will impact demand for our products, once authorized or approved.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Congress may continue to consider drug pricing as part of other reform initiatives.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Additionally, some individual states have begun establishing Prescription Drug Affordability Boards to review high-cost drugs and, in some cases, set upper payment limits.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6" w:name="page97"/>
    <w:bookmarkEnd w:id="96"/>
    <w:p>
      <w:pPr>
        <w:jc w:val="both"/>
        <w:spacing w:after="0" w:line="282" w:lineRule="auto"/>
        <w:rPr>
          <w:sz w:val="20"/>
          <w:szCs w:val="20"/>
          <w:color w:val="auto"/>
        </w:rPr>
      </w:pPr>
      <w:r>
        <w:rPr>
          <w:rFonts w:ascii="Times New Roman" w:cs="Times New Roman" w:eastAsia="Times New Roman" w:hAnsi="Times New Roman"/>
          <w:sz w:val="18"/>
          <w:szCs w:val="18"/>
          <w:color w:val="auto"/>
        </w:rPr>
        <w:t>revenue, attain profitability, or commercialize our drugs. It is also possible that additional governmental action will be taken in response to the COVID-19 pandemic.</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new regulations or guidance, or revisions or reinterpretations of existing regulations or guidance, may impose additional costs or lengthen FDA review times for our product candidates. We cannot determine how changes in regulations, statutes, policies or interpretations when and if issued, enacted or adopted, may affect our business in the future. Such changes could, among other things, require:</w:t>
      </w:r>
    </w:p>
    <w:p>
      <w:pPr>
        <w:spacing w:after="0" w:line="68" w:lineRule="exact"/>
        <w:rPr>
          <w:sz w:val="20"/>
          <w:szCs w:val="20"/>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clinical trials to be conducted prior to obtaining authorization or approval;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manufacturing methods;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replacements or discontinuance of one or more of our products, if authorized or approved;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recordkeeping.</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Such changes would likely require substantial time and impose significant costs, or could reduce the potential commercial value of our product candidates, and could materially harm our business and our financial results. In addition, delays in receipt of or failure to receive regulatory authorizations or approvals for our products would harm our business, financial condition and results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attract and retain key executives and to attract, retain and motivate qualified personnel.</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highly dependent on the management, scientific, clinical, manufacturing, commercial, financial, legal and business development expertise of our executive officers. Executive officers may terminate employment with us at any time, and the ability to attract a key executive to replace that position and the ability to retain additional key executives are critical to our success. We do not maintain “key person” insurance for any of our executives or employees.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Since May 2024, William Duke, Jr., our Chief Financial Officer, has served as our “principal executive officer.” Mr. Duke assumed such role following the separation from Invivyd of our previous Chief Executive Officer and Interim Chief Executive Officer and is expected to continue to serve until a permanent successor can be identified. Executive leadership transition periods can often be difficult and may result in changes in leadership strategy and style. There may be organizational changes or changes in business strategy in connection with any future Chief Executive Officer transition, and we can provide no assurances that any such changes will be beneficial or will have the desired impact on the company.</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commercialization personnel, including market access, marketing and sales personnel, are also critical to our success. 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authorization or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and executing our development and commercialization strategy. Our consultants and advisors may be employed by employers other than us and may have commitments under consulting or advisory contracts with other entities that may limit their availability to us. We also rely on contractors to support the sales, market access and medical affairs activities for commercialization and scientific exchange. If we are unable to continue to attract and retain high quality personnel and engage high quality contractors, our ability to pursue our growth strategy and achieve our business objectives will be limited.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clinical development and regulatory capabilities and have implemented sales, marketing and distribution capabilities, and as a result, we may encounter difficulties in managing our growth, which could disrupt our operations.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Depending on our development progress, we may experience growth in the number of our employees and the scope of our operations, particularly in the areas of research and discovery, clinical product development, regulatory affairs, and sales, marketing and distribution. To manage our future growth, we must continue to implement and improve our managerial, operational and financial systems, expand our facilities and continue to recruit, train and retain qualified personnel. Due to our limited financial resources and the limited experience of our management team in managing a company with such anticipated growth, we may not be able to effectively manage the expansion of our operations or recruit, train and retain such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77"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principal investigators, CROs, CDMO,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consultants, collaborators, principal investigators, CROs, CDMO, suppliers and vendors may engage in misconduct, including intentional, reckless and/or negligent conduct that violates civil, criminal or administrative laws or regulations, including fraudulent conduct or other illegal activity. Misconduct by these parties could include conduct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additional reporting requirements and oversight if we become subject to a corporate integrity agreement or similar agreement to resolve allegations of non-compliance with these laws, and the curtailment or restructuring of our operations.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 and Our Status as a Public Company</w:t>
      </w:r>
    </w:p>
    <w:p>
      <w:pPr>
        <w:spacing w:after="0" w:line="117"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the shares of our common stock has been and may continue to be volatile, and purchasers of our common stock could incur substantial losses.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stock price may be volatile. Since the IPO and through March 1, 2026, our common stock has traded at prices ranging from $0.35 to $78.82 per share. The stock market in general and the market for biopharmaceutical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72" w:lineRule="exact"/>
        <w:rPr>
          <w:sz w:val="20"/>
          <w:szCs w:val="20"/>
          <w:color w:val="auto"/>
        </w:rPr>
      </w:pPr>
    </w:p>
    <w:p>
      <w:pPr>
        <w:ind w:left="1140" w:hanging="504"/>
        <w:spacing w:after="0"/>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 performance of PEMGARDA;</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timely identify, develop, obtain authorization or approval for, and commercialize mAbs that exert continuous pharmaceutical activity in the face of viral evolution;</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clinical trials, including our REVOLUTION clinical program for VYD2311, or the commencement, enrollment or results of any future clinical trials we may conduct, or changes in the development status of our product candidates;</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regulatory filings for our product candidates, and any adverse development or perceived adverse development with respect to the applicable regulatory authority’s receipt and review of such filings, including without limitation the FDA’s issuance of a “refusal to file” letter or a request for additional information;</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98" w:name="page99"/>
    <w:bookmarkEnd w:id="98"/>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EUA for PEMGARDA, and the scope and timing of any amendments thereto;</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termination of clinical trials, such as DECLARATION and LIBERTY;</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any requested amendment to our existing EUA for PEMGARDA, or failure to receive regulatory authorization or approval of any other product candidate;</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safety concerns related to the use of PEMGARDA, VYD2311 or any other product candidate;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progress and results of our efforts to develop potential best-in-class antibody therapies across multiple virus targets beyond SARS-CoV-2, including RSV and measles;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us or by any equity research analysts who might cover our stock;</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or trends in our industry;</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similar companies;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our competitors of new product candidates or technologies, or the results of clinical trials or regulatory decisions;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market price and volume fluctuations of comparable companies and, in particular, those that operate in the biopharmaceutical industry;</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our industry or positive or negative recommendations or withdrawal of research coverage by securities analysts;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or divestitures;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our collaborators;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investigations or regulatory scrutiny of our operations or lawsuits filed against us;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general perception of our company and our business;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listing requirements of The Nasdaq Stock Market (“Nasdaq”);</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relating to proprietary rights, including patents, litigation matters and our ability to obtain patent protection for our technologies;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patent or stockholder litigation;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political and economic conditions;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many of which are beyond our control.</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stock market in general, and the Nasdaq Global Market and biotechnology companies in particular, have experienced extreme price and volume fluctuations, including as a result of the COVID-19 pandemic, the ongoing conflict between Russia and Ukraine, increases in inflation rates, disruptions to global supply chain, tariff uncertainty or other macroeconomic factors, that have often been unrelated or disproportionate to the prospects of the issuer and which have resulted in decreased stock prices for many companies notwithstanding the lack of a fundamental change in their underlying business models or prospects. The realization of any of the above risks or any of a broad range of other risks, including those described in this section, could have a significant and material adverse impact on the market price of our common stock.</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past, stockholders have initiated class action lawsuits against pharmaceutical and biotechnology companies following periods of volatility in the market prices of these companies’ stock. Such litigation, if instituted against us, could cause us to incur substantial costs and divert management’s attention and resources from our business. For example, on January 31, 2023, a securities class action lawsuit captioned Brill v. Invivyd, Inc., et. al., Case No. 1:23-CV-10254-LTS, was filed against us and certain of our former officers in the U.S. District Court for the District of Massachusetts. The lawsuit was dismissed with prejudice in September 2024. However, we may be the target of similar litigation in the future.</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continue to be able to comply with the continued listing standards of Nasdaq.</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Nasdaq Global Market, and we are therefore subject to its continued listing requirements, including requirements with respect to the market value of publicly held shares, market value of listed shares, minimum bid price per share, and minimum stockholders’ equity, among others, and requirements relating to board and committee independence. If we fail to satisfy one or more of the requirements and are unable to timely regain compliance, we may be delisted from the Nasdaq Global Market.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For example, on December 27, 2024, we received a letter from Nasdaq notifying us that, because the closing bid price for our common stock had closed below $1.00 per share for 30 consecutive business days, we no longer complied with the minimum bid price requirement for continued listing on the Nasdaq Global Market pursuant to Nasdaq Listing Rule 5450(a)(1) (the “Minimum Bid Price Requirement”). We then received a letter from Nasdaq on February 21, 2025 notifying us that we had regained compliance with the Minimum Bid Price Requirement, and the matter with respect to that period of non-compliance was closed.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Subsequently, on April 21, 2025, we received a new letter from Nasdaq notifying us that, because the closing bid price for our common stock had again closed below $1.00 per share for 30 consecutive business days, we no longer complied with the Minimum Bid Price Requirement. We then received a letter from Nasdaq on September 22, 2025 notifying us that we had regained compliance with the Minimum Bid Price Requirement, and the matter with respect to that period of non-compliance was closed.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To the extent that we are unable to maintain compliance with Nasdaq’s continued listing requirements, there is a risk that our common stock may be delisted from Nasdaq. Delisting from Nasdaq may adversely affect our ability to raise additional financing through the public or private sale of equity securities, significantly affect the ability of investors to trade our securities, or negatively affect the value and liquidity of our common stock. Delisting also could have other negative results, including the potential loss of employee confidence, the loss of institutional investors or interest in potential business development opportunities.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if we are delisted from Nasdaq and we are not able to list our common stock on another exchange, our common stock may be eligible to trade on an over-the-counter system, such as the OTCQB market, where an investor may find it more difficult to sell our common stock or obtain accurate quotations as to the market value of our common stock. We cannot assure you that our common stock, if delisted from Nasdaq, will be listed on another national securities exchange or quoted on an over-the-counter quotation system.</w:t>
      </w:r>
    </w:p>
    <w:p>
      <w:pPr>
        <w:spacing w:after="0" w:line="68"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There are provisions in our amended and restated certificate of incorporation and amended and restated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charter documents also contain other provisions that could have an anti-takeover effect, including:</w:t>
      </w:r>
    </w:p>
    <w:p>
      <w:pPr>
        <w:spacing w:after="0" w:line="117" w:lineRule="exact"/>
        <w:rPr>
          <w:sz w:val="20"/>
          <w:szCs w:val="20"/>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are not permitted to take actions by written consent;</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cannot call a special meeting of stockholders;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give advance notice to nominate directors or submit proposals for consideration at stockholder meetings.</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we are subject to the anti-takeover provisions of Section 203 of the Delaware General Corporation Law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0" w:name="page101"/>
    <w:bookmarkEnd w:id="100"/>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Jumpstart Our Business Startups Act of 2012, as amended (the “JOBS Act”), and may remain an emerging growth company until December 31, 2026. However, if certain events occur prior to the end of such five-year period, including if we become a “large accelerated filer,” our annual gross revenues are $1.235 billion or more or we issue more than $1.0 billion of non-convertible debt in the previous three-year period, we will cease to be an emerging growth company prior to December 31, 2026. For so long as we remain an emerging growth company, we are permitted and intend to take advantage of exemptions from certain disclosure requirements that are applicable to other public companies that are not emerging growth companies. These exemptions include:</w:t>
      </w:r>
    </w:p>
    <w:p>
      <w:pPr>
        <w:spacing w:after="0" w:line="79" w:lineRule="exact"/>
        <w:rPr>
          <w:sz w:val="20"/>
          <w:szCs w:val="20"/>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our shareholders may not have access to certain information they may deem important. We cannot predict whether investors will find our common stock less attractive because we will rely on these exemptions. If some investors find our common stock less attractive as a result of our reliance on these exemptions,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“smaller reporting company” and the reduced disclosure requirements applicable to smaller reporting companies may make our common stock less attractive to investors.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“smaller reporting company” as defined in Item 10(f)(1) of Regulation S-K, and will remain a smaller reporting company so long as either of the following conditions are true – (i) the market value of our common stock held by non-affiliates is less than $250 million as of the end of that year’s second fiscal quarter, or (ii) our annual revenues are less than $100 million during the most recently completed fiscal year and the market value of our common stock held by non-affiliates is less than $700 million as of the end of that year’s second fiscal quarter.</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therefore entitled to rely on certain reduced disclosure requirements for as long as we remain a smaller reporting company, such as an exemption from providing selected financial data and certain executive compensation information. In addition, for as long as we are a smaller reporting company with less than $100 million in annual revenue, we would be exempt from the requirement to obtain an external audit on the effectiveness of internal control over financial reporting provided in Section 404 of the Sarbanes-Oxley Act.</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These exemptions and reduced disclosures in our SEC filings due to our status as a smaller reporting company may make it harder for investors to analyze our results of operations and financial prospects. We cannot predict if investors will find our common stock less attractive because we rely on these exemptions. If some investors find our common stock less attractive as a result, there may be a less active trading market for our common stock and our stock prices may be more volatile.</w:t>
      </w:r>
    </w:p>
    <w:p>
      <w:pPr>
        <w:spacing w:after="0" w:line="68"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As a result, capital appreciation, if any, of our common stock will be your sole source of gain for the foreseeable future. Investors seeking cash dividends should not purchase our common stock.</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1" w:name="page102"/>
    <w:bookmarkEnd w:id="101"/>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6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54" w:lineRule="exact"/>
        <w:rPr>
          <w:sz w:val="20"/>
          <w:szCs w:val="20"/>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DGCL,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seeking to interpret, apply, enforce or determine the validity of our amended and restated certificate of incorporation or our amended and restated bylaws;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which the DGCL confers jurisdiction on the Court of Chancery of the State of Delaware;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U.S. will be the exclusive forum for resolving any complaint asserting a cause of action arising under the Securities Act. While the Delaware courts have determined that such choice of forum provisions are facially valid and several state trial courts have enforced such provisions and required that suits asserting Securities Act claims be filed in federal court, there is no guarantee that courts of appeal will affirm the enforceability of such provisions and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If a court were to find either exclusive forum provision in our amended and restated certificate of incorporation to be inapplicable or unenforceable in an action, we may incur further significant additional costs associated with litigating Securities Act claims in state court, or both state and federal court, which could seriously harm our business, financial condition, results of operations and prospects.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net operating losses to offset future taxable income may be subject to certain limitations.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As of December 31, 2025, we had U.S. federal net operating loss (“NOL”) carryforwards of $485.8 million, which may be available to reduce future taxable income and have an indefinite carryforward period but are limited in their usage to an annual deduction equal to 80% of annual taxable income. In addition, as of December 31, 2025, we had state NOL carryforwards of $286.9 million, which may be available to reduce future taxable income, of which $41.8 million have an indefinite carryforward period while the remaining $245.1 million begin to expire in 2031. As of December 31, 2025, we also had U.S. federal and state research and development tax credit carryforwards of $24.8 million and $7.7 million, respectively, which may be available to reduce future tax liabilities and expire at various dates beginning in 2040 and 2036, respectively.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Under the Tax Act, as modified by the Coronavirus Aid, Relief and Economic Security Act (the “CARES Act”), federal NOLs incurred in taxable years beginning after December 31, 2017 and in future taxable years may carry forward indefinitely, but the deductibility of such federal NOLs incurred in taxable years beginning after December 31, 2020 may be limited. There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2" w:name="page103"/>
    <w:bookmarkEnd w:id="102"/>
    <w:p>
      <w:pPr>
        <w:jc w:val="both"/>
        <w:spacing w:after="0" w:line="282" w:lineRule="auto"/>
        <w:rPr>
          <w:sz w:val="20"/>
          <w:szCs w:val="20"/>
          <w:color w:val="auto"/>
        </w:rPr>
      </w:pPr>
      <w:r>
        <w:rPr>
          <w:rFonts w:ascii="Times New Roman" w:cs="Times New Roman" w:eastAsia="Times New Roman" w:hAnsi="Times New Roman"/>
          <w:sz w:val="18"/>
          <w:szCs w:val="18"/>
          <w:color w:val="auto"/>
        </w:rPr>
        <w:t>is variation in how states are responding. In addition, for state income tax purposes, there may be periods during which the use of NOLs is suspended or otherwise limited.</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and corresponding provisions of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or taxes may be limited. The IPO, together with private placements and other transactions that have occurred since our inception, may trigger such an ownership change pursuant to Section 382. We have not conducted a study to assess whether any such ownership changes have occurred. We may have experienced, and may in the future experience, ownership changes as a result of shifts in our stock ownership, some of which may be outside of our control. If an ownership change has occurred or occurs in the future, and our ability to use our NOL carryforwards is materially limited, it would harm our financial condition and results of operations by effectively increasing our future tax obligations.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assess the impact of various tax reform proposals and modifications to existing tax treaties in all jurisdictions where we have operations to determine the potential effect on our business and any assumptions we have made about our future taxable income. We cannot predict whether any specific proposals will be enacted, the terms of any such proposals or what effect, if any, such proposals would have on our business if they were to be enacted. Beginning in 2022, the Tax Act now eliminates the previously available option to deduct research and development expenditures and requires taxpayers to amortize them over five or fifteen years. Although U.S. Congress considered legislation that would defer the amortization requirement to future periods; the provision has not been repealed or otherwise modified.</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We maintain our cash at financial institutions, often in balances that exceed federally insured limits.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majority of our cash is held in accounts at U.S. banking institutions that we believe are of high quality. Cash held in depository accounts may exceed the $250,000 Federal Deposit Insurance Corporation (“FDIC”) insurance limits. If such banking institutions were to fail, such as Silicon Valley Bank when the FDIC took control in March 2023, we could lose all or a portion of those amounts held in excess of such insurance limitations. In the future, our access to our cash in amounts adequate to finance our operations could be significantly impaired by the financial institutions with which we have arrangements directly facing liquidity constraints or failures. Any material loss that we may experience in the future could have a material adverse effect on our financial condition and could materially impact our ability to pay our operational expenses or make other payments.</w:t>
      </w:r>
    </w:p>
    <w:p>
      <w:pPr>
        <w:spacing w:after="0" w:line="75"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activities are subject to the FCPA and similar anti-bribery and anti-corruption laws. We could face liability and other serious consequences for violations.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are subject to anti-corruption laws and regulations, including the FCPA and similar anti-bribery or anti-corruption laws, regulations or rules of other countries in which we operate.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healthcare providers who prescribe pharmaceuticals are employed by their government, and the purchasers of pharmaceuticals are government entities; therefore, our dealings with these prescribers and purchasers will be subject to regulation under the FCPA. Recently the SEC and Department of Justice have increased their FCPA enforcement activities with respect to biotechnology and pharmaceutical companies. There is no certainty that all of our employees, agents, suppliers, manufacturer,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facilities, including those of our suppliers and manufacturer,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as well as difficulties in manufacturing or continuing to develop our products, and could materially damage our reputation, our brand, our international expansion efforts, our ability to attract and retain employees, and our business, prospects, operating results, and financial condition.</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3" w:name="page104"/>
    <w:bookmarkEnd w:id="103"/>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the SEC and other government agencies caused by the U.S. presidential administration,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ability of the FDA to review and approve new products or review other regulatory submissions can be affected by a variety of factors, including government budget and funding levels, a reduction in the FDA’s workforce and its ability to hire and retain key personnel and accept the payment of user fees, shifting policy priorities as a result of the current U.S. presidential administration and political appointees tasked to oversee the agency,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Disruptions at the FDA and other agencies may also increase the time to meet with and receive agency feedback, review and/or approve our submissions, conduct inspections, issue regulatory guidance, or take other actions that facilitate the development, approval and marketing of regulated products, which would adversely affect our business. In addition, government proposals to reduce or eliminate budgetary deficits may include reduced allocations to the FDA and other related government agencies. It is unclear how certain executive actions or other potential actions by the U.S. presidential administration or other parts of the federal government will impact the FDA or other regulatory authorities that oversee our business. These budgetary pressures may reduce the FDA’s ability to perform its responsibilities. If a significant reduction in the FDA’s workforce occurs, the FDA’s budget is significantly reduced or a prolonged government shutdown occurs, or if global health concerns prevent the FDA or other regulatory authorities from conducting business as usual or conducting inspections, reviews or other regulatory activities, it could significantly impact the ability of the FDA to timely review and process our regulatory submissions or take other actions critical to the development or marketing of our product candidates, which could have a material adverse effect on our business.</w:t>
      </w:r>
    </w:p>
    <w:p>
      <w:pPr>
        <w:spacing w:after="0" w:line="82" w:lineRule="exact"/>
        <w:rPr>
          <w:sz w:val="20"/>
          <w:szCs w:val="20"/>
          <w:color w:val="auto"/>
        </w:rPr>
      </w:pPr>
    </w:p>
    <w:p>
      <w:pPr>
        <w:jc w:val="both"/>
        <w:ind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and geopolitical events, including as a result of trade tensions between the U.S. and China, could adversely affect our business, financial condition or results of operations, including conduct of our clinical trials and our manufacturing activities.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The financial markets and the global economy may also be adversely affected by the current or anticipated impact of military conflict, terrorism or other political events, including as a result of trade tensions between the U.S. and China. Sanctions imposed by the U.S. and other countries in response to conflicts, including the one in Ukraine, may also adversely impact the financial markets and the global economy, and any economic countermeasures by the affected countries or others could exacerbate market and economic instability. We have conducted and may in the future conduct clinical trials for our product candidates outside of the U.S. and unfavorable economic conditions resulting in the weakening of the U.S. dollar would make those clinical trials more costly to operate. Furthermore, a severe or prolonged economic downturn, higher inflation and interest rates, political disruption or other geopolitical events, including an expansion of current global military conflicts or instigation of other military conflicts, could result in a variety of risks to our business, including weakened demand for our product candidates or any future product candidates, if authorized or approved, and our ability to raise additional capital when needed on acceptable terms, if at all. Additionally, political pressures, shifting public health priorities, and evolving FDA policies under the new U.S. presidential administration could also impact the demand for COVID-19-related prevention and treatment measures, affecting the commercial potential of our COVID-19 product candidates.</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weak or declining economy or political disruption, including any international trade disputes, or changes in laws or policies governing the terms of international trade, and in particular increased trade restrictions, tariffs or taxes on imports from countries where we manufacture products, such as China, could strain our manufacturer or suppliers, possibly resulting in supply disruption or increased manufacturing and distribution costs. For example, in 2025, the U.S. imposed or threatened tariffs on certain imports from countries around the world, including Canada, Mexico and China. Historically, tariffs have led to increased trade and political tensions. In response to tariffs, other countries have implemented retaliatory tariffs on U.S. goods. Political tensions as a result of trade policies and tariff uncertainty could reduce trade volume, investment, technological exchange and other economic activities between major international economies, resulting in a material adverse effect on global economic conditions and the stability of global financial markets.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Furthermore, while we seek to limit our concentration of risk as it relates to cash management by having a separate operating bank account with a U.S. commercial bank for routine disbursements, while maintaining our cash investments with an independent SEC-registered financial advisor, our liquidity, business and financial condition may be materially and adversely affected by unanticipated events such as a bank collapse. Any of the foregoing could seriously harm our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color w:val="auto"/>
        </w:rPr>
        <w:t>and we cannot anticipate all of the ways in which the political or economic climate and financial market conditions could seriously harm our business.</w:t>
      </w:r>
    </w:p>
    <w:p>
      <w:pPr>
        <w:sectPr>
          <w:pgSz w:w="11900" w:h="16838" w:orient="portrait"/>
          <w:cols w:equalWidth="0" w:num="1">
            <w:col w:w="10840"/>
          </w:cols>
          <w:pgMar w:left="320" w:top="1201" w:right="739" w:bottom="1440" w:gutter="0" w:footer="0" w:header="0"/>
        </w:sectPr>
      </w:pPr>
    </w:p>
    <w:p>
      <w:pPr>
        <w:spacing w:after="0" w:line="22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1201" w:right="739" w:bottom="1440" w:gutter="0" w:footer="0" w:header="0"/>
          <w:type w:val="continuous"/>
        </w:sectPr>
      </w:pPr>
    </w:p>
    <w:bookmarkStart w:id="105" w:name="page106"/>
    <w:bookmarkEnd w:id="105"/>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 and Strategy</w:t>
      </w:r>
    </w:p>
    <w:p>
      <w:pPr>
        <w:spacing w:after="0" w:line="14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established policies and processes for assessing, identifying, and managing the risks from foreseeable cybersecurity threats and for detecting and responding to any cybersecurity incidents. These policies and processes are built into our IT function and are designed to align with key principles of the NIST Cybersecurity Framework, published by the U.S. National Institute of Standards and Technology.</w:t>
      </w:r>
    </w:p>
    <w:p>
      <w:pPr>
        <w:spacing w:after="0" w:line="10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adopted an IT Security Management Policy (“IT Policy”) to establish the requirements for securing and managing our IT assets and data, as well as an Incident Response Policy designed to coordinate the activities for preparing for, identifying, responding to, and recovering from cybersecurity threats. Our Head of IT is primarily responsible for implementing and overseeing the IT Policy, which is applicable to all our employees and contractors, as well as any third parties with access to our IT assets and data. Our Head of IT is also primarily responsible for leading incident response services under the Incident Response Policy. Our Head of IT leverages over ten years of experience in various cybersecurity functions. As part of our overall risk mitigation strategy, we maintain an Enterprise Risk Register to identify, prioritize and track system risks, including cybersecurity risks. Additionally, we maintain cybersecurity insurance; however, such insurance may not be sufficient in type or amount to cover the total losses or damages related to a cybersecurity incident.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5384800</wp:posOffset>
            </wp:positionH>
            <wp:positionV relativeFrom="paragraph">
              <wp:posOffset>-440690</wp:posOffset>
            </wp:positionV>
            <wp:extent cx="2857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6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implement technical, physical, and organizational measures designed to manage and mitigate risks from cybersecurity threats. For example, we employ multifactor authentication, single sign-on, and email filtering services across our systems. Additionally, we conduct monthly video-based cybersecurity awareness trainings across our workforce, which cover relevant topics such as social engineering, phishing, password protection, confidential data protection, and mobile security. We regularly perform company-wide phishing tests. We currently leverage multiple third-party service providers to assist in monitoring, managing, and detecting cybersecurity threats and conducting periodic vulnerability assessments of our critical assets. We also use a number of means to assess cyber risks related to our third-party service providers, including conducting due diligence in connection with onboarding new vendors and periodic ongoing due diligence with key third-party vendors. We also seek to collect and assess cybersecurity audit reports and other supporting documentation when available and include appropriate security terms in our contracts where applicable as part of our oversight of third party providers.</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we are not aware of any cybersecurity threats, including as a result of any previous cybersecurity incidents, that have materially affected or are reasonably likely to materially affect our business strategy, results of operations, or financial condition. However, evolving cybersecurity threats make it increasingly challenging to anticipate, detect, and defend against cybersecurity threats and incidents. For discussion of cybersecurity risks, please see Item 1A, “Risk Factors.”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4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While our Board of Directors has overall responsibility for risk oversight, the Audit Committee of our Board of Directors (the “Audit Committee”) is responsible for overseeing our cybersecurity risk management and strategy. The Audit Committee reviews and discusses with management and our auditors, as appropriate, our risks relating to data privacy, technology, and information security, including cybersecurity and back-up of information systems. The Audit Committee also confers with management and our auditors, as appropriate, regarding the adequacy and effectiveness of our policies and the internal controls regarding information security.</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Head of IT meets regularly with our Chief Financial Officer to discuss our cybersecurity threat landscape, address opportunities for improvement and issues, and evaluate solutions to cover identified gaps. Our Head of IT, in collaboration with members of senior management, reports significant cybersecurity matters to our Audit Committee, consistent with the Incident Response Policy.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operate as a hybrid company with employees working at our principal office in New Haven, Connecticut, our laboratory in Newton, Massachusetts and remotely.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principal office is located at 209 Church Street, New Haven, Connecticut 06510, where we lease office space for general and administrative purposes. We lease this space under a lease agreement that is scheduled to expire in May 2026.</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we entered into an agreement to lease office space in New Haven, Connecticut for general and administrative purposes. The term of the lease will commence after the later of (i) the date on which landlord improvements to the premises are deemed to be substantially completed, or (ii) the delivery of the lender consent package. The lease has an initial term of one hundred twenty-nine months, measured from the lease commencement date.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Additionally, we lease laboratory and office space in Newton, Massachusetts for research and development purposes. We lease this space under a lease agreement that is scheduled to expire in December 2027. We believe that our facilities are sufficient to meet our current needs, and that, if we require additional physical facilities, we will be able to obtain additional facilities on commercially reasonable terms.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other litigation relating to claims arising in the ordinary course of business. We accrue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we were not a party to any material legal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33" w:lineRule="exact"/>
        <w:rPr>
          <w:sz w:val="20"/>
          <w:szCs w:val="20"/>
          <w:color w:val="auto"/>
        </w:rPr>
      </w:pPr>
    </w:p>
    <w:p>
      <w:pPr>
        <w:ind w:right="1900"/>
        <w:spacing w:after="0" w:line="378"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 Market Information</w:t>
      </w:r>
    </w:p>
    <w:p>
      <w:pPr>
        <w:ind w:left="520"/>
        <w:spacing w:after="0"/>
        <w:rPr>
          <w:sz w:val="20"/>
          <w:szCs w:val="20"/>
          <w:color w:val="auto"/>
        </w:rPr>
      </w:pPr>
      <w:r>
        <w:rPr>
          <w:rFonts w:ascii="Times New Roman" w:cs="Times New Roman" w:eastAsia="Times New Roman" w:hAnsi="Times New Roman"/>
          <w:sz w:val="18"/>
          <w:szCs w:val="18"/>
          <w:color w:val="auto"/>
        </w:rPr>
        <w:t>Our common stock is listed on the Nasdaq Global Market under the symbol “IVVD”.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March 1, 2026, there were 7 holders of record of our common stock. This number does not reflect the beneficial holders of our common stock who hold shares in street name through brokerage accounts or other nominees.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anticipate that we will retain all available funds and future earnings for the development, operation and expansion of our business and do not anticipate declaring or paying any cash dividends for the foreseeable future.</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Information regarding securities authorized for issuance under equity compensation plans is incorporated by reference into the information in Part III, Item 12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issue any unregistered equity securities during the twelve months ended December 31, 2025.</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of our equity securities during the quarter ended December 31,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8" w:name="page109"/>
    <w:bookmarkEnd w:id="108"/>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consolidated financial statements and related notes appearing elsewhere in this Annual Report on Form 10-K. Some of the information contained in this discussion and analysis or set forth elsewhere in this Annual Report, including information with respect to our plans and strategy for our business and related financing, includes forward-looking statements that involve risks and uncertainties.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Invivyd, Inc. is a biopharmaceutical company focused on the discovery, development and commercialization of monoclonal antibody (“mAb”) therapies for the prevention and treatment of serious viral infectious diseases. We are devoted to delivering protection from serious viral infectious diseases, beginning with SARS-CoV-2, the virus that causes COVID-19. PEMGARDA® (pemivibart) is our first mAb to receive regulatory authorization and was designed to exert continuous pharmaceutical activity in the face of viral evolution.</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Globally, COVID-19 has caused millions of deaths and lasting health problems in many survivors and remains a significant global health concern, particularly for immunocompromised individuals. COVID-19 persists and continues to impact patients, notably those who are immunocompromised, and combating this disease will require for years to come a variety of prevention and treatment options with demonstrated efficacy and safety. By leveraging our capabilities, which we have developed through our experience with adintrevimab and pemivibart and over five years in the COVID-19 space, we aim to develop mAbs that could be used in prevention or treatment of serious viral infectious diseases, starting with COVID-19 and expanding into other high-need indications, such as respiratory syncytial virus (“RSV”) and measles.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we received emergency use authorization (“EUA”) from the U.S. Food and Drug Administration (“FDA”) for PEMGARDA injection, for intravenous (“IV”)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 Recipients should not be currently infected with or have had a known recent exposure to an individual infected with SARS-CoV-2.</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emergency use of PEMGARDA is only authorized for the duration of the declaration that circumstances exist justifying the authorization of the emergency use of drugs and biological products during the COVID-19 pandemic under Section 564(b)(1) of the Federal Food, Drug, and Cosmetic Act (“FDCA”), 21 U.S.C. § 360bbb-3(b)(1), unless the declaration is terminated or authorization revoked sooner. PEMGARDA is authorized for use only when the combined national frequency of variants with substantially reduced susceptibility to PEMGARDA is less than or equal to 90%, based on available information including variant susceptibility to PEMGARDA and national variant frequencies. </w:t>
      </w:r>
    </w:p>
    <w:p>
      <w:pPr>
        <w:spacing w:after="0" w:line="73"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In January 2024, we nominated VYD2311, a next generation mAb candidate for COVID-19, as a drug candidate. VYD2311 is a mAb with high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neutralization potency shown against prominent SARS-CoV-2 variants tested to date. In September 2024, we announced dosing of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participants in a Phase 1/2 clinical trial of VYD2311. The Phase 1/2 randomized, blinded, placebo-controlled clinical trial evaluated escalating dosing as well as safety, tolerability, pharmacokinetics and immunogenicity of VYD2311 in healthy trial participants. The Phase 1/2 clinical trial was conducted in Australia and evaluated multiple dose levels of VYD2311 through various routes of administration, including exploration of intramuscular (“IM”) administration and subcutaneous administration, which are designed to be more healthcare system- and patient-friendly than IV administration. In June 2025, we announced positive full Phase 1/2 clinical data for VYD2311 for both safety and pharmacokinetics. Like pemivibart, VYD2311 was engineered from adintrevimab, our investigational mAb that has a robust safety data package and demonstrated clinically meaningful results in global Phase 2/3 clinical trials for both the prevention and treatment of COVID-19.</w:t>
      </w:r>
    </w:p>
    <w:p>
      <w:pPr>
        <w:spacing w:after="0" w:line="8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August 2025, we announced alignment with advice from the FDA on a compact and, therefore, rapid pathway to potential Biologics License Application (“BLA”) approval for VYD2311 for the prevention of COVID-19. As part of Type C meeting feedback, the FDA advised that a single, randomized, placebo-controlled trial evaluating mAb efficacy in prevention of RT-PCR-confirmed symptomatic COVID-19 disease events could support a BLA submission for VYD2311 for the prevention of COVID-19 in a broad population of Americans (12 years of age and older, weighing at least 40kg), including immunocompromised people, subject to agreement on safety database size and pending full protocol review. In October 2025, we announced that the FDA cleared our Investigational New Drug (“IND”) application for VYD2311 and provided feedback to advance our REVOLUTION clinical program, which is our development program for VYD2311. The REVOLUTION clinical program includes two clinical trials, DECLARATION and LIBERTY. In December 2025, we initiated</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both"/>
        <w:spacing w:after="0" w:line="254" w:lineRule="auto"/>
        <w:rPr>
          <w:sz w:val="20"/>
          <w:szCs w:val="20"/>
          <w:color w:val="auto"/>
        </w:rPr>
      </w:pPr>
      <w:r>
        <w:rPr>
          <w:rFonts w:ascii="Times New Roman" w:cs="Times New Roman" w:eastAsia="Times New Roman" w:hAnsi="Times New Roman"/>
          <w:sz w:val="18"/>
          <w:szCs w:val="18"/>
          <w:color w:val="auto"/>
        </w:rPr>
        <w:t>DECLARATION, which is a Phase 3 randomized, triple-blind, placebo-controlled clinical trial to evaluate VYD2311 safety and efficacy in prevention of symptomatic, RT-PCR-confirmed COVID-19 at three months, with either a single dose or monthly doses of VYD2311, each administered via IM injection, compared to placebo. DECLARATION is designed to support potential BLA submission, with top-line data anticipated in mid-2026. In February 2026, we announced alignment with the FDA on LIBERTY, which is designed as a Phase 3, randomized, double-blind clinical trial to evaluate the safety, serum virus neutralizing antibody responses, and pharmacokinetics of (1) VYD2311, (2) an mRNA COVID vaccine, and (3) co-administered VYD2311 with an mRNA COVID vaccine. 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w:t>
      </w:r>
    </w:p>
    <w:p>
      <w:pPr>
        <w:spacing w:after="0" w:line="80"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In July 2025, we announced that we had formed the SPEAR (Spike Protein Elimination and Recovery) Study Group with leading investigators to structure and guide anticipated clinical trials evaluating the effects of broadly neutralizing anti-SARS-CoV-2 spike protein mAb therapy in people suffering from Long COVID or Post-Vaccination Syndrome (“PVS”). The SPEAR Study Group intends to launch multi-center translational clinical research on Long COVID and PVS using next-generation antibodies like our investigational mAb candidate VYD2311.</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engage in active SARS-CoV-2 variant monitoring of antiviral activity as part of our ongoing industrial virology effort, which leverages a consistent, high-quality, independent, third-party pseudoviral system that routinely tests authentic Invivyd-produced molecules and is supported by structure-based analytics. In September 2024, we announced continued neutralizing activity of PEMGARDA against SARS-CoV-2 variants KP.3.1.1 and LB.1 and attractive neutralization potency of VYD2311, our next generation mAb candidate for COVID-19, against the same contemporary viruses, and we also provided an update to ongoing structural analysis showing no meaningful mutational change in the pemivibart binding site since the Omicron shift late in 2021. In January 2025, March 2025 and August 2025, we announced continued neutralizing activity of PEMGARDA and VYD2311 against dominant SARS-CoV-2 variants XEC, LP.8.1 and XFG, respectively.</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our COVID-19 programs, in November 2025, we announced the selection of VBY329, a potential best-in-class mAb candidate being developed for the prevention of RSV infections in neonates, infants and children. We expect to advance VBY329 toward IND readiness in the second half of 2026. Through our proprietary technology platform, we continue to investigate additional mAbs for protection and treatment of other important infectious diseases, such as measles. We are targeting identification of a preclinical mAb candidate for treatment and prevention of measles in the first half of 2026.</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partnerships, external consultants and contract research organizations (“CROs”) to conduct discovery, nonclinical, preclinical, clinical and commercial activities. Additionally, we rely on contract testing laboratories and a contract development and manufacturing organization (“CDMO”), WuXi Biologics (Hong Kong) Limited (“WuXi Biologics”), to execute our chemistry, manufacturing and controls development, testing and clinical and commercial manufacturing activities. In 2022, we secured dedicated laboratory space and expanded our research team in order to enable internal discovery and development of our mAb candidates, while continuing to leverage our existing partnership with Adimab, LLC (“Adimab”), including Adimab’s platform technology. In addition, we expect to continue to rely on third parties for clinical trials and the manufacture and testing of our product candidates, as well as to perform ongoing research and development and other services on our behalf.</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and through December 31, 2025, we have financed our operations primarily through the sale and issuance of preferred and common stock, including net proceeds of $464.7 million from sales of our preferred stock, net proceeds of $327.5 million from our initial public offering (“IPO”), net proceeds of $72.7 million from sales of our common stock under the Sales Agreement (as defined below) and net proceeds of $181.6 million from sales of our common stock and pre-funded warrants under the Underwriting Agreements (as defined below). We have also funded our operations from sales of PEMGARDA. Our ability to generate product revenue sufficient to achieve profitability will depend heavily on the successful development and commercialization of one or more of our product candidates, as they become authorized or approved.</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Since our inception, we have incurred significant losses, including a net loss of $52.5 million for the year ended December 31, 2025. As of December 31, 2025, we had an accumulated deficit of $954.5 million. We may continue to incur significant expenses and recognize losses in the foreseeable future as we expand and progress our research and development activities, manufacturing activities and commercialization efforts. In addition, our losses from operations may fluctuate significantly from period to period depending on the timing of our clinical trials and our expenditures on other research and development activities, manufacturing activities, and commercialization efforts. Our expenses could increase substantially in connection with our ongoing activities, as we:</w:t>
      </w:r>
    </w:p>
    <w:p>
      <w:pPr>
        <w:spacing w:after="0" w:line="79"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commercialize PEMGARDA;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0" w:name="page111"/>
    <w:bookmarkEnd w:id="110"/>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VYD2311 and prepare for its potential commercial launch, if approved, as well as advance development of our other product candidates, such as VBY329;</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our product candidates, including advancement of our REVOLUTION clinical program;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product candidates in any new indications or patient populations;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our preclinical and discovery programs, such as RSV and measles, including development and screening of additional antibodies, as well as engage in ongoing SARS-CoV-2 variant monitoring and testing;</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authorization or approval for any product candidates that successfully complete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coverage and reimbursement for our product candidates, if authorized or approved;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or in-license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develop and validate our commercial-scale current Good Manufacturing Practices (“cGMP”) manufacturing process and manufacture material under cGMP at our contracted manufacturing facilities for clinical trials and commercial sales;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enforce, defend and protect our intellectual property portfolio;</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regulatory requirements established by the applicable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a sales, marketing and distribution infrastructure to commercialize any product candidates for which we may obtain regulatory authorization or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and retain personnel, including research, clinical, development, manufacturing, quality control, quality assurance, regulatory, scientific and other personnel;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legal, accounting and other expenses in operating as a public company.</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a result, we will require additional funding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We may be unable to secure additional funds or enter into such other agreements or arrangements when needed on favorable terms, or at all. If we are unable to secure additional funding when needed, we could be forced to curtail our planned operations and the pursuit of our growth strategy.</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and emergence of SARS-CoV-2 variants, we are unable to accurately predict the timing or amount of increased expenses or when, or if, we will be able to achieve or maintain profitability. We may never obtain regulatory authorization or approval for any of our product candidates other than PEMGARDA. Even with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we will not have sufficient cash and cash equivalents to fund our operating expenses and capital requirements beyond one year from the issuance date of the consolidated financial statements in this Annual Report on Form 10-K, and therefore, we have concluded that there is substantial doubt about our ability to continue as a going concern. We have based this estimate on assumptions that may prove to be wrong, and we could exhaust our available capital resources sooner than we expect. See the section entitled “Liquidity and Capital Resources” for more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March 2024, we received EUA from the FDA for PEMGARDA. Product revenue, net consists of product revenue earned on the sales of PEMGARDA in the U.S. Product revenues are recognized net of variable consideration, including discounts and allowances, trade discounts and distributor fees, chargebacks, product returns and other incentives such as co-pay assistance programs.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1" w:name="page112"/>
    <w:bookmarkEnd w:id="111"/>
    <w:p>
      <w:pPr>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includes PEMGARDA manufacturing costs, labor and overhead costs, and stability study costs. PEMGARDA manufacturing costs include manufacturing materials, third-party manufacturing costs, packaging costs, shipping costs, and royalties.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nature of our business and primary focus of our activities generates a significant amount of research and development costs. Research and development expenses represent costs incurred by us for:</w:t>
      </w:r>
    </w:p>
    <w:p>
      <w:pPr>
        <w:spacing w:after="0" w:line="54" w:lineRule="exact"/>
        <w:rPr>
          <w:sz w:val="20"/>
          <w:szCs w:val="20"/>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nonclinical and preclinical development of our product candidates, including our discovery efforts;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procurement of our product candidates from a third-party manufacturer;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clinical development of our product candidates.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Such costs consist of:</w:t>
      </w:r>
    </w:p>
    <w:p>
      <w:pPr>
        <w:spacing w:after="0" w:line="117" w:lineRule="exact"/>
        <w:rPr>
          <w:sz w:val="20"/>
          <w:szCs w:val="20"/>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personnel-related expenses, including salaries, bonuses, benefits, third-party fees and other compensation-related costs, including stock-based compensation expense, for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third parties, such as collaborators, consultants, contractors and CROs, that conduct the discovery, nonclinical and preclinical studies and clinical trials of our product candidates and research programs;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procuring manufactured product candidates for use in nonclinical studies, preclinical studies, clinical trials and for commercial supply, prior to receiving authorization or approval, from a third-party CDMO;</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outside consultants and advisors, including their fees and any stock-based compensation;</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laboratory-related expenses, which include equipment, laboratory supplies, rent expense, depreciation expense, and other operating costs;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under third-party licensing agreements;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incurred as a result of research and development activities.</w:t>
      </w:r>
    </w:p>
    <w:p>
      <w:pPr>
        <w:spacing w:after="0" w:line="117"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Non-refundable advance payments that we make for goods or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primary focus since inception has been the development of antibodies against COVID-19. We have also initiated discovery efforts to assess pipeline expansion beyond SARS-CoV-2, including the selection of a preclinical mAb candidate for the prevention of RSV and the advancement of early discovery programs targeting other potential targets such as measles. Our research and development costs consist primarily of external costs, such as fees paid to a CDMO, CROs and consultants in connection with our nonclinical studies, preclinical studies, clinical trials and product candidate manufacturing. To date, external research and development costs for any individual product candidate have been tracked commencing upon product candidate nomination. We do not allocate employee-related costs, costs associated with our discovery efforts and other internal or indirect costs to specific research and development programs or product candidates because these resources are used and these costs are deployed across multiple programs under development and, as such, are not separately classified.</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and more variable development costs than those in earlier stages of clinical development, primarily due to the increased size and duration of later-stage clinical trials. Our research and development expenses will increase as we continue advancing VYD2311 through clinical development, particularly as we advance the REVOLUTION clinical trial program, pursue EUA or regulatory approval of our product candidates, and continue to discover and develop additional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At this time, we cannot reasonably estimate or know the nature, timing and estimated costs of the efforts that will be necessary to complete the development of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89" w:lineRule="exact"/>
        <w:rPr>
          <w:sz w:val="20"/>
          <w:szCs w:val="20"/>
          <w:color w:val="auto"/>
        </w:rPr>
      </w:pPr>
    </w:p>
    <w:p>
      <w:pPr>
        <w:ind w:left="5480" w:right="4800" w:hanging="4844"/>
        <w:spacing w:after="0" w:line="657" w:lineRule="auto"/>
        <w:tabs>
          <w:tab w:leader="none" w:pos="1137"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progress of preclinical and clinical development activities;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2" w:name="page113"/>
    <w:bookmarkEnd w:id="112"/>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scope of preclinical and clinical programs we decide to pursue;</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acceptable IND applications with the FDA or comparable foreign applications that allow commencement of our planned clinical trials or future clinical trials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our financial and other resources to complete the necessary preclinical studies and clinical trials, manufacture the product candidates and complete associated regulatory activities;</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agreements with third-party manufacturers for clinical supply for our clinical trials and successfully develop, obtain regulatory authorization or approval for our product candidates;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and timely completion of clinical trials, including our ability to generate positive data from any such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the development of any additional development programs and product candidates we identify in-house or obtain through collaborations, licenses or acquisitions;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nature and severity of adverse events experienced with any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any collaboration, license or other arrangement, including the terms and timing of any milestone payments thereunder;</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trademark and trade secret protection and regulatory exclusivity for our product candidates, if and when approved, and otherwise protecting our rights in our intellectual property portfolio;</w:t>
      </w:r>
    </w:p>
    <w:p>
      <w:pPr>
        <w:spacing w:after="0" w:line="53"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compliance with regulatory requirements, including current Good Clinical Practices, current Good Laboratory Practices and cGMPs, and to comply effectively with other rules, regulations and procedures applicable to the development and sale of pharmaceutical products;</w:t>
      </w:r>
    </w:p>
    <w:p>
      <w:pPr>
        <w:spacing w:after="0" w:line="6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receipt of regulatory authorizations or approvals from applicable regulatory authorities;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significant and changing government regulation, regulatory guidance and requirements and evolving treatment guidelines;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those of third parties with which we work, including as a result of any public health crisis.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1878965</wp:posOffset>
            </wp:positionH>
            <wp:positionV relativeFrom="paragraph">
              <wp:posOffset>-854075</wp:posOffset>
            </wp:positionV>
            <wp:extent cx="2857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3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product candidates could significantly change the costs and timing associated with the development of that product candidate. We may elect to discontinue, delay or modify clinical trials of some product candidates or focus on others.</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emergency situations, such as a pandemic, and with a declaration of a public health emergency by the U.S. Secretary of the Department of Health and Human Services (“HHS”), the FDA has the authority to issue an EUA. While the COVID-19 public health emergency declared by HHS under the Public Health Service Act expired on May 11, 2023, this does not impact the FDA’s ability to authorize COVID-19 drugs and biological products for emergency use pursuant to the relevant declaration under Section 564 of the FDCA. On March 22, 2024, we received EUA from the FDA for PEMGARDA. There can be no assurance that the public health emergency in the U.S. declared under the FDCA will continue to be in place for an extended period of time, that any of our other product candidates will be granted an EUA by the FDA, if we apply for such an authorization, or that we would be able to maintain an EUA, such as the EUA received for PEMGARDA, for an extended period of time. The emergency use of PEMGARDA is only authorized for the duration of the declaration that circumstances exist justifying the authorization of the emergency use of drugs and biological products during the COVID-19 pandemic under Section 564 of the FDCA, unless the declaration is terminated or authorization revoked sooner.</w:t>
      </w:r>
    </w:p>
    <w:p>
      <w:pPr>
        <w:spacing w:after="0" w:line="2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Expenses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Acquired in-process research and development (“IPR&amp;D”) expenses consist primarily of costs of contingent milestone payments incurred to acquire rights to Adimab’s antibodies relating to COVID-19 and SARS and related intellectual property and a license to certain of Adimab’s platform patents and technology (the “IPR&amp;D assets”) for use in the research and development of our product candidates. We expensed the cost of the IPR&amp;D assets because they had no alternative future use as of the acquisition date. We will recognize additional IPR&amp;D expenses in the future if and when it is deemed probable that we will make contingent milestone payments to Adimab under the terms of the agreement by which we acquired the IPR&amp;D assets.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3" w:name="page114"/>
    <w:bookmarkEnd w:id="113"/>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Selling, general and administrative expenses consist primarily of salaries, bonuses, benefits, third-party fees and other compensation-related costs, including stock-based compensation, for our personnel and external contractors involved in our executive, finance, legal, business development and other administrative functions, as well as our commercial function. Selling, general and administrative expenses also include costs incurred for outside services associated with such functions, including legal fees relating to patent and corporate matters; professional fees for accounting, auditing, tax and administrative consulting services; insurance costs; market research costs; and other selling, general and administrative expenses. These costs relate to the operation of the business, unrelated to the research and development function, or any individual program.</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selling, general and administrative expenses will increase in the future as our business expands and we increase our headcount to support the expected growth in our research and development activities and the commercialization of any authorized or approved product candidates, such as PEMGARDA. We also anticipate increased expenses associated with operating as a public company, including increased costs of accounting, audit, legal, regulatory and tax-related services, director and officer insurance premiums, and investor and public relations costs. We also expect to incur additional intellectual property-related expenses as we file additional patent applications to protect innovations arising from our research and development activities.</w:t>
      </w:r>
    </w:p>
    <w:p>
      <w:pPr>
        <w:spacing w:after="0" w:line="75"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Through December 31, 2025, we have operated as a hybrid company with employees working at our corporate headquarters and remotely. We have not incurred material operating expenses for the rent, maintenance and insurance of facilities, or for the depreciation of fixed assets.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net consists of interest income earned from our cash and cash equivalents. We expect our interest income to vary each reporting period depending on our average bank deposits, money market funds and investment balances during the period and market interest rates.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expense or realized benefits for the net losses we have incurred or for the research and development tax credits generated in each period as we believe, based upon the weight of available evidence, that it is more likely than not that all of our net operating loss carryforwards and tax credit carryforwards will not be realized.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continue to monitor the manner in which countries will enact legislation to implement the Pillar Two framework proposed by the Organisation for Economic Co-operation and Development, which proposes a 15% global corporate minimum tax. As of December 31, 2025, various countries have enacted aspects of Pillar Two while committing to enact additional aspects in future years. While we do not expect these rules to have a material impact on our effective tax rate, we continue to monitor these initiatives on a global basis.</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Years Ended December 31, 2025 and 2024</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2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50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50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2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Pr>
          <w:p>
            <w:pPr>
              <w:spacing w:after="0"/>
              <w:rPr>
                <w:sz w:val="18"/>
                <w:szCs w:val="18"/>
                <w:color w:val="auto"/>
              </w:rPr>
            </w:pPr>
          </w:p>
        </w:tc>
      </w:tr>
      <w:tr>
        <w:trPr>
          <w:trHeight w:val="209"/>
        </w:trPr>
        <w:tc>
          <w:tcPr>
            <w:tcW w:w="50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2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28,042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(98,946)</w:t>
            </w:r>
          </w:p>
        </w:tc>
      </w:tr>
      <w:tr>
        <w:trPr>
          <w:trHeight w:val="216"/>
        </w:trPr>
        <w:tc>
          <w:tcPr>
            <w:tcW w:w="500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66,931</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108,986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202,260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(93,274)</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(55,560)</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(176,876)</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121,316</w:t>
            </w:r>
          </w:p>
        </w:tc>
        <w:tc>
          <w:tcPr>
            <w:tcW w:w="100" w:type="dxa"/>
            <w:vAlign w:val="bottom"/>
            <w:shd w:val="clear" w:color="auto" w:fill="CFF0FC"/>
          </w:tcPr>
          <w:p>
            <w:pPr>
              <w:spacing w:after="0"/>
              <w:rPr>
                <w:sz w:val="18"/>
                <w:szCs w:val="18"/>
                <w:color w:val="auto"/>
              </w:rPr>
            </w:pPr>
          </w:p>
        </w:tc>
      </w:tr>
      <w:tr>
        <w:trPr>
          <w:trHeight w:val="209"/>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2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5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(3,880)</w:t>
            </w:r>
          </w:p>
        </w:tc>
      </w:tr>
      <w:tr>
        <w:trPr>
          <w:trHeight w:val="20"/>
        </w:trPr>
        <w:tc>
          <w:tcPr>
            <w:tcW w:w="5000" w:type="dxa"/>
            <w:vAlign w:val="bottom"/>
            <w:shd w:val="clear" w:color="auto" w:fill="CFF0FC"/>
          </w:tcPr>
          <w:p>
            <w:pPr>
              <w:spacing w:after="0" w:line="20" w:lineRule="exact"/>
              <w:rPr>
                <w:sz w:val="1"/>
                <w:szCs w:val="1"/>
                <w:color w:val="auto"/>
              </w:rPr>
            </w:pPr>
          </w:p>
        </w:tc>
        <w:tc>
          <w:tcPr>
            <w:tcW w:w="2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50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(3,880)</w:t>
            </w:r>
          </w:p>
        </w:tc>
      </w:tr>
      <w:tr>
        <w:trPr>
          <w:trHeight w:val="20"/>
        </w:trPr>
        <w:tc>
          <w:tcPr>
            <w:tcW w:w="50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(52,489)</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(169,925)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117,436</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5311140</wp:posOffset>
            </wp:positionH>
            <wp:positionV relativeFrom="paragraph">
              <wp:posOffset>-1448435</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-1448435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-1448435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-890905</wp:posOffset>
            </wp:positionV>
            <wp:extent cx="7747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-890905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-890905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-599440</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-599440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-316865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-316865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-25400</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-7620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-25400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discussion presents the components of our expenses for the periods presented:</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Product revenue, net was $53.4 million and $25.4 million for the years ended December 31, 2025 and 2024, respectively. The $28.0 million increase is primarily the result of increased product sales in 2025 following the launch of PEMGARDA in the second quarter of 2024.</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Cost of product revenue was $3.7 million and $1.6 million for the years ended December 31, 2025 and 2024, respectively. The $2.1 million increase is the result of sales related to PEMGARDA due to an increase in product demand and certain period costs.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began capitalizing our inventory costs in March 2024, in connection with EUA from the FDA and based upon our expectation that these costs would be recoverable through commercialization of PEMGARDA. Prior to the capitalization of our inventory costs, such costs were recorded as research and development expenses in the period incurred. Had our pre-EUA manufacturing costs been capitalized, our reported margins would approach 80%.</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tbl>
      <w:tblPr>
        <w:tblLayout w:type="fixed"/>
        <w:tblInd w:w="0" w:type="dxa"/>
        <w:tblCellMar>
          <w:top w:w="0" w:type="dxa"/>
          <w:left w:w="0" w:type="dxa"/>
          <w:bottom w:w="0" w:type="dxa"/>
          <w:right w:w="0" w:type="dxa"/>
        </w:tblCellMar>
      </w:tblPr>
      <w:tr>
        <w:trPr>
          <w:trHeight w:val="155"/>
        </w:trPr>
        <w:tc>
          <w:tcPr>
            <w:tcW w:w="5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ind w:right="115"/>
              <w:spacing w:after="0" w:line="15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center"/>
              <w:ind w:right="75"/>
              <w:spacing w:after="0" w:line="15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5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3"/>
        </w:trPr>
        <w:tc>
          <w:tcPr>
            <w:tcW w:w="5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10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7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(28,617)</w:t>
            </w:r>
          </w:p>
        </w:tc>
      </w:tr>
      <w:tr>
        <w:trPr>
          <w:trHeight w:val="216"/>
        </w:trPr>
        <w:tc>
          <w:tcPr>
            <w:tcW w:w="57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67,505</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(62,908)</w:t>
            </w:r>
          </w:p>
        </w:tc>
      </w:tr>
      <w:tr>
        <w:trPr>
          <w:trHeight w:val="216"/>
        </w:trPr>
        <w:tc>
          <w:tcPr>
            <w:tcW w:w="57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VBY329</w:t>
            </w:r>
            <w:r>
              <w:rPr>
                <w:rFonts w:ascii="Times New Roman" w:cs="Times New Roman" w:eastAsia="Times New Roman" w:hAnsi="Times New Roman"/>
                <w:sz w:val="24"/>
                <w:szCs w:val="24"/>
                <w:color w:val="auto"/>
                <w:vertAlign w:val="superscript"/>
              </w:rPr>
              <w:t>(3)</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2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Early-stage programs</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(546)</w:t>
            </w: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Unallocated research and development expenses: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Personnel related (including stock-based compensation)</w:t>
            </w: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14,783</w:t>
            </w: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21,274</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(6,491)</w:t>
            </w:r>
          </w:p>
        </w:tc>
      </w:tr>
      <w:tr>
        <w:trPr>
          <w:trHeight w:val="216"/>
        </w:trPr>
        <w:tc>
          <w:tcPr>
            <w:tcW w:w="57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External discovery-related and other costs</w:t>
            </w:r>
            <w:r>
              <w:rPr>
                <w:rFonts w:ascii="Times New Roman" w:cs="Times New Roman" w:eastAsia="Times New Roman" w:hAnsi="Times New Roman"/>
                <w:sz w:val="24"/>
                <w:szCs w:val="24"/>
                <w:color w:val="auto"/>
                <w:vertAlign w:val="superscript"/>
              </w:rPr>
              <w:t>(4)</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(999)</w:t>
            </w:r>
          </w:p>
        </w:tc>
      </w:tr>
      <w:tr>
        <w:trPr>
          <w:trHeight w:val="20"/>
        </w:trPr>
        <w:tc>
          <w:tcPr>
            <w:tcW w:w="57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9"/>
        </w:trPr>
        <w:tc>
          <w:tcPr>
            <w:tcW w:w="57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(98,946)</w:t>
            </w:r>
          </w:p>
        </w:tc>
      </w:tr>
      <w:tr>
        <w:trPr>
          <w:trHeight w:val="20"/>
        </w:trPr>
        <w:tc>
          <w:tcPr>
            <w:tcW w:w="578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-25400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-8255</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ind w:left="180" w:hanging="172"/>
        <w:spacing w:after="0" w:line="217" w:lineRule="auto"/>
        <w:tabs>
          <w:tab w:leader="none" w:pos="180"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2023, we announced the nomination of VYD222 (pemivibart) as a novel mAb therapeutic option for COVID-19.</w:t>
      </w:r>
    </w:p>
    <w:p>
      <w:pPr>
        <w:spacing w:after="0" w:line="15" w:lineRule="exact"/>
        <w:rPr>
          <w:rFonts w:ascii="Times New Roman" w:cs="Times New Roman" w:eastAsia="Times New Roman" w:hAnsi="Times New Roman"/>
          <w:sz w:val="22"/>
          <w:szCs w:val="22"/>
          <w:color w:val="auto"/>
          <w:vertAlign w:val="superscript"/>
        </w:rPr>
      </w:pPr>
    </w:p>
    <w:p>
      <w:pPr>
        <w:ind w:left="180" w:hanging="172"/>
        <w:spacing w:after="0" w:line="203" w:lineRule="auto"/>
        <w:tabs>
          <w:tab w:leader="none" w:pos="180" w:val="left"/>
        </w:tabs>
        <w:numPr>
          <w:ilvl w:val="0"/>
          <w:numId w:val="6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March 2024, we announced the nomination of VYD2311 as a novel mAb therapeutic option for COVID-19.</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ind w:left="180" w:hanging="172"/>
        <w:spacing w:after="0"/>
        <w:tabs>
          <w:tab w:leader="none" w:pos="180" w:val="left"/>
        </w:tabs>
        <w:numPr>
          <w:ilvl w:val="0"/>
          <w:numId w:val="69"/>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 November 2025, we announced the nomination of VBY329 as an RSV mAb candidate for preclinical development.</w:t>
      </w:r>
    </w:p>
    <w:p>
      <w:pPr>
        <w:spacing w:after="0" w:line="15" w:lineRule="exact"/>
        <w:rPr>
          <w:rFonts w:ascii="Times New Roman" w:cs="Times New Roman" w:eastAsia="Times New Roman" w:hAnsi="Times New Roman"/>
          <w:sz w:val="22"/>
          <w:szCs w:val="22"/>
          <w:color w:val="auto"/>
          <w:vertAlign w:val="superscript"/>
        </w:rPr>
      </w:pPr>
    </w:p>
    <w:p>
      <w:pPr>
        <w:ind w:firstLine="8"/>
        <w:spacing w:after="0" w:line="278" w:lineRule="auto"/>
        <w:tabs>
          <w:tab w:leader="none" w:pos="170" w:val="left"/>
        </w:tabs>
        <w:numPr>
          <w:ilvl w:val="0"/>
          <w:numId w:val="6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Included in External discovery-related and other costs are expenses associated with adintrevimab which were historically presented in the direct, external research and development expense by program section.</w:t>
      </w:r>
    </w:p>
    <w:p>
      <w:pPr>
        <w:spacing w:after="0" w:line="6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Research and development expenses were $38.3 million for the year ended December 31, 2025, compared to $137.3 million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 The $99.0 million decrease in research and development expenses was primarily due to the following:</w:t>
      </w:r>
    </w:p>
    <w:p>
      <w:pPr>
        <w:spacing w:after="0" w:line="99" w:lineRule="exact"/>
        <w:rPr>
          <w:sz w:val="20"/>
          <w:szCs w:val="20"/>
          <w:color w:val="auto"/>
        </w:rPr>
      </w:pPr>
    </w:p>
    <w:p>
      <w:pPr>
        <w:jc w:val="both"/>
        <w:ind w:left="1140" w:hanging="504"/>
        <w:spacing w:after="0" w:line="266"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pemivibart program resulted from decrease of $13.7 million in contract research costs for our Phase 3 CANOPY clinical trial, $12.8 million in contract costs for commercial manufacturing, $1.4 million in nonclinical costs and $0.7 million in other external costs;</w:t>
      </w:r>
    </w:p>
    <w:p>
      <w:pPr>
        <w:spacing w:after="0" w:line="6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VYD2311 program resulted from decrease of $62.1 million in contract costs for clinical and commercial manufacturing and $1.8 million in nonclinical expenses, partially offset by increase of $0.6 million in clinical trial costs and $0.4 million in external discovery-related and other costs;</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direct costs for our VBY329 program resulted from the nomination of VBY329 as an RSV mAb candidate in the fourth quarter of 2025, with costs resulting from $0.4 million in external discovery costs, as well as $0.2 million in nonclinical expense;</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direct costs related to our early-stage programs resulted from decrease of $0.9 million in contract development and manufacturing costs, partially offset by an increase of $0.3 million in external discovery-related and other costs;</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personnel related costs resulted from decrease of $6.5 million in headcount-related costs; and</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external discovery-related and other costs resulted from decrease of $1.2 million in other external costs and $0.4 million in nonclinical costs, partially offset by an increase of $0.5 million in contract manufacturing and $0.1 million in clinical trial expenses.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Acquired In-Process Research and Development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IPR&amp;D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was no IPR&amp;D expense recognized for the years ended December 31, 2025 and 2024.</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bl>
      <w:tblPr>
        <w:tblLayout w:type="fixed"/>
        <w:tblInd w:w="0" w:type="dxa"/>
        <w:tblCellMar>
          <w:top w:w="0" w:type="dxa"/>
          <w:left w:w="0" w:type="dxa"/>
          <w:bottom w:w="0" w:type="dxa"/>
          <w:right w:w="0" w:type="dxa"/>
        </w:tblCellMar>
      </w:tblPr>
      <w:tr>
        <w:trPr>
          <w:trHeight w:val="155"/>
        </w:trPr>
        <w:tc>
          <w:tcPr>
            <w:tcW w:w="7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ind w:right="96"/>
              <w:spacing w:after="0" w:line="15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76"/>
              <w:spacing w:after="0" w:line="15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8"/>
        </w:trPr>
        <w:tc>
          <w:tcPr>
            <w:tcW w:w="7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2"/>
                <w:szCs w:val="12"/>
                <w:color w:val="auto"/>
              </w:rPr>
            </w:pPr>
          </w:p>
        </w:tc>
        <w:tc>
          <w:tcPr>
            <w:tcW w:w="10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3"/>
        </w:trPr>
        <w:tc>
          <w:tcPr>
            <w:tcW w:w="7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r>
      <w:tr>
        <w:trPr>
          <w:trHeight w:val="209"/>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Personnel-related costs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29,909</w:t>
            </w:r>
          </w:p>
        </w:tc>
        <w:tc>
          <w:tcPr>
            <w:tcW w:w="5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and consultant fees</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5,977</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66,931</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100" w:type="dxa"/>
            <w:vAlign w:val="bottom"/>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5217160</wp:posOffset>
            </wp:positionH>
            <wp:positionV relativeFrom="paragraph">
              <wp:posOffset>-170815</wp:posOffset>
            </wp:positionV>
            <wp:extent cx="768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were $66.9 million for the year ended December 31, 2025, compared to $63.4 million for the year ended December 31, 2024. The $3.5 million increase in selling, general and administrative expenses was primarily due to the following:</w:t>
      </w:r>
    </w:p>
    <w:p>
      <w:pPr>
        <w:spacing w:after="0" w:line="54" w:lineRule="exact"/>
        <w:rPr>
          <w:sz w:val="20"/>
          <w:szCs w:val="20"/>
          <w:color w:val="auto"/>
        </w:rPr>
      </w:pPr>
    </w:p>
    <w:p>
      <w:pPr>
        <w:jc w:val="both"/>
        <w:ind w:left="1140" w:hanging="504"/>
        <w:spacing w:after="0" w:line="261"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personnel-related costs was primarily due to an increase in headcount-related costs of $7.5 million, partially offset by a decrease in stock-based compensation expense of $6.2 million. The decrease in stock-based compensation expense was primarily due to stock-based compensation expense recognized in 2024 associated with the accelerated vesting of a portion of the outstanding stock options granted to our former Chief Executive Officer, in accordance with the terms of his employment agreement;</w:t>
      </w:r>
    </w:p>
    <w:p>
      <w:pPr>
        <w:spacing w:after="0" w:line="71"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 in professional and consultant fees resulted from decrease of $0.6 million in sales and marketing costs and $0.5 million in insurance costs, partially offset by increase of $1.0 million in professional services fees; and</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other costs primarily resulted from increase of $0.9 million in conference related costs and $1.2 million in other employee related travel expense.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16" w:name="page117"/>
    <w:bookmarkEnd w:id="116"/>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income was $3.1 million and $7.0 million for the years ended December 31, 2025 and 2024, respectively, consisting primarily of interest earned on our invested cash balances.</w:t>
      </w:r>
    </w:p>
    <w:p>
      <w:pPr>
        <w:spacing w:after="0" w:line="266" w:lineRule="exact"/>
        <w:rPr>
          <w:sz w:val="20"/>
          <w:szCs w:val="20"/>
          <w:color w:val="auto"/>
        </w:rPr>
      </w:pPr>
    </w:p>
    <w:p>
      <w:pPr>
        <w:jc w:val="center"/>
        <w:ind w:right="87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jc w:val="center"/>
        <w:ind w:right="87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Through December 31, 2025, we have incurred significant operating losses and negative cash flows from operations. Although we received an EUA from the FDA for PEMGARDA in March 2024, we may continue to incur significant expenses and potential operating losses for the foreseeable future as we continue to commercialize PEMGARDA and advance the development of VYD2311, VBY329, and our other product candidates. As of December 31, 2025, we have financed our operations primarily with net proceeds of $464.7 million from sales of our preferred stock, $327.5 million from our IPO in August 2021, $72.7 million from sales of our common stock under the Sales Agreement (as defined below), and $181.6 million from sales of our common stock and pre-funded warrants under the Underwriting Agreements (as defined below). After receiving EUA in March 2024, we have also funded our operations from sales of PEMGARDA.</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2025, we had cash and cash equivalents of $226.7 million.</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Shelf Registration Statements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September 2022, we filed a shelf registration statement on Form S-3 with the SEC and an accompanying base prospectus, which was declared effective by the SEC on October 5, 2022, for the offer and sale of up to $400 million of our securities (the “2022 Shelf Registration Statement”). The 2022 Shelf Registration Statement expired upon the effectiveness of the 2025 Shelf Registration Statement (as defined below).</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2025, we filed a new shelf registration statement on Form S-3 with the SEC and an accompanying base prospectus, which was declared effective by the SEC on December 23, 2025, for the offer and sale of up to $350 million of our securities (the “2025 Shelf Registration Statement”). As of December 31, 2025, excluding the $75 million allocated to the 2025 ATM Prospectus Supplement (as defined below), $275 million of our securities remained available for offer and sale under the 2025 Shelf Registration Statement.</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Sales Agreement</w:t>
      </w:r>
    </w:p>
    <w:p>
      <w:pPr>
        <w:spacing w:after="0" w:line="126"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December 2023, we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Fitzgerald &amp; Co., as sales agent (“Cantor”) and filed with the SEC a prospectus supplement to the 2022 Shelf Registration Statement (the “2023 ATM Prospectus Supplement”), pursuant to which we could, at our option, offer and sell shares of our common stock, with a sales value of up to $75.0 million, from time to time, through Cantor, acting as sales agent, in transactions deemed to be “at the market offerings”, as defined in Rule 415 under the Securities Act of 1933, as amended (the “Securities Act”). Cantor was entitled to a commission of 3% of the gross proceeds from any sales of such shares. In 2024, we sold 9,000,000 shares of our common stock under the Sales Agreement and 2023 ATM Prospectus Supplement at an average price of $4.50 per share for $39.3 million in proceeds net of commissions. In 2025, we sold 23,055,402 shares of our common stock under the Sales Agreement and 2023 ATM Prospectus Supplement at an average price of $1.49 per share for $33.4 million in proceeds net of commissions. Upon the effectiveness of the 2025 Shelf Registration Statement, all offers and sales under the 2023 ATM Prospectus Supplement were deemed terminated.</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2025, in connection with the filing of the 2025 Shelf Registration Statement, we filed with the SEC a new prospectus supplement (the “2025 ATM Prospectus Supplement”), pursuant to which we may, at our option, offer and sell shares of our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2025 Shelf Registration Statement was declared effective by the SEC on December 23, 2025. As of December 31, 2025, $75.0 million remained available for sale under the 2025 ATM Prospectus Supplement.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Underwriting Agreements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August 2025, we completed an underwritten public offering pursuant to an underwriting agreement (the “August Underwriting Agreement”) with Cantor, as representative of the underwriters named therein, pursuant to which we issued and sold an aggregate of 89,234,480 shares of our common stock at a price of $0.52 per share, and pre-funded warrants to purchase up to an aggregate of 21,342,442 shares of common stock at a price of $0.5199 per pre-funded warrant. The price of $0.5199</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jc w:val="both"/>
        <w:spacing w:after="0" w:line="266" w:lineRule="auto"/>
        <w:rPr>
          <w:sz w:val="20"/>
          <w:szCs w:val="20"/>
          <w:color w:val="auto"/>
        </w:rPr>
      </w:pPr>
      <w:r>
        <w:rPr>
          <w:rFonts w:ascii="Times New Roman" w:cs="Times New Roman" w:eastAsia="Times New Roman" w:hAnsi="Times New Roman"/>
          <w:sz w:val="18"/>
          <w:szCs w:val="18"/>
          <w:color w:val="auto"/>
        </w:rPr>
        <w:t>per pre-funded warrant represented the $0.52 per share purchase price for the common stock less the exercise price of $0.0001 per pre-funded warrant. The pre-funded warrants are exercisable at any time after their original issuance and will not expire. We received total net proceeds of approximately $53.5 million, after deducting underwriting discounts and commissions and offering expenses.</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2025, we completed an underwritten public offering pursuant to an underwriting agreement (the “November Underwriting Agreement” and together with the August Underwriting Agreement, the “Underwriting Agreements”) with Cantor, as representative of the underwriters named therein, pursuant to which we issued and sold an aggregate of 44,000,000 shares of our common stock at a price of $2.50 per share, and pre-funded warrants to purchase up to an aggregate of 6,000,000 shares of common stock at a price of $2.4999 per pre-funded warrant (the “November 2025 Underwritten Public Offering”). The price of $2.4999 per pre-funded warrant represented the $2.50 per share purchase price for the common stock less the exercise price of $0.0001 per pre-funded warrant. The pre-funded warrants are exercisable at any time after their original issuance and will not expire. We received total net proceeds of approximately $117.2 million, after deducting underwriting discounts and commissions and offering expenses.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2025, and in connection with the November 2025 Underwritten Public Offering, Cantor exercised the option pursuant to the November Underwriting Agreement to purchase 4,675,000 additional shares of common stock at the public offering price of $2.50, less underwriting discounts and commissions. In connection with such exercise, we received total net proceeds of approximately $10.9 million, after deducting underwriting discounts and commissions and offering expenses payable by us.</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Loan Agreement</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April 18, 2025, we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December 31, 2025, we had not satisfied certain financial covenants and conditions, including the net product revenue milestone required to be eligible to access proceeds from the Term Facility. Accordingly, as of December 31, 2025, no amounts have been drawn down under the Loan Agreement.</w:t>
      </w:r>
    </w:p>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we will be required to repay the principal of the Term Facility in 24 consecutive equal monthly installments or, in the case of the Interest-Only Period Extension, 12 consecutive equal monthly installments. At maturity, or if earlier prepaid, we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w:t>
      </w:r>
    </w:p>
    <w:p>
      <w:pPr>
        <w:spacing w:after="0" w:line="1" w:lineRule="exact"/>
        <w:rPr>
          <w:sz w:val="20"/>
          <w:szCs w:val="20"/>
          <w:color w:val="auto"/>
        </w:rPr>
      </w:pPr>
    </w:p>
    <w:p>
      <w:pPr>
        <w:ind w:firstLine="8"/>
        <w:spacing w:after="0" w:line="260" w:lineRule="auto"/>
        <w:tabs>
          <w:tab w:leader="none" w:pos="25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the Loan Agreement; provided, that such fee will be waived by the Lender in the event that we have requested and the Lender has funded any loans under the Term Facility prior to such date.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18" w:name="page119"/>
    <w:bookmarkEnd w:id="118"/>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84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(58,135)</w:t>
            </w: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(170,491)</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100" w:type="dxa"/>
            <w:vAlign w:val="bottom"/>
            <w:shd w:val="clear" w:color="auto" w:fill="CFF0FC"/>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29"/>
        </w:trPr>
        <w:tc>
          <w:tcPr>
            <w:tcW w:w="73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400" w:type="dxa"/>
            <w:vAlign w:val="bottom"/>
            <w:shd w:val="clear" w:color="auto" w:fill="CFF0FC"/>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157,340</w:t>
            </w:r>
          </w:p>
        </w:tc>
        <w:tc>
          <w:tcPr>
            <w:tcW w:w="1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(131,292)</w:t>
            </w:r>
          </w:p>
        </w:tc>
      </w:tr>
      <w:tr>
        <w:trPr>
          <w:trHeight w:val="20"/>
        </w:trPr>
        <w:tc>
          <w:tcPr>
            <w:tcW w:w="732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-24765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-7620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operating activities used $58.1 million of cash, primarily due to our net loss of $52.5 million and changes in our operating assets and liabilities of $19.6 million, partially offset by non-cash charges of $14.0 million. The changes in our operating assets and liabilities primarily consisted of a $30.8 million decrease in accrued expenses, a $3.3 million increase in accounts receivable, a $1.2 million decrease in operating lease liabilities, and a $0.4 million increase in inventory, partially offset by a $12.9 million decrease in prepaid expenses and a $3.2 million increase in accounts payable. The decrease in accrued expenses was primarily due to the timing of vendor invoicing and payments. The decrease in prepaid expenses and other current assets was primarily due to the utilization of WuXi Biologics manufacturing credits.</w:t>
      </w:r>
    </w:p>
    <w:p>
      <w:pPr>
        <w:spacing w:after="0" w:line="7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operating activities used $170.5 million of cash, primarily due to our net loss of $169.9 million and changes in our operating assets and liabilities of $23.5 million, partially offset by non-cash charges of $22.9 million. The changes in our operating assets and liabilities primarily consisted of a $24.9 million increase in inventory, a $10.9 million increase in accounts receivable, a $1.7 million decrease in operating lease liabilities, and a $0.7 million decrease in other non-current liabilities, partially offset by a $9.0 million increase in accrued expenses, a $3.2 million decrease in prepaid expenses, a $2.4 million increase in accounts payable, and a $0.1 million decrease in other non-current assets. The increase in accrued expenses was primarily due to the timing of vendor invoicing and payments. The decrease in prepaid expenses and other current assets was primarily due to the utilization of WuXi Biologics manufacturing prepayments.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during the years ended December 31, 2025 and 2024 consisted of $0.2 million and $0.1 million, respectively, in purchases of property and equipment.</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2025 consisted of $182.5 million from the issuance of common stock and pre-funded warrants sold under the Underwriting Agreements, $33.4 million from the issuance of common stock under the Sales Agreement, $0.4 million from exercises of stock options, and $0.2 million from issuances of common stock under our employee stock purchase plan, partially offset by $0.6 million in payments for offering costs related to the Underwriting Agreements and $0.3 million in payments for offering costs related to the Sales Agreement.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during the year ended December 31, 2024 consisted of $39.3 million from the issuance of common stock under the Sales Agreement, $0.4 million from exercises of stock options, and $0.2 million from issuances of common stock under our employee stock purchase plan, partially offset by $0.6 million in payments for offering costs related to the Sales Agreement.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expenses could increase in connection with our ongoing activities, particularly as we advance the REVOLUTION clinical program, our nonclinical and preclinical studies, and the clinical trials of our other product candidates, our ongoing and planned commercialization efforts, and any associated manufacturing activities in connection with our clinical development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color w:val="auto"/>
        </w:rPr>
        <w:t>and commercialization activities. Our funding requirements and timing and amount of our operating expenditures will depend on many factors, including:</w:t>
      </w:r>
    </w:p>
    <w:p>
      <w:pPr>
        <w:spacing w:after="0" w:line="117" w:lineRule="exact"/>
        <w:rPr>
          <w:sz w:val="20"/>
          <w:szCs w:val="20"/>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received from sales of PEMGARDA and any other product candidates for which we receive future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discovery, nonclinical studies, preclinical development, laboratory testing and clinical trials for our product candidates and associated development programs, including our REVOLUTION clinical program;</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develop, in-license or acquire other product candidates, intellectual property and/or technologies;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manufacturing and validation activities associated with our current product candidates with the development and manufacturing of our future product candidates as we advance them through preclinical and clinical development;</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product candidates that we may pursue;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1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build and maintain a commercial infrastructure for product candidates for which we obtain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costs of securing sufficient manufacturing capacity for clinical and commercial supply of our product candidates, or the raw material components thereof;</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commercialization activities, including product manufacturing, marketing, sales and distribution, for any of our product candidates for which we receive regulatory authorization or approval;</w:t>
      </w:r>
    </w:p>
    <w:p>
      <w:pPr>
        <w:spacing w:after="0" w:line="53"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necessary to obtain regulatory authorizations or approvals, and the costs of post-marketing studies that could be required by regulatory authorities in jurisdictions where authorization or approval is obtained;</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w:t>
      </w:r>
    </w:p>
    <w:p>
      <w:pPr>
        <w:spacing w:after="0" w:line="53"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continuation of our existing licensing and collaboration arrangements and entry into new collaborations and licensing arrangements, if at all;</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we incur in maintaining business operations;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additional internal systems and infrastructure;</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product and market developments;</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and</w:t>
      </w:r>
    </w:p>
    <w:p>
      <w:pPr>
        <w:spacing w:after="0" w:line="117"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business interruptions to our operations or to those of our third-party contractors resulting from any public health crisis.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Substantial Doubt about Ability to Continue as a Going Concern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accordance with Accounting Standards Update 2014-15, Disclosure of Uncertainties about an Entity’s Ability to Continue as a Going Concern (Subtopic 205-40), we are required to evaluate whether there are conditions and events, considered in the aggregate, that raise substantial doubt about our ability to continue as a going concern from the issuance date of our consolidated financial statements. Based on current operating plans and excluding any contribution from future revenues or external financing, we will not have sufficient cash and cash equivalents to fund our operating expenses and capital requirements beyond one year from the issuance of these consolidated financial statements, and therefore, we have concluded that there is substantial doubt about our ability to continue as a going concern. We have based this estimate on assumptions that may prove to be wrong, and we could exhaust our available capital resources sooner than we expect.</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expect to finance our operations through a combination of contribution from revenues, equity offerings, government or private-party grants, debt financings or other capital sources, such as collaborations with other companies, strategic alliances or licensing arrangements to support our continuing operations and pursue our growth strategy. To the extent that we raise additional capital through the sale of equity or convertible debt securities, our stockholders’ ownership interest will be diluted,</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0" w:name="page121"/>
    <w:bookmarkEnd w:id="120"/>
    <w:p>
      <w:pPr>
        <w:jc w:val="both"/>
        <w:spacing w:after="0" w:line="254" w:lineRule="auto"/>
        <w:rPr>
          <w:sz w:val="20"/>
          <w:szCs w:val="20"/>
          <w:color w:val="auto"/>
        </w:rPr>
      </w:pPr>
      <w:r>
        <w:rPr>
          <w:rFonts w:ascii="Times New Roman" w:cs="Times New Roman" w:eastAsia="Times New Roman" w:hAnsi="Times New Roman"/>
          <w:sz w:val="18"/>
          <w:szCs w:val="18"/>
          <w:color w:val="auto"/>
        </w:rPr>
        <w:t>and the terms of such securities may include liquidation or other preferences and anti-dilution protections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Such restrictions could adversely impact our ability to conduct our operations and execute our business plan. 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secure additional funds through contribution from revenues, equity or debt financings or through other sources, when needed, we may be required to delay, limit, reduce or terminate our product development programs or any commercialization efforts or grant rights to develop and market product candidates to third parties that we would otherwise prefer to develop and market ourselves.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Commitments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2020, we entered into a clinical Master Services Agreement with WuXi Biologics, which was amended in March 2026 (as amended, the “Clinical Master Services Agreement”). The Clinical Master Services Agreement outlines the terms and conditions under which WuXi Biologics coordinates biologics development and clinical manufacturing services for us.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we entered into a Commercial Manufacturing Services Agreement with WuXi Biologics, which was amended and restated in August 2021, further amended and restated in September 2023 and amended in March 2026 (as amended and restated and subsequently amended,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December 31, 2025, we committed to noncancelable purchase obligations related to commercial drug substance and drug product manufacturing under the Commercial Manufacturing Agreement. As of December 31, 2025, the total remaining contractually binding commercial drug substance and drug product purchase obligations due to WuXi Biologics was $10.6 million, which was included in accounts payable and accrued expenses. The remaining contractually binding purchase obligation was paid in January 2026.</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Through December 31, 2025, we committed to noncancelable purchase obligations related to the procurement of materials to be used in future drug substance and drug product manufacturing under the Commercial Manufacturing Agreement. As of December 31, 2025, the total remaining contractually binding purchase obligations due to WuXi Biologics was $3.5 million, which was included in accrued expenses. The remaining contractually binding purchase obligation was paid in January 2026.</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2021, we entered into a five-year facilities lease agreement for approximately 9,600 square feet of office space in Waltham, Massachusetts, which provided for monthly rental payments, including base rent charges of $0.4 million per year, subject to periodic rent increases, and our proportionate share of operating expenses. We exercised our option to terminate and this lease agreement expired in accordance with its terms on May 31, 2025.</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we entered into a two-year noncancelable agreement for dedicated laboratory and office space in Newton, Massachusetts (the “Newton, MA Lease”), which was amended in September 2022. Pursuant to the amended Newton, MA Lease, we entered into a two-year noncancelable agreement for new dedicated laboratory and office space in Newton, Massachusetts, on the same campus as, and in lieu of, the space leased under the original lease. We took occupancy of the new dedicated laboratory and office space in December 2022. The amended Newton, MA Lease provided for monthly rental payments, including base rent charges of $1.3 million per year. In August 2024 and May 2025, the Newton, MA Lease was further amended to extend the lease through December 2027, with an option to further extend the lease for an additional twenty-four months or continue the lease on a month-to-month basis after completion of the term ending in December 2027.</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February 2026, we further amended the Newton, MA Lease to add additional dedicated laboratory space which commenced on March 1, 2026. The amendment provides for incremental annual base rent of $0.3 million for the remainder of the lease term, through December 2027. As the modification had not commenced as of December 31, 2025, no right-of-use asset or lease liability has been recorded in the accompanying financial statements.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January 2026, we entered into an agreement to lease approximately 33,000 square feet of office space in New Haven, Connecticut. The term of the lease will commence after the later of (i) the date on which landlord improvements to the premises are deemed to be substantially completed, or (ii) the delivery of the lender consent package. The lease has an initial term of one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hundred twenty-nine months, measured from the lease commencement date. Our obligation for the payment of rent for the premises begins six months after the lease commencement date and total future minimum lease payments are expected to be $10.9 million. The lease includes a tenant improvement allowance of approximately $1.0 million.</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New Haven, CT lease requires us to provide a security deposit of $1.0 million in the form of a letter of credit, which will be reduced by 50% following the first twelve months of rent payments.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the New Haven, CT lease had not commenced as of December 31, 2025, no right-of-use asset or lease liability has been recorded in the accompanying financial statements.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2025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5"/>
                <w:szCs w:val="15"/>
                <w:color w:val="auto"/>
              </w:rPr>
            </w:pPr>
          </w:p>
        </w:tc>
        <w:tc>
          <w:tcPr>
            <w:tcW w:w="24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0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500" w:type="dxa"/>
            <w:vAlign w:val="bottom"/>
          </w:tcPr>
          <w:p>
            <w:pPr>
              <w:spacing w:after="0"/>
              <w:rPr>
                <w:sz w:val="18"/>
                <w:szCs w:val="18"/>
                <w:color w:val="auto"/>
              </w:rPr>
            </w:pPr>
          </w:p>
        </w:tc>
        <w:tc>
          <w:tcPr>
            <w:tcW w:w="2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8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Under a separate cell line license agreement with WuXi Biologics, we are obligated to pay royalties of less than 1.0% to WuXi Biologics based on our net sales of any products covered by the license. However, if we use WuXi Biologics to manufacture all of our commercial supplies for a product under the cell line license agreement, no royalties would be owed by us to WuXi Biologics for net sales of such a licensed product. We have an option to buy out our royalty obligations by making a one-time payment in the low eight-figures to WuXi Biologics with respect to certain licensed products or middle-seven figures with respect to certain other licensed products. The amount and timing of such royalty payments are not known. For additional information, see Note 7 to our annual consolidated financial statements appearing at the end of this Annual Report on Form 10-K.</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2020, we entered into the Adimab Assignment Agreement with Adimab, with respect to discovery and optimization of coronavirus-specific antibodies, including COVID-19 and SARS. Under the Adimab Assignment Agreement, we are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under the agreement is $24.6 million, of which a total of $11.1 million has been achieved and paid as of December 31, 2025. The next potential milestone under the Adimab Assignment Agreement is a low single-digit million-dollar regulatory milestone. In addition, we are obligated to pay Adimab royalties of a mid-single-digit percentage based on our net sales of products under the agreement, beginning upon the first commercial sale of a product in accordance with the terms of the Adimab Assignment Agreement. During the year ended December 31, 2025, we expensed $2.1 million of royalties, while reserving all rights under the Adimab Assignment Agreement and the applicable law. Further, we are obligated to pay Adimab royalties of a specified percentage in the range of 45% to 55% of any compulsory sublicense consideration received by us in lieu of certain royalty payments. For additional information, see Note 7 to our annual consolidated financial statements appearing at the end of this Annual Report on Form 10-K.</w:t>
      </w:r>
    </w:p>
    <w:p>
      <w:pPr>
        <w:spacing w:after="0" w:line="8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May 2021, as amended in November 2022 and September 2023, we entered into the Adimab Collaboration Agreement with Adimab for the discovery and optimization of proprietary antibodies as potential therapeutic product candidates. Under the Adimab Collaboration Agreement, we could collaborate with Adimab on research programs for a specified number of targets selected by us within a specified time period. Under the Adimab Collaboration Agreement, through December 31, 2023, we were obligated to pay Adimab a quarterly fee in exchange for Adimab and its affiliates agreeing not to assist or direct certain third parties to discover or optimize antibodies that are intended to bind to coronaviruses or influenza viruses, which obligation could be cancelled at our option at any time. In December 2023, pursuant to the terms of the Adimab Collaboration Agreement, we elected to decrease the scope of Adimab’s exclusivity obligations to cover only coronaviruses and obtained a corresponding decrease in the quarterly fee. Effective January 2024, we are obligated to pay Adimab a quarterly fee of $0.6 million, a decrease from the previous quarterly fee of $1.3 million. For each agreed upon research program that is commenced, we are obligated to pay Adimab quarterly for its services performed during a given research program at a specified full-time equivalent rate; a discovery delivery fee of $0.2 million; and an optimization completion fee of $0.2 million. For each option exercised by us to commercialize a specific research program, we are obligated to pay Adimab an exercise fee of $1.0 million. During the years ended December 31, 2025 and 2024, we were not obligated to pay any option exercise fee, a drug delivery fee, or optimization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2" w:name="page123"/>
    <w:bookmarkEnd w:id="122"/>
    <w:p>
      <w:pPr>
        <w:jc w:val="both"/>
        <w:spacing w:after="0" w:line="254" w:lineRule="auto"/>
        <w:rPr>
          <w:sz w:val="20"/>
          <w:szCs w:val="20"/>
          <w:color w:val="auto"/>
        </w:rPr>
      </w:pPr>
      <w:r>
        <w:rPr>
          <w:rFonts w:ascii="Times New Roman" w:cs="Times New Roman" w:eastAsia="Times New Roman" w:hAnsi="Times New Roman"/>
          <w:sz w:val="18"/>
          <w:szCs w:val="18"/>
          <w:color w:val="auto"/>
        </w:rPr>
        <w:t>completion fee. Under the Adimab Collaboration Agreement, we are obligated to pay Adimab up to $18.0 million upon the achievement of specified development and regulatory milestones for each product that achieves such milestones. The next potential milestone under the Adimab Collaboration Agreement is a low single-digit million dollar clinical milestone. We are also obligated to pay Adimab royalties of a mid-single-digit percentage based on net sales of any product under the Adimab Collaboration Agreement, subject to reductions for third-party licenses. In addition, we are obligated to pay Adimab for Adimab’s performance of certain validation work with respect to certain antigens acquired from a third party. In consideration for this work, we are obligated to pay Adimab royalties of a low single-digit percentage based on net sales of products that contain such antigens for the same royalty term as antibody-based products, but we are not obligated to make any milestone payments for such antigen products. The amount and timing of such milestone and royalty payments are not known. For additional information, see Note 7 to our annual consolidated financial statements appearing at the end of this Annual Report on Form 10-K.</w:t>
      </w:r>
    </w:p>
    <w:p>
      <w:pPr>
        <w:spacing w:after="0" w:line="80"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September 2022, we entered into the Adimab Platform Transfer Agreement with Adimab, under which we were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We do not have access to Adimab’s proprietary discovery libraries. We were also granted the right under certain intellectual property of Adimab to research, develop, make, sell and exploit such antibodies and products containing such antibodies. Under the Adimab Platform Transfer Agreement, we are obligated to pay Adimab an annual fee of single digit millions through June 2027, which allows us to receive from Adimab material improvements to the platform technology, including materially improved antibody optimization libraries, updates that provide new functionality to the platform, and software upgrades. Beginning in July 2027 and ending in June 2042, unless terminated earlier, we have the option to receive additional material improvements to the platform technology from Adimab, subject to a commercially reasonable fee to be negotiated by the parties. We are also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In addition, we are obligated to pay Adimab royalties of a low single-digit percentage based on net sales of products containing an antibody discovered, engineered or optimized using Adimab’s platform technology, subject to reductions specified under the Adimab Platform Transfer Agreement. The amount and timing of such royalty payments are not known. For additional information, see Note 7 to our annual consolidated financial statements appearing at the end of this Annual Report on Form 10-K.</w:t>
      </w:r>
    </w:p>
    <w:p>
      <w:pPr>
        <w:spacing w:after="0" w:line="8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enter into other contracts in the normal course of business with other third parties for preclinical research studies and testing, clinical trials, manufacturing and other services. These contracts do not contain any minimum purchase commitments and provide for termination by us upon prior written notice. Payments due upon cancellation consist only of payments for services provided and expenses incurred up to the date of cancellation, including non-cancelable obligations of our service providers and, in some cases, wind-down costs. The exact amounts of such obligations are dependent on the timing of termination and the terms of the associated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U.S. The preparation of consolidated financial statements requires us to make estimates and assumptions that affect the reported amounts of assets, and liabilities and the disclosure of contingent assets and liabilities at the date of the consolidated financial statements, and the reported amounts of revenues and expenses incurred during the reporting periods. Our estimates are based on our historical experience, known trends and events, and various other factors that we believe are reasonable under the circumstances, the results of which form the basis for making judgments about the carrying value of assets and liabilities and recorded amounts of expenses that are not readily apparent from other sources. We evaluate our estimates and assumptions on an ongoing basis. Our actual results may differ from these estimates under different assumptions or conditions.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Note 2 to our consolidated financial statements appearing at the end of this Annual Report on Form 10-K, we believe the following accounting policies used in the preparation of our consolidated financial statements require the most significant judgments and estimates.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recognize revenue in accordance with ASC Topic 606 - Revenue from Contracts with Customers (“ASC 606”). Under ASC 606, an entity recognizes revenue when or as performance obligations are satisfied by transferring control of</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3" w:name="page124"/>
    <w:bookmarkEnd w:id="123"/>
    <w:p>
      <w:pPr>
        <w:spacing w:after="0" w:line="282" w:lineRule="auto"/>
        <w:rPr>
          <w:sz w:val="20"/>
          <w:szCs w:val="20"/>
          <w:color w:val="auto"/>
        </w:rPr>
      </w:pPr>
      <w:r>
        <w:rPr>
          <w:rFonts w:ascii="Times New Roman" w:cs="Times New Roman" w:eastAsia="Times New Roman" w:hAnsi="Times New Roman"/>
          <w:sz w:val="18"/>
          <w:szCs w:val="18"/>
          <w:color w:val="auto"/>
        </w:rPr>
        <w:t>promised goods or services to the customer, in an amount that reflects the consideration which the entity expects to be entitled to in exchange for those goods or services.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we perform the following five steps:</w:t>
      </w:r>
    </w:p>
    <w:p>
      <w:pPr>
        <w:spacing w:after="0" w:line="27" w:lineRule="exact"/>
        <w:rPr>
          <w:sz w:val="20"/>
          <w:szCs w:val="20"/>
          <w:color w:val="auto"/>
        </w:rPr>
      </w:pPr>
    </w:p>
    <w:p>
      <w:pPr>
        <w:jc w:val="both"/>
        <w:ind w:firstLine="8"/>
        <w:spacing w:after="0" w:line="253" w:lineRule="auto"/>
        <w:tabs>
          <w:tab w:leader="none" w:pos="22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At contract inception, we assess the goods or services promised within each contract,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Following EUA from the FDA in March 2024, we began generating product revenue from sales of PEMGARDA in April 2024.</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sell PEMGARDA in the United States primarily to third-party specialty distributors and directly to a small number of infusion centers, healthcare providers and provider institutions. Revenue is recognized when or as performance obligations are satisfied by transferring control of promised goods to a customer, generally upon delivery, based on an amount that reflects the consideration to which we expected to be entitled.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are recorded net of applicable reserves for variable consideration, including discounts and allowances.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Discounts and Allowances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record reserves, based on contractual terms, for the following components of variable consideration related to product sold during the reporting period, as well as our estimate of product that remains in the distribution channel inventory of our customers at the end of the reporting period, if applicable. On a quarterly basis, we update our estimates, if necessary, and record any material adjustments in the period they are identified.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Discounts, Group Purchase Organization and Distributor Fees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provide customary discounts on PEMGARDA sales for prompt payment, the terms of which are explicitly stated in our contracts. We also pay fees to specialty distributors for sales order management, data, and distribution services, as well as fees to group purchasing organizations (“GPO”) for administrative services, the terms of which are also explicitly stated in our contracts. Such fees are not for a distinct good or service and, accordingly, are recorded as a reduction of revenue, as well as a reduction to accounts receivable (trade discounts) or as a component of accrued expenses (distributor and GPO fees).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subject to discount obligations under our contract with the U.S. Department of Veterans Affairs and GPOs where pricing on PEMGARDA is extended below wholesaler list price to participating entities and GPO members. These reserves are recorded in the same period the related revenue is recognized, resulting in a reduction of product revenue and the establishment of a current liability, which is included as a component of accrued expenses.</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offer a right of return for purchased units of PEMGARDA for damage, defect, recall, and/or product expiry, provided the product expiry is within a specified period as set forth in our return goods policy. We estimate the amount of product sales that will be returned using quantitative and qualitative considerations. Reserves for estimated returns are recorded as a reduction of product revenue in the period that the related revenue is recognized, as well as a component of accrued expenses.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Expenses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part of the process of preparing our consolidated financial statements, we are required to estimate our accrued research and development expenses. This process involves estimating the level of service performed and the associated costs incurred for the services when we have not yet been invoiced or otherwise notified of the actual costs. The majority of our service providers invoice us in arrears for services performed, on a pre-determined schedule or when contractual milestones are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4" w:name="page125"/>
    <w:bookmarkEnd w:id="124"/>
    <w:p>
      <w:pPr>
        <w:jc w:val="both"/>
        <w:spacing w:after="0" w:line="266" w:lineRule="auto"/>
        <w:rPr>
          <w:sz w:val="20"/>
          <w:szCs w:val="20"/>
          <w:color w:val="auto"/>
        </w:rPr>
      </w:pPr>
      <w:r>
        <w:rPr>
          <w:rFonts w:ascii="Times New Roman" w:cs="Times New Roman" w:eastAsia="Times New Roman" w:hAnsi="Times New Roman"/>
          <w:sz w:val="18"/>
          <w:szCs w:val="18"/>
          <w:color w:val="auto"/>
        </w:rPr>
        <w:t>however, some require advance payments. We make estimates of our accrued expenses as of each balance sheet date in the consolidated financial statements based on facts and circumstances known to us at that time. At each end period, we corroborate the accuracy of these estimates with the service providers and make adjustments, if necessary. Examples of estimated accrued research and development expenses include those related to fees paid to:</w:t>
      </w:r>
    </w:p>
    <w:p>
      <w:pPr>
        <w:spacing w:after="0" w:line="68" w:lineRule="exact"/>
        <w:rPr>
          <w:sz w:val="20"/>
          <w:szCs w:val="20"/>
          <w:color w:val="auto"/>
        </w:rPr>
      </w:pPr>
    </w:p>
    <w:p>
      <w:pPr>
        <w:ind w:left="1140" w:hanging="504"/>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CROs in connection with performing nonclinical studies, preclinical studies and clinical trials;</w:t>
      </w:r>
    </w:p>
    <w:p>
      <w:pPr>
        <w:spacing w:after="0" w:line="117" w:lineRule="exact"/>
        <w:rPr>
          <w:rFonts w:ascii="Times New Roman" w:cs="Times New Roman" w:eastAsia="Times New Roman" w:hAnsi="Times New Roman"/>
          <w:sz w:val="18"/>
          <w:szCs w:val="18"/>
          <w:color w:val="auto"/>
        </w:rPr>
      </w:pPr>
    </w:p>
    <w:p>
      <w:pPr>
        <w:ind w:left="1140" w:right="20" w:hanging="504"/>
        <w:spacing w:after="0" w:line="282" w:lineRule="auto"/>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CDMO related to the production of our product candidates for nonclinical studies, preclinical studies, clinical trials and commercial supply, prior to receiving authorization or approval; and</w:t>
      </w:r>
    </w:p>
    <w:p>
      <w:pPr>
        <w:spacing w:after="0" w:line="53" w:lineRule="exact"/>
        <w:rPr>
          <w:rFonts w:ascii="Times New Roman" w:cs="Times New Roman" w:eastAsia="Times New Roman" w:hAnsi="Times New Roman"/>
          <w:sz w:val="18"/>
          <w:szCs w:val="18"/>
          <w:color w:val="auto"/>
        </w:rPr>
      </w:pPr>
    </w:p>
    <w:p>
      <w:pPr>
        <w:ind w:left="1140" w:hanging="504"/>
        <w:spacing w:after="0"/>
        <w:tabs>
          <w:tab w:leader="none" w:pos="11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and vendors in connection with research and development activities.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record the expense and accrual related to contract research and manufacturing based on our estimates of the services received and efforts expended considering a number of factors, including our knowledge of the progress towards completion of the research, development and manufacturing activities; invoicing to date under the contracts; communication from the CROs, CDMO and other companies of any actual costs incurred during the period that have not yet been invoiced; and the costs included in the contracts and purchase orders. The financial terms of these agreements are subject to negotiation, vary from contract to contract and may result in uneven payment flows. For CRO expense and accruals, there is estimation uncertainty related to the timing of submission of investigator fees for the period. For CDMO expense and accruals, there is estimation uncertainty related to the percentage of completion of in process batch manufacturing at period end. To date, we have not had significant changes to our estimates.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the amount of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grant stock-based awards to employees, directors and non-employees in the form of stock options to purchase shares of our common stock. We measure stock options with service-based vesting granted to employees, directors and non-employees based on the fair value on the date of grant using the Black-Scholes option-pricing model. The Black-Scholes option-pricing model uses as inputs the fair value of our common stock and assumptions we make for the volatility of our common stock, the expected term of our stock options, the risk-free interest rate for a period that approximates the expected term of our stock options, and our expected dividend yield. The fair value of our common stock is based on the quoted market price of our common stock. Due to the proximity to the IPO, we continue to lack company-specific historical and implied volatility information. Therefore, we estimate our expected stock volatility based on the historical volatility of a publicly traded set of peer companies and we expect to continue to do so until such time that we have adequate historical data regarding the volatility of our own traded stock price. We have primarily issued awards with service-based vesting conditions through December 31, 2025. 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we had paid cash for the goods or services provided, which is generally the vesting period of the award. We account for forfeitures of stock-based awards as they occur.</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and cash flows is disclosed in Note 2 to our consolidated financial statements appearing at the end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may remain an emerging growth company until December 31, 2026. However, if certain events occur prior to the end of such five-year period, including if we become a “large accelerated filer,” our annual gross revenues exceed $1.235 billion or we issue more than $1.0 billion of non-convertible debt in the previous three-year period, we will cease to be an emerging growth company prior to December 31, 2026. For so long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5" w:name="page126"/>
    <w:bookmarkEnd w:id="125"/>
    <w:p>
      <w:pPr>
        <w:spacing w:after="0" w:line="282" w:lineRule="auto"/>
        <w:rPr>
          <w:sz w:val="20"/>
          <w:szCs w:val="20"/>
          <w:color w:val="auto"/>
        </w:rPr>
      </w:pPr>
      <w:r>
        <w:rPr>
          <w:rFonts w:ascii="Times New Roman" w:cs="Times New Roman" w:eastAsia="Times New Roman" w:hAnsi="Times New Roman"/>
          <w:sz w:val="18"/>
          <w:szCs w:val="18"/>
          <w:color w:val="auto"/>
        </w:rPr>
        <w:t>as we remain an emerging growth company, we are permitted and intend to rely on exemptions from certain disclosure requirements that are applicable to other public companies that are not emerging growth companies. These exemptions include:</w:t>
      </w:r>
    </w:p>
    <w:p>
      <w:pPr>
        <w:spacing w:after="0" w:line="54" w:lineRule="exact"/>
        <w:rPr>
          <w:sz w:val="20"/>
          <w:szCs w:val="20"/>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auditor attestation requirement in the assessment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compliance with the requirements of the Public Company Accounting Oversight Board regarding the communication of critical audit matters in the auditor’s report on the financial statements.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on Form 10-K. An index of those financial statements is found on page F-1 of this Annual Report on Form 10-K.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management, with the participation of our Chief Financial Officer (our principal executive officer and principal financial officer), evaluated the effectiveness of our disclosure controls and procedures as of December 31, 2025. The term “disclosure controls and procedures,” as defined in Rules 13a-15(e) and 15d-15(e) under the Exchange Act as amended, means controls and other procedures of a company that are designed to ensure that information required to be disclosed by the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Based on the evaluation of our disclosure controls and procedures as of December 31, 2025, our Chief Financial Officer concluded that our disclosure controls and procedures as of such date were effective at the reasonable assurance level.</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1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Our management conducted 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6" w:name="page127"/>
    <w:bookmarkEnd w:id="126"/>
    <w:p>
      <w:pPr>
        <w:jc w:val="both"/>
        <w:spacing w:after="0" w:line="261" w:lineRule="auto"/>
        <w:rPr>
          <w:sz w:val="20"/>
          <w:szCs w:val="20"/>
          <w:color w:val="auto"/>
        </w:rPr>
      </w:pPr>
      <w:r>
        <w:rPr>
          <w:rFonts w:ascii="Times New Roman" w:cs="Times New Roman" w:eastAsia="Times New Roman" w:hAnsi="Times New Roman"/>
          <w:sz w:val="18"/>
          <w:szCs w:val="18"/>
          <w:color w:val="auto"/>
        </w:rPr>
        <w:t>assessment of the effectiveness of our internal control over financial reporting based on the criteria set forth in “Internal Control - Integrated Framework (2013)” issued by the Committee of Sponsoring Organizations of the Treadway Commission. Based on this assessment, our management concluded that, as of December 31, 2025, our internal control over financial reporting was effective. As an “emerging growth company” as defined in the JOBS Act and a non-accelerated filer, we are not required to comply with the auditor attestation requirement of Section 404 of the Sarbanes-Oxley Act of 2002.</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that occurred during the fiscal quarter ended December 31, 2025 that have materially affected, or are reasonably likely to materially affect, our internal control over financial reporting.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Cell Line License Agreement</w:t>
      </w:r>
    </w:p>
    <w:p>
      <w:pPr>
        <w:spacing w:after="0" w:line="119" w:lineRule="exact"/>
        <w:rPr>
          <w:sz w:val="20"/>
          <w:szCs w:val="20"/>
          <w:color w:val="auto"/>
        </w:rPr>
      </w:pPr>
    </w:p>
    <w:p>
      <w:pPr>
        <w:jc w:val="both"/>
        <w:ind w:firstLine="469"/>
        <w:spacing w:after="0" w:line="253" w:lineRule="auto"/>
        <w:rPr>
          <w:sz w:val="20"/>
          <w:szCs w:val="20"/>
          <w:color w:val="auto"/>
        </w:rPr>
      </w:pPr>
      <w:r>
        <w:rPr>
          <w:rFonts w:ascii="Times New Roman" w:cs="Times New Roman" w:eastAsia="Times New Roman" w:hAnsi="Times New Roman"/>
          <w:sz w:val="18"/>
          <w:szCs w:val="18"/>
          <w:color w:val="auto"/>
        </w:rPr>
        <w:t>Effective March 4, 2026, we entered into Amendment No. 3 (the “Cell Line License Agreement Amendment”) to the Cell Line License Agreement, dated December 2, 2020 and previously amended as of February 2, 2023 and March 13, 2024 (as amended, the “Cell Line License Agreement”), by and between us and WuXi Biologics (Hong Kong) Limited (“WuXi Biologics”). The Cell Line License Agreement Amendment amended the Cell Line License Agreement to provide that we have an option to buy out our royalty obligations on a licensed cell line-by-licensed cell line basis by making a one-time payment in the low eight-figures to WuXi Biologics with respect to certain licensed products and by making a one-time payment in the middle seven-figures to WuXi Biologics with respect to certain other licensed products. Also, the Cell Line License Agreement Amendment provides for a waiver of our royalty obligations to WuXi Biologics to the extent derived or arising from a licensed product sold in the U.S. if our ability to have such licensed product manufactured by WuXi Biologics or its affiliates becomes materially restricted due to certain government actions, including but not limited to a law, rule, regulation, guideline or order that materially prevents us from being able to enter into or maintain a contract with a governmental entity, or from receiving grant funds from such entity, or materially affects our ability to obtain government insurance coverage of such licensed product, with such waiver continuing for so long as such government action continues.</w:t>
      </w:r>
    </w:p>
    <w:p>
      <w:pPr>
        <w:spacing w:after="0" w:line="84" w:lineRule="exact"/>
        <w:rPr>
          <w:sz w:val="20"/>
          <w:szCs w:val="20"/>
          <w:color w:val="auto"/>
        </w:rPr>
      </w:pPr>
    </w:p>
    <w:p>
      <w:pPr>
        <w:jc w:val="both"/>
        <w:ind w:firstLine="469"/>
        <w:spacing w:after="0" w:line="266" w:lineRule="auto"/>
        <w:rPr>
          <w:sz w:val="20"/>
          <w:szCs w:val="20"/>
          <w:color w:val="auto"/>
        </w:rPr>
      </w:pPr>
      <w:r>
        <w:rPr>
          <w:rFonts w:ascii="Times New Roman" w:cs="Times New Roman" w:eastAsia="Times New Roman" w:hAnsi="Times New Roman"/>
          <w:sz w:val="18"/>
          <w:szCs w:val="18"/>
          <w:color w:val="auto"/>
        </w:rPr>
        <w:t>The foregoing summary of the terms of the Cell Line License Agreement Amendment does not purport to be a complete description of the rights and obligations of the parties thereunder, and is qualified in its entirety by reference to the Cell Line License Agreement Amendment, which will be filed as an exhibit to our Quarterly Report on Form 10-Q to be filed with the Securities and Exchange Commission for the fiscal quarter ending March 31,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Master Services Agreement</w:t>
      </w:r>
    </w:p>
    <w:p>
      <w:pPr>
        <w:spacing w:after="0" w:line="119" w:lineRule="exact"/>
        <w:rPr>
          <w:sz w:val="20"/>
          <w:szCs w:val="20"/>
          <w:color w:val="auto"/>
        </w:rPr>
      </w:pPr>
    </w:p>
    <w:p>
      <w:pPr>
        <w:jc w:val="both"/>
        <w:ind w:firstLine="469"/>
        <w:spacing w:after="0" w:line="254" w:lineRule="auto"/>
        <w:rPr>
          <w:sz w:val="20"/>
          <w:szCs w:val="20"/>
          <w:color w:val="auto"/>
        </w:rPr>
      </w:pPr>
      <w:r>
        <w:rPr>
          <w:rFonts w:ascii="Times New Roman" w:cs="Times New Roman" w:eastAsia="Times New Roman" w:hAnsi="Times New Roman"/>
          <w:sz w:val="18"/>
          <w:szCs w:val="18"/>
          <w:color w:val="auto"/>
        </w:rPr>
        <w:t>Effective March 4, 2026, we entered into Amendment No. 1 (the “Clinical Manufacturing Agreement Amendment”) to the Master Services Agreement, dated July 21, 2020 (the “Clinical Manufacturing Agreement”), by and between us and WuXi Biologics. The Clinical Manufacturing Agreement Amendment amended the Clinical Manufacturing Agreement to provide that the term of the Clinical Manufacturing Agreement shall expire on March 1, 2036, subject to renewal for periods to be agreed by the parties. The Clinical Manufacturing Agreement Amendment also provides that we may terminate the Clinical Manufacturing Agreement, effective immediately, if any new or existing law, rule, regulation, guideline or order materially prevents us from being able to enter into or maintain a contract with a U.S. governmental entity, or from receiving grant funds from such entity, or materially affects our ability to obtain government insurance coverage of any product under the Clinical Manufacturing Agreement, in each case, as a result of WuXi Biologics providing services to us under the Clinical Manufacturing Agreement or being a party to the Clinical Manufacturing Agreement. Additionally, the Clinical Manufacturing Agreement Amendment also incorporates certain technology transfer and intellectual property obligations for WuXi Biologics.</w:t>
      </w:r>
    </w:p>
    <w:p>
      <w:pPr>
        <w:spacing w:after="0" w:line="80"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foregoing summary of the terms of the Clinical Manufacturing Agreement Amendment does not purport to be a complete description of the rights and obligations of the parties thereunder, and is qualified in its entirety by reference to the Clinical Manufacturing Agreement Amendment, which will be filed as an exhibit to our Quarterly Report on Form 10-Q to be filed with the Securities and Exchange Commission for the fiscal quarter ending March 31,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Commercial Manufacturing Agreement</w:t>
      </w:r>
    </w:p>
    <w:p>
      <w:pPr>
        <w:spacing w:after="0" w:line="119" w:lineRule="exact"/>
        <w:rPr>
          <w:sz w:val="20"/>
          <w:szCs w:val="20"/>
          <w:color w:val="auto"/>
        </w:rPr>
      </w:pPr>
    </w:p>
    <w:p>
      <w:pPr>
        <w:jc w:val="both"/>
        <w:ind w:firstLine="469"/>
        <w:spacing w:after="0" w:line="282" w:lineRule="auto"/>
        <w:rPr>
          <w:sz w:val="20"/>
          <w:szCs w:val="20"/>
          <w:color w:val="auto"/>
        </w:rPr>
      </w:pPr>
      <w:r>
        <w:rPr>
          <w:rFonts w:ascii="Times New Roman" w:cs="Times New Roman" w:eastAsia="Times New Roman" w:hAnsi="Times New Roman"/>
          <w:sz w:val="18"/>
          <w:szCs w:val="18"/>
          <w:color w:val="auto"/>
        </w:rPr>
        <w:t>Effective March 4, 2026, we entered into Amendment No. 1 (the “Commercial Manufacturing Agreement Amendment”) to the Second Amended and Restated Commercial Manufacturing Services Agreement, dated September 19, 2023 (the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7" w:name="page128"/>
    <w:bookmarkEnd w:id="127"/>
    <w:p>
      <w:pPr>
        <w:jc w:val="both"/>
        <w:spacing w:after="0" w:line="254" w:lineRule="auto"/>
        <w:rPr>
          <w:sz w:val="20"/>
          <w:szCs w:val="20"/>
          <w:color w:val="auto"/>
        </w:rPr>
      </w:pPr>
      <w:r>
        <w:rPr>
          <w:rFonts w:ascii="Times New Roman" w:cs="Times New Roman" w:eastAsia="Times New Roman" w:hAnsi="Times New Roman"/>
          <w:sz w:val="18"/>
          <w:szCs w:val="18"/>
          <w:color w:val="auto"/>
        </w:rPr>
        <w:t>“Commercial Manufacturing Agreement”), by and between us and WuXi Biologics. The Commercial Manufacturing Agreement Amendment amended the Commercial Manufacturing Agreement to provide that the term of the Commercial Manufacturing Agreement shall expire on March 1, 2036, subject to renewal for periods to be agreed by the parties. The Commercial Manufacturing Agreement Amendment also provides that we may terminate the Commercial Manufacturing Agreement, effective immediately, if any new or existing law, rule, regulation, guideline or order materially prevents us from being able to enter into or maintain a contract with a U.S. governmental entity, or from receiving grant funds from such entity, or materially affects our ability to obtain government insurance coverage of any product under the Commercial Manufacturing Agreement, in each case, as a result of WuXi Biologics providing services to us under the Commercial Manufacturing Agreement or being a party to the Commercial Manufacturing Agreement. Additionally, the Commercial Manufacturing Agreement Amendment provides that we may terminate the Commercial Manufacturing Agreement for convenience, with advance notice, and incorporates certain technology transfer obligations for WuXi Biologics.</w:t>
      </w:r>
    </w:p>
    <w:p>
      <w:pPr>
        <w:spacing w:after="0" w:line="80" w:lineRule="exact"/>
        <w:rPr>
          <w:sz w:val="20"/>
          <w:szCs w:val="20"/>
          <w:color w:val="auto"/>
        </w:rPr>
      </w:pPr>
    </w:p>
    <w:p>
      <w:pPr>
        <w:jc w:val="both"/>
        <w:ind w:firstLine="469"/>
        <w:spacing w:after="0" w:line="261" w:lineRule="auto"/>
        <w:rPr>
          <w:sz w:val="20"/>
          <w:szCs w:val="20"/>
          <w:color w:val="auto"/>
        </w:rPr>
      </w:pPr>
      <w:r>
        <w:rPr>
          <w:rFonts w:ascii="Times New Roman" w:cs="Times New Roman" w:eastAsia="Times New Roman" w:hAnsi="Times New Roman"/>
          <w:sz w:val="18"/>
          <w:szCs w:val="18"/>
          <w:color w:val="auto"/>
        </w:rPr>
        <w:t>The foregoing summary of the terms of the Commercial Manufacturing Agreement Amendment does not purport to be a complete description of the rights and obligations of the parties thereunder, and is qualified in its entirety by reference to the Commercial Manufacturing Agreement Amendment, which will be filed as an exhibit to our Quarterly Report on Form 10-Q to be filed with the Securities and Exchange Commission for the fiscal quarter ending March 31, 2026.</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2025, none of our directors or officers adopted or terminated a “Rule 10b5-1 trading arrangement” or “non-Rule 10b5-1 trading arrangement,” as each term is defined in Item 408 of Regulation S-K.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10 (other than as set forth below) will be included in our definitive proxy statement to be filed with the SEC with respect to our 2026 Annual Meeting of Stockholders within 120 days of the end of the fiscal year to which this Annual Report on Form 10-K relates (our “Proxy Statement”), which information is incorporated herein by reference.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adopted a Code of Business Ethics and Conduct within the meaning of Item 406(b) of Regulation S-K. This Code of Business Ethics and Conduct applies to our directors, officers, and employees, including our principal executive officer, principal financial officer, principal accounting officer or controller, or persons performing similar functions, and is posted in the “Corporate Governance” sub-section of the “Investors &amp; Media” section (https://investors.invivyd.com/) of our corporate website (https://invivyd.com/). We intend to disclose on our website any amendments to, or waivers from, the Code of Business Ethics and Conduct that are required to be disclosed pursuant to the disclosure requirements of Item 5.05 of Form 8-K.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11 will be included in our Proxy Statement, which information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12 will be included in our Proxy Statement, which information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13 will be included in our Proxy Statement, which information is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information required by this Item 14 will be included in our Proxy Statement, which information is incorporated herein by reference.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121"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(a)(1) For a list of the financial statements filed as part of this Annual Report on Form 10-K, see Index to Consolidated Financial Statements on page F-1 of this Annual Report on Form 10-K, incorporated into this Item by reference.</w:t>
      </w:r>
    </w:p>
    <w:p>
      <w:pPr>
        <w:spacing w:after="0" w:line="54"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(a)(2) Financial statement schedules have been omitted because they are either not required or not applicable or the information is included in the consolidated financial statements or the notes thereto.</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(a)(3)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60" w:type="dxa"/>
            <w:vAlign w:val="bottom"/>
            <w:gridSpan w:val="25"/>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5660" w:type="dxa"/>
            <w:vAlign w:val="bottom"/>
            <w:tcBorders>
              <w:bottom w:val="single" w:sz="8" w:color="auto"/>
            </w:tcBorders>
            <w:gridSpan w:val="2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4"/>
                <w:szCs w:val="14"/>
                <w:color w:val="auto"/>
              </w:rPr>
            </w:pPr>
          </w:p>
        </w:tc>
        <w:tc>
          <w:tcPr>
            <w:tcW w:w="9900" w:type="dxa"/>
            <w:vAlign w:val="bottom"/>
            <w:tcBorders>
              <w:bottom w:val="single" w:sz="8" w:color="0000FF"/>
            </w:tcBorders>
            <w:gridSpan w:val="30"/>
          </w:tcPr>
          <w:p>
            <w:pPr>
              <w:ind w:left="20"/>
              <w:spacing w:after="0" w:line="169" w:lineRule="exact"/>
              <w:rPr>
                <w:rFonts w:ascii="Times New Roman" w:cs="Times New Roman" w:eastAsia="Times New Roman" w:hAnsi="Times New Roman"/>
                <w:sz w:val="18"/>
                <w:szCs w:val="18"/>
                <w:color w:val="0000FF"/>
              </w:rPr>
            </w:pPr>
            <w:hyperlink r:id="rId181">
              <w:r>
                <w:rPr>
                  <w:rFonts w:ascii="Times New Roman" w:cs="Times New Roman" w:eastAsia="Times New Roman" w:hAnsi="Times New Roman"/>
                  <w:sz w:val="18"/>
                  <w:szCs w:val="18"/>
                  <w:color w:val="0000FF"/>
                </w:rPr>
                <w:t>Amended and Restated Certificate of Incorporation (incorporated by reference to Exhibit 3.1 of the Registrant’s Current Report on Form</w:t>
              </w:r>
            </w:hyperlink>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60" w:type="dxa"/>
            <w:vAlign w:val="bottom"/>
            <w:tcBorders>
              <w:bottom w:val="single" w:sz="8" w:color="0000FF"/>
            </w:tcBorders>
            <w:gridSpan w:val="13"/>
          </w:tcPr>
          <w:p>
            <w:pPr>
              <w:ind w:left="20"/>
              <w:spacing w:after="0" w:line="196" w:lineRule="exact"/>
              <w:rPr>
                <w:rFonts w:ascii="Times New Roman" w:cs="Times New Roman" w:eastAsia="Times New Roman" w:hAnsi="Times New Roman"/>
                <w:sz w:val="18"/>
                <w:szCs w:val="18"/>
                <w:color w:val="0000FF"/>
                <w:w w:val="99"/>
              </w:rPr>
            </w:pPr>
            <w:hyperlink r:id="rId181">
              <w:r>
                <w:rPr>
                  <w:rFonts w:ascii="Times New Roman" w:cs="Times New Roman" w:eastAsia="Times New Roman" w:hAnsi="Times New Roman"/>
                  <w:sz w:val="18"/>
                  <w:szCs w:val="18"/>
                  <w:color w:val="0000FF"/>
                  <w:w w:val="99"/>
                </w:rPr>
                <w:t>8-K (File No. 001-40703), filed with the Securities and Exchange Commission on August 10, 2021).</w:t>
              </w:r>
            </w:hyperlink>
          </w:p>
        </w:tc>
        <w:tc>
          <w:tcPr>
            <w:tcW w:w="20" w:type="dxa"/>
            <w:vAlign w:val="bottom"/>
            <w:tcBorders>
              <w:bottom w:val="single" w:sz="8" w:color="0000EE"/>
            </w:tcBorders>
          </w:tcPr>
          <w:p>
            <w:pPr>
              <w:spacing w:after="0"/>
              <w:rPr>
                <w:sz w:val="17"/>
                <w:szCs w:val="17"/>
                <w:color w:val="auto"/>
              </w:rPr>
            </w:pPr>
          </w:p>
        </w:tc>
        <w:tc>
          <w:tcPr>
            <w:tcW w:w="2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7"/>
                <w:szCs w:val="17"/>
                <w:color w:val="auto"/>
              </w:rPr>
            </w:pPr>
          </w:p>
        </w:tc>
        <w:tc>
          <w:tcPr>
            <w:tcW w:w="958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780" w:type="dxa"/>
            <w:vAlign w:val="bottom"/>
            <w:tcBorders>
              <w:bottom w:val="single" w:sz="8" w:color="0000FF"/>
            </w:tcBorders>
            <w:gridSpan w:val="25"/>
          </w:tcPr>
          <w:p>
            <w:pPr>
              <w:ind w:left="20"/>
              <w:spacing w:after="0" w:line="196" w:lineRule="exact"/>
              <w:rPr>
                <w:rFonts w:ascii="Times New Roman" w:cs="Times New Roman" w:eastAsia="Times New Roman" w:hAnsi="Times New Roman"/>
                <w:sz w:val="18"/>
                <w:szCs w:val="18"/>
                <w:color w:val="0000FF"/>
              </w:rPr>
            </w:pPr>
            <w:hyperlink r:id="rId182">
              <w:r>
                <w:rPr>
                  <w:rFonts w:ascii="Times New Roman" w:cs="Times New Roman" w:eastAsia="Times New Roman" w:hAnsi="Times New Roman"/>
                  <w:sz w:val="18"/>
                  <w:szCs w:val="18"/>
                  <w:color w:val="0000FF"/>
                </w:rPr>
                <w:t>Registrant’s Current Report on Form 8-K (File No. 001-40703), filed with the Securities and Exchange Commission on September 13,</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bottom w:val="single" w:sz="8" w:color="0000FF"/>
            </w:tcBorders>
          </w:tcPr>
          <w:p>
            <w:pPr>
              <w:ind w:left="20"/>
              <w:spacing w:after="0" w:line="196" w:lineRule="exact"/>
              <w:rPr>
                <w:rFonts w:ascii="Times New Roman" w:cs="Times New Roman" w:eastAsia="Times New Roman" w:hAnsi="Times New Roman"/>
                <w:sz w:val="18"/>
                <w:szCs w:val="18"/>
                <w:color w:val="0000FF"/>
                <w:w w:val="94"/>
              </w:rPr>
            </w:pPr>
            <w:hyperlink r:id="rId182">
              <w:r>
                <w:rPr>
                  <w:rFonts w:ascii="Times New Roman" w:cs="Times New Roman" w:eastAsia="Times New Roman" w:hAnsi="Times New Roman"/>
                  <w:sz w:val="18"/>
                  <w:szCs w:val="18"/>
                  <w:color w:val="0000FF"/>
                  <w:w w:val="94"/>
                </w:rPr>
                <w:t>2022).</w:t>
              </w:r>
            </w:hyperlink>
          </w:p>
        </w:tc>
        <w:tc>
          <w:tcPr>
            <w:tcW w:w="20" w:type="dxa"/>
            <w:vAlign w:val="bottom"/>
            <w:tcBorders>
              <w:bottom w:val="single" w:sz="8" w:color="0000EE"/>
            </w:tcBorders>
          </w:tcPr>
          <w:p>
            <w:pPr>
              <w:spacing w:after="0"/>
              <w:rPr>
                <w:sz w:val="17"/>
                <w:szCs w:val="17"/>
                <w:color w:val="auto"/>
              </w:rPr>
            </w:pPr>
          </w:p>
        </w:tc>
        <w:tc>
          <w:tcPr>
            <w:tcW w:w="9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7"/>
                <w:szCs w:val="17"/>
                <w:color w:val="auto"/>
              </w:rPr>
            </w:pPr>
          </w:p>
        </w:tc>
        <w:tc>
          <w:tcPr>
            <w:tcW w:w="958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Certificate of Amendment to the Amended and Restated Certificate of Incorporation (incorporated by reference to Exhibit 3.1 of the</w:t>
              </w:r>
            </w:hyperlink>
          </w:p>
        </w:tc>
        <w:tc>
          <w:tcPr>
            <w:tcW w:w="42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Registrant’s Current Report on 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Amended and Restated Bylaws (incorporated by reference to Exhibit 3.2 of the Registrant’s Current Report on Form 8-K (File No. 001-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Borders>
              <w:top w:val="single" w:sz="8" w:color="0000FF"/>
              <w:bottom w:val="single" w:sz="8" w:color="0000FF"/>
            </w:tcBorders>
            <w:gridSpan w:val="10"/>
          </w:tcPr>
          <w:p>
            <w:pPr>
              <w:ind w:left="20"/>
              <w:spacing w:after="0" w:line="196" w:lineRule="exact"/>
              <w:rPr>
                <w:rFonts w:ascii="Times New Roman" w:cs="Times New Roman" w:eastAsia="Times New Roman" w:hAnsi="Times New Roman"/>
                <w:sz w:val="18"/>
                <w:szCs w:val="18"/>
                <w:color w:val="0000FF"/>
                <w:w w:val="99"/>
              </w:rPr>
            </w:pPr>
            <w:hyperlink r:id="rId184">
              <w:r>
                <w:rPr>
                  <w:rFonts w:ascii="Times New Roman" w:cs="Times New Roman" w:eastAsia="Times New Roman" w:hAnsi="Times New Roman"/>
                  <w:sz w:val="18"/>
                  <w:szCs w:val="18"/>
                  <w:color w:val="0000FF"/>
                  <w:w w:val="99"/>
                </w:rPr>
                <w:t>40703)</w:t>
              </w:r>
              <w:r>
                <w:rPr>
                  <w:rFonts w:ascii="Times New Roman" w:cs="Times New Roman" w:eastAsia="Times New Roman" w:hAnsi="Times New Roman"/>
                  <w:sz w:val="18"/>
                  <w:szCs w:val="18"/>
                  <w:u w:val="single" w:color="auto"/>
                  <w:color w:val="0000FF"/>
                  <w:w w:val="99"/>
                </w:rPr>
                <w:t>,</w:t>
              </w:r>
              <w:r>
                <w:rPr>
                  <w:rFonts w:ascii="Times New Roman" w:cs="Times New Roman" w:eastAsia="Times New Roman" w:hAnsi="Times New Roman"/>
                  <w:sz w:val="18"/>
                  <w:szCs w:val="18"/>
                  <w:color w:val="0000FF"/>
                  <w:w w:val="99"/>
                </w:rPr>
                <w:t xml:space="preserve"> filed with the Securities and Exchange Commission on September 13, 2022).</w:t>
              </w:r>
            </w:hyperlink>
          </w:p>
        </w:tc>
        <w:tc>
          <w:tcPr>
            <w:tcW w:w="20" w:type="dxa"/>
            <w:vAlign w:val="bottom"/>
            <w:tcBorders>
              <w:top w:val="single" w:sz="8" w:color="0000FF"/>
              <w:bottom w:val="single" w:sz="8" w:color="0000EE"/>
            </w:tcBorders>
          </w:tcPr>
          <w:p>
            <w:pPr>
              <w:spacing w:after="0"/>
              <w:rPr>
                <w:sz w:val="17"/>
                <w:szCs w:val="17"/>
                <w:color w:val="auto"/>
              </w:rPr>
            </w:pPr>
          </w:p>
        </w:tc>
        <w:tc>
          <w:tcPr>
            <w:tcW w:w="3620" w:type="dxa"/>
            <w:vAlign w:val="bottom"/>
            <w:tcBorders>
              <w:top w:val="single" w:sz="8" w:color="0000FF"/>
            </w:tcBorders>
            <w:gridSpan w:val="15"/>
          </w:tcPr>
          <w:p>
            <w:pPr>
              <w:spacing w:after="0"/>
              <w:rPr>
                <w:sz w:val="17"/>
                <w:szCs w:val="17"/>
                <w:color w:val="auto"/>
              </w:rPr>
            </w:pPr>
          </w:p>
        </w:tc>
        <w:tc>
          <w:tcPr>
            <w:tcW w:w="20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7"/>
                <w:szCs w:val="17"/>
                <w:color w:val="auto"/>
              </w:rPr>
            </w:pPr>
          </w:p>
        </w:tc>
        <w:tc>
          <w:tcPr>
            <w:tcW w:w="9840" w:type="dxa"/>
            <w:vAlign w:val="bottom"/>
            <w:tcBorders>
              <w:bottom w:val="single" w:sz="8" w:color="0000FF"/>
            </w:tcBorders>
            <w:gridSpan w:val="27"/>
          </w:tcPr>
          <w:p>
            <w:pPr>
              <w:ind w:left="20"/>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Amendment No. 1 to the Amended and Restated Bylaws (incorporated by reference to Exhibit 3.2 of the Registrant’s Current Report on</w:t>
              </w:r>
            </w:hyperlink>
          </w:p>
        </w:tc>
        <w:tc>
          <w:tcPr>
            <w:tcW w:w="16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Form 8-K (File No. 001-40703), filed with the Securities and Exchange Commission on May 25,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7"/>
                <w:szCs w:val="17"/>
                <w:color w:val="auto"/>
              </w:rPr>
            </w:pPr>
          </w:p>
        </w:tc>
        <w:tc>
          <w:tcPr>
            <w:tcW w:w="988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Delaware Certificate of Change of Registered Agent (incorporated by reference to Exhibit 3.3 of the Registrant’s Registration Statement</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on Form S-3 (File No. 333-267643), filed with the Securities and Exchange Commission on September 28,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7"/>
                <w:szCs w:val="17"/>
                <w:color w:val="auto"/>
              </w:rPr>
            </w:pPr>
          </w:p>
        </w:tc>
        <w:tc>
          <w:tcPr>
            <w:tcW w:w="992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Second Amended and Restated Investors’ Rights Agreement by and among the Registrant and certain of its stockholders, dated April 16,</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60" w:type="dxa"/>
            <w:vAlign w:val="bottom"/>
            <w:tcBorders>
              <w:bottom w:val="single" w:sz="8" w:color="0000FF"/>
            </w:tcBorders>
            <w:gridSpan w:val="28"/>
          </w:tcPr>
          <w:p>
            <w:pPr>
              <w:ind w:left="2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2021 (incorporated by reference to Exhibit 4.1 of the Registrant’s Registration Statement on Form S-1 (File No. 333-257975), filed with</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the Securities and Exchange Commission on July 16, 2021).</w:t>
              </w:r>
            </w:hyperlink>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7"/>
                <w:szCs w:val="17"/>
                <w:color w:val="auto"/>
              </w:rPr>
            </w:pPr>
          </w:p>
        </w:tc>
        <w:tc>
          <w:tcPr>
            <w:tcW w:w="3400" w:type="dxa"/>
            <w:vAlign w:val="bottom"/>
            <w:tcBorders>
              <w:top w:val="single" w:sz="8" w:color="0000FF"/>
              <w:bottom w:val="single" w:sz="8" w:color="0000FF"/>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Description of the Registrant’s Common Stock</w:t>
            </w:r>
          </w:p>
        </w:tc>
        <w:tc>
          <w:tcPr>
            <w:tcW w:w="940" w:type="dxa"/>
            <w:vAlign w:val="bottom"/>
            <w:tcBorders>
              <w:top w:val="single" w:sz="8" w:color="0000FF"/>
            </w:tcBorders>
            <w:gridSpan w:val="2"/>
          </w:tcPr>
          <w:p>
            <w:pPr>
              <w:spacing w:after="0"/>
              <w:rPr>
                <w:sz w:val="17"/>
                <w:szCs w:val="17"/>
                <w:color w:val="auto"/>
              </w:rPr>
            </w:pPr>
          </w:p>
        </w:tc>
        <w:tc>
          <w:tcPr>
            <w:tcW w:w="566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7"/>
                <w:szCs w:val="17"/>
                <w:color w:val="auto"/>
              </w:rPr>
            </w:pPr>
          </w:p>
        </w:tc>
        <w:tc>
          <w:tcPr>
            <w:tcW w:w="9780" w:type="dxa"/>
            <w:vAlign w:val="bottom"/>
            <w:tcBorders>
              <w:bottom w:val="single" w:sz="8" w:color="0000FF"/>
            </w:tcBorders>
            <w:gridSpan w:val="25"/>
          </w:tcPr>
          <w:p>
            <w:pPr>
              <w:ind w:left="20"/>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Common Stock Purchase Warrant (incorporated by reference to Exhibit 4.3 of the Registrant’s Annual Report on Form 10-K (File No.</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001-40703), filed with the Securities and Exchange Commission on March 23, 2023).</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gridSpan w:val="2"/>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7"/>
                <w:szCs w:val="17"/>
                <w:color w:val="auto"/>
              </w:rPr>
            </w:pPr>
          </w:p>
        </w:tc>
        <w:tc>
          <w:tcPr>
            <w:tcW w:w="992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Pre-Funded Warrant to Purchase Common Stock (incorporated by reference to Exhibit 4.1 of the Registrant’s Current Report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70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w w:val="99"/>
              </w:rPr>
            </w:pPr>
            <w:hyperlink r:id="rId189">
              <w:r>
                <w:rPr>
                  <w:rFonts w:ascii="Times New Roman" w:cs="Times New Roman" w:eastAsia="Times New Roman" w:hAnsi="Times New Roman"/>
                  <w:sz w:val="18"/>
                  <w:szCs w:val="18"/>
                  <w:color w:val="0000FF"/>
                  <w:w w:val="99"/>
                </w:rPr>
                <w:t>Form 8-K (File No. 001-40703), filed with the Securities and Exchange Commission on August 22, 2025).</w:t>
              </w:r>
            </w:hyperlink>
          </w:p>
        </w:tc>
        <w:tc>
          <w:tcPr>
            <w:tcW w:w="20" w:type="dxa"/>
            <w:vAlign w:val="bottom"/>
            <w:tcBorders>
              <w:bottom w:val="single" w:sz="8" w:color="0000EE"/>
            </w:tcBorders>
          </w:tcPr>
          <w:p>
            <w:pPr>
              <w:spacing w:after="0"/>
              <w:rPr>
                <w:sz w:val="17"/>
                <w:szCs w:val="17"/>
                <w:color w:val="auto"/>
              </w:rPr>
            </w:pPr>
          </w:p>
        </w:tc>
        <w:tc>
          <w:tcPr>
            <w:tcW w:w="228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7"/>
                <w:szCs w:val="17"/>
                <w:color w:val="auto"/>
              </w:rPr>
            </w:pPr>
          </w:p>
        </w:tc>
        <w:tc>
          <w:tcPr>
            <w:tcW w:w="992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Pre-Funded Warrant to Purchase Common Stock (incorporated by reference to Exhibit 4.1 of the Registrant’s Current Report on</w:t>
              </w:r>
            </w:hyperlink>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940" w:type="dxa"/>
            <w:vAlign w:val="bottom"/>
            <w:tcBorders>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190">
              <w:r>
                <w:rPr>
                  <w:rFonts w:ascii="Times New Roman" w:cs="Times New Roman" w:eastAsia="Times New Roman" w:hAnsi="Times New Roman"/>
                  <w:sz w:val="18"/>
                  <w:szCs w:val="18"/>
                  <w:color w:val="0000FF"/>
                  <w:w w:val="99"/>
                </w:rPr>
                <w:t>Form 8-K (File No. 001-40703), filed with the Securities and Exchange Commission on November 19, 2025).</w:t>
              </w:r>
            </w:hyperlink>
          </w:p>
        </w:tc>
        <w:tc>
          <w:tcPr>
            <w:tcW w:w="20" w:type="dxa"/>
            <w:vAlign w:val="bottom"/>
            <w:tcBorders>
              <w:bottom w:val="single" w:sz="8" w:color="0000EE"/>
            </w:tcBorders>
          </w:tcPr>
          <w:p>
            <w:pPr>
              <w:spacing w:after="0"/>
              <w:rPr>
                <w:sz w:val="17"/>
                <w:szCs w:val="17"/>
                <w:color w:val="auto"/>
              </w:rPr>
            </w:pPr>
          </w:p>
        </w:tc>
        <w:tc>
          <w:tcPr>
            <w:tcW w:w="20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7"/>
                <w:szCs w:val="17"/>
                <w:color w:val="auto"/>
              </w:rPr>
            </w:pPr>
          </w:p>
        </w:tc>
        <w:tc>
          <w:tcPr>
            <w:tcW w:w="9660" w:type="dxa"/>
            <w:vAlign w:val="bottom"/>
            <w:tcBorders>
              <w:bottom w:val="single" w:sz="8" w:color="0000FF"/>
            </w:tcBorders>
            <w:gridSpan w:val="24"/>
          </w:tcPr>
          <w:p>
            <w:pPr>
              <w:ind w:left="20"/>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2020 Equity Incentive Plan and Forms of Stock Option Grant Notice, Stock Option Agreement, and Exercise Notice (incorporated by</w:t>
              </w:r>
            </w:hyperlink>
          </w:p>
        </w:tc>
        <w:tc>
          <w:tcPr>
            <w:tcW w:w="3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w w:val="99"/>
              </w:rPr>
            </w:pPr>
            <w:hyperlink r:id="rId191">
              <w:r>
                <w:rPr>
                  <w:rFonts w:ascii="Times New Roman" w:cs="Times New Roman" w:eastAsia="Times New Roman" w:hAnsi="Times New Roman"/>
                  <w:sz w:val="18"/>
                  <w:szCs w:val="18"/>
                  <w:color w:val="0000FF"/>
                  <w:w w:val="99"/>
                </w:rPr>
                <w:t>reference to Exhibit 10.4 of the Registrant’s Quarterly Report on Form 10-Q (File No. 001-40703),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91">
              <w:r>
                <w:rPr>
                  <w:rFonts w:ascii="Times New Roman" w:cs="Times New Roman" w:eastAsia="Times New Roman" w:hAnsi="Times New Roman"/>
                  <w:sz w:val="18"/>
                  <w:szCs w:val="18"/>
                  <w:color w:val="0000FF"/>
                </w:rPr>
                <w:t>Commission on November 10,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7"/>
                <w:szCs w:val="17"/>
                <w:color w:val="auto"/>
              </w:rPr>
            </w:pPr>
          </w:p>
        </w:tc>
        <w:tc>
          <w:tcPr>
            <w:tcW w:w="9540" w:type="dxa"/>
            <w:vAlign w:val="bottom"/>
            <w:tcBorders>
              <w:bottom w:val="single" w:sz="8" w:color="0000FF"/>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FF"/>
              </w:rPr>
              <w:t>2021 Equity Incentive Plan, as amended, and Forms of Stock Option Grant Notice, Stock Option Agreement, Exercise Notice, RSU</w:t>
            </w:r>
          </w:p>
        </w:tc>
        <w:tc>
          <w:tcPr>
            <w:tcW w:w="46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FF"/>
              </w:rPr>
              <w:t>Award Grant Notice and RSU Award Agreement.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1520" w:type="dxa"/>
            <w:vAlign w:val="bottom"/>
            <w:tcBorders>
              <w:right w:val="single" w:sz="8" w:color="0000EE"/>
            </w:tcBorders>
            <w:gridSpan w:val="3"/>
            <w:shd w:val="clear" w:color="auto" w:fill="0000FF"/>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988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2021 Employee Stock Purchase Plan (incorporated by reference to Exhibit 10.6 of the Registrant’s Quarterly Report on Form 10-Q (File</w:t>
              </w:r>
            </w:hyperlink>
          </w:p>
        </w:tc>
        <w:tc>
          <w:tcPr>
            <w:tcW w:w="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92">
              <w:r>
                <w:rPr>
                  <w:rFonts w:ascii="Times New Roman" w:cs="Times New Roman" w:eastAsia="Times New Roman" w:hAnsi="Times New Roman"/>
                  <w:sz w:val="18"/>
                  <w:szCs w:val="18"/>
                  <w:color w:val="0000FF"/>
                </w:rPr>
                <w:t>No. 001-40703), filed with the Securities and Exchange Commission on November 10, 2022).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FF"/>
            </w:tcBorders>
            <w:shd w:val="clear" w:color="auto" w:fill="0000FF"/>
          </w:tcPr>
          <w:p>
            <w:pPr>
              <w:spacing w:after="0" w:line="20" w:lineRule="exact"/>
              <w:rPr>
                <w:sz w:val="1"/>
                <w:szCs w:val="1"/>
                <w:color w:val="auto"/>
              </w:rPr>
            </w:pPr>
          </w:p>
        </w:tc>
        <w:tc>
          <w:tcPr>
            <w:tcW w:w="3360" w:type="dxa"/>
            <w:vAlign w:val="bottom"/>
            <w:gridSpan w:val="5"/>
            <w:shd w:val="clear" w:color="auto" w:fill="0000FF"/>
          </w:tcPr>
          <w:p>
            <w:pPr>
              <w:spacing w:after="0" w:line="20" w:lineRule="exact"/>
              <w:rPr>
                <w:sz w:val="1"/>
                <w:szCs w:val="1"/>
                <w:color w:val="auto"/>
              </w:rPr>
            </w:pPr>
          </w:p>
        </w:tc>
        <w:tc>
          <w:tcPr>
            <w:tcW w:w="1340" w:type="dxa"/>
            <w:vAlign w:val="bottom"/>
            <w:tcBorders>
              <w:right w:val="single" w:sz="8" w:color="0000EE"/>
            </w:tcBorders>
            <w:gridSpan w:val="3"/>
            <w:shd w:val="clear" w:color="auto" w:fill="0000FF"/>
          </w:tcPr>
          <w:p>
            <w:pPr>
              <w:spacing w:after="0" w:line="20" w:lineRule="exact"/>
              <w:rPr>
                <w:sz w:val="1"/>
                <w:szCs w:val="1"/>
                <w:color w:val="auto"/>
              </w:rPr>
            </w:pPr>
          </w:p>
        </w:tc>
        <w:tc>
          <w:tcPr>
            <w:tcW w:w="2660" w:type="dxa"/>
            <w:vAlign w:val="bottom"/>
            <w:gridSpan w:val="9"/>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7"/>
                <w:szCs w:val="17"/>
                <w:color w:val="auto"/>
              </w:rPr>
            </w:pPr>
          </w:p>
        </w:tc>
        <w:tc>
          <w:tcPr>
            <w:tcW w:w="9780" w:type="dxa"/>
            <w:vAlign w:val="bottom"/>
            <w:tcBorders>
              <w:bottom w:val="single" w:sz="8" w:color="0000FF"/>
            </w:tcBorders>
            <w:gridSpan w:val="25"/>
          </w:tcPr>
          <w:p>
            <w:pPr>
              <w:ind w:left="20"/>
              <w:spacing w:after="0" w:line="196" w:lineRule="exact"/>
              <w:rPr>
                <w:sz w:val="20"/>
                <w:szCs w:val="20"/>
                <w:color w:val="auto"/>
              </w:rPr>
            </w:pPr>
            <w:r>
              <w:rPr>
                <w:rFonts w:ascii="Times New Roman" w:cs="Times New Roman" w:eastAsia="Times New Roman" w:hAnsi="Times New Roman"/>
                <w:sz w:val="18"/>
                <w:szCs w:val="18"/>
                <w:color w:val="0000FF"/>
              </w:rPr>
              <w:t>2026 Inducement Plan and Forms of Stock Option Grant Notice, Stock Option Agreement, Exercise Notice, RSU Award Grant Notice</w:t>
            </w:r>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FF"/>
              </w:rPr>
              <w:t>and RSU Award Agreement.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620" w:type="dxa"/>
            <w:vAlign w:val="bottom"/>
            <w:tcBorders>
              <w:right w:val="single" w:sz="8" w:color="0000EE"/>
            </w:tcBorders>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sz w:val="20"/>
                <w:szCs w:val="20"/>
                <w:color w:val="auto"/>
              </w:rPr>
            </w:pPr>
            <w:r>
              <w:rPr>
                <w:rFonts w:ascii="Times New Roman" w:cs="Times New Roman" w:eastAsia="Times New Roman" w:hAnsi="Times New Roman"/>
                <w:sz w:val="18"/>
                <w:szCs w:val="18"/>
                <w:color w:val="0000FF"/>
              </w:rPr>
              <w:t>Form of Indemnification Agreement with Executive Officers and Directors.</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3980" w:type="dxa"/>
            <w:vAlign w:val="bottom"/>
            <w:gridSpan w:val="6"/>
            <w:shd w:val="clear" w:color="auto" w:fill="0000FF"/>
          </w:tcPr>
          <w:p>
            <w:pPr>
              <w:spacing w:after="0" w:line="20" w:lineRule="exact"/>
              <w:rPr>
                <w:sz w:val="1"/>
                <w:szCs w:val="1"/>
                <w:color w:val="auto"/>
              </w:rPr>
            </w:pPr>
          </w:p>
        </w:tc>
        <w:tc>
          <w:tcPr>
            <w:tcW w:w="4000" w:type="dxa"/>
            <w:vAlign w:val="bottom"/>
            <w:gridSpan w:val="12"/>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7"/>
                <w:szCs w:val="17"/>
                <w:color w:val="auto"/>
              </w:rPr>
            </w:pPr>
          </w:p>
        </w:tc>
        <w:tc>
          <w:tcPr>
            <w:tcW w:w="946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Employment Agreement by and between the Registrant and Jill Andersen, dated September 24, 2021 (incorporated by reference to</w:t>
              </w:r>
            </w:hyperlink>
          </w:p>
        </w:tc>
        <w:tc>
          <w:tcPr>
            <w:tcW w:w="5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8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Exhibit 10.11 of the Registrant’s Annual Report on Form 10-K (File No. 001-40703), filed with the Securities and Exchange Commission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33"/>
          </w:tcPr>
          <w:p>
            <w:pPr>
              <w:ind w:left="20"/>
              <w:spacing w:after="0" w:line="196" w:lineRule="exact"/>
              <w:rPr>
                <w:rFonts w:ascii="Times New Roman" w:cs="Times New Roman" w:eastAsia="Times New Roman" w:hAnsi="Times New Roman"/>
                <w:sz w:val="18"/>
                <w:szCs w:val="18"/>
                <w:color w:val="0000FF"/>
              </w:rPr>
            </w:pPr>
            <w:hyperlink r:id="rId193">
              <w:r>
                <w:rPr>
                  <w:rFonts w:ascii="Times New Roman" w:cs="Times New Roman" w:eastAsia="Times New Roman" w:hAnsi="Times New Roman"/>
                  <w:sz w:val="18"/>
                  <w:szCs w:val="18"/>
                  <w:color w:val="0000FF"/>
                </w:rPr>
                <w:t>on March 31, 2022).</w:t>
              </w:r>
            </w:hyperlink>
          </w:p>
        </w:tc>
        <w:tc>
          <w:tcPr>
            <w:tcW w:w="0" w:type="dxa"/>
            <w:vAlign w:val="bottom"/>
          </w:tcPr>
          <w:p>
            <w:pPr>
              <w:spacing w:after="0"/>
              <w:rPr>
                <w:sz w:val="1"/>
                <w:szCs w:val="1"/>
                <w:color w:val="auto"/>
              </w:rPr>
            </w:pPr>
          </w:p>
        </w:tc>
      </w:tr>
      <w:tr>
        <w:trPr>
          <w:trHeight w:val="452"/>
        </w:trPr>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Borders>
              <w:top w:val="single" w:sz="8" w:color="0000FF"/>
            </w:tcBorders>
            <w:gridSpan w:val="3"/>
          </w:tcPr>
          <w:p>
            <w:pPr>
              <w:spacing w:after="0"/>
              <w:rPr>
                <w:sz w:val="24"/>
                <w:szCs w:val="24"/>
                <w:color w:val="auto"/>
              </w:rPr>
            </w:pPr>
          </w:p>
        </w:tc>
        <w:tc>
          <w:tcPr>
            <w:tcW w:w="3980" w:type="dxa"/>
            <w:vAlign w:val="bottom"/>
            <w:gridSpan w:val="6"/>
          </w:tcPr>
          <w:p>
            <w:pPr>
              <w:jc w:val="right"/>
              <w:ind w:right="868"/>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0" w:name="page131"/>
    <w:bookmarkEnd w:id="130"/>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0000" w:type="dxa"/>
            <w:vAlign w:val="bottom"/>
            <w:gridSpan w:val="42"/>
          </w:tcPr>
          <w:p>
            <w:pPr>
              <w:ind w:left="20"/>
              <w:spacing w:after="0"/>
              <w:rPr>
                <w:sz w:val="20"/>
                <w:szCs w:val="20"/>
                <w:color w:val="auto"/>
              </w:rPr>
            </w:pPr>
            <w:r>
              <w:rPr>
                <w:rFonts w:ascii="Times New Roman" w:cs="Times New Roman" w:eastAsia="Times New Roman" w:hAnsi="Times New Roman"/>
                <w:sz w:val="18"/>
                <w:szCs w:val="18"/>
                <w:color w:val="0000FF"/>
              </w:rPr>
              <w:t>First Amendment to the Employment Agreement of Jill Andersen, by and between the Registrant and Jill Andersen, dated January 31,</w:t>
            </w:r>
          </w:p>
        </w:tc>
      </w:tr>
      <w:tr>
        <w:trPr>
          <w:trHeight w:val="196"/>
        </w:trPr>
        <w:tc>
          <w:tcPr>
            <w:tcW w:w="12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2026.</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9740" w:type="dxa"/>
            <w:vAlign w:val="bottom"/>
            <w:tcBorders>
              <w:bottom w:val="single" w:sz="8" w:color="0000FF"/>
            </w:tcBorders>
            <w:gridSpan w:val="33"/>
          </w:tcPr>
          <w:p>
            <w:pPr>
              <w:ind w:left="20"/>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Employment Agreement by and between the Registrant and Robert Allen, dated March 14, 2023 (incorporated by reference to Exhibit</w:t>
              </w:r>
            </w:hyperlink>
          </w:p>
        </w:tc>
        <w:tc>
          <w:tcPr>
            <w:tcW w:w="260" w:type="dxa"/>
            <w:vAlign w:val="bottom"/>
            <w:gridSpan w:val="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4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196">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r>
                <w:rPr>
                  <w:rFonts w:ascii="Times New Roman" w:cs="Times New Roman" w:eastAsia="Times New Roman" w:hAnsi="Times New Roman"/>
                  <w:sz w:val="18"/>
                  <w:szCs w:val="18"/>
                  <w:color w:val="0000FF"/>
                </w:rPr>
                <w:t xml:space="preserve"> of the Registrant’s Annual Report on Form 10-K (File No. 001-40703), filed with the Securities and Exchange Commission on</w:t>
              </w:r>
            </w:hyperlink>
          </w:p>
        </w:tc>
        <w:tc>
          <w:tcPr>
            <w:tcW w:w="36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60" w:type="dxa"/>
            <w:vAlign w:val="bottom"/>
            <w:tcBorders>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7"/>
              </w:rPr>
            </w:pPr>
            <w:hyperlink r:id="rId196">
              <w:r>
                <w:rPr>
                  <w:rFonts w:ascii="Times New Roman" w:cs="Times New Roman" w:eastAsia="Times New Roman" w:hAnsi="Times New Roman"/>
                  <w:sz w:val="18"/>
                  <w:szCs w:val="18"/>
                  <w:color w:val="0000FF"/>
                  <w:w w:val="97"/>
                </w:rPr>
                <w:t>March 28, 2024).</w:t>
              </w:r>
            </w:hyperlink>
          </w:p>
        </w:tc>
        <w:tc>
          <w:tcPr>
            <w:tcW w:w="20" w:type="dxa"/>
            <w:vAlign w:val="bottom"/>
            <w:tcBorders>
              <w:bottom w:val="single" w:sz="8" w:color="0000EE"/>
            </w:tcBorders>
          </w:tcPr>
          <w:p>
            <w:pPr>
              <w:spacing w:after="0"/>
              <w:rPr>
                <w:sz w:val="17"/>
                <w:szCs w:val="17"/>
                <w:color w:val="auto"/>
              </w:rPr>
            </w:pPr>
          </w:p>
        </w:tc>
        <w:tc>
          <w:tcPr>
            <w:tcW w:w="8720" w:type="dxa"/>
            <w:vAlign w:val="bottom"/>
            <w:gridSpan w:val="3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0000" w:type="dxa"/>
            <w:vAlign w:val="bottom"/>
            <w:gridSpan w:val="42"/>
          </w:tcPr>
          <w:p>
            <w:pPr>
              <w:ind w:left="20"/>
              <w:spacing w:after="0" w:line="196" w:lineRule="exact"/>
              <w:rPr>
                <w:sz w:val="20"/>
                <w:szCs w:val="20"/>
                <w:color w:val="auto"/>
              </w:rPr>
            </w:pPr>
            <w:r>
              <w:rPr>
                <w:rFonts w:ascii="Times New Roman" w:cs="Times New Roman" w:eastAsia="Times New Roman" w:hAnsi="Times New Roman"/>
                <w:sz w:val="18"/>
                <w:szCs w:val="18"/>
                <w:color w:val="0000FF"/>
              </w:rPr>
              <w:t>First Amendment to the Employment Agreement of Robert Allen, by and between the Registrant and Robert Allen, dated January 31,</w:t>
            </w:r>
          </w:p>
        </w:tc>
      </w:tr>
      <w:tr>
        <w:trPr>
          <w:trHeight w:val="196"/>
        </w:trPr>
        <w:tc>
          <w:tcPr>
            <w:tcW w:w="12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2026.</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986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Employment Agreement by and between the Registrant and William Duke, Jr. dated July 19, 2023 (incorporated by reference to Exhibit</w:t>
              </w:r>
            </w:hyperlink>
          </w:p>
        </w:tc>
        <w:tc>
          <w:tcPr>
            <w:tcW w:w="14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480" w:type="dxa"/>
            <w:vAlign w:val="bottom"/>
            <w:tcBorders>
              <w:bottom w:val="single" w:sz="8" w:color="0000FF"/>
            </w:tcBorders>
            <w:gridSpan w:val="25"/>
          </w:tcPr>
          <w:p>
            <w:pPr>
              <w:ind w:left="20"/>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of the Registrant’s Current Report on Form 8-K (File No. 001-40703), filed with the Securities and Exchange Commission on</w:t>
              </w:r>
            </w:hyperlink>
          </w:p>
        </w:tc>
        <w:tc>
          <w:tcPr>
            <w:tcW w:w="520" w:type="dxa"/>
            <w:vAlign w:val="bottom"/>
            <w:gridSpan w:val="1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197">
              <w:r>
                <w:rPr>
                  <w:rFonts w:ascii="Times New Roman" w:cs="Times New Roman" w:eastAsia="Times New Roman" w:hAnsi="Times New Roman"/>
                  <w:sz w:val="18"/>
                  <w:szCs w:val="18"/>
                  <w:color w:val="0000FF"/>
                </w:rPr>
                <w:t>September 5, 2023).</w:t>
              </w:r>
            </w:hyperlink>
          </w:p>
        </w:tc>
      </w:tr>
      <w:tr>
        <w:trPr>
          <w:trHeight w:val="20"/>
        </w:trPr>
        <w:tc>
          <w:tcPr>
            <w:tcW w:w="1240" w:type="dxa"/>
            <w:vAlign w:val="bottom"/>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9520" w:type="dxa"/>
            <w:vAlign w:val="bottom"/>
            <w:tcBorders>
              <w:bottom w:val="single" w:sz="8" w:color="0000FF"/>
            </w:tcBorders>
            <w:gridSpan w:val="27"/>
          </w:tcPr>
          <w:p>
            <w:pPr>
              <w:ind w:left="20"/>
              <w:spacing w:after="0" w:line="196" w:lineRule="exact"/>
              <w:rPr>
                <w:sz w:val="20"/>
                <w:szCs w:val="20"/>
                <w:color w:val="auto"/>
              </w:rPr>
            </w:pPr>
            <w:r>
              <w:rPr>
                <w:rFonts w:ascii="Times New Roman" w:cs="Times New Roman" w:eastAsia="Times New Roman" w:hAnsi="Times New Roman"/>
                <w:sz w:val="18"/>
                <w:szCs w:val="18"/>
                <w:color w:val="0000FF"/>
              </w:rPr>
              <w:t>First Amendment to the Employment Agreement of William Duke, Jr., by and between the Registrant and William Duke, Jr., dated</w:t>
            </w:r>
          </w:p>
        </w:tc>
        <w:tc>
          <w:tcPr>
            <w:tcW w:w="480" w:type="dxa"/>
            <w:vAlign w:val="bottom"/>
            <w:gridSpan w:val="1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300" w:type="dxa"/>
            <w:vAlign w:val="bottom"/>
            <w:tcBorders>
              <w:bottom w:val="single" w:sz="8" w:color="0000FF"/>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January 31, 2026.</w:t>
            </w:r>
          </w:p>
        </w:tc>
        <w:tc>
          <w:tcPr>
            <w:tcW w:w="20" w:type="dxa"/>
            <w:vAlign w:val="bottom"/>
            <w:tcBorders>
              <w:bottom w:val="single" w:sz="8" w:color="0000EE"/>
            </w:tcBorders>
          </w:tcPr>
          <w:p>
            <w:pPr>
              <w:spacing w:after="0"/>
              <w:rPr>
                <w:sz w:val="17"/>
                <w:szCs w:val="17"/>
                <w:color w:val="auto"/>
              </w:rPr>
            </w:pPr>
          </w:p>
        </w:tc>
        <w:tc>
          <w:tcPr>
            <w:tcW w:w="8680" w:type="dxa"/>
            <w:vAlign w:val="bottom"/>
            <w:gridSpan w:val="3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9700" w:type="dxa"/>
            <w:vAlign w:val="bottom"/>
            <w:tcBorders>
              <w:bottom w:val="single" w:sz="8" w:color="0000FF"/>
            </w:tcBorders>
            <w:gridSpan w:val="31"/>
          </w:tcPr>
          <w:p>
            <w:pPr>
              <w:ind w:left="20"/>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Employment Agreement by and between the Registrant and Julie Green, dated January 24, 2024 (incorporated by reference to Exhibit</w:t>
              </w:r>
            </w:hyperlink>
          </w:p>
        </w:tc>
        <w:tc>
          <w:tcPr>
            <w:tcW w:w="300" w:type="dxa"/>
            <w:vAlign w:val="bottom"/>
            <w:gridSpan w:val="11"/>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640" w:type="dxa"/>
            <w:vAlign w:val="bottom"/>
            <w:tcBorders>
              <w:bottom w:val="single" w:sz="8" w:color="0000FF"/>
            </w:tcBorders>
            <w:gridSpan w:val="29"/>
          </w:tcPr>
          <w:p>
            <w:pPr>
              <w:ind w:left="20"/>
              <w:spacing w:after="0" w:line="196" w:lineRule="exact"/>
              <w:rPr>
                <w:rFonts w:ascii="Times New Roman" w:cs="Times New Roman" w:eastAsia="Times New Roman" w:hAnsi="Times New Roman"/>
                <w:sz w:val="18"/>
                <w:szCs w:val="18"/>
                <w:color w:val="0000FF"/>
              </w:rPr>
            </w:pPr>
            <w:hyperlink r:id="rId19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14</w:t>
              </w:r>
              <w:r>
                <w:rPr>
                  <w:rFonts w:ascii="Times New Roman" w:cs="Times New Roman" w:eastAsia="Times New Roman" w:hAnsi="Times New Roman"/>
                  <w:sz w:val="18"/>
                  <w:szCs w:val="18"/>
                  <w:color w:val="0000FF"/>
                </w:rPr>
                <w:t xml:space="preserve"> of the Registrant’s Annual Report on Form 10-K (File No. 001-40703), filed with the Securities and Exchange Commission on</w:t>
              </w:r>
            </w:hyperlink>
          </w:p>
        </w:tc>
        <w:tc>
          <w:tcPr>
            <w:tcW w:w="360" w:type="dxa"/>
            <w:vAlign w:val="bottom"/>
            <w:gridSpan w:val="1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60" w:type="dxa"/>
            <w:vAlign w:val="bottom"/>
            <w:tcBorders>
              <w:bottom w:val="single" w:sz="8" w:color="0000FF"/>
            </w:tcBorders>
            <w:gridSpan w:val="5"/>
          </w:tcPr>
          <w:p>
            <w:pPr>
              <w:ind w:left="20"/>
              <w:spacing w:after="0" w:line="196" w:lineRule="exact"/>
              <w:rPr>
                <w:rFonts w:ascii="Times New Roman" w:cs="Times New Roman" w:eastAsia="Times New Roman" w:hAnsi="Times New Roman"/>
                <w:sz w:val="18"/>
                <w:szCs w:val="18"/>
                <w:color w:val="0000FF"/>
                <w:w w:val="97"/>
              </w:rPr>
            </w:pPr>
            <w:hyperlink r:id="rId198">
              <w:r>
                <w:rPr>
                  <w:rFonts w:ascii="Times New Roman" w:cs="Times New Roman" w:eastAsia="Times New Roman" w:hAnsi="Times New Roman"/>
                  <w:sz w:val="18"/>
                  <w:szCs w:val="18"/>
                  <w:color w:val="0000FF"/>
                  <w:w w:val="97"/>
                </w:rPr>
                <w:t>March 28, 2024).</w:t>
              </w:r>
            </w:hyperlink>
          </w:p>
        </w:tc>
        <w:tc>
          <w:tcPr>
            <w:tcW w:w="20" w:type="dxa"/>
            <w:vAlign w:val="bottom"/>
            <w:tcBorders>
              <w:bottom w:val="single" w:sz="8" w:color="0000EE"/>
            </w:tcBorders>
          </w:tcPr>
          <w:p>
            <w:pPr>
              <w:spacing w:after="0"/>
              <w:rPr>
                <w:sz w:val="17"/>
                <w:szCs w:val="17"/>
                <w:color w:val="auto"/>
              </w:rPr>
            </w:pPr>
          </w:p>
        </w:tc>
        <w:tc>
          <w:tcPr>
            <w:tcW w:w="8720" w:type="dxa"/>
            <w:vAlign w:val="bottom"/>
            <w:gridSpan w:val="36"/>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9880" w:type="dxa"/>
            <w:vAlign w:val="bottom"/>
            <w:tcBorders>
              <w:bottom w:val="single" w:sz="8" w:color="0000FF"/>
            </w:tcBorders>
            <w:gridSpan w:val="39"/>
          </w:tcPr>
          <w:p>
            <w:pPr>
              <w:ind w:left="20"/>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First Amendment to the Employment Agreement of Julie Green, by and between the Registrant and Julie Green, dated October 23, 2024</w:t>
              </w:r>
            </w:hyperlink>
          </w:p>
        </w:tc>
        <w:tc>
          <w:tcPr>
            <w:tcW w:w="12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36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rPr>
            </w:pPr>
            <w:hyperlink r:id="rId199">
              <w:r>
                <w:rPr>
                  <w:rFonts w:ascii="Times New Roman" w:cs="Times New Roman" w:eastAsia="Times New Roman" w:hAnsi="Times New Roman"/>
                  <w:sz w:val="18"/>
                  <w:szCs w:val="18"/>
                  <w:color w:val="0000FF"/>
                </w:rPr>
                <w:t>(incorporated by reference to Exhibit 10.15 of the Registrant’s Annual Report on Form 10-K (File No. 001-40703), filed with the</w:t>
              </w:r>
            </w:hyperlink>
          </w:p>
        </w:tc>
        <w:tc>
          <w:tcPr>
            <w:tcW w:w="640" w:type="dxa"/>
            <w:vAlign w:val="bottom"/>
            <w:gridSpan w:val="2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26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199">
              <w:r>
                <w:rPr>
                  <w:rFonts w:ascii="Times New Roman" w:cs="Times New Roman" w:eastAsia="Times New Roman" w:hAnsi="Times New Roman"/>
                  <w:sz w:val="18"/>
                  <w:szCs w:val="18"/>
                  <w:color w:val="0000FF"/>
                  <w:w w:val="99"/>
                </w:rPr>
                <w:t>Securities and Exchange Commission on March 20, 2025).</w:t>
              </w:r>
            </w:hyperlink>
          </w:p>
        </w:tc>
        <w:tc>
          <w:tcPr>
            <w:tcW w:w="20" w:type="dxa"/>
            <w:vAlign w:val="bottom"/>
            <w:tcBorders>
              <w:bottom w:val="single" w:sz="8" w:color="0000EE"/>
            </w:tcBorders>
          </w:tcPr>
          <w:p>
            <w:pPr>
              <w:spacing w:after="0"/>
              <w:rPr>
                <w:sz w:val="17"/>
                <w:szCs w:val="17"/>
                <w:color w:val="auto"/>
              </w:rPr>
            </w:pPr>
          </w:p>
        </w:tc>
        <w:tc>
          <w:tcPr>
            <w:tcW w:w="5720" w:type="dxa"/>
            <w:vAlign w:val="bottom"/>
            <w:gridSpan w:val="29"/>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0000" w:type="dxa"/>
            <w:vAlign w:val="bottom"/>
            <w:gridSpan w:val="42"/>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Second Amendment to the Employment Agreement of Julie Green, by and between the Registrant and Julie Green, dated January 31,</w:t>
            </w:r>
          </w:p>
        </w:tc>
      </w:tr>
      <w:tr>
        <w:trPr>
          <w:trHeight w:val="196"/>
        </w:trPr>
        <w:tc>
          <w:tcPr>
            <w:tcW w:w="12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2026.</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0000" w:type="dxa"/>
            <w:vAlign w:val="bottom"/>
            <w:tcBorders>
              <w:bottom w:val="single" w:sz="8" w:color="0000FF"/>
            </w:tcBorders>
            <w:gridSpan w:val="42"/>
          </w:tcPr>
          <w:p>
            <w:pPr>
              <w:ind w:left="20"/>
              <w:spacing w:after="0" w:line="196" w:lineRule="exact"/>
              <w:rPr>
                <w:rFonts w:ascii="Times New Roman" w:cs="Times New Roman" w:eastAsia="Times New Roman" w:hAnsi="Times New Roman"/>
                <w:sz w:val="18"/>
                <w:szCs w:val="18"/>
                <w:color w:val="0000FF"/>
                <w:w w:val="99"/>
              </w:rPr>
            </w:pPr>
            <w:hyperlink r:id="rId200">
              <w:r>
                <w:rPr>
                  <w:rFonts w:ascii="Times New Roman" w:cs="Times New Roman" w:eastAsia="Times New Roman" w:hAnsi="Times New Roman"/>
                  <w:sz w:val="18"/>
                  <w:szCs w:val="18"/>
                  <w:color w:val="0000FF"/>
                  <w:w w:val="99"/>
                </w:rPr>
                <w:t>Employment Agreement by and between the Registrant and Timothy Lee, dated May 30, 2024 (incorporated by reference to Exhibit 10.16</w:t>
              </w:r>
            </w:hyperlink>
          </w:p>
        </w:tc>
      </w:tr>
      <w:tr>
        <w:trPr>
          <w:trHeight w:val="196"/>
        </w:trPr>
        <w:tc>
          <w:tcPr>
            <w:tcW w:w="124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200">
              <w:r>
                <w:rPr>
                  <w:rFonts w:ascii="Times New Roman" w:cs="Times New Roman" w:eastAsia="Times New Roman" w:hAnsi="Times New Roman"/>
                  <w:sz w:val="18"/>
                  <w:szCs w:val="18"/>
                  <w:color w:val="0000FF"/>
                </w:rPr>
                <w:t>of the Registrant’s Annual Report on Form 10-K (File No. 001-40703), filed with the Securities and Exchange Commission on March 20,</w:t>
              </w:r>
            </w:hyperlink>
          </w:p>
        </w:tc>
      </w:tr>
      <w:tr>
        <w:trPr>
          <w:trHeight w:val="196"/>
        </w:trPr>
        <w:tc>
          <w:tcPr>
            <w:tcW w:w="1240" w:type="dxa"/>
            <w:vAlign w:val="bottom"/>
          </w:tcPr>
          <w:p>
            <w:pPr>
              <w:spacing w:after="0"/>
              <w:rPr>
                <w:sz w:val="17"/>
                <w:szCs w:val="17"/>
                <w:color w:val="auto"/>
              </w:rPr>
            </w:pPr>
          </w:p>
        </w:tc>
        <w:tc>
          <w:tcPr>
            <w:tcW w:w="480" w:type="dxa"/>
            <w:vAlign w:val="bottom"/>
            <w:tcBorders>
              <w:top w:val="single" w:sz="8" w:color="0000FF"/>
              <w:bottom w:val="single" w:sz="8" w:color="0000FF"/>
            </w:tcBorders>
            <w:gridSpan w:val="3"/>
          </w:tcPr>
          <w:p>
            <w:pPr>
              <w:ind w:left="20"/>
              <w:spacing w:after="0" w:line="196" w:lineRule="exact"/>
              <w:rPr>
                <w:rFonts w:ascii="Times New Roman" w:cs="Times New Roman" w:eastAsia="Times New Roman" w:hAnsi="Times New Roman"/>
                <w:sz w:val="18"/>
                <w:szCs w:val="18"/>
                <w:color w:val="0000FF"/>
                <w:w w:val="94"/>
              </w:rPr>
            </w:pPr>
            <w:hyperlink r:id="rId200">
              <w:r>
                <w:rPr>
                  <w:rFonts w:ascii="Times New Roman" w:cs="Times New Roman" w:eastAsia="Times New Roman" w:hAnsi="Times New Roman"/>
                  <w:sz w:val="18"/>
                  <w:szCs w:val="18"/>
                  <w:color w:val="0000FF"/>
                  <w:w w:val="94"/>
                </w:rPr>
                <w:t>2025).</w:t>
              </w:r>
            </w:hyperlink>
          </w:p>
        </w:tc>
        <w:tc>
          <w:tcPr>
            <w:tcW w:w="20" w:type="dxa"/>
            <w:vAlign w:val="bottom"/>
            <w:tcBorders>
              <w:top w:val="single" w:sz="8" w:color="0000FF"/>
              <w:bottom w:val="single" w:sz="8" w:color="0000EE"/>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0000" w:type="dxa"/>
            <w:vAlign w:val="bottom"/>
            <w:gridSpan w:val="42"/>
          </w:tcPr>
          <w:p>
            <w:pPr>
              <w:ind w:left="20"/>
              <w:spacing w:after="0" w:line="196" w:lineRule="exact"/>
              <w:rPr>
                <w:sz w:val="20"/>
                <w:szCs w:val="20"/>
                <w:color w:val="auto"/>
              </w:rPr>
            </w:pPr>
            <w:r>
              <w:rPr>
                <w:rFonts w:ascii="Times New Roman" w:cs="Times New Roman" w:eastAsia="Times New Roman" w:hAnsi="Times New Roman"/>
                <w:sz w:val="18"/>
                <w:szCs w:val="18"/>
                <w:color w:val="0000FF"/>
              </w:rPr>
              <w:t>First Amendment to the Employment Agreement of Timothy Lee, by and between the Registrant and Timothy Lee, dated January 31,</w:t>
            </w:r>
          </w:p>
        </w:tc>
      </w:tr>
      <w:tr>
        <w:trPr>
          <w:trHeight w:val="196"/>
        </w:trPr>
        <w:tc>
          <w:tcPr>
            <w:tcW w:w="12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ind w:left="20"/>
              <w:spacing w:after="0" w:line="196" w:lineRule="exact"/>
              <w:rPr>
                <w:sz w:val="20"/>
                <w:szCs w:val="20"/>
                <w:color w:val="auto"/>
              </w:rPr>
            </w:pPr>
            <w:r>
              <w:rPr>
                <w:rFonts w:ascii="Times New Roman" w:cs="Times New Roman" w:eastAsia="Times New Roman" w:hAnsi="Times New Roman"/>
                <w:sz w:val="18"/>
                <w:szCs w:val="18"/>
                <w:color w:val="0000FF"/>
                <w:w w:val="93"/>
              </w:rPr>
              <w:t>2026.</w:t>
            </w:r>
          </w:p>
        </w:tc>
        <w:tc>
          <w:tcPr>
            <w:tcW w:w="20" w:type="dxa"/>
            <w:vAlign w:val="bottom"/>
            <w:tcBorders>
              <w:top w:val="single" w:sz="8" w:color="0000FF"/>
              <w:bottom w:val="single" w:sz="8" w:color="0000EE"/>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9760" w:type="dxa"/>
            <w:vAlign w:val="bottom"/>
            <w:tcBorders>
              <w:bottom w:val="single" w:sz="8" w:color="0000FF"/>
            </w:tcBorders>
            <w:gridSpan w:val="34"/>
          </w:tcPr>
          <w:p>
            <w:pPr>
              <w:ind w:left="20"/>
              <w:spacing w:after="0" w:line="196" w:lineRule="exact"/>
              <w:rPr>
                <w:rFonts w:ascii="Times New Roman" w:cs="Times New Roman" w:eastAsia="Times New Roman" w:hAnsi="Times New Roman"/>
                <w:sz w:val="18"/>
                <w:szCs w:val="18"/>
                <w:color w:val="0000FF"/>
              </w:rPr>
            </w:pPr>
            <w:hyperlink r:id="rId201">
              <w:r>
                <w:rPr>
                  <w:rFonts w:ascii="Times New Roman" w:cs="Times New Roman" w:eastAsia="Times New Roman" w:hAnsi="Times New Roman"/>
                  <w:sz w:val="18"/>
                  <w:szCs w:val="18"/>
                  <w:color w:val="0000FF"/>
                </w:rPr>
                <w:t>Non-Employee Director Compensation Policy (incorporated by reference to Exhibit 10.3 of the Registrant’s Quarterly Report on Form</w:t>
              </w:r>
            </w:hyperlink>
          </w:p>
        </w:tc>
        <w:tc>
          <w:tcPr>
            <w:tcW w:w="240" w:type="dxa"/>
            <w:vAlign w:val="bottom"/>
            <w:gridSpan w:val="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160" w:type="dxa"/>
            <w:vAlign w:val="bottom"/>
            <w:tcBorders>
              <w:bottom w:val="single" w:sz="8" w:color="0000FF"/>
            </w:tcBorders>
            <w:gridSpan w:val="18"/>
          </w:tcPr>
          <w:p>
            <w:pPr>
              <w:ind w:left="20"/>
              <w:spacing w:after="0" w:line="196" w:lineRule="exact"/>
              <w:rPr>
                <w:rFonts w:ascii="Times New Roman" w:cs="Times New Roman" w:eastAsia="Times New Roman" w:hAnsi="Times New Roman"/>
                <w:sz w:val="18"/>
                <w:szCs w:val="18"/>
                <w:color w:val="0000FF"/>
                <w:w w:val="99"/>
              </w:rPr>
            </w:pPr>
            <w:hyperlink r:id="rId201">
              <w:r>
                <w:rPr>
                  <w:rFonts w:ascii="Times New Roman" w:cs="Times New Roman" w:eastAsia="Times New Roman" w:hAnsi="Times New Roman"/>
                  <w:sz w:val="18"/>
                  <w:szCs w:val="18"/>
                  <w:color w:val="0000FF"/>
                  <w:w w:val="99"/>
                </w:rPr>
                <w:t>10-Q (File No. 001-40703), filed with the Securities and Exchange Commission on May 11, 2023).</w:t>
              </w:r>
            </w:hyperlink>
          </w:p>
        </w:tc>
        <w:tc>
          <w:tcPr>
            <w:tcW w:w="20" w:type="dxa"/>
            <w:vAlign w:val="bottom"/>
            <w:tcBorders>
              <w:bottom w:val="single" w:sz="8" w:color="0000EE"/>
            </w:tcBorders>
          </w:tcPr>
          <w:p>
            <w:pPr>
              <w:spacing w:after="0"/>
              <w:rPr>
                <w:sz w:val="17"/>
                <w:szCs w:val="17"/>
                <w:color w:val="auto"/>
              </w:rPr>
            </w:pPr>
          </w:p>
        </w:tc>
        <w:tc>
          <w:tcPr>
            <w:tcW w:w="2820" w:type="dxa"/>
            <w:vAlign w:val="bottom"/>
            <w:gridSpan w:val="23"/>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9820" w:type="dxa"/>
            <w:vAlign w:val="bottom"/>
            <w:tcBorders>
              <w:bottom w:val="single" w:sz="8" w:color="0000FF"/>
            </w:tcBorders>
            <w:gridSpan w:val="36"/>
          </w:tcPr>
          <w:p>
            <w:pPr>
              <w:ind w:left="20"/>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Assignment and License Agreement by and between the Registrant and Adimab, LLC, dated July 8, 2020 (incorporated by reference to</w:t>
              </w:r>
            </w:hyperlink>
          </w:p>
        </w:tc>
        <w:tc>
          <w:tcPr>
            <w:tcW w:w="18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500" w:type="dxa"/>
            <w:vAlign w:val="bottom"/>
            <w:tcBorders>
              <w:bottom w:val="single" w:sz="8" w:color="0000FF"/>
            </w:tcBorders>
            <w:gridSpan w:val="26"/>
          </w:tcPr>
          <w:p>
            <w:pPr>
              <w:ind w:left="20"/>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Exhibit 10.5 of the Registrant’s Registration Statement on Form S-1 (File No. 333-257975), filed with the Securities and Exchange</w:t>
              </w:r>
            </w:hyperlink>
          </w:p>
        </w:tc>
        <w:tc>
          <w:tcPr>
            <w:tcW w:w="500" w:type="dxa"/>
            <w:vAlign w:val="bottom"/>
            <w:gridSpan w:val="1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202">
              <w:r>
                <w:rPr>
                  <w:rFonts w:ascii="Times New Roman" w:cs="Times New Roman" w:eastAsia="Times New Roman" w:hAnsi="Times New Roman"/>
                  <w:sz w:val="18"/>
                  <w:szCs w:val="18"/>
                  <w:color w:val="0000FF"/>
                </w:rPr>
                <w:t>Commission on July 16, 2021).</w:t>
              </w:r>
            </w:hyperlink>
          </w:p>
        </w:tc>
      </w:tr>
      <w:tr>
        <w:trPr>
          <w:trHeight w:val="20"/>
        </w:trPr>
        <w:tc>
          <w:tcPr>
            <w:tcW w:w="1240" w:type="dxa"/>
            <w:vAlign w:val="bottom"/>
          </w:tcPr>
          <w:p>
            <w:pPr>
              <w:spacing w:after="0" w:line="20" w:lineRule="exact"/>
              <w:rPr>
                <w:sz w:val="1"/>
                <w:szCs w:val="1"/>
                <w:color w:val="auto"/>
              </w:rPr>
            </w:pPr>
          </w:p>
        </w:tc>
        <w:tc>
          <w:tcPr>
            <w:tcW w:w="1320" w:type="dxa"/>
            <w:vAlign w:val="bottom"/>
            <w:gridSpan w:val="8"/>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9720" w:type="dxa"/>
            <w:vAlign w:val="bottom"/>
            <w:tcBorders>
              <w:bottom w:val="single" w:sz="8" w:color="0000FF"/>
            </w:tcBorders>
            <w:gridSpan w:val="32"/>
          </w:tcPr>
          <w:p>
            <w:pPr>
              <w:ind w:left="20"/>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Collaboration Agreement by and between the Registrant and Adimab, LLC, dated May 21, 2021 (incorporated by reference to Exhibit</w:t>
              </w:r>
            </w:hyperlink>
          </w:p>
        </w:tc>
        <w:tc>
          <w:tcPr>
            <w:tcW w:w="280" w:type="dxa"/>
            <w:vAlign w:val="bottom"/>
            <w:gridSpan w:val="1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80" w:type="dxa"/>
            <w:vAlign w:val="bottom"/>
            <w:tcBorders>
              <w:bottom w:val="single" w:sz="8" w:color="0000FF"/>
            </w:tcBorders>
            <w:gridSpan w:val="39"/>
          </w:tcPr>
          <w:p>
            <w:pPr>
              <w:ind w:left="20"/>
              <w:spacing w:after="0" w:line="196" w:lineRule="exact"/>
              <w:rPr>
                <w:rFonts w:ascii="Times New Roman" w:cs="Times New Roman" w:eastAsia="Times New Roman" w:hAnsi="Times New Roman"/>
                <w:sz w:val="18"/>
                <w:szCs w:val="18"/>
                <w:color w:val="0000FF"/>
              </w:rPr>
            </w:pPr>
            <w:hyperlink r:id="rId203">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6</w:t>
              </w:r>
              <w:r>
                <w:rPr>
                  <w:rFonts w:ascii="Times New Roman" w:cs="Times New Roman" w:eastAsia="Times New Roman" w:hAnsi="Times New Roman"/>
                  <w:sz w:val="18"/>
                  <w:szCs w:val="18"/>
                  <w:color w:val="0000FF"/>
                </w:rPr>
                <w:t xml:space="preserve"> of the Registrant’s Registration Statement on Form S-1 (File No. 333-257975), filed with the Securities and Exchange Commission</w:t>
              </w:r>
            </w:hyperlink>
          </w:p>
        </w:tc>
        <w:tc>
          <w:tcPr>
            <w:tcW w:w="120" w:type="dxa"/>
            <w:vAlign w:val="bottom"/>
            <w:gridSpan w:val="3"/>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32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8"/>
              </w:rPr>
            </w:pPr>
            <w:hyperlink r:id="rId203">
              <w:r>
                <w:rPr>
                  <w:rFonts w:ascii="Times New Roman" w:cs="Times New Roman" w:eastAsia="Times New Roman" w:hAnsi="Times New Roman"/>
                  <w:sz w:val="18"/>
                  <w:szCs w:val="18"/>
                  <w:color w:val="0000FF"/>
                  <w:w w:val="98"/>
                </w:rPr>
                <w:t>on July 16, 2021).</w:t>
              </w:r>
            </w:hyperlink>
          </w:p>
        </w:tc>
        <w:tc>
          <w:tcPr>
            <w:tcW w:w="8680" w:type="dxa"/>
            <w:vAlign w:val="bottom"/>
            <w:gridSpan w:val="34"/>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9800" w:type="dxa"/>
            <w:vAlign w:val="bottom"/>
            <w:tcBorders>
              <w:bottom w:val="single" w:sz="8" w:color="0000FF"/>
            </w:tcBorders>
            <w:gridSpan w:val="35"/>
          </w:tcPr>
          <w:p>
            <w:pPr>
              <w:ind w:left="20"/>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Amendment Number One to the Collaboration Agreement by and between the Registrant and Adimab, LLC, dated November 18, 2022</w:t>
              </w:r>
            </w:hyperlink>
          </w:p>
        </w:tc>
        <w:tc>
          <w:tcPr>
            <w:tcW w:w="200" w:type="dxa"/>
            <w:vAlign w:val="bottom"/>
            <w:gridSpan w:val="7"/>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36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rPr>
            </w:pPr>
            <w:hyperlink r:id="rId204">
              <w:r>
                <w:rPr>
                  <w:rFonts w:ascii="Times New Roman" w:cs="Times New Roman" w:eastAsia="Times New Roman" w:hAnsi="Times New Roman"/>
                  <w:sz w:val="18"/>
                  <w:szCs w:val="18"/>
                  <w:color w:val="0000FF"/>
                </w:rPr>
                <w:t>(incorporated by reference to Exhibit 10.13 of the Registrant’s Annual Report on Form 10-K (File No. 001-40703), filed with the</w:t>
              </w:r>
            </w:hyperlink>
          </w:p>
        </w:tc>
        <w:tc>
          <w:tcPr>
            <w:tcW w:w="640" w:type="dxa"/>
            <w:vAlign w:val="bottom"/>
            <w:gridSpan w:val="20"/>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260" w:type="dxa"/>
            <w:vAlign w:val="bottom"/>
            <w:tcBorders>
              <w:bottom w:val="single" w:sz="8" w:color="0000FF"/>
            </w:tcBorders>
            <w:gridSpan w:val="12"/>
          </w:tcPr>
          <w:p>
            <w:pPr>
              <w:ind w:left="20"/>
              <w:spacing w:after="0" w:line="196" w:lineRule="exact"/>
              <w:rPr>
                <w:rFonts w:ascii="Times New Roman" w:cs="Times New Roman" w:eastAsia="Times New Roman" w:hAnsi="Times New Roman"/>
                <w:sz w:val="18"/>
                <w:szCs w:val="18"/>
                <w:color w:val="0000FF"/>
                <w:w w:val="99"/>
              </w:rPr>
            </w:pPr>
            <w:hyperlink r:id="rId204">
              <w:r>
                <w:rPr>
                  <w:rFonts w:ascii="Times New Roman" w:cs="Times New Roman" w:eastAsia="Times New Roman" w:hAnsi="Times New Roman"/>
                  <w:sz w:val="18"/>
                  <w:szCs w:val="18"/>
                  <w:color w:val="0000FF"/>
                  <w:w w:val="99"/>
                </w:rPr>
                <w:t>Securities and Exchange Commission on March 23, 2023).</w:t>
              </w:r>
            </w:hyperlink>
          </w:p>
        </w:tc>
        <w:tc>
          <w:tcPr>
            <w:tcW w:w="5740" w:type="dxa"/>
            <w:vAlign w:val="bottom"/>
            <w:gridSpan w:val="30"/>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9840" w:type="dxa"/>
            <w:vAlign w:val="bottom"/>
            <w:tcBorders>
              <w:bottom w:val="single" w:sz="8" w:color="0000FF"/>
            </w:tcBorders>
            <w:gridSpan w:val="37"/>
          </w:tcPr>
          <w:p>
            <w:pPr>
              <w:ind w:left="20"/>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Number Two to the Collaboration Agreement by and between the Registrant and Adimab, LLC, dated September 19, 2023</w:t>
              </w:r>
            </w:hyperlink>
          </w:p>
        </w:tc>
        <w:tc>
          <w:tcPr>
            <w:tcW w:w="160" w:type="dxa"/>
            <w:vAlign w:val="bottom"/>
            <w:gridSpan w:val="5"/>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420" w:type="dxa"/>
            <w:vAlign w:val="bottom"/>
            <w:tcBorders>
              <w:bottom w:val="single" w:sz="8" w:color="0000FF"/>
            </w:tcBorders>
            <w:gridSpan w:val="24"/>
          </w:tcPr>
          <w:p>
            <w:pPr>
              <w:ind w:left="20"/>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(incorporated by reference to Exhibit 10.2 of the Registrant’s Quarterly Report on Form 10-Q (File No. 001-40703), filed with the</w:t>
              </w:r>
            </w:hyperlink>
          </w:p>
        </w:tc>
        <w:tc>
          <w:tcPr>
            <w:tcW w:w="580" w:type="dxa"/>
            <w:vAlign w:val="bottom"/>
            <w:gridSpan w:val="18"/>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4460" w:type="dxa"/>
            <w:vAlign w:val="bottom"/>
            <w:tcBorders>
              <w:bottom w:val="single" w:sz="8" w:color="0000FF"/>
            </w:tcBorders>
            <w:gridSpan w:val="14"/>
          </w:tcPr>
          <w:p>
            <w:pPr>
              <w:ind w:left="20"/>
              <w:spacing w:after="0" w:line="196" w:lineRule="exact"/>
              <w:rPr>
                <w:rFonts w:ascii="Times New Roman" w:cs="Times New Roman" w:eastAsia="Times New Roman" w:hAnsi="Times New Roman"/>
                <w:sz w:val="18"/>
                <w:szCs w:val="18"/>
                <w:color w:val="0000FF"/>
                <w:w w:val="99"/>
              </w:rPr>
            </w:pPr>
            <w:hyperlink r:id="rId205">
              <w:r>
                <w:rPr>
                  <w:rFonts w:ascii="Times New Roman" w:cs="Times New Roman" w:eastAsia="Times New Roman" w:hAnsi="Times New Roman"/>
                  <w:sz w:val="18"/>
                  <w:szCs w:val="18"/>
                  <w:color w:val="0000FF"/>
                  <w:w w:val="99"/>
                </w:rPr>
                <w:t>Securities and Exchange Commission on November 9, 2023).</w:t>
              </w:r>
            </w:hyperlink>
          </w:p>
        </w:tc>
        <w:tc>
          <w:tcPr>
            <w:tcW w:w="20" w:type="dxa"/>
            <w:vAlign w:val="bottom"/>
            <w:tcBorders>
              <w:bottom w:val="single" w:sz="8" w:color="0000EE"/>
            </w:tcBorders>
          </w:tcPr>
          <w:p>
            <w:pPr>
              <w:spacing w:after="0"/>
              <w:rPr>
                <w:sz w:val="17"/>
                <w:szCs w:val="17"/>
                <w:color w:val="auto"/>
              </w:rPr>
            </w:pPr>
          </w:p>
        </w:tc>
        <w:tc>
          <w:tcPr>
            <w:tcW w:w="5520" w:type="dxa"/>
            <w:vAlign w:val="bottom"/>
            <w:gridSpan w:val="2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9600" w:type="dxa"/>
            <w:vAlign w:val="bottom"/>
            <w:tcBorders>
              <w:bottom w:val="single" w:sz="8" w:color="0000FF"/>
            </w:tcBorders>
            <w:gridSpan w:val="28"/>
          </w:tcPr>
          <w:p>
            <w:pPr>
              <w:ind w:left="20"/>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Second Amended and Restated Commercial Manufacturing Services Agreement by and between the Registrant and WuXi Biologics</w:t>
              </w:r>
            </w:hyperlink>
          </w:p>
        </w:tc>
        <w:tc>
          <w:tcPr>
            <w:tcW w:w="400" w:type="dxa"/>
            <w:vAlign w:val="bottom"/>
            <w:gridSpan w:val="1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80" w:type="dxa"/>
            <w:vAlign w:val="bottom"/>
            <w:tcBorders>
              <w:bottom w:val="single" w:sz="8" w:color="0000FF"/>
            </w:tcBorders>
            <w:gridSpan w:val="41"/>
          </w:tcPr>
          <w:p>
            <w:pPr>
              <w:ind w:left="20"/>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(Hong Kong) Limited, dated September 19, 2023 (incorporated by reference to Exhibit 10.3 of the Registrant’s Quarterly Report on Form</w:t>
              </w:r>
            </w:hyperlink>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7500" w:type="dxa"/>
            <w:vAlign w:val="bottom"/>
            <w:tcBorders>
              <w:bottom w:val="single" w:sz="8" w:color="0000FF"/>
            </w:tcBorders>
            <w:gridSpan w:val="20"/>
          </w:tcPr>
          <w:p>
            <w:pPr>
              <w:ind w:left="20"/>
              <w:spacing w:after="0" w:line="196" w:lineRule="exact"/>
              <w:rPr>
                <w:rFonts w:ascii="Times New Roman" w:cs="Times New Roman" w:eastAsia="Times New Roman" w:hAnsi="Times New Roman"/>
                <w:sz w:val="18"/>
                <w:szCs w:val="18"/>
                <w:color w:val="0000FF"/>
                <w:w w:val="99"/>
              </w:rPr>
            </w:pPr>
            <w:hyperlink r:id="rId206">
              <w:r>
                <w:rPr>
                  <w:rFonts w:ascii="Times New Roman" w:cs="Times New Roman" w:eastAsia="Times New Roman" w:hAnsi="Times New Roman"/>
                  <w:sz w:val="18"/>
                  <w:szCs w:val="18"/>
                  <w:color w:val="0000FF"/>
                  <w:w w:val="99"/>
                </w:rPr>
                <w:t>10-Q (File No. 001-40703), filed with the Securities and Exchange Commission on November 9, 2023).</w:t>
              </w:r>
            </w:hyperlink>
          </w:p>
        </w:tc>
        <w:tc>
          <w:tcPr>
            <w:tcW w:w="20" w:type="dxa"/>
            <w:vAlign w:val="bottom"/>
            <w:tcBorders>
              <w:bottom w:val="single" w:sz="8" w:color="0000EE"/>
            </w:tcBorders>
          </w:tcPr>
          <w:p>
            <w:pPr>
              <w:spacing w:after="0"/>
              <w:rPr>
                <w:sz w:val="17"/>
                <w:szCs w:val="17"/>
                <w:color w:val="auto"/>
              </w:rPr>
            </w:pPr>
          </w:p>
        </w:tc>
        <w:tc>
          <w:tcPr>
            <w:tcW w:w="2480" w:type="dxa"/>
            <w:vAlign w:val="bottom"/>
            <w:gridSpan w:val="21"/>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940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Cell Line License Agreement by and between the Registrant and WuXi Biologics (Hong Kong) Limited, dated December 2, 2020</w:t>
              </w:r>
            </w:hyperlink>
          </w:p>
        </w:tc>
        <w:tc>
          <w:tcPr>
            <w:tcW w:w="600" w:type="dxa"/>
            <w:vAlign w:val="bottom"/>
            <w:gridSpan w:val="19"/>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820" w:type="dxa"/>
            <w:vAlign w:val="bottom"/>
            <w:tcBorders>
              <w:bottom w:val="single" w:sz="8" w:color="0000FF"/>
            </w:tcBorders>
            <w:gridSpan w:val="36"/>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(incorporated by reference to Exhibit 10.8 of the Registrant’s Registration Statement on Form S-1 (File No. 333-257975), filed with the</w:t>
              </w:r>
            </w:hyperlink>
          </w:p>
        </w:tc>
        <w:tc>
          <w:tcPr>
            <w:tcW w:w="180" w:type="dxa"/>
            <w:vAlign w:val="bottom"/>
            <w:gridSpan w:val="6"/>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Securities and Exchange Commission on July 16, 2021).</w:t>
              </w:r>
            </w:hyperlink>
          </w:p>
        </w:tc>
      </w:tr>
      <w:tr>
        <w:trPr>
          <w:trHeight w:val="20"/>
        </w:trPr>
        <w:tc>
          <w:tcPr>
            <w:tcW w:w="1240" w:type="dxa"/>
            <w:vAlign w:val="bottom"/>
          </w:tcPr>
          <w:p>
            <w:pPr>
              <w:spacing w:after="0" w:line="20" w:lineRule="exact"/>
              <w:rPr>
                <w:sz w:val="1"/>
                <w:szCs w:val="1"/>
                <w:color w:val="auto"/>
              </w:rPr>
            </w:pPr>
          </w:p>
        </w:tc>
        <w:tc>
          <w:tcPr>
            <w:tcW w:w="4100" w:type="dxa"/>
            <w:vAlign w:val="bottom"/>
            <w:tcBorders>
              <w:right w:val="single" w:sz="8" w:color="0000EE"/>
            </w:tcBorders>
            <w:gridSpan w:val="11"/>
            <w:shd w:val="clear" w:color="auto" w:fill="0000FF"/>
          </w:tcPr>
          <w:p>
            <w:pPr>
              <w:spacing w:after="0" w:line="20" w:lineRule="exact"/>
              <w:rPr>
                <w:sz w:val="1"/>
                <w:szCs w:val="1"/>
                <w:color w:val="auto"/>
              </w:rPr>
            </w:pPr>
          </w:p>
        </w:tc>
        <w:tc>
          <w:tcPr>
            <w:tcW w:w="7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80" w:type="dxa"/>
            <w:vAlign w:val="bottom"/>
            <w:gridSpan w:val="21"/>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986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Amendment No. 1 to the Cell Line License Agreement by and between the Registrant and WuXi Biologics (Hong Kong) Limited, dated</w:t>
              </w:r>
            </w:hyperlink>
          </w:p>
        </w:tc>
        <w:tc>
          <w:tcPr>
            <w:tcW w:w="14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tcBorders>
              <w:bottom w:val="single" w:sz="8" w:color="0000FF"/>
            </w:tcBorders>
            <w:gridSpan w:val="42"/>
          </w:tcPr>
          <w:p>
            <w:pPr>
              <w:ind w:left="20"/>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February 2, 2023 (incorporated by reference to Exhibit 10.16 of the Registrant’s Annual Report on Form 10-K (File No. 001-40703), filed</w:t>
              </w:r>
            </w:hyperlink>
          </w:p>
        </w:tc>
      </w:tr>
      <w:tr>
        <w:trPr>
          <w:trHeight w:val="196"/>
        </w:trPr>
        <w:tc>
          <w:tcPr>
            <w:tcW w:w="124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208">
              <w:r>
                <w:rPr>
                  <w:rFonts w:ascii="Times New Roman" w:cs="Times New Roman" w:eastAsia="Times New Roman" w:hAnsi="Times New Roman"/>
                  <w:sz w:val="18"/>
                  <w:szCs w:val="18"/>
                  <w:color w:val="0000FF"/>
                </w:rPr>
                <w:t>with the Securities and Exchange Commission on March 23, 2023).</w:t>
              </w:r>
            </w:hyperlink>
          </w:p>
        </w:tc>
      </w:tr>
      <w:tr>
        <w:trPr>
          <w:trHeight w:val="20"/>
        </w:trPr>
        <w:tc>
          <w:tcPr>
            <w:tcW w:w="1240" w:type="dxa"/>
            <w:vAlign w:val="bottom"/>
          </w:tcPr>
          <w:p>
            <w:pPr>
              <w:spacing w:after="0" w:line="20" w:lineRule="exact"/>
              <w:rPr>
                <w:sz w:val="1"/>
                <w:szCs w:val="1"/>
                <w:color w:val="auto"/>
              </w:rPr>
            </w:pPr>
          </w:p>
        </w:tc>
        <w:tc>
          <w:tcPr>
            <w:tcW w:w="4880" w:type="dxa"/>
            <w:vAlign w:val="bottom"/>
            <w:gridSpan w:val="16"/>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40" w:type="dxa"/>
            <w:vAlign w:val="bottom"/>
            <w:gridSpan w:val="2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9860" w:type="dxa"/>
            <w:vAlign w:val="bottom"/>
            <w:tcBorders>
              <w:bottom w:val="single" w:sz="8" w:color="0000FF"/>
            </w:tcBorders>
            <w:gridSpan w:val="38"/>
          </w:tcPr>
          <w:p>
            <w:pPr>
              <w:ind w:left="2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Amendment No. 2 to the Cell Line License Agreement by and between the Registrant and WuXi Biologics (Hong Kong) Limited, dated</w:t>
              </w:r>
            </w:hyperlink>
          </w:p>
        </w:tc>
        <w:tc>
          <w:tcPr>
            <w:tcW w:w="140" w:type="dxa"/>
            <w:vAlign w:val="bottom"/>
            <w:gridSpan w:val="4"/>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40"/>
          </w:tcPr>
          <w:p>
            <w:pPr>
              <w:ind w:left="2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March 13, 2024 (incorporated by reference to Exhibit 10.23 of the Registrant’s Annual Report on Form 10-K (File No. 001-40703), filed</w:t>
              </w:r>
            </w:hyperlink>
          </w:p>
        </w:tc>
        <w:tc>
          <w:tcPr>
            <w:tcW w:w="80" w:type="dxa"/>
            <w:vAlign w:val="bottom"/>
            <w:gridSpan w:val="2"/>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0000" w:type="dxa"/>
            <w:vAlign w:val="bottom"/>
            <w:gridSpan w:val="42"/>
          </w:tcPr>
          <w:p>
            <w:pPr>
              <w:ind w:left="20"/>
              <w:spacing w:after="0" w:line="196" w:lineRule="exact"/>
              <w:rPr>
                <w:rFonts w:ascii="Times New Roman" w:cs="Times New Roman" w:eastAsia="Times New Roman" w:hAnsi="Times New Roman"/>
                <w:sz w:val="18"/>
                <w:szCs w:val="18"/>
                <w:color w:val="0000FF"/>
              </w:rPr>
            </w:pPr>
            <w:hyperlink r:id="rId209">
              <w:r>
                <w:rPr>
                  <w:rFonts w:ascii="Times New Roman" w:cs="Times New Roman" w:eastAsia="Times New Roman" w:hAnsi="Times New Roman"/>
                  <w:sz w:val="18"/>
                  <w:szCs w:val="18"/>
                  <w:color w:val="0000FF"/>
                </w:rPr>
                <w:t>with the Securities and Exchange Commission on March 28, 2024).</w:t>
              </w:r>
            </w:hyperlink>
          </w:p>
        </w:tc>
      </w:tr>
      <w:tr>
        <w:trPr>
          <w:trHeight w:val="453"/>
        </w:trPr>
        <w:tc>
          <w:tcPr>
            <w:tcW w:w="1240" w:type="dxa"/>
            <w:vAlign w:val="bottom"/>
          </w:tcPr>
          <w:p>
            <w:pPr>
              <w:spacing w:after="0"/>
              <w:rPr>
                <w:sz w:val="24"/>
                <w:szCs w:val="24"/>
                <w:color w:val="auto"/>
              </w:rPr>
            </w:pPr>
          </w:p>
        </w:tc>
        <w:tc>
          <w:tcPr>
            <w:tcW w:w="4880" w:type="dxa"/>
            <w:vAlign w:val="bottom"/>
            <w:tcBorders>
              <w:top w:val="single" w:sz="8" w:color="0000EE"/>
            </w:tcBorders>
            <w:gridSpan w:val="16"/>
          </w:tcPr>
          <w:p>
            <w:pPr>
              <w:ind w:left="4240"/>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tcBorders>
              <w:top w:val="single" w:sz="8" w:color="0000EE"/>
            </w:tcBorders>
          </w:tcPr>
          <w:p>
            <w:pPr>
              <w:spacing w:after="0"/>
              <w:rPr>
                <w:sz w:val="24"/>
                <w:szCs w:val="24"/>
                <w:color w:val="auto"/>
              </w:rPr>
            </w:pPr>
          </w:p>
        </w:tc>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63"/>
        </w:trPr>
        <w:tc>
          <w:tcPr>
            <w:tcW w:w="12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9540" w:type="dxa"/>
            <w:vAlign w:val="bottom"/>
            <w:tcBorders>
              <w:bottom w:val="single" w:sz="8" w:color="0000FF"/>
            </w:tcBorders>
            <w:gridSpan w:val="18"/>
          </w:tcPr>
          <w:p>
            <w:pPr>
              <w:ind w:left="20"/>
              <w:spacing w:after="0"/>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Clinical Master Services Agreement by and between the Registrant and WuXi Biologics (Hong Kong) Limited, dated July 21, 2020</w:t>
              </w:r>
            </w:hyperlink>
          </w:p>
        </w:tc>
        <w:tc>
          <w:tcPr>
            <w:tcW w:w="4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360" w:type="dxa"/>
            <w:vAlign w:val="bottom"/>
            <w:tcBorders>
              <w:bottom w:val="single" w:sz="8" w:color="0000FF"/>
            </w:tcBorders>
            <w:gridSpan w:val="17"/>
          </w:tcPr>
          <w:p>
            <w:pPr>
              <w:ind w:left="20"/>
              <w:spacing w:after="0" w:line="196" w:lineRule="exact"/>
              <w:rPr>
                <w:rFonts w:ascii="Times New Roman" w:cs="Times New Roman" w:eastAsia="Times New Roman" w:hAnsi="Times New Roman"/>
                <w:sz w:val="18"/>
                <w:szCs w:val="18"/>
                <w:color w:val="0000FF"/>
              </w:rPr>
            </w:pPr>
            <w:hyperlink r:id="rId212">
              <w:r>
                <w:rPr>
                  <w:rFonts w:ascii="Times New Roman" w:cs="Times New Roman" w:eastAsia="Times New Roman" w:hAnsi="Times New Roman"/>
                  <w:sz w:val="18"/>
                  <w:szCs w:val="18"/>
                  <w:color w:val="0000FF"/>
                </w:rPr>
                <w:t>(incorporated by reference to Exhibit 10.17 of the Registrant’s Annual Report on Form 10-K (File No. 001-40703), filed with the</w:t>
              </w:r>
            </w:hyperlink>
          </w:p>
        </w:tc>
        <w:tc>
          <w:tcPr>
            <w:tcW w:w="6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4260" w:type="dxa"/>
            <w:vAlign w:val="bottom"/>
            <w:tcBorders>
              <w:bottom w:val="single" w:sz="8" w:color="0000FF"/>
            </w:tcBorders>
            <w:gridSpan w:val="8"/>
          </w:tcPr>
          <w:p>
            <w:pPr>
              <w:ind w:left="20"/>
              <w:spacing w:after="0" w:line="196" w:lineRule="exact"/>
              <w:rPr>
                <w:rFonts w:ascii="Times New Roman" w:cs="Times New Roman" w:eastAsia="Times New Roman" w:hAnsi="Times New Roman"/>
                <w:sz w:val="18"/>
                <w:szCs w:val="18"/>
                <w:color w:val="0000FF"/>
                <w:w w:val="99"/>
              </w:rPr>
            </w:pPr>
            <w:hyperlink r:id="rId212">
              <w:r>
                <w:rPr>
                  <w:rFonts w:ascii="Times New Roman" w:cs="Times New Roman" w:eastAsia="Times New Roman" w:hAnsi="Times New Roman"/>
                  <w:sz w:val="18"/>
                  <w:szCs w:val="18"/>
                  <w:color w:val="0000FF"/>
                  <w:w w:val="99"/>
                </w:rPr>
                <w:t>Securities and Exchange Commission on March 23, 2023).</w:t>
              </w:r>
            </w:hyperlink>
          </w:p>
        </w:tc>
        <w:tc>
          <w:tcPr>
            <w:tcW w:w="20" w:type="dxa"/>
            <w:vAlign w:val="bottom"/>
            <w:tcBorders>
              <w:bottom w:val="single" w:sz="8" w:color="0000EE"/>
            </w:tcBorders>
          </w:tcPr>
          <w:p>
            <w:pPr>
              <w:spacing w:after="0"/>
              <w:rPr>
                <w:sz w:val="17"/>
                <w:szCs w:val="17"/>
                <w:color w:val="auto"/>
              </w:rPr>
            </w:pPr>
          </w:p>
        </w:tc>
        <w:tc>
          <w:tcPr>
            <w:tcW w:w="56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1960" w:type="dxa"/>
            <w:vAlign w:val="bottom"/>
            <w:vMerge w:val="restart"/>
          </w:tcPr>
          <w:p>
            <w:pPr>
              <w:ind w:left="20"/>
              <w:spacing w:after="0" w:line="196" w:lineRule="exact"/>
              <w:rPr>
                <w:rFonts w:ascii="Times New Roman" w:cs="Times New Roman" w:eastAsia="Times New Roman" w:hAnsi="Times New Roman"/>
                <w:sz w:val="18"/>
                <w:szCs w:val="18"/>
                <w:color w:val="0000FF"/>
                <w:w w:val="97"/>
              </w:rPr>
            </w:pPr>
            <w:hyperlink r:id="rId213">
              <w:r>
                <w:rPr>
                  <w:rFonts w:ascii="Times New Roman" w:cs="Times New Roman" w:eastAsia="Times New Roman" w:hAnsi="Times New Roman"/>
                  <w:sz w:val="18"/>
                  <w:szCs w:val="18"/>
                  <w:color w:val="0000FF"/>
                  <w:w w:val="97"/>
                </w:rPr>
                <w:t>Controlled Equity Offering</w:t>
              </w:r>
            </w:hyperlink>
          </w:p>
        </w:tc>
        <w:tc>
          <w:tcPr>
            <w:tcW w:w="140" w:type="dxa"/>
            <w:vAlign w:val="bottom"/>
            <w:tcBorders>
              <w:bottom w:val="single" w:sz="8" w:color="0000FF"/>
            </w:tcBorders>
            <w:gridSpan w:val="2"/>
          </w:tcPr>
          <w:p>
            <w:pPr>
              <w:spacing w:after="0"/>
              <w:rPr>
                <w:rFonts w:ascii="Times New Roman" w:cs="Times New Roman" w:eastAsia="Times New Roman" w:hAnsi="Times New Roman"/>
                <w:sz w:val="9"/>
                <w:szCs w:val="9"/>
                <w:color w:val="0000FF"/>
                <w:w w:val="91"/>
              </w:rPr>
            </w:pPr>
            <w:hyperlink r:id="rId213">
              <w:r>
                <w:rPr>
                  <w:rFonts w:ascii="Times New Roman" w:cs="Times New Roman" w:eastAsia="Times New Roman" w:hAnsi="Times New Roman"/>
                  <w:sz w:val="9"/>
                  <w:szCs w:val="9"/>
                  <w:color w:val="0000FF"/>
                  <w:w w:val="91"/>
                </w:rPr>
                <w:t>SM</w:t>
              </w:r>
            </w:hyperlink>
          </w:p>
        </w:tc>
        <w:tc>
          <w:tcPr>
            <w:tcW w:w="7580" w:type="dxa"/>
            <w:vAlign w:val="bottom"/>
            <w:gridSpan w:val="16"/>
            <w:vMerge w:val="restart"/>
          </w:tcPr>
          <w:p>
            <w:pPr>
              <w:ind w:left="40"/>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Sales Agreement by and between the Registrant and Cantor Fitzgerald &amp; Co., dated December 22, 2023</w:t>
              </w:r>
            </w:hyperlink>
          </w:p>
        </w:tc>
        <w:tc>
          <w:tcPr>
            <w:tcW w:w="280" w:type="dxa"/>
            <w:vAlign w:val="bottom"/>
            <w:gridSpan w:val="4"/>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48"/>
        </w:trPr>
        <w:tc>
          <w:tcPr>
            <w:tcW w:w="1240" w:type="dxa"/>
            <w:vAlign w:val="bottom"/>
            <w:vMerge w:val="continue"/>
          </w:tcPr>
          <w:p>
            <w:pPr>
              <w:spacing w:after="0"/>
              <w:rPr>
                <w:sz w:val="4"/>
                <w:szCs w:val="4"/>
                <w:color w:val="auto"/>
              </w:rPr>
            </w:pPr>
          </w:p>
        </w:tc>
        <w:tc>
          <w:tcPr>
            <w:tcW w:w="1960" w:type="dxa"/>
            <w:vAlign w:val="bottom"/>
            <w:tcBorders>
              <w:bottom w:val="single" w:sz="8" w:color="0000FF"/>
            </w:tcBorders>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7580" w:type="dxa"/>
            <w:vAlign w:val="bottom"/>
            <w:tcBorders>
              <w:bottom w:val="single" w:sz="8" w:color="0000FF"/>
            </w:tcBorders>
            <w:gridSpan w:val="16"/>
            <w:vMerge w:val="continue"/>
          </w:tcPr>
          <w:p>
            <w:pPr>
              <w:spacing w:after="0"/>
              <w:rPr>
                <w:sz w:val="4"/>
                <w:szCs w:val="4"/>
                <w:color w:val="auto"/>
              </w:rPr>
            </w:pPr>
          </w:p>
        </w:tc>
        <w:tc>
          <w:tcPr>
            <w:tcW w:w="2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tcBorders>
              <w:bottom w:val="single" w:sz="8" w:color="0000FF"/>
            </w:tcBorders>
            <w:gridSpan w:val="23"/>
          </w:tcPr>
          <w:p>
            <w:pPr>
              <w:ind w:left="20"/>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(incorporated by reference to Exhibit 10.1 of the Registrant’s Current Report on Form 8-K (File No. 001-40703), filed with the Securities</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23"/>
          </w:tcPr>
          <w:p>
            <w:pPr>
              <w:ind w:left="20"/>
              <w:spacing w:after="0" w:line="196" w:lineRule="exact"/>
              <w:rPr>
                <w:rFonts w:ascii="Times New Roman" w:cs="Times New Roman" w:eastAsia="Times New Roman" w:hAnsi="Times New Roman"/>
                <w:sz w:val="18"/>
                <w:szCs w:val="18"/>
                <w:color w:val="0000FF"/>
              </w:rPr>
            </w:pPr>
            <w:hyperlink r:id="rId213">
              <w:r>
                <w:rPr>
                  <w:rFonts w:ascii="Times New Roman" w:cs="Times New Roman" w:eastAsia="Times New Roman" w:hAnsi="Times New Roman"/>
                  <w:sz w:val="18"/>
                  <w:szCs w:val="18"/>
                  <w:color w:val="0000FF"/>
                </w:rPr>
                <w:t>and Exchange Commission on December 22, 2023).</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9340" w:type="dxa"/>
            <w:vAlign w:val="bottom"/>
            <w:tcBorders>
              <w:bottom w:val="single" w:sz="8" w:color="0000FF"/>
            </w:tcBorders>
            <w:gridSpan w:val="16"/>
          </w:tcPr>
          <w:p>
            <w:pPr>
              <w:ind w:left="20"/>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Loan and Security Agreement by and between the Registrant and Silicon Valley Bank, a Division of First-Citizens Bank &amp; Trust</w:t>
              </w:r>
            </w:hyperlink>
          </w:p>
        </w:tc>
        <w:tc>
          <w:tcPr>
            <w:tcW w:w="6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20" w:type="dxa"/>
            <w:vAlign w:val="bottom"/>
            <w:tcBorders>
              <w:bottom w:val="single" w:sz="8" w:color="0000FF"/>
            </w:tcBorders>
            <w:gridSpan w:val="22"/>
          </w:tcPr>
          <w:p>
            <w:pPr>
              <w:ind w:left="20"/>
              <w:spacing w:after="0" w:line="196" w:lineRule="exact"/>
              <w:rPr>
                <w:rFonts w:ascii="Times New Roman" w:cs="Times New Roman" w:eastAsia="Times New Roman" w:hAnsi="Times New Roman"/>
                <w:sz w:val="18"/>
                <w:szCs w:val="18"/>
                <w:color w:val="0000FF"/>
                <w:w w:val="99"/>
              </w:rPr>
            </w:pPr>
            <w:hyperlink r:id="rId214">
              <w:r>
                <w:rPr>
                  <w:rFonts w:ascii="Times New Roman" w:cs="Times New Roman" w:eastAsia="Times New Roman" w:hAnsi="Times New Roman"/>
                  <w:sz w:val="18"/>
                  <w:szCs w:val="18"/>
                  <w:color w:val="0000FF"/>
                  <w:w w:val="99"/>
                </w:rPr>
                <w:t>Company, dated April 18, 2025 (incorporated by reference to Exhibit 10.1 of the Registrant’s Current Report on Form 8-K (File No. 001-</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23"/>
          </w:tcPr>
          <w:p>
            <w:pPr>
              <w:ind w:left="20"/>
              <w:spacing w:after="0" w:line="196" w:lineRule="exact"/>
              <w:rPr>
                <w:rFonts w:ascii="Times New Roman" w:cs="Times New Roman" w:eastAsia="Times New Roman" w:hAnsi="Times New Roman"/>
                <w:sz w:val="18"/>
                <w:szCs w:val="18"/>
                <w:color w:val="0000FF"/>
              </w:rPr>
            </w:pPr>
            <w:hyperlink r:id="rId214">
              <w:r>
                <w:rPr>
                  <w:rFonts w:ascii="Times New Roman" w:cs="Times New Roman" w:eastAsia="Times New Roman" w:hAnsi="Times New Roman"/>
                  <w:sz w:val="18"/>
                  <w:szCs w:val="18"/>
                  <w:color w:val="0000FF"/>
                </w:rPr>
                <w:t>40703)</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FF"/>
                </w:rPr>
                <w:t xml:space="preserve"> filed with the Securities and Exchange Commission on April 21, 2025).</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3780" w:type="dxa"/>
            <w:vAlign w:val="bottom"/>
            <w:tcBorders>
              <w:top w:val="single" w:sz="8" w:color="0000FF"/>
              <w:bottom w:val="single" w:sz="8" w:color="0000EE"/>
            </w:tcBorders>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Insider Trading Prevention Policy of the Registrant.</w:t>
            </w:r>
          </w:p>
        </w:tc>
        <w:tc>
          <w:tcPr>
            <w:tcW w:w="1980" w:type="dxa"/>
            <w:vAlign w:val="bottom"/>
            <w:tcBorders>
              <w:top w:val="single" w:sz="8" w:color="0000FF"/>
            </w:tcBorders>
            <w:gridSpan w:val="3"/>
          </w:tcPr>
          <w:p>
            <w:pPr>
              <w:spacing w:after="0"/>
              <w:rPr>
                <w:sz w:val="17"/>
                <w:szCs w:val="17"/>
                <w:color w:val="auto"/>
              </w:rPr>
            </w:pPr>
          </w:p>
        </w:tc>
        <w:tc>
          <w:tcPr>
            <w:tcW w:w="420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180" w:type="dxa"/>
            <w:vAlign w:val="bottom"/>
            <w:tcBorders>
              <w:bottom w:val="single" w:sz="8" w:color="0000FF"/>
            </w:tcBorders>
            <w:gridSpan w:val="4"/>
          </w:tcPr>
          <w:p>
            <w:pPr>
              <w:ind w:left="20"/>
              <w:spacing w:after="0" w:line="196" w:lineRule="exact"/>
              <w:rPr>
                <w:sz w:val="20"/>
                <w:szCs w:val="20"/>
                <w:color w:val="auto"/>
              </w:rPr>
            </w:pPr>
            <w:r>
              <w:rPr>
                <w:rFonts w:ascii="Times New Roman" w:cs="Times New Roman" w:eastAsia="Times New Roman" w:hAnsi="Times New Roman"/>
                <w:sz w:val="18"/>
                <w:szCs w:val="18"/>
                <w:color w:val="0000FF"/>
                <w:w w:val="98"/>
              </w:rPr>
              <w:t>Subsidiaries of the Registrant.</w:t>
            </w:r>
          </w:p>
        </w:tc>
        <w:tc>
          <w:tcPr>
            <w:tcW w:w="20" w:type="dxa"/>
            <w:vAlign w:val="bottom"/>
            <w:tcBorders>
              <w:bottom w:val="single" w:sz="8" w:color="0000EE"/>
            </w:tcBorders>
          </w:tcPr>
          <w:p>
            <w:pPr>
              <w:spacing w:after="0"/>
              <w:rPr>
                <w:sz w:val="17"/>
                <w:szCs w:val="17"/>
                <w:color w:val="auto"/>
              </w:rPr>
            </w:pPr>
          </w:p>
        </w:tc>
        <w:tc>
          <w:tcPr>
            <w:tcW w:w="77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6620" w:type="dxa"/>
            <w:vAlign w:val="bottom"/>
            <w:tcBorders>
              <w:bottom w:val="single" w:sz="8" w:color="0000FF"/>
            </w:tcBorders>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w w:val="99"/>
              </w:rPr>
              <w:t>Consent of PricewaterhouseCoopers LLP, Independent Registered Public Accounting Firm.</w:t>
            </w:r>
          </w:p>
        </w:tc>
        <w:tc>
          <w:tcPr>
            <w:tcW w:w="20" w:type="dxa"/>
            <w:vAlign w:val="bottom"/>
            <w:tcBorders>
              <w:bottom w:val="single" w:sz="8" w:color="0000EE"/>
            </w:tcBorders>
          </w:tcPr>
          <w:p>
            <w:pPr>
              <w:spacing w:after="0"/>
              <w:rPr>
                <w:sz w:val="17"/>
                <w:szCs w:val="17"/>
                <w:color w:val="auto"/>
              </w:rPr>
            </w:pPr>
          </w:p>
        </w:tc>
        <w:tc>
          <w:tcPr>
            <w:tcW w:w="33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9300" w:type="dxa"/>
            <w:vAlign w:val="bottom"/>
            <w:tcBorders>
              <w:bottom w:val="single" w:sz="8" w:color="0000FF"/>
            </w:tcBorders>
            <w:gridSpan w:val="15"/>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Rules 13a-14(a) and 15d-14(a) under the</w:t>
            </w:r>
          </w:p>
        </w:tc>
        <w:tc>
          <w:tcPr>
            <w:tcW w:w="6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Securities Exchange Act of 1934, as Adopted Pursuant to Section 302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4180" w:type="dxa"/>
            <w:vAlign w:val="bottom"/>
            <w:gridSpan w:val="7"/>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9820" w:type="dxa"/>
            <w:vAlign w:val="bottom"/>
            <w:tcBorders>
              <w:bottom w:val="single" w:sz="8" w:color="0000FF"/>
            </w:tcBorders>
            <w:gridSpan w:val="20"/>
          </w:tcPr>
          <w:p>
            <w:pPr>
              <w:ind w:left="20"/>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960" w:type="dxa"/>
            <w:vAlign w:val="bottom"/>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9840" w:type="dxa"/>
            <w:vAlign w:val="bottom"/>
            <w:tcBorders>
              <w:bottom w:val="single" w:sz="8" w:color="0000FF"/>
            </w:tcBorders>
            <w:gridSpan w:val="21"/>
          </w:tcPr>
          <w:p>
            <w:pPr>
              <w:ind w:left="20"/>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Incentive Compensation Recovery Policy of the Registrant (incorporated by reference to Exhibit 97.1 of the Registrant’s Annual Report</w:t>
              </w:r>
            </w:hyperlink>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8040" w:type="dxa"/>
            <w:vAlign w:val="bottom"/>
            <w:tcBorders>
              <w:bottom w:val="single" w:sz="8" w:color="0000EE"/>
            </w:tcBorders>
            <w:gridSpan w:val="14"/>
          </w:tcPr>
          <w:p>
            <w:pPr>
              <w:ind w:left="20"/>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on Form 10-K (File No. 001-40703), filed with the Securities and Exchange Commission on March 28, 2024).</w:t>
              </w:r>
            </w:hyperlink>
          </w:p>
        </w:tc>
        <w:tc>
          <w:tcPr>
            <w:tcW w:w="19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9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99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9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3"/>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59" w:lineRule="exact"/>
        <w:rPr>
          <w:sz w:val="20"/>
          <w:szCs w:val="20"/>
          <w:color w:val="auto"/>
        </w:rPr>
      </w:pPr>
    </w:p>
    <w:p>
      <w:pPr>
        <w:ind w:left="400" w:hanging="392"/>
        <w:spacing w:after="0"/>
        <w:tabs>
          <w:tab w:leader="none" w:pos="400" w:val="left"/>
        </w:tabs>
        <w:numPr>
          <w:ilvl w:val="0"/>
          <w:numId w:val="7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Filed herewith.</w:t>
      </w:r>
    </w:p>
    <w:p>
      <w:pPr>
        <w:spacing w:after="0" w:line="2" w:lineRule="exact"/>
        <w:rPr>
          <w:sz w:val="20"/>
          <w:szCs w:val="20"/>
          <w:color w:val="auto"/>
        </w:rPr>
      </w:pPr>
    </w:p>
    <w:p>
      <w:pPr>
        <w:ind w:left="400" w:hanging="392"/>
        <w:spacing w:after="0"/>
        <w:tabs>
          <w:tab w:leader="none" w:pos="40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7" w:lineRule="exact"/>
        <w:rPr>
          <w:sz w:val="20"/>
          <w:szCs w:val="20"/>
          <w:color w:val="auto"/>
        </w:rPr>
      </w:pPr>
    </w:p>
    <w:p>
      <w:pPr>
        <w:ind w:left="400" w:hanging="392"/>
        <w:spacing w:after="0"/>
        <w:tabs>
          <w:tab w:leader="none" w:pos="4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(indicated by asterisks) have been omitted pursuant to Item 601(b)(10)(iv) of Regulation S-K.</w:t>
      </w:r>
    </w:p>
    <w:p>
      <w:pPr>
        <w:spacing w:after="0" w:line="9" w:lineRule="exact"/>
        <w:rPr>
          <w:sz w:val="20"/>
          <w:szCs w:val="20"/>
          <w:color w:val="auto"/>
        </w:rPr>
      </w:pPr>
    </w:p>
    <w:p>
      <w:pPr>
        <w:ind w:left="400" w:right="20" w:hanging="392"/>
        <w:spacing w:after="0" w:line="250" w:lineRule="auto"/>
        <w:tabs>
          <w:tab w:leader="none" w:pos="4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to this agreement have been omitted in accordance with Item 601(a)(5) of Regulation S-K. A copy of any omitted schedules will be furnished supplementally to the SEC upon request.</w:t>
      </w:r>
    </w:p>
    <w:p>
      <w:pPr>
        <w:spacing w:after="0" w:line="1" w:lineRule="exact"/>
        <w:rPr>
          <w:sz w:val="20"/>
          <w:szCs w:val="20"/>
          <w:color w:val="auto"/>
        </w:rPr>
      </w:pPr>
    </w:p>
    <w:p>
      <w:pPr>
        <w:ind w:left="400" w:right="20" w:hanging="392"/>
        <w:spacing w:after="0" w:line="255" w:lineRule="auto"/>
        <w:tabs>
          <w:tab w:leader="none" w:pos="4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annual report pursuant to 18 U.S.C. Section 1350, and are not being filed for purposes of Section 18 of the Exchange Act, and are not to be incorporated by reference into any filing of the registrant, whether made before or after the date hereof, regardless of any general incorporation language in such filing.</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8" w:right="379" w:bottom="1440" w:gutter="0" w:footer="0" w:header="0"/>
        </w:sectPr>
      </w:pPr>
    </w:p>
    <w:bookmarkStart w:id="132" w:name="page133"/>
    <w:bookmarkEnd w:id="13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8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229" w:lineRule="exact"/>
        <w:rPr>
          <w:sz w:val="20"/>
          <w:szCs w:val="20"/>
          <w:color w:val="auto"/>
        </w:rPr>
      </w:pPr>
    </w:p>
    <w:p>
      <w:pPr>
        <w:spacing w:after="0"/>
        <w:tabs>
          <w:tab w:leader="none" w:pos="4840" w:val="left"/>
          <w:tab w:leader="none" w:pos="754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17145</wp:posOffset>
            </wp:positionV>
            <wp:extent cx="3703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7">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21"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3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 Principal</w:t>
      </w:r>
    </w:p>
    <w:p>
      <w:pPr>
        <w:spacing w:after="0" w:line="9" w:lineRule="exact"/>
        <w:rPr>
          <w:sz w:val="20"/>
          <w:szCs w:val="20"/>
          <w:color w:val="auto"/>
        </w:rPr>
      </w:pPr>
    </w:p>
    <w:p>
      <w:pPr>
        <w:jc w:val="center"/>
        <w:ind w:left="5380"/>
        <w:spacing w:after="0"/>
        <w:rPr>
          <w:sz w:val="20"/>
          <w:szCs w:val="20"/>
          <w:color w:val="auto"/>
        </w:rPr>
      </w:pPr>
      <w:r>
        <w:rPr>
          <w:rFonts w:ascii="Times New Roman" w:cs="Times New Roman" w:eastAsia="Times New Roman" w:hAnsi="Times New Roman"/>
          <w:sz w:val="18"/>
          <w:szCs w:val="18"/>
          <w:b w:val="1"/>
          <w:bCs w:val="1"/>
          <w:i w:val="1"/>
          <w:iCs w:val="1"/>
          <w:color w:val="auto"/>
        </w:rPr>
        <w:t>Accounting Officer)</w:t>
      </w:r>
    </w:p>
    <w:p>
      <w:pPr>
        <w:spacing w:after="0" w:line="200" w:lineRule="exact"/>
        <w:rPr>
          <w:sz w:val="20"/>
          <w:szCs w:val="20"/>
          <w:color w:val="auto"/>
        </w:rPr>
      </w:pPr>
    </w:p>
    <w:p>
      <w:pPr>
        <w:spacing w:after="0" w:line="22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and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0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5"/>
                <w:szCs w:val="15"/>
                <w:color w:val="auto"/>
              </w:rPr>
            </w:pPr>
          </w:p>
        </w:tc>
        <w:tc>
          <w:tcPr>
            <w:tcW w:w="5840" w:type="dxa"/>
            <w:vAlign w:val="bottom"/>
            <w:tcBorders>
              <w:bottom w:val="single" w:sz="8" w:color="auto"/>
            </w:tcBorders>
          </w:tcPr>
          <w:p>
            <w:pPr>
              <w:ind w:left="27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0" w:type="dxa"/>
            <w:vAlign w:val="bottom"/>
          </w:tcPr>
          <w:p>
            <w:pPr>
              <w:spacing w:after="0"/>
              <w:rPr>
                <w:sz w:val="15"/>
                <w:szCs w:val="15"/>
                <w:color w:val="auto"/>
              </w:rPr>
            </w:pPr>
          </w:p>
        </w:tc>
        <w:tc>
          <w:tcPr>
            <w:tcW w:w="168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91"/>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William Duke, Jr.</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189"/>
        </w:trPr>
        <w:tc>
          <w:tcPr>
            <w:tcW w:w="350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William Duke, Jr.</w:t>
            </w:r>
          </w:p>
        </w:tc>
        <w:tc>
          <w:tcPr>
            <w:tcW w:w="5960" w:type="dxa"/>
            <w:vAlign w:val="bottom"/>
            <w:gridSpan w:val="2"/>
          </w:tcPr>
          <w:p>
            <w:pPr>
              <w:ind w:left="120"/>
              <w:spacing w:after="0" w:line="189" w:lineRule="exact"/>
              <w:rPr>
                <w:sz w:val="20"/>
                <w:szCs w:val="20"/>
                <w:color w:val="auto"/>
              </w:rPr>
            </w:pPr>
            <w:r>
              <w:rPr>
                <w:rFonts w:ascii="Times New Roman" w:cs="Times New Roman" w:eastAsia="Times New Roman" w:hAnsi="Times New Roman"/>
                <w:sz w:val="18"/>
                <w:szCs w:val="18"/>
                <w:i w:val="1"/>
                <w:iCs w:val="1"/>
                <w:color w:val="auto"/>
              </w:rPr>
              <w:t>(Principal Executive Officer, Principal Financial Officer and Principal</w:t>
            </w:r>
          </w:p>
        </w:tc>
        <w:tc>
          <w:tcPr>
            <w:tcW w:w="10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36"/>
        </w:trPr>
        <w:tc>
          <w:tcPr>
            <w:tcW w:w="3500" w:type="dxa"/>
            <w:vAlign w:val="bottom"/>
          </w:tcPr>
          <w:p>
            <w:pPr>
              <w:spacing w:after="0"/>
              <w:rPr>
                <w:sz w:val="20"/>
                <w:szCs w:val="20"/>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i w:val="1"/>
                <w:iCs w:val="1"/>
                <w:color w:val="auto"/>
              </w:rPr>
              <w:t>Accounting Officer)</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97"/>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Elia</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Marc Elia</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Tamsin Berry</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Tamsin Berry</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B. Bolno, M.D.</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Paul B. Bolno, M.D.</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Terrance McGuire</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Terrance McGuire</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Kevin F. McLaughlin</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Kevin F. McLaughlin</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79"/>
        </w:trPr>
        <w:tc>
          <w:tcPr>
            <w:tcW w:w="3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Ajay Royan</w:t>
            </w: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00" w:type="dxa"/>
            <w:vAlign w:val="bottom"/>
          </w:tcPr>
          <w:p>
            <w:pPr>
              <w:spacing w:after="0"/>
              <w:rPr>
                <w:sz w:val="24"/>
                <w:szCs w:val="24"/>
                <w:color w:val="auto"/>
              </w:rPr>
            </w:pPr>
          </w:p>
        </w:tc>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March 5, 2026</w:t>
            </w:r>
          </w:p>
        </w:tc>
      </w:tr>
      <w:tr>
        <w:trPr>
          <w:trHeight w:val="22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Ajay Royan</w:t>
            </w:r>
          </w:p>
        </w:tc>
        <w:tc>
          <w:tcPr>
            <w:tcW w:w="120" w:type="dxa"/>
            <w:vAlign w:val="bottom"/>
          </w:tcPr>
          <w:p>
            <w:pPr>
              <w:spacing w:after="0"/>
              <w:rPr>
                <w:sz w:val="19"/>
                <w:szCs w:val="19"/>
                <w:color w:val="auto"/>
              </w:rPr>
            </w:pPr>
          </w:p>
        </w:tc>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711"/>
        </w:trPr>
        <w:tc>
          <w:tcPr>
            <w:tcW w:w="3500" w:type="dxa"/>
            <w:vAlign w:val="bottom"/>
          </w:tcPr>
          <w:p>
            <w:pPr>
              <w:spacing w:after="0"/>
              <w:rPr>
                <w:sz w:val="24"/>
                <w:szCs w:val="24"/>
                <w:color w:val="auto"/>
              </w:rPr>
            </w:pPr>
          </w:p>
        </w:tc>
        <w:tc>
          <w:tcPr>
            <w:tcW w:w="596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3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3" w:name="page134"/>
    <w:bookmarkEnd w:id="13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Report of Independent Registered Public Accounting Firm (PCAOB ID 238)</w:t>
            </w:r>
          </w:p>
        </w:tc>
        <w:tc>
          <w:tcPr>
            <w:tcW w:w="4580" w:type="dxa"/>
            <w:vAlign w:val="bottom"/>
            <w:vMerge w:val="restart"/>
          </w:tcPr>
          <w:p>
            <w:pPr>
              <w:spacing w:after="0"/>
              <w:rPr>
                <w:sz w:val="16"/>
                <w:szCs w:val="16"/>
                <w:color w:val="auto"/>
              </w:rPr>
            </w:pPr>
          </w:p>
        </w:tc>
        <w:tc>
          <w:tcPr>
            <w:tcW w:w="114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5540" w:type="dxa"/>
            <w:vAlign w:val="bottom"/>
            <w:tcBorders>
              <w:bottom w:val="single" w:sz="8" w:color="0000FF"/>
            </w:tcBorders>
            <w:gridSpan w:val="8"/>
            <w:vMerge w:val="continue"/>
          </w:tcPr>
          <w:p>
            <w:pPr>
              <w:spacing w:after="0"/>
              <w:rPr>
                <w:sz w:val="14"/>
                <w:szCs w:val="14"/>
                <w:color w:val="auto"/>
              </w:rPr>
            </w:pPr>
          </w:p>
        </w:tc>
        <w:tc>
          <w:tcPr>
            <w:tcW w:w="4580" w:type="dxa"/>
            <w:vAlign w:val="bottom"/>
            <w:vMerge w:val="continue"/>
          </w:tcPr>
          <w:p>
            <w:pPr>
              <w:spacing w:after="0"/>
              <w:rPr>
                <w:sz w:val="14"/>
                <w:szCs w:val="14"/>
                <w:color w:val="auto"/>
              </w:rPr>
            </w:pPr>
          </w:p>
        </w:tc>
        <w:tc>
          <w:tcPr>
            <w:tcW w:w="1120" w:type="dxa"/>
            <w:vAlign w:val="bottom"/>
            <w:tcBorders>
              <w:top w:val="single" w:sz="8" w:color="auto"/>
            </w:tcBorders>
          </w:tcPr>
          <w:p>
            <w:pPr>
              <w:ind w:left="880"/>
              <w:spacing w:after="0" w:line="169" w:lineRule="exact"/>
              <w:rPr>
                <w:sz w:val="20"/>
                <w:szCs w:val="20"/>
                <w:color w:val="auto"/>
              </w:rPr>
            </w:pPr>
            <w:r>
              <w:rPr>
                <w:rFonts w:ascii="Times New Roman" w:cs="Times New Roman" w:eastAsia="Times New Roman" w:hAnsi="Times New Roman"/>
                <w:sz w:val="18"/>
                <w:szCs w:val="18"/>
                <w:color w:val="auto"/>
                <w:w w:val="87"/>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20" w:type="dxa"/>
            <w:vAlign w:val="bottom"/>
            <w:tcBorders>
              <w:bottom w:val="single" w:sz="8" w:color="0000EE"/>
            </w:tcBorders>
          </w:tcPr>
          <w:p>
            <w:pPr>
              <w:spacing w:after="0"/>
              <w:rPr>
                <w:sz w:val="18"/>
                <w:szCs w:val="18"/>
                <w:color w:val="auto"/>
              </w:rPr>
            </w:pPr>
          </w:p>
        </w:tc>
        <w:tc>
          <w:tcPr>
            <w:tcW w:w="8000" w:type="dxa"/>
            <w:vAlign w:val="bottom"/>
            <w:gridSpan w:val="7"/>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F-3</w:t>
            </w:r>
          </w:p>
        </w:tc>
        <w:tc>
          <w:tcPr>
            <w:tcW w:w="0" w:type="dxa"/>
            <w:vAlign w:val="bottom"/>
          </w:tcPr>
          <w:p>
            <w:pPr>
              <w:spacing w:after="0"/>
              <w:rPr>
                <w:sz w:val="1"/>
                <w:szCs w:val="1"/>
                <w:color w:val="auto"/>
              </w:rPr>
            </w:pPr>
          </w:p>
        </w:tc>
      </w:tr>
      <w:tr>
        <w:trPr>
          <w:trHeight w:val="209"/>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210"/>
        </w:trPr>
        <w:tc>
          <w:tcPr>
            <w:tcW w:w="35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Consolidated Statements of Stockholders’ Equity</w:t>
            </w:r>
          </w:p>
        </w:tc>
        <w:tc>
          <w:tcPr>
            <w:tcW w:w="1120" w:type="dxa"/>
            <w:vAlign w:val="bottom"/>
            <w:tcBorders>
              <w:top w:val="single" w:sz="8" w:color="0000FF"/>
            </w:tcBorders>
          </w:tcPr>
          <w:p>
            <w:pPr>
              <w:spacing w:after="0"/>
              <w:rPr>
                <w:sz w:val="18"/>
                <w:szCs w:val="18"/>
                <w:color w:val="auto"/>
              </w:rPr>
            </w:pPr>
          </w:p>
        </w:tc>
        <w:tc>
          <w:tcPr>
            <w:tcW w:w="5440" w:type="dxa"/>
            <w:vAlign w:val="bottom"/>
            <w:gridSpan w:val="2"/>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F-5</w:t>
            </w:r>
          </w:p>
        </w:tc>
        <w:tc>
          <w:tcPr>
            <w:tcW w:w="0" w:type="dxa"/>
            <w:vAlign w:val="bottom"/>
          </w:tcPr>
          <w:p>
            <w:pPr>
              <w:spacing w:after="0"/>
              <w:rPr>
                <w:sz w:val="1"/>
                <w:szCs w:val="1"/>
                <w:color w:val="auto"/>
              </w:rPr>
            </w:pPr>
          </w:p>
        </w:tc>
      </w:tr>
      <w:tr>
        <w:trPr>
          <w:trHeight w:val="209"/>
        </w:trPr>
        <w:tc>
          <w:tcPr>
            <w:tcW w:w="2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20" w:type="dxa"/>
            <w:vAlign w:val="bottom"/>
            <w:tcBorders>
              <w:bottom w:val="single" w:sz="8" w:color="0000EE"/>
            </w:tcBorders>
          </w:tcPr>
          <w:p>
            <w:pPr>
              <w:spacing w:after="0"/>
              <w:rPr>
                <w:sz w:val="18"/>
                <w:szCs w:val="18"/>
                <w:color w:val="auto"/>
              </w:rPr>
            </w:pPr>
          </w:p>
        </w:tc>
        <w:tc>
          <w:tcPr>
            <w:tcW w:w="7220" w:type="dxa"/>
            <w:vAlign w:val="bottom"/>
            <w:gridSpan w:val="5"/>
          </w:tcPr>
          <w:p>
            <w:pPr>
              <w:spacing w:after="0"/>
              <w:rPr>
                <w:sz w:val="18"/>
                <w:szCs w:val="18"/>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209"/>
        </w:trPr>
        <w:tc>
          <w:tcPr>
            <w:tcW w:w="101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682"/>
        </w:trPr>
        <w:tc>
          <w:tcPr>
            <w:tcW w:w="2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44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F-1</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5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4" w:name="page135"/>
    <w:bookmarkEnd w:id="134"/>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Board of Directors and Stockholders of Invivyd, Inc.</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18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Invivyd, Inc. and its subsidiaries (the “Company”) as of December 31, 2025 and 2024, and the related consolidated statements of operations and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Doubt About the Company’s Ability to Continue as a Going Concern</w:t>
      </w:r>
    </w:p>
    <w:p>
      <w:pPr>
        <w:spacing w:after="0" w:line="227"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incurred recurring losses from operations since inception and will require additional funding to finance its future operations. These conditions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226,689</w:t>
            </w:r>
          </w:p>
        </w:tc>
        <w:tc>
          <w:tcPr>
            <w:tcW w:w="160" w:type="dxa"/>
            <w:vAlign w:val="bottom"/>
            <w:shd w:val="clear" w:color="auto" w:fill="CFF0FC"/>
          </w:tcPr>
          <w:p>
            <w:pPr>
              <w:spacing w:after="0"/>
              <w:rPr>
                <w:sz w:val="18"/>
                <w:szCs w:val="18"/>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4"/>
                <w:szCs w:val="24"/>
                <w:color w:val="auto"/>
                <w:vertAlign w:val="superscript"/>
              </w:rPr>
              <w:t>(1)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247,467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100,681</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Inventory</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r>
      <w:tr>
        <w:trPr>
          <w:trHeight w:val="249"/>
        </w:trPr>
        <w:tc>
          <w:tcPr>
            <w:tcW w:w="7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gridSpan w:val="2"/>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276,883</w:t>
            </w:r>
          </w:p>
        </w:tc>
        <w:tc>
          <w:tcPr>
            <w:tcW w:w="160" w:type="dxa"/>
            <w:vAlign w:val="bottom"/>
            <w:shd w:val="clear" w:color="auto" w:fill="CFF0FC"/>
          </w:tcPr>
          <w:p>
            <w:pPr>
              <w:spacing w:after="0"/>
              <w:rPr>
                <w:sz w:val="21"/>
                <w:szCs w:val="21"/>
                <w:color w:val="auto"/>
              </w:rPr>
            </w:pPr>
          </w:p>
        </w:tc>
        <w:tc>
          <w:tcPr>
            <w:tcW w:w="34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shd w:val="clear" w:color="auto" w:fill="CFF0FC"/>
          </w:tcPr>
          <w:p>
            <w:pPr>
              <w:spacing w:after="0"/>
              <w:rPr>
                <w:sz w:val="21"/>
                <w:szCs w:val="21"/>
                <w:color w:val="auto"/>
              </w:rPr>
            </w:pPr>
          </w:p>
        </w:tc>
      </w:tr>
      <w:tr>
        <w:trPr>
          <w:trHeight w:val="197"/>
        </w:trPr>
        <w:tc>
          <w:tcPr>
            <w:tcW w:w="774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13,744</w:t>
            </w:r>
          </w:p>
        </w:tc>
        <w:tc>
          <w:tcPr>
            <w:tcW w:w="160" w:type="dxa"/>
            <w:vAlign w:val="bottom"/>
          </w:tcPr>
          <w:p>
            <w:pPr>
              <w:spacing w:after="0"/>
              <w:rPr>
                <w:sz w:val="18"/>
                <w:szCs w:val="18"/>
                <w:color w:val="auto"/>
              </w:rPr>
            </w:pPr>
          </w:p>
        </w:tc>
        <w:tc>
          <w:tcPr>
            <w:tcW w:w="34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Accrued expenses </w:t>
            </w:r>
            <w:r>
              <w:rPr>
                <w:rFonts w:ascii="Times New Roman" w:cs="Times New Roman" w:eastAsia="Times New Roman" w:hAnsi="Times New Roman"/>
                <w:sz w:val="24"/>
                <w:szCs w:val="24"/>
                <w:color w:val="auto"/>
                <w:vertAlign w:val="superscript"/>
              </w:rPr>
              <w:t>(2)</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18"/>
                <w:szCs w:val="18"/>
                <w:color w:val="auto"/>
              </w:rPr>
            </w:pPr>
          </w:p>
        </w:tc>
      </w:tr>
      <w:tr>
        <w:trPr>
          <w:trHeight w:val="216"/>
        </w:trPr>
        <w:tc>
          <w:tcPr>
            <w:tcW w:w="77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current liability</w:t>
            </w:r>
          </w:p>
        </w:tc>
        <w:tc>
          <w:tcPr>
            <w:tcW w:w="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Pr>
          <w:p>
            <w:pPr>
              <w:spacing w:after="0"/>
              <w:rPr>
                <w:sz w:val="18"/>
                <w:szCs w:val="18"/>
                <w:color w:val="auto"/>
              </w:rPr>
            </w:pPr>
          </w:p>
        </w:tc>
      </w:tr>
      <w:tr>
        <w:trPr>
          <w:trHeight w:val="210"/>
        </w:trPr>
        <w:tc>
          <w:tcPr>
            <w:tcW w:w="77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35,343</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61,976</w:t>
            </w:r>
          </w:p>
        </w:tc>
        <w:tc>
          <w:tcPr>
            <w:tcW w:w="100" w:type="dxa"/>
            <w:vAlign w:val="bottom"/>
            <w:tcBorders>
              <w:top w:val="single" w:sz="8" w:color="CFF0FC"/>
            </w:tcBorders>
          </w:tcPr>
          <w:p>
            <w:pPr>
              <w:spacing w:after="0"/>
              <w:rPr>
                <w:sz w:val="18"/>
                <w:szCs w:val="18"/>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740" w:type="dxa"/>
            <w:vAlign w:val="bottom"/>
            <w:shd w:val="clear" w:color="auto" w:fill="CFF0FC"/>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(undesignated), $0.0001 par value; 10,000,000 shares</w:t>
            </w: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authorized and no shares issued and outstanding at December 31, 2025</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774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and December 31, 2024</w:t>
            </w: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74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1,000,000,000 shares authorized,</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281,987,033 shares issued and outstanding at December 31, 2025;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119,835,162 shares issued and outstanding at December 31, 2024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1,196,036</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100" w:type="dxa"/>
            <w:vAlign w:val="bottom"/>
            <w:shd w:val="clear" w:color="auto" w:fill="CFF0FC"/>
          </w:tcPr>
          <w:p>
            <w:pPr>
              <w:spacing w:after="0"/>
              <w:rPr>
                <w:sz w:val="18"/>
                <w:szCs w:val="18"/>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(954,483)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(901,994)</w:t>
            </w:r>
          </w:p>
        </w:tc>
      </w:tr>
      <w:tr>
        <w:trPr>
          <w:trHeight w:val="210"/>
        </w:trPr>
        <w:tc>
          <w:tcPr>
            <w:tcW w:w="77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241,540</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Borders>
              <w:top w:val="single" w:sz="8" w:color="CFF0FC"/>
            </w:tcBorders>
          </w:tcPr>
          <w:p>
            <w:pPr>
              <w:spacing w:after="0"/>
              <w:rPr>
                <w:sz w:val="18"/>
                <w:szCs w:val="18"/>
                <w:color w:val="auto"/>
              </w:rPr>
            </w:pPr>
          </w:p>
        </w:tc>
      </w:tr>
      <w:tr>
        <w:trPr>
          <w:trHeight w:val="209"/>
        </w:trPr>
        <w:tc>
          <w:tcPr>
            <w:tcW w:w="7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129,515</w:t>
            </w:r>
          </w:p>
        </w:tc>
        <w:tc>
          <w:tcPr>
            <w:tcW w:w="100" w:type="dxa"/>
            <w:vAlign w:val="bottom"/>
          </w:tcPr>
          <w:p>
            <w:pPr>
              <w:spacing w:after="0"/>
              <w:rPr>
                <w:sz w:val="18"/>
                <w:szCs w:val="18"/>
                <w:color w:val="auto"/>
              </w:rPr>
            </w:pPr>
          </w:p>
        </w:tc>
      </w:tr>
      <w:tr>
        <w:trPr>
          <w:trHeight w:val="20"/>
        </w:trPr>
        <w:tc>
          <w:tcPr>
            <w:tcW w:w="7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-3959860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-3959860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-3102610</wp:posOffset>
            </wp:positionV>
            <wp:extent cx="6858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-3102610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-2270760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-2270760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-1979295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 allowance for doubtful accounts of $323 and $0 for the years ended December 31, 2025 and 2024, respectively.</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$703 and $1,274 for the years ended December 31, 2025 and 2024, respectively (see Note 15).</w:t>
      </w:r>
    </w:p>
    <w:p>
      <w:pPr>
        <w:spacing w:after="0" w:line="2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6" w:name="page137"/>
    <w:bookmarkEnd w:id="136"/>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8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7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Year Ended December</w:t>
            </w:r>
          </w:p>
        </w:tc>
      </w:tr>
      <w:tr>
        <w:trPr>
          <w:trHeight w:val="148"/>
        </w:trPr>
        <w:tc>
          <w:tcPr>
            <w:tcW w:w="64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jc w:val="right"/>
              <w:ind w:right="632"/>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jc w:val="right"/>
              <w:ind w:right="632"/>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100" w:type="dxa"/>
            <w:vAlign w:val="bottom"/>
          </w:tcPr>
          <w:p>
            <w:pPr>
              <w:spacing w:after="0"/>
              <w:rPr>
                <w:sz w:val="12"/>
                <w:szCs w:val="12"/>
                <w:color w:val="auto"/>
              </w:rPr>
            </w:pPr>
          </w:p>
        </w:tc>
      </w:tr>
      <w:tr>
        <w:trPr>
          <w:trHeight w:val="173"/>
        </w:trPr>
        <w:tc>
          <w:tcPr>
            <w:tcW w:w="6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58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260" w:type="dxa"/>
            <w:vAlign w:val="bottom"/>
          </w:tcPr>
          <w:p>
            <w:pPr>
              <w:spacing w:after="0"/>
              <w:rPr>
                <w:sz w:val="18"/>
                <w:szCs w:val="18"/>
                <w:color w:val="auto"/>
              </w:rPr>
            </w:pP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Pr>
          <w:p>
            <w:pPr>
              <w:spacing w:after="0"/>
              <w:rPr>
                <w:sz w:val="18"/>
                <w:szCs w:val="18"/>
                <w:color w:val="auto"/>
              </w:rPr>
            </w:pPr>
          </w:p>
        </w:tc>
      </w:tr>
      <w:tr>
        <w:trPr>
          <w:trHeight w:val="210"/>
        </w:trPr>
        <w:tc>
          <w:tcPr>
            <w:tcW w:w="64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Cost of product revenue</w:t>
            </w:r>
            <w:r>
              <w:rPr>
                <w:rFonts w:ascii="Times New Roman" w:cs="Times New Roman" w:eastAsia="Times New Roman" w:hAnsi="Times New Roman"/>
                <w:sz w:val="24"/>
                <w:szCs w:val="24"/>
                <w:color w:val="auto"/>
                <w:vertAlign w:val="superscript"/>
              </w:rPr>
              <w:t>(1)</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2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4"/>
                <w:szCs w:val="24"/>
                <w:color w:val="auto"/>
                <w:vertAlign w:val="superscript"/>
              </w:rPr>
              <w:t>(2)</w:t>
            </w:r>
          </w:p>
        </w:tc>
        <w:tc>
          <w:tcPr>
            <w:tcW w:w="1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100" w:type="dxa"/>
            <w:vAlign w:val="bottom"/>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66,931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108,986</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202,260</w:t>
            </w:r>
          </w:p>
        </w:tc>
        <w:tc>
          <w:tcPr>
            <w:tcW w:w="100" w:type="dxa"/>
            <w:vAlign w:val="bottom"/>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(55,560)</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(176,876)</w:t>
            </w:r>
          </w:p>
        </w:tc>
      </w:tr>
      <w:tr>
        <w:trPr>
          <w:trHeight w:val="210"/>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1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2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(52,489)</w:t>
            </w: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(169,925)</w:t>
            </w:r>
          </w:p>
        </w:tc>
      </w:tr>
      <w:tr>
        <w:trPr>
          <w:trHeight w:val="209"/>
        </w:trPr>
        <w:tc>
          <w:tcPr>
            <w:tcW w:w="6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(loss) gain, net of tax</w:t>
            </w:r>
          </w:p>
        </w:tc>
        <w:tc>
          <w:tcPr>
            <w:tcW w:w="1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0"/>
        </w:trPr>
        <w:tc>
          <w:tcPr>
            <w:tcW w:w="648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2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(52,525)</w:t>
            </w:r>
          </w:p>
        </w:tc>
        <w:tc>
          <w:tcPr>
            <w:tcW w:w="360" w:type="dxa"/>
            <w:vAlign w:val="bottom"/>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(169,917)</w:t>
            </w:r>
          </w:p>
        </w:tc>
      </w:tr>
      <w:tr>
        <w:trPr>
          <w:trHeight w:val="20"/>
        </w:trPr>
        <w:tc>
          <w:tcPr>
            <w:tcW w:w="6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4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580" w:type="dxa"/>
            <w:vAlign w:val="bottom"/>
            <w:gridSpan w:val="2"/>
            <w:shd w:val="clear" w:color="auto" w:fill="CFF0FC"/>
          </w:tcPr>
          <w:p>
            <w:pPr>
              <w:jc w:val="right"/>
              <w:ind w:right="199"/>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36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(1.43)</w:t>
            </w:r>
          </w:p>
        </w:tc>
      </w:tr>
      <w:tr>
        <w:trPr>
          <w:trHeight w:val="197"/>
        </w:trPr>
        <w:tc>
          <w:tcPr>
            <w:tcW w:w="64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20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172,212,902</w:t>
            </w:r>
          </w:p>
        </w:tc>
        <w:tc>
          <w:tcPr>
            <w:tcW w:w="26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118,555,073</w:t>
            </w:r>
          </w:p>
        </w:tc>
        <w:tc>
          <w:tcPr>
            <w:tcW w:w="100" w:type="dxa"/>
            <w:vAlign w:val="bottom"/>
            <w:tcBorders>
              <w:top w:val="single" w:sz="8" w:color="CFF0FC"/>
            </w:tcBorders>
          </w:tcPr>
          <w:p>
            <w:pPr>
              <w:spacing w:after="0"/>
              <w:rPr>
                <w:sz w:val="17"/>
                <w:szCs w:val="17"/>
                <w:color w:val="auto"/>
              </w:rPr>
            </w:pPr>
          </w:p>
        </w:tc>
      </w:tr>
      <w:tr>
        <w:trPr>
          <w:trHeight w:val="20"/>
        </w:trPr>
        <w:tc>
          <w:tcPr>
            <w:tcW w:w="64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-2202180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-1645285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-1645285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-1070610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-779145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-779145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$2,137 and $1,027 for the years ended December 31, 2025 and 2024, respectively (see Note 15).</w:t>
      </w:r>
    </w:p>
    <w:p>
      <w:pPr>
        <w:spacing w:after="0" w:line="2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related-party amounts of $4,557 and $4,546 for the years ended December 31, 2025 and 2024, respectively (see Note 15).</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94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10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900" w:type="dxa"/>
            <w:vAlign w:val="bottom"/>
            <w:gridSpan w:val="4"/>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820" w:type="dxa"/>
            <w:vAlign w:val="bottom"/>
            <w:gridSpan w:val="4"/>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940" w:type="dxa"/>
            <w:vAlign w:val="bottom"/>
            <w:gridSpan w:val="3"/>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3"/>
                <w:szCs w:val="13"/>
                <w:color w:val="auto"/>
              </w:rPr>
            </w:pPr>
          </w:p>
        </w:tc>
        <w:tc>
          <w:tcPr>
            <w:tcW w:w="1900" w:type="dxa"/>
            <w:vAlign w:val="bottom"/>
            <w:tcBorders>
              <w:bottom w:val="single" w:sz="8" w:color="auto"/>
            </w:tcBorders>
            <w:gridSpan w:val="4"/>
            <w:vMerge w:val="continue"/>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tcBorders>
              <w:bottom w:val="single" w:sz="8" w:color="auto"/>
            </w:tcBorders>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ind w:right="77"/>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320"/>
              <w:spacing w:after="0" w:line="160" w:lineRule="exact"/>
              <w:rPr>
                <w:sz w:val="20"/>
                <w:szCs w:val="20"/>
                <w:color w:val="auto"/>
              </w:rPr>
            </w:pPr>
            <w:r>
              <w:rPr>
                <w:rFonts w:ascii="Times New Roman" w:cs="Times New Roman" w:eastAsia="Times New Roman" w:hAnsi="Times New Roman"/>
                <w:sz w:val="14"/>
                <w:szCs w:val="14"/>
                <w:b w:val="1"/>
                <w:bCs w:val="1"/>
                <w:color w:val="auto"/>
              </w:rPr>
              <w:t>sive</w:t>
            </w:r>
          </w:p>
        </w:tc>
        <w:tc>
          <w:tcPr>
            <w:tcW w:w="120" w:type="dxa"/>
            <w:vAlign w:val="bottom"/>
          </w:tcPr>
          <w:p>
            <w:pPr>
              <w:spacing w:after="0"/>
              <w:rPr>
                <w:sz w:val="13"/>
                <w:szCs w:val="13"/>
                <w:color w:val="auto"/>
              </w:rPr>
            </w:pPr>
          </w:p>
        </w:tc>
        <w:tc>
          <w:tcPr>
            <w:tcW w:w="820" w:type="dxa"/>
            <w:vAlign w:val="bottom"/>
            <w:gridSpan w:val="2"/>
          </w:tcPr>
          <w:p>
            <w:pPr>
              <w:jc w:val="center"/>
              <w:ind w:right="340"/>
              <w:spacing w:after="0" w:line="160" w:lineRule="exact"/>
              <w:rPr>
                <w:sz w:val="20"/>
                <w:szCs w:val="20"/>
                <w:color w:val="auto"/>
              </w:rPr>
            </w:pPr>
            <w:r>
              <w:rPr>
                <w:rFonts w:ascii="Times New Roman" w:cs="Times New Roman" w:eastAsia="Times New Roman" w:hAnsi="Times New Roman"/>
                <w:sz w:val="14"/>
                <w:szCs w:val="14"/>
                <w:b w:val="1"/>
                <w:bCs w:val="1"/>
                <w:color w:val="auto"/>
              </w:rPr>
              <w:t>ed</w:t>
            </w:r>
          </w:p>
        </w:tc>
        <w:tc>
          <w:tcPr>
            <w:tcW w:w="100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160" w:type="dxa"/>
            <w:vAlign w:val="bottom"/>
          </w:tcPr>
          <w:p>
            <w:pPr>
              <w:spacing w:after="0"/>
              <w:rPr>
                <w:sz w:val="12"/>
                <w:szCs w:val="12"/>
                <w:color w:val="auto"/>
              </w:rPr>
            </w:pPr>
          </w:p>
        </w:tc>
        <w:tc>
          <w:tcPr>
            <w:tcW w:w="86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160" w:type="dxa"/>
            <w:vAlign w:val="bottom"/>
            <w:gridSpan w:val="3"/>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760" w:type="dxa"/>
            <w:vAlign w:val="bottom"/>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8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1"/>
        </w:trPr>
        <w:tc>
          <w:tcPr>
            <w:tcW w:w="3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119,835,</w:t>
            </w: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(901,99</w:t>
            </w:r>
          </w:p>
        </w:tc>
        <w:tc>
          <w:tcPr>
            <w:tcW w:w="22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$ 969,526</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292,273</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upon</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stock units vesting</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connection</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23,055,4</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at-the-market offering, net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32,544</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Pre-funded warrants issued in</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connection</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 public offering, net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Common stock issued in connection</w:t>
            </w:r>
          </w:p>
        </w:tc>
        <w:tc>
          <w:tcPr>
            <w:tcW w:w="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with</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137,909,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public offering, net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FF0FC"/>
          </w:tcPr>
          <w:p>
            <w:pPr>
              <w:spacing w:after="0"/>
              <w:rPr>
                <w:sz w:val="20"/>
                <w:szCs w:val="20"/>
                <w:color w:val="auto"/>
              </w:rPr>
            </w:pPr>
          </w:p>
        </w:tc>
        <w:tc>
          <w:tcPr>
            <w:tcW w:w="11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155,563</w:t>
            </w: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8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333,716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3"/>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net of tax</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160" w:type="dxa"/>
            <w:vAlign w:val="bottom"/>
            <w:gridSpan w:val="3"/>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(52,489)</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(52,489)</w:t>
            </w:r>
          </w:p>
        </w:tc>
        <w:tc>
          <w:tcPr>
            <w:tcW w:w="0" w:type="dxa"/>
            <w:vAlign w:val="bottom"/>
          </w:tcPr>
          <w:p>
            <w:pPr>
              <w:spacing w:after="0"/>
              <w:rPr>
                <w:sz w:val="1"/>
                <w:szCs w:val="1"/>
                <w:color w:val="auto"/>
              </w:rPr>
            </w:pPr>
          </w:p>
        </w:tc>
      </w:tr>
      <w:tr>
        <w:trPr>
          <w:trHeight w:val="191"/>
        </w:trPr>
        <w:tc>
          <w:tcPr>
            <w:tcW w:w="31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2025</w:t>
            </w:r>
          </w:p>
        </w:tc>
        <w:tc>
          <w:tcPr>
            <w:tcW w:w="8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281,987,</w:t>
            </w:r>
          </w:p>
        </w:tc>
        <w:tc>
          <w:tcPr>
            <w:tcW w:w="24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1,196,03</w:t>
            </w: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right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0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(954,48</w:t>
            </w:r>
          </w:p>
        </w:tc>
        <w:tc>
          <w:tcPr>
            <w:tcW w:w="22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3160" w:type="dxa"/>
            <w:vAlign w:val="bottom"/>
            <w:shd w:val="clear" w:color="auto" w:fill="CFF0FC"/>
          </w:tcPr>
          <w:p>
            <w:pPr>
              <w:spacing w:after="0"/>
              <w:rPr>
                <w:sz w:val="22"/>
                <w:szCs w:val="22"/>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shd w:val="clear" w:color="auto" w:fill="CFF0FC"/>
          </w:tcPr>
          <w:p>
            <w:pPr>
              <w:spacing w:after="0"/>
              <w:rPr>
                <w:sz w:val="22"/>
                <w:szCs w:val="22"/>
                <w:color w:val="auto"/>
              </w:rPr>
            </w:pPr>
          </w:p>
        </w:tc>
        <w:tc>
          <w:tcPr>
            <w:tcW w:w="840" w:type="dxa"/>
            <w:vAlign w:val="bottom"/>
            <w:shd w:val="clear" w:color="auto" w:fill="CFF0FC"/>
          </w:tcPr>
          <w:p>
            <w:pPr>
              <w:ind w:left="64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6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8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FF0FC"/>
          </w:tcPr>
          <w:p>
            <w:pPr>
              <w:spacing w:after="0"/>
              <w:rPr>
                <w:sz w:val="22"/>
                <w:szCs w:val="22"/>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241,540</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2550795</wp:posOffset>
            </wp:positionH>
            <wp:positionV relativeFrom="paragraph">
              <wp:posOffset>-24765</wp:posOffset>
            </wp:positionV>
            <wp:extent cx="7747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-7620</wp:posOffset>
            </wp:positionV>
            <wp:extent cx="7747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-24765</wp:posOffset>
            </wp:positionV>
            <wp:extent cx="768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3211195</wp:posOffset>
            </wp:positionH>
            <wp:positionV relativeFrom="paragraph">
              <wp:posOffset>-7620</wp:posOffset>
            </wp:positionV>
            <wp:extent cx="768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-24765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-24765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-7620</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d Other</w:t>
            </w:r>
          </w:p>
        </w:tc>
        <w:tc>
          <w:tcPr>
            <w:tcW w:w="8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8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800" w:type="dxa"/>
            <w:vAlign w:val="bottom"/>
            <w:gridSpan w:val="4"/>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9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Comprehen</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w:t>
            </w:r>
          </w:p>
        </w:tc>
        <w:tc>
          <w:tcPr>
            <w:tcW w:w="0" w:type="dxa"/>
            <w:vAlign w:val="bottom"/>
          </w:tcPr>
          <w:p>
            <w:pPr>
              <w:spacing w:after="0"/>
              <w:rPr>
                <w:sz w:val="1"/>
                <w:szCs w:val="1"/>
                <w:color w:val="auto"/>
              </w:rPr>
            </w:pPr>
          </w:p>
        </w:tc>
      </w:tr>
      <w:tr>
        <w:trPr>
          <w:trHeight w:val="160"/>
        </w:trPr>
        <w:tc>
          <w:tcPr>
            <w:tcW w:w="2980" w:type="dxa"/>
            <w:vAlign w:val="bottom"/>
          </w:tcPr>
          <w:p>
            <w:pPr>
              <w:spacing w:after="0"/>
              <w:rPr>
                <w:sz w:val="13"/>
                <w:szCs w:val="13"/>
                <w:color w:val="auto"/>
              </w:rPr>
            </w:pPr>
          </w:p>
        </w:tc>
        <w:tc>
          <w:tcPr>
            <w:tcW w:w="1800" w:type="dxa"/>
            <w:vAlign w:val="bottom"/>
            <w:tcBorders>
              <w:bottom w:val="single" w:sz="8" w:color="auto"/>
            </w:tcBorders>
            <w:gridSpan w:val="4"/>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900" w:type="dxa"/>
            <w:vAlign w:val="bottom"/>
            <w:tcBorders>
              <w:bottom w:val="single" w:sz="8" w:color="auto"/>
            </w:tcBorders>
            <w:gridSpan w:val="5"/>
            <w:vMerge w:val="continue"/>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101"/>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w w:val="97"/>
              </w:rPr>
              <w:t>sive</w:t>
            </w:r>
          </w:p>
        </w:tc>
        <w:tc>
          <w:tcPr>
            <w:tcW w:w="80" w:type="dxa"/>
            <w:vAlign w:val="bottom"/>
          </w:tcPr>
          <w:p>
            <w:pPr>
              <w:spacing w:after="0"/>
              <w:rPr>
                <w:sz w:val="13"/>
                <w:szCs w:val="13"/>
                <w:color w:val="auto"/>
              </w:rPr>
            </w:pPr>
          </w:p>
        </w:tc>
        <w:tc>
          <w:tcPr>
            <w:tcW w:w="920" w:type="dxa"/>
            <w:vAlign w:val="bottom"/>
            <w:gridSpan w:val="2"/>
          </w:tcPr>
          <w:p>
            <w:pPr>
              <w:jc w:val="center"/>
              <w:ind w:right="160"/>
              <w:spacing w:after="0" w:line="160" w:lineRule="exact"/>
              <w:rPr>
                <w:sz w:val="20"/>
                <w:szCs w:val="20"/>
                <w:color w:val="auto"/>
              </w:rPr>
            </w:pPr>
            <w:r>
              <w:rPr>
                <w:rFonts w:ascii="Times New Roman" w:cs="Times New Roman" w:eastAsia="Times New Roman" w:hAnsi="Times New Roman"/>
                <w:sz w:val="14"/>
                <w:szCs w:val="14"/>
                <w:b w:val="1"/>
                <w:bCs w:val="1"/>
                <w:color w:val="auto"/>
              </w:rPr>
              <w:t>d</w:t>
            </w:r>
          </w:p>
        </w:tc>
        <w:tc>
          <w:tcPr>
            <w:tcW w:w="80" w:type="dxa"/>
            <w:vAlign w:val="bottom"/>
          </w:tcPr>
          <w:p>
            <w:pPr>
              <w:spacing w:after="0"/>
              <w:rPr>
                <w:sz w:val="13"/>
                <w:szCs w:val="13"/>
                <w:color w:val="auto"/>
              </w:rPr>
            </w:pPr>
          </w:p>
        </w:tc>
        <w:tc>
          <w:tcPr>
            <w:tcW w:w="88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w:t>
            </w:r>
          </w:p>
        </w:tc>
        <w:tc>
          <w:tcPr>
            <w:tcW w:w="0" w:type="dxa"/>
            <w:vAlign w:val="bottom"/>
          </w:tcPr>
          <w:p>
            <w:pPr>
              <w:spacing w:after="0"/>
              <w:rPr>
                <w:sz w:val="1"/>
                <w:szCs w:val="1"/>
                <w:color w:val="auto"/>
              </w:rPr>
            </w:pPr>
          </w:p>
        </w:tc>
      </w:tr>
      <w:tr>
        <w:trPr>
          <w:trHeight w:val="117"/>
        </w:trPr>
        <w:tc>
          <w:tcPr>
            <w:tcW w:w="2980" w:type="dxa"/>
            <w:vAlign w:val="bottom"/>
          </w:tcPr>
          <w:p>
            <w:pPr>
              <w:spacing w:after="0"/>
              <w:rPr>
                <w:sz w:val="10"/>
                <w:szCs w:val="10"/>
                <w:color w:val="auto"/>
              </w:rPr>
            </w:pPr>
          </w:p>
        </w:tc>
        <w:tc>
          <w:tcPr>
            <w:tcW w:w="880" w:type="dxa"/>
            <w:vAlign w:val="bottom"/>
            <w:vMerge w:val="restart"/>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0"/>
                <w:szCs w:val="10"/>
                <w:color w:val="auto"/>
              </w:rPr>
            </w:pPr>
          </w:p>
        </w:tc>
        <w:tc>
          <w:tcPr>
            <w:tcW w:w="800" w:type="dxa"/>
            <w:vAlign w:val="bottom"/>
            <w:vMerge w:val="restart"/>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Income</w:t>
            </w:r>
          </w:p>
        </w:tc>
        <w:tc>
          <w:tcPr>
            <w:tcW w:w="80" w:type="dxa"/>
            <w:vAlign w:val="bottom"/>
          </w:tcPr>
          <w:p>
            <w:pPr>
              <w:spacing w:after="0"/>
              <w:rPr>
                <w:sz w:val="10"/>
                <w:szCs w:val="10"/>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0"/>
                <w:szCs w:val="10"/>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gridSpan w:val="4"/>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w:t>
            </w:r>
          </w:p>
        </w:tc>
        <w:tc>
          <w:tcPr>
            <w:tcW w:w="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2023</w:t>
            </w:r>
          </w:p>
        </w:tc>
        <w:tc>
          <w:tcPr>
            <w:tcW w:w="880" w:type="dxa"/>
            <w:vAlign w:val="bottom"/>
            <w:tcBorders>
              <w:top w:val="single" w:sz="8" w:color="auto"/>
            </w:tcBorders>
            <w:shd w:val="clear" w:color="auto" w:fill="CFF0FC"/>
          </w:tcPr>
          <w:p>
            <w:pPr>
              <w:jc w:val="right"/>
              <w:spacing w:after="0" w:line="191" w:lineRule="exact"/>
              <w:rPr>
                <w:sz w:val="20"/>
                <w:szCs w:val="20"/>
                <w:color w:val="auto"/>
              </w:rPr>
            </w:pPr>
            <w:r>
              <w:rPr>
                <w:rFonts w:ascii="Times New Roman" w:cs="Times New Roman" w:eastAsia="Times New Roman" w:hAnsi="Times New Roman"/>
                <w:sz w:val="18"/>
                <w:szCs w:val="18"/>
                <w:color w:val="auto"/>
              </w:rPr>
              <w:t>110,160,6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920" w:type="dxa"/>
            <w:vAlign w:val="bottom"/>
            <w:gridSpan w:val="3"/>
            <w:shd w:val="clear" w:color="auto" w:fill="CFF0FC"/>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11</w:t>
            </w:r>
          </w:p>
        </w:tc>
        <w:tc>
          <w:tcPr>
            <w:tcW w:w="240" w:type="dxa"/>
            <w:vAlign w:val="bottom"/>
            <w:shd w:val="clear" w:color="auto" w:fill="CFF0FC"/>
          </w:tcPr>
          <w:p>
            <w:pPr>
              <w:spacing w:after="0"/>
              <w:rPr>
                <w:sz w:val="20"/>
                <w:szCs w:val="20"/>
                <w:color w:val="auto"/>
              </w:rPr>
            </w:pPr>
          </w:p>
        </w:tc>
        <w:tc>
          <w:tcPr>
            <w:tcW w:w="1220" w:type="dxa"/>
            <w:vAlign w:val="bottom"/>
            <w:gridSpan w:val="4"/>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909,539</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 (732,069)</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$ 177,468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net of</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costs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0"/>
                <w:szCs w:val="20"/>
                <w:color w:val="auto"/>
              </w:rPr>
            </w:pPr>
          </w:p>
        </w:tc>
        <w:tc>
          <w:tcPr>
            <w:tcW w:w="1220" w:type="dxa"/>
            <w:vAlign w:val="bottom"/>
            <w:gridSpan w:val="4"/>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39,056</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468,355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the</w:t>
            </w: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206,123</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0"/>
                <w:szCs w:val="20"/>
                <w:color w:val="auto"/>
              </w:rPr>
            </w:pPr>
          </w:p>
        </w:tc>
        <w:tc>
          <w:tcPr>
            <w:tcW w:w="1220" w:type="dxa"/>
            <w:vAlign w:val="bottom"/>
            <w:gridSpan w:val="4"/>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0"/>
                <w:szCs w:val="20"/>
                <w:color w:val="auto"/>
              </w:rPr>
            </w:pPr>
          </w:p>
        </w:tc>
        <w:tc>
          <w:tcPr>
            <w:tcW w:w="9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net of tax</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8"/>
                <w:szCs w:val="18"/>
                <w:color w:val="auto"/>
              </w:rPr>
            </w:pPr>
          </w:p>
        </w:tc>
        <w:tc>
          <w:tcPr>
            <w:tcW w:w="12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18"/>
                <w:szCs w:val="18"/>
                <w:color w:val="auto"/>
              </w:rPr>
            </w:pPr>
          </w:p>
        </w:tc>
        <w:tc>
          <w:tcPr>
            <w:tcW w:w="1220" w:type="dxa"/>
            <w:vAlign w:val="bottom"/>
            <w:gridSpan w:val="4"/>
            <w:shd w:val="clear" w:color="auto" w:fill="CFF0FC"/>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(169,925)</w:t>
            </w:r>
          </w:p>
        </w:tc>
        <w:tc>
          <w:tcPr>
            <w:tcW w:w="9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(169,925)</w:t>
            </w:r>
          </w:p>
        </w:tc>
        <w:tc>
          <w:tcPr>
            <w:tcW w:w="0" w:type="dxa"/>
            <w:vAlign w:val="bottom"/>
          </w:tcPr>
          <w:p>
            <w:pPr>
              <w:spacing w:after="0"/>
              <w:rPr>
                <w:sz w:val="1"/>
                <w:szCs w:val="1"/>
                <w:color w:val="auto"/>
              </w:rPr>
            </w:pPr>
          </w:p>
        </w:tc>
      </w:tr>
      <w:tr>
        <w:trPr>
          <w:trHeight w:val="191"/>
        </w:trPr>
        <w:tc>
          <w:tcPr>
            <w:tcW w:w="2980" w:type="dxa"/>
            <w:vAlign w:val="bottom"/>
            <w:tcBorders>
              <w:top w:val="single" w:sz="8" w:color="CFF0FC"/>
            </w:tcBorders>
          </w:tcPr>
          <w:p>
            <w:pPr>
              <w:spacing w:after="0" w:line="191" w:lineRule="exact"/>
              <w:rPr>
                <w:sz w:val="20"/>
                <w:szCs w:val="20"/>
                <w:color w:val="auto"/>
              </w:rPr>
            </w:pPr>
            <w:r>
              <w:rPr>
                <w:rFonts w:ascii="Times New Roman" w:cs="Times New Roman" w:eastAsia="Times New Roman" w:hAnsi="Times New Roman"/>
                <w:sz w:val="18"/>
                <w:szCs w:val="18"/>
                <w:b w:val="1"/>
                <w:bCs w:val="1"/>
                <w:color w:val="auto"/>
              </w:rPr>
              <w:t>Balances at December 31, 2024</w:t>
            </w:r>
          </w:p>
        </w:tc>
        <w:tc>
          <w:tcPr>
            <w:tcW w:w="8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119,835,1</w:t>
            </w:r>
          </w:p>
        </w:tc>
        <w:tc>
          <w:tcPr>
            <w:tcW w:w="1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FF0FC"/>
            </w:tcBorders>
          </w:tcPr>
          <w:p>
            <w:pPr>
              <w:spacing w:after="0"/>
              <w:rPr>
                <w:sz w:val="16"/>
                <w:szCs w:val="16"/>
                <w:color w:val="auto"/>
              </w:rPr>
            </w:pPr>
          </w:p>
        </w:tc>
        <w:tc>
          <w:tcPr>
            <w:tcW w:w="80" w:type="dxa"/>
            <w:vAlign w:val="bottom"/>
            <w:tcBorders>
              <w:top w:val="single" w:sz="8" w:color="CFF0FC"/>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9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12</w:t>
            </w:r>
          </w:p>
        </w:tc>
        <w:tc>
          <w:tcPr>
            <w:tcW w:w="240" w:type="dxa"/>
            <w:vAlign w:val="bottom"/>
          </w:tcPr>
          <w:p>
            <w:pPr>
              <w:spacing w:after="0"/>
              <w:rPr>
                <w:sz w:val="20"/>
                <w:szCs w:val="20"/>
                <w:color w:val="auto"/>
              </w:rPr>
            </w:pPr>
          </w:p>
        </w:tc>
        <w:tc>
          <w:tcPr>
            <w:tcW w:w="1220" w:type="dxa"/>
            <w:vAlign w:val="bottom"/>
            <w:gridSpan w:val="4"/>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969,526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(901,994)</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67,539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-307975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3159760</wp:posOffset>
            </wp:positionH>
            <wp:positionV relativeFrom="paragraph">
              <wp:posOffset>-307975</wp:posOffset>
            </wp:positionV>
            <wp:extent cx="774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-307975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-307975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-307975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-307975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-307975</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5"/>
                <w:szCs w:val="15"/>
                <w:color w:val="auto"/>
              </w:rPr>
            </w:pP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(52,489)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(169,925)</w:t>
            </w:r>
          </w:p>
        </w:tc>
      </w:tr>
      <w:tr>
        <w:trPr>
          <w:trHeight w:val="216"/>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Amortization of operating lease right-of-use assets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(10,906)</w:t>
            </w: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Inventory</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(24,889)</w:t>
            </w: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12,924</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(30,847)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8,950</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(1,218)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(1,663)</w:t>
            </w:r>
          </w:p>
        </w:tc>
      </w:tr>
      <w:tr>
        <w:trPr>
          <w:trHeight w:val="216"/>
        </w:trPr>
        <w:tc>
          <w:tcPr>
            <w:tcW w:w="84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40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(700)</w:t>
            </w:r>
          </w:p>
        </w:tc>
      </w:tr>
      <w:tr>
        <w:trPr>
          <w:trHeight w:val="20"/>
        </w:trPr>
        <w:tc>
          <w:tcPr>
            <w:tcW w:w="84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4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(170,491)</w:t>
            </w: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0"/>
        </w:trPr>
        <w:tc>
          <w:tcPr>
            <w:tcW w:w="8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400" w:type="dxa"/>
            <w:vAlign w:val="bottom"/>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10"/>
        </w:trPr>
        <w:tc>
          <w:tcPr>
            <w:tcW w:w="84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exercises of stock options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Proceeds from at-the-market offering, net of commissions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39,285</w:t>
            </w:r>
          </w:p>
        </w:tc>
        <w:tc>
          <w:tcPr>
            <w:tcW w:w="100" w:type="dxa"/>
            <w:vAlign w:val="bottom"/>
            <w:shd w:val="clear" w:color="auto" w:fill="CFF0FC"/>
          </w:tcPr>
          <w:p>
            <w:pPr>
              <w:spacing w:after="0"/>
              <w:rPr>
                <w:sz w:val="18"/>
                <w:szCs w:val="18"/>
                <w:color w:val="auto"/>
              </w:rPr>
            </w:pP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Proceeds from underwritten public offering, net of underwriting discounts and commissions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Payments for at-the-market offering costs</w:t>
            </w:r>
          </w:p>
        </w:tc>
        <w:tc>
          <w:tcPr>
            <w:tcW w:w="1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(597)</w:t>
            </w: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Payments for underwritten public offering costs</w:t>
            </w:r>
          </w:p>
        </w:tc>
        <w:tc>
          <w:tcPr>
            <w:tcW w:w="1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400" w:type="dxa"/>
            <w:vAlign w:val="bottom"/>
            <w:tcBorders>
              <w:bottom w:val="single" w:sz="8" w:color="CFF0FC"/>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215,630</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r>
      <w:tr>
        <w:trPr>
          <w:trHeight w:val="210"/>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14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157,340</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(131,292)</w:t>
            </w:r>
          </w:p>
        </w:tc>
      </w:tr>
      <w:tr>
        <w:trPr>
          <w:trHeight w:val="216"/>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200,641</w:t>
            </w:r>
          </w:p>
        </w:tc>
        <w:tc>
          <w:tcPr>
            <w:tcW w:w="100" w:type="dxa"/>
            <w:vAlign w:val="bottom"/>
          </w:tcPr>
          <w:p>
            <w:pPr>
              <w:spacing w:after="0"/>
              <w:rPr>
                <w:sz w:val="18"/>
                <w:szCs w:val="18"/>
                <w:color w:val="auto"/>
              </w:rPr>
            </w:pPr>
          </w:p>
        </w:tc>
      </w:tr>
      <w:tr>
        <w:trPr>
          <w:trHeight w:val="250"/>
        </w:trPr>
        <w:tc>
          <w:tcPr>
            <w:tcW w:w="84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226,689</w:t>
            </w:r>
          </w:p>
        </w:tc>
        <w:tc>
          <w:tcPr>
            <w:tcW w:w="120" w:type="dxa"/>
            <w:vAlign w:val="bottom"/>
            <w:shd w:val="clear" w:color="auto" w:fill="CFF0FC"/>
          </w:tcPr>
          <w:p>
            <w:pPr>
              <w:spacing w:after="0"/>
              <w:rPr>
                <w:sz w:val="21"/>
                <w:szCs w:val="21"/>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69,349</w:t>
            </w:r>
          </w:p>
        </w:tc>
        <w:tc>
          <w:tcPr>
            <w:tcW w:w="100" w:type="dxa"/>
            <w:vAlign w:val="bottom"/>
            <w:shd w:val="clear" w:color="auto" w:fill="CFF0FC"/>
          </w:tcPr>
          <w:p>
            <w:pPr>
              <w:spacing w:after="0"/>
              <w:rPr>
                <w:sz w:val="21"/>
                <w:szCs w:val="21"/>
                <w:color w:val="auto"/>
              </w:rPr>
            </w:pPr>
          </w:p>
        </w:tc>
      </w:tr>
      <w:tr>
        <w:trPr>
          <w:trHeight w:val="197"/>
        </w:trPr>
        <w:tc>
          <w:tcPr>
            <w:tcW w:w="84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offering costs in accrued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 in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8"/>
                <w:szCs w:val="18"/>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r>
      <w:tr>
        <w:trPr>
          <w:trHeight w:val="216"/>
        </w:trPr>
        <w:tc>
          <w:tcPr>
            <w:tcW w:w="8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included in accrued expenses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4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included in 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0"/>
                <w:szCs w:val="20"/>
                <w:color w:val="auto"/>
              </w:rPr>
            </w:pP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6125845</wp:posOffset>
            </wp:positionH>
            <wp:positionV relativeFrom="paragraph">
              <wp:posOffset>-2985770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-2985770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-2411095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-1296670</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-1296670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-722630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-705485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-705485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40" w:name="page141"/>
    <w:bookmarkEnd w:id="140"/>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Invivyd, Inc. (the “Company”) is a biopharmaceutical company focused on the discovery, development and commercialization of monoclonal antibody (“mAb”) therapies for the prevention and treatment of serious viral infectious diseases, beginning with SARS-CoV-2, the virus that causes COVID-19, and expanding into other high-need indications, such as respiratory syncytial virus (“RSV”) and measles.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March 22, 2024, the Company received emergency use authorization (“EUA”) from the U.S. Food and Drug Administration (“FDA”) for PEMGARDA injection, for intravenous use, a half-life extended investigational mAb, for the pre-exposure prophylaxis (prevention) of COVID-19 in adults and adolescents (12 years of age and older weighing at least 40 kg) who have moderate-to-severe immune compromise due to certain medical conditions or receipt of certain immunosuppressive medications or treatments and are unlikely to mount an adequate immune response to COVID-19 vaccination.</w:t>
      </w:r>
    </w:p>
    <w:p>
      <w:pPr>
        <w:spacing w:after="0" w:line="7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 xml:space="preserve">In January 2024, the Company nominated VYD2311, a next generation mAb candidate for COVID-19, as a drug candidate. VYD2311 is a mAb with high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neutralization potency shown against prominent SARS-CoV-2 variants tested to date. In October 2025, the Company announced that the FDA cleared the Company’s its Investigational New Drug (“IND”) application for VYD2311 and provided feedback to advance the Company’s REVOLUTION clinical program, Invivyd’s development program for VYD2311. The REVOLUTION clinical program includes two clinical trials, DECLARATION and LIBERTY. In December 2025, the Company initiated DECLARATION, which is a Phase 3 randomized, triple-blind, placebo-controlled clinical trial to evaluate VYD2311 safety and efficacy in prevention of symptomatic, RT-PCR-confirmed COVID-19 at three months, with either a single dose or monthly doses of VYD2311, each administered via intramuscular injection, compared to placebo. DECLARATION is designed to support potential Biologics License Application (“BLA”) submission, with top-line data anticipated in mid-2026. In February 2026, the Company announced alignment with the FDA on LIBERTY, which is designed as a Phase 3, randomized, double-blind clinical trial to evaluate the safety, serum virus neutralizing antibody responses, and pharmacokinetics of (1) VYD2311, (2) an mRNA COVID vaccine, and (3) co-administered VYD2311 with an mRNA COVID vaccine. The FDA has granted “Fast Track” designation for VYD2311 for the prevention of COVID-19 in individuals with underlying risk factors for progression to severe disease. Fast Track designation is a process designed to facilitate the development and expedite the regulatory review of drugs to treat serious conditions and fill an unmet medical need, including eligibility for priority review and rolling review of BLA submissions, if specified criteria are met.</w:t>
      </w:r>
    </w:p>
    <w:p>
      <w:pPr>
        <w:spacing w:after="0" w:line="8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to the Company’s COVID-19 programs, in November 2025, the Company announced the selection of VBY329, a potential best-in-class mAb candidate being developed for the prevention of RSV infections in neonates, infants and children. The Company expects to advance VBY329 toward IND readiness in the second half of 2026. Through the Company’s proprietary technology platform, the Company continues to investigate additional mAbs for protection and treatment of other important infectious diseases, such as measles. The Company is targeting identification of a preclinical mAb candidate for treatment and prevention of measles in the first half of 2026.</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was incorporated in the State of Delaware in June 2020. The Company operates as a hybrid company with employees working at its corporate headquarters in New Haven, Connecticut, and remotely. The Company leases dedicated laboratory and office space in Newton, Massachusetts for research and development purposes.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is subject to a number of risks and uncertainties common to companies in the biopharmaceutical industry, including, but not limited to, completing clinical trials, the ability to raise additional capital to fund operations, obtaining regulatory authorization or approval for product candidates, risks associated with market acceptance and commercialization of products, competition from other products, protection of proprietary intellectual property, compliance with government regulations, dependence on key personnel, the ability to attract and retain qualified employees, and reliance on third-party organizations for the discovery, manufacturing, clinical and commercial success of its product candidates.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Substantial Doubt about Ability to Continue as a Going Concern</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the basis of continuity of operations, realization of assets, and the satisfaction of liabilities and commitments in the ordinary course of business. The Company has primarily funded its operations with proceeds from sales of convertible preferred stock, proceeds from the Company’s initial public offering (“IPO”), net proceeds received from shares of common stock sold under the Sales Agreement (as defined below) and net proceeds received from shares of common stock and pre-funded warrants sold under the Underwriting Agreements (as defined below). After receiving EUA in March 2024, the Company has also funded its operations from sales of PEMGARDA.</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141" w:name="page142"/>
    <w:bookmarkEnd w:id="141"/>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 flows from operations since its inception, including a net loss of $52.5 million for the year ended December 31, 2025. As of December 31, 2025, the Company had an accumulated deficit of $954.5 million. The Company may continue to generate operating losses for the foreseeable future.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Based on current operating plans and excluding any contribution from future revenues or external financing, the Company will not have sufficient cash and cash equivalents to fund its operating expenses and capital requirements beyond one year from the issuance of these consolidated financial statements, and therefore, the Company has concluded that there is substantial doubt about its ability to continue as a going concern.</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will require additional funding through a combination of contribution from revenues, equity offerings, government or private-party grants, debt financings or other capital sources, such as collaborations with other companies, strategic alliances or licensing arrangements to finance its future operations.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If the Company is unable to obtain sufficient capital, the Company will be forced to delay, reduce or eliminate some or all of its research and development programs, product portfolio expansion or commercialization efforts,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 The accompanying consolidated financial statements do not include any adjustments related to the recoverability and classification of assets or the amounts and classification of liabilities or any other adjustments that might be necessary should the Company be unable to continue as a going concern.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conformity with accounting principles generally accepted in the U.S. (“U.S. GAAP”). Any reference in these notes to applicable guidance is meant to refer to the authoritative U.S. GAAP as found in the Accounting Standards Codification (“ASC”) and Accounting Standards Update (“ASU”) of the Financial Accounting Standards Board (“FASB”).</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Invivyd, Inc. and its wholly owned subsidiaries, Invivyd Security Corporation and Invivyd Netherlands B.V. All intercompany accounts and transactions have been eliminated in consolidation. The Company views its operations and manages its business in one operating segment, which is the business of discovering, developing and commercializing differentiated products for the prevention and treatment of infectious diseases.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periods. Significant estimates and assumptions reflected in these consolidated financial statements include, but are not limited to, research and development expenses and related prepaid or accrued costs, stock-based compensation expense, revenue, including discounts and allowances, and inventory obsolescence. The Company bases its estimates on historical experience, known trends, expected future internal sales forecasts and other market-specific or relevant factors it believes to be reasonable under the circumstances. On an ongoing basis, management evaluates its estimates as there are changes in circumstances, facts and experience. Changes in estimates are recorded in the period in which they become known. Actual results may differ materially from those estimates or assumptions. If actual market conditions are less favorable than those projected by management or in the event of an adverse FDA action, inventory write-downs may be required.</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Significant Suppliers and License Rights</w:t>
      </w:r>
    </w:p>
    <w:p>
      <w:pPr>
        <w:spacing w:after="0" w:line="14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of cash, cash equivalents and accounts receivable.</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invested its excess cash in money market funds that are subject to minimal credit and market risks. The Company maintains its existing cash and cash equivalents at two accredited financial institutions. From time to time, these deposits may exceed federally insured limits. The Company has not experienced any losses historically in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2" w:name="page143"/>
    <w:bookmarkEnd w:id="142"/>
    <w:p>
      <w:pPr>
        <w:jc w:val="both"/>
        <w:spacing w:after="0" w:line="282" w:lineRule="auto"/>
        <w:rPr>
          <w:sz w:val="20"/>
          <w:szCs w:val="20"/>
          <w:color w:val="auto"/>
        </w:rPr>
      </w:pPr>
      <w:r>
        <w:rPr>
          <w:rFonts w:ascii="Times New Roman" w:cs="Times New Roman" w:eastAsia="Times New Roman" w:hAnsi="Times New Roman"/>
          <w:sz w:val="18"/>
          <w:szCs w:val="18"/>
          <w:color w:val="auto"/>
        </w:rPr>
        <w:t>these accounts. Accordingly, the Company does not believe it is exposed to unusual credit risk related to its existing cash and cash equivalents beyond the normal credit risk associated with commercial banking relationships.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is dependent on third-party organizations to manufacture and process its product candidates for its research and development programs. In particular, the Company relies on third-party contract manufacturers to produce and process its product candidates and to manufacture supply of its product candidates for preclinical and clinical activities. The Company also currently relies on a third-party contract manufacturer for commercial supply, including both drug substance and drug product (see Note 9). The Company expects to continue to be dependent on a small number of third-party organizations to supply it with its requirements for all product candidates. The Company’s research and development programs, including any associated commercialization efforts, could be adversely affected by a significant interruption in the supply of the necessary materials.</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dependent on a limited number of third parties that provide license rights used by the Company in the development and commercialization of its product candidates and programs. Through December 31, 2025, the Company’s research and development programs primarily relate to rights conveyed by Adimab, LLC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Adimab</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(see Note 7). The Company could experience delays in the development and commercialization of its product candidates and programs if the Adimab agreements or any other license agreement utilized in the Company’s research and development activities is terminated, if the Company fails to meet the obligations required under its arrangements, or if the Company is unable to successfully secure new strategic alliances or licensing agreements.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Company’s net product revenue was generated from sales to third-party specialty distributors, infusion centers and healthcare providers in the U.S. (see “Revenue Recognition” for additional information). The following summarizes customers that represent 10% or greater of our consolidated total gross revenue: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tcPr>
          <w:p>
            <w:pPr>
              <w:spacing w:after="0"/>
              <w:rPr>
                <w:sz w:val="13"/>
                <w:szCs w:val="13"/>
                <w:color w:val="auto"/>
              </w:rPr>
            </w:pPr>
          </w:p>
        </w:tc>
        <w:tc>
          <w:tcPr>
            <w:tcW w:w="1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73"/>
        </w:trPr>
        <w:tc>
          <w:tcPr>
            <w:tcW w:w="7180" w:type="dxa"/>
            <w:vAlign w:val="bottom"/>
          </w:tcPr>
          <w:p>
            <w:pPr>
              <w:spacing w:after="0"/>
              <w:rPr>
                <w:sz w:val="15"/>
                <w:szCs w:val="15"/>
                <w:color w:val="auto"/>
              </w:rPr>
            </w:pPr>
          </w:p>
        </w:tc>
        <w:tc>
          <w:tcPr>
            <w:tcW w:w="16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1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5"/>
                <w:szCs w:val="15"/>
                <w:color w:val="auto"/>
              </w:rPr>
            </w:pPr>
          </w:p>
        </w:tc>
      </w:tr>
      <w:tr>
        <w:trPr>
          <w:trHeight w:val="210"/>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distributor 1</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2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Specialty distributor 2</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Specialty distributor 3</w:t>
            </w:r>
          </w:p>
        </w:tc>
        <w:tc>
          <w:tcPr>
            <w:tcW w:w="1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2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71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Third-party logistic distribution agent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2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w:t>
            </w:r>
          </w:p>
        </w:tc>
      </w:tr>
    </w:tbl>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Represents less than 10% and/or not a customer in the applicable year</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acquisition date to be cash equivalents.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Accounts receivable, net as of December 31, 2025 consisted of $13.9 million of PEMGARDA product sales to third-party specialty distributors, infusion centers, healthcare providers and provider institutions. Three third-party specialty distributors accounted for 44%, 22% and 20%, respectively, of the Company’s gross accounts receivable balance as of December 31, 2025. Three third-party specialty distributors accounted for 53%, 27% and 17%, respectively, of the Company’s accounts receivable balance as of December 31, 2024. The Company evaluates the collectability of accounts receivable on a regular basis, by reviewing the financial condition and payment history of customers. As of December 31, 2025, the Company recorded an allowance for doubtful accounts of $0.3 million related to one direct customer.</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Prior to receiving regulatory approval or authorization, costs related to the manufacturing of inventory are recorded as research and development expense on the Company’s consolidated statements of operations and comprehensive loss in the period incurred. In connection with the EUA for PEMGARDA in March 2024, the Company subsequently began capitalizing PEMGARDA inventory costs as it was determined that inventory costs incurred subsequent to the EUA had a probable future economic benefit.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Inventory is stated at the lower of cost or estimated net realizable value with cost determined on a first-in, first-out basis. Inventory costs include raw materials, third-party contract manufacturing, third-party packaging services, freight and overhead. The Company reduces its inventory to net realizable value for potentially excess, dated or obsolete inventory based on a quarterly assessment of the recoverability of its capitalized inventory. The Company periodically reviews inventory levels to identify what may expire prior to expected sale or has a cost basis in excess of its estimated realizable value and writes-down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color w:val="auto"/>
        </w:rPr>
        <w:t>such inventories as appropriate as a component of costs of goods sold in the consolidated statements of operations and comprehensive loss.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Certain assets of the Company are carried at fair value under U.S. GAAP.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75" w:lineRule="exact"/>
        <w:rPr>
          <w:sz w:val="20"/>
          <w:szCs w:val="20"/>
          <w:color w:val="auto"/>
        </w:rPr>
      </w:pPr>
    </w:p>
    <w:p>
      <w:pPr>
        <w:ind w:left="1140" w:hanging="504"/>
        <w:spacing w:after="0"/>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rFonts w:ascii="Times New Roman" w:cs="Times New Roman" w:eastAsia="Times New Roman" w:hAnsi="Times New Roman"/>
          <w:sz w:val="18"/>
          <w:szCs w:val="18"/>
          <w:color w:val="auto"/>
        </w:rPr>
      </w:pPr>
    </w:p>
    <w:p>
      <w:pPr>
        <w:jc w:val="both"/>
        <w:ind w:left="1140" w:hanging="504"/>
        <w:spacing w:after="0" w:line="266"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67" w:lineRule="exact"/>
        <w:rPr>
          <w:rFonts w:ascii="Times New Roman" w:cs="Times New Roman" w:eastAsia="Times New Roman" w:hAnsi="Times New Roman"/>
          <w:sz w:val="18"/>
          <w:szCs w:val="18"/>
          <w:color w:val="auto"/>
        </w:rPr>
      </w:pPr>
    </w:p>
    <w:p>
      <w:pPr>
        <w:ind w:left="1140" w:hanging="504"/>
        <w:spacing w:after="0" w:line="282" w:lineRule="auto"/>
        <w:tabs>
          <w:tab w:leader="none" w:pos="114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carried at fair value, determined according to the fair value hierarchy described above (see Note 4). The carrying values of the Company’s accounts payable and accrued expenses approximate their fair values due to the short-term nature of these liabilities.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4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210"/>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4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to 5 years</w:t>
            </w:r>
          </w:p>
        </w:tc>
      </w:tr>
      <w:tr>
        <w:trPr>
          <w:trHeight w:val="216"/>
        </w:trPr>
        <w:tc>
          <w:tcPr>
            <w:tcW w:w="6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Shorter of lease term of useful life</w:t>
            </w:r>
          </w:p>
        </w:tc>
      </w:tr>
    </w:tbl>
    <w:p>
      <w:pPr>
        <w:spacing w:after="0" w:line="23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in accordance with the above guidelines once placed into service. Upon retirement or sale, the cost of assets disposed of and the related accumulated depreciation and amortization are removed from the accounts and any resulting gain or loss is included in loss from operations. Expenditures for repairs and maintenance that do not improve or extend the life of the respective assets are charged to expense as incurred.</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Long-lived assets consist of property and equipment. The Company continually evaluates long-lived assets for potential impairment whenever events or changes in circumstances indicate that the carrying value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group for recoverability, the Company compares the carrying values of the asset group to the expected future undiscounted cash flows that the asset group is expected to generate from the use and eventual disposition of the long-lived asset group. An impairment loss would be recognized in loss from operations when estimated undiscounted future cash flows expected to result from the use of an asset group are less than its carrying amount. If such asset group is considered to be impaired, the impairment loss to be recognized would be based on the excess of the carrying value of the impaired asset group over its fair value. The Company did not recognize any impairment losses on long-lived assets during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4" w:name="page145"/>
    <w:bookmarkEnd w:id="14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evaluates whether an arrangement is or contains a lease at the inception date. If determined to be or contain a lease, the Company determines the classification of the lease at the commencement date, which represents the date at which the lessor makes the underlying asset available for use by the Company. When determining the expected accounting lease term, the Company includes the noncancellable lease term, together with periods covered by (i) an option to extend the lease if the Company is reasonably certain to exercise such option, (ii) an option to terminate the lease if the Company is reasonably certain not to exercise such option and (iii) an option to extend or not terminate the lease where the exercise of such option is controlled by the lessor. The Company has elected the short-term lease exemption, which allows the Company to not recognize lease liabilities and right-of-use assets arising from lease arrangements with original lease terms of twelve months or less. The Company elected the practical expedient to not separate lease and non-lease components for its leases.</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Right-of-use assets represent the Company’s right to use an underlying asset over the lease term and lease liabilities represent the Company’s obligation to make lease payments under the arrangement. The Company measures its lease liabilities as the present value of the lease payments, discounted using an incremental borrowing rate, as interest rates implicit in lease arrangements are generally not readily determinable. The Company measures its right-of-use assets as the present value of its lease payments at the commencement date, adjusted for prepaid rent payments. The incremental borrowing rate represents the interest rate at which the Company could borrow an amount equal to the lease payments on a fully collateralized basis, over a similar term, in a similar economic environment. The Company recognizes rent expense for operating leases on a straight-line basis. The Company recognizes variable lease expenses as incurred.</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remeasures right-of-use assets and lease liabilities when a lease is modified, and the modification is not accounted for as a separate contract. A modification is accounted for as a separate contract if the modification grants the Company an additional right of use not included in the original lease arrangement and the increase in lease payments is commensurate with the additional right of use. The Company assesses its right-of-use assets for impairment in a manner consistent with its assessment for long-lived assets held and used in operations.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Pre-funded Warrants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pre-funded warrants as equity-classified based on an assessment of the warrant’s specific terms and applicable authoritative guidance included in Distinguishing Liabilities from Equity (“ASC 480”) and Derivatives and Hedging (“ASC 815”). The assessment considers whether the pre-funded warrants are freestanding financial instruments pursuant to ASC 480, whether the pre-funded warrants meet the definition of a liability pursuant to ASC 480, and whether the pre-funded warrants meet all of the requirements for equity classification under ASC 815.</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pre-funded warrants meet all of the criteria for equity classification and are recorded as a component of additional paid-in capital at the time of issuance, and are not remeasured.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Patent Costs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Costs to secure, defend and maintain patents, including those incurred in connection with filing and prosecuting patent applications, are expensed as incurred due to the uncertainty about the recovery of the expenditure. Amounts incurred for patent-related expenditures are classified as general and administrative expenses.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manages its operations as a single reportable and operating segment for the purposes of assessing performance and making operating decisions. The Company is focused on the discovery, development and commercialization of antibody-based solutions for infectious diseases with pandemic potential. The Company’s chief operating decision maker reviews the Company’s financial information on an aggregated basis for purposes of assessing performance and allocating resources.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revenue in accordance with ASC Topic 606 - Revenue from Contracts with Customers (“ASC 606”). Under ASC 606, an entity recognizes revenue when or as performance obligations are satisfied by transferring control of promised goods or services to the customer, in an amount that reflects the consideration which the entity expects to be entitled to in exchange for those goods or services.</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and (v) recognize revenue when (or as) the entity satisfies a performance obligation. At contract inception, the Company assesses the goods or services promised within each contract,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Product Revenue, Net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Following the Company’s receipt of an EUA from the FDA for PEMGARDA in March 2024, the Company began generating product revenue from sales of PEMGARDA in April 2024.</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sells PEMGARDA in the United States primarily to third-party specialty distributors and directly to a small number of infusion centers, healthcare providers and provider institutions. Revenue is recognized when or as performance obligations are satisfied by transferring control of promised goods to a customer, generally upon delivery, based on an amount that reflects the consideration to which the Company expected to be entitled. The Company did not have any contract liabilities at December 31, 2025, as the Company did not receive any payments in advance of satisfying its performance obligations to its customers.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Product revenues are recorded net of applicable reserves for variable consideration, including discounts and allowances.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Discounts and Allowances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records reserves, based on contractual terms, for the following components of variable consideration related to product sold during the reporting period, as well as its estimate of product that remains in the distribution channel inventory of its customers at the end of the reporting period, if applicable. On a quarterly basis, the Company updates its estimates, if necessary, and records any material adjustments in the period they are identified.</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Trade Discounts, Group Purchase Organization and Distributor Fees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provides customary discounts on PEMGARDA sales for prompt payment, the terms of which are explicitly stated in its contracts. The Company also pays fees to specialty distributors for sales order management, data, and distribution services, as well as fees to group purchasing organizations (“GPO”) for administrative services, the terms of which are also explicitly stated in its contracts. Such fees are not for a distinct good or service and, accordingly, are recorded as a reduction of revenue, as well as a reduction to accounts receivable (trade discounts) or as a component of accrued expenses (distributor and GPO fees).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Chargebacks</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subject to discount obligations under its contracts with the U.S. Department of Veterans Affairs and GPOs where pricing on PEMGARDA is extended below wholesaler list price to participating entities and GPO members. These reserves are recorded in the same period the related revenue is recognized, resulting in a reduction of product revenue and the establishment of a current liability, which is included as a component of accrued expenses.</w:t>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Product Returns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offers a right of return for purchased units of PEMGARDA for damage, defect, recall, and/or product expiry, provided the product expiry is within a specified period as set forth in the Company’s return goods policy. The Company estimates the amount of product sales that will be returned using quantitative and qualitative considerations. Reserves for estimated returns are recorded as a reduction of product revenue in the period that the related revenue is recognized, as well as a component of accrued expenses. To date, actual product returns have not differed materially from the Company’s estimates.</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Other Incentives</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incentives include a co-pay assistance program for eligible patients with commercial insurance in the U.S. The co-pay assistance program assists certain commercially insured patients by reducing each participating patient’s financial responsibility for the purchase price, up to a specified dollar amount of assistance.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expenses consist of costs incurred in performing research and development activities, including expenses incurred under agreements with external vendors and consultants engaged to perform nonclinical studies, preclinical studies and clinical trials as well as to manufacture research and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6" w:name="page147"/>
    <w:bookmarkEnd w:id="14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development materials for use in such studies and trials and for commercial supply; salaries and related personnel costs; stock-based compensation; consultant fees; and third-party license fees.</w:t>
      </w:r>
    </w:p>
    <w:p>
      <w:pPr>
        <w:spacing w:after="0" w:line="54"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Nonrefundable advance payments for goods and services to be received in the future for use in research and development activities are recorded as prepaid expenses. The prepaid amounts are expensed as the related goods are delivered or the services are performed, or when it is no longer expected that the goods will be delivered or the services rendered.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Accrued Research and Development Costs</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Company has entered into various research, development and manufacturing contracts with third-party service providers, including contract research organizations (“CROs”) and a contract manufacturing organization. With the exception of the Company’s commercial manufacturing arrangement with WuXi Biologics (Hong Kong) Limited (see Note 9), these agreements are generally cancellable. The Company recognizes research and development expense associated with such arrangements as the costs are incurred and records accruals for estimated ongoing research, development and manufacturing costs, where necessary. When billing terms under these contracts do not coincide with the timing of when the work is performed, the Company is required to make estimates of outstanding obligations to those third parties as of period end. Any accrual estimates are based on a number of factors, including the Company’s knowledge of the progress towards completion of the specific tasks to be performed, invoicing to date under the contracts, communication from the vendors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w:t>
      </w:r>
    </w:p>
    <w:p>
      <w:pPr>
        <w:spacing w:after="0" w:line="29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Asset Acquisitions and Acquired In-Process 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measures and recognizes asset acquisitions that are not deemed to be business combinations based on the cost to acquire the asset or group of assets, which includes transaction costs. Goodwill is not recognized in asset acquisitions. In an asset acquisition, the cost allocated to acquire in-process research and development (“IPR&amp;D”) with no alternative future use is recognized as expense on the acquisition date.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Contingent consideration in asset acquisitions payable in the form of cash is recognized in the period the triggering event is determined to be probable of occurrence and the related amount is reasonably estimable. Such amounts are expensed or capitalized based on the nature of the associated asset at the date the related contingency is resolved.</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grants stock-based awards to employees, directors and non-employee consultants in the form of stock options to purchase shares of its common stock. The Company measures stock options with service-based vesting granted to employees, non-employees and directors based on the fair value on the date of grant using the Black-Scholes option-pricing model. The Company has primarily issued awards with service-based vesting conditions through December 31, 2025.</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Compensation expense for awards granted to employees and directors for their service on the board of directors is recognized on a straight-line basis over the requisite service period of the respective award, which is generally the vesting period of the award. Compensation expense for awards granted to non-employees is recognized in the same period and manner as if the Company had paid cash for the goods or services provided, which is generally the vesting period of the award. The Company accounts for forfeitures of stock-based awards as they occur.</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statements of operations and comprehensive loss in the same manner in which the award recipient’s salary and related costs are classified or in which the award recipient’s service payments are classified.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income taxes using the asset and liability method, which requires the recognition of deferred tax assets and liabilities for the expected future tax consequences of events that have been recognized in the consolidated financial statements or in the Company’s tax returns. Deferred tax assets and liabilities are determined on the basis of the differences between the financial statement and tax basis of assets and liabilities using enacted tax rates in effect for the year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the deferred tax assets will not be realized, a valuation allowance is established through a charge to income tax expense.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7" w:name="page148"/>
    <w:bookmarkEnd w:id="14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Potential for recovery of deferred tax assets is evaluated by estimating the future profits expected and considering prudent and feasible tax planning strategies.</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uncertainty in income taxes recognized in the consolidated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recognize in the consolidated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 The Company had no amounts accrued for interest and penalties on its consolidated balance sheets as of December 31, 2025 and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Comprehensive Loss</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Comprehensive loss includes net loss as well as other changes in stockholders’ equity that result from transactions and economic events other than those with stockholders. For the years ended December 31, 2025 and 2024, the Company's only element of other comprehensive loss was foreign currency translation adjustments.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Basic net loss per share attributable to common stockholders is computed by dividing the net loss attributable to common stockholders by the weighted-average number of common shares outstanding for the period. Diluted net loss per share attributable to common stockholders is computed by adjusting net loss attributable to common stockholders to reallocate undistributed earnings based on the potential impact of dilutive securities. Diluted net loss per share attributable to common stockholders is computed by dividing the diluted net loss attributable to common stockholders by the weighted-average number of common shares outstanding for the period, including potential dilutive common shares.</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discussed in Note 10, the Company issued and sold pre-funded warrants to purchase up to an aggregate of 27,342,442 shares of common stock at an average purchase price of $1.5099 per pre-funded warrant (representing the average $1.51 per share purchase price less the exercise price of $0.0001 per pre-funded warrant share). Since the $0.0001 exercise price per pre-funded warrant share represents little consideration and is non-substantive in relation to the purchase price of $1.5099 per pre-funded warrant, and as the pre-funded warrants are exercisable at any time after their original issuance with no further vesting conditions or contingencies associated with them, the shares underlying the pre-funded warrants are therefore included in the calculation of basic net loss per common share.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has generated a net loss for each of the periods presented. Accordingly, basic and diluted net loss per share attributable to common stockholders are the same because the inclusion of the potentially dilutive securities would be anti-dilutive.</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and may remain an emerging growth company until December 31, 2026. However, if certain events occur prior to the end of such five-year period, including if it becomes a “large accelerated filer,” its annual gross revenues exceeds $1.235 billion or it issues more than $1.0 billion of non-convertible debt in the previous three-year period, it will cease to be an emerging growth company prior to December 31, 2026. For so long as the Company remains an emerging growth company, it is permitted and intends to rely on exemptions from certain disclosure requirements that are applicable to other public companies that are not emerging growth companies. For example,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modifies the rules on income tax disclosures to enhance the transparency and decision-usefulness of income tax disclosures, particularly in the rate reconciliation table and disclosures about income taxes paid. The amendments are intended to address investors’ requests for income tax disclosures that provide more information to help them better understand an entity’s exposure to potential changes in tax laws and the ensuing risks and opportunities and to assess income tax information that affects cash flow forecasts and capital allocation decisions. The guidance also eliminates certain existing disclosure requirements related to uncertain tax positions and unrecognized deferred tax liabilities. The guidance is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8" w:name="page149"/>
    <w:bookmarkEnd w:id="148"/>
    <w:p>
      <w:pPr>
        <w:jc w:val="both"/>
        <w:spacing w:after="0" w:line="282" w:lineRule="auto"/>
        <w:rPr>
          <w:sz w:val="20"/>
          <w:szCs w:val="20"/>
          <w:color w:val="auto"/>
        </w:rPr>
      </w:pPr>
      <w:r>
        <w:rPr>
          <w:rFonts w:ascii="Times New Roman" w:cs="Times New Roman" w:eastAsia="Times New Roman" w:hAnsi="Times New Roman"/>
          <w:sz w:val="18"/>
          <w:szCs w:val="18"/>
          <w:color w:val="auto"/>
        </w:rPr>
        <w:t>effective for the Company for the annual period beginning after December 15, 2024. The Company prospectively adopted ASU 2023-09 in the fourth quarter of 2025. Refer to Note 12 for additional information.</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The new standard requires additional disclosure of the nature of expenses included in the income statement as well as disclosures about specific types of expenses included in the expense captions presented in the income statement. ASU 2024-03 is effective for annual periods beginning after December 15, 2026, and interim reporting periods beginning after December 15, 2027. The Company is currently evaluating the potential impact of ASU 2024-03 on its consolidated financial statement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Fair Value Measurements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fair value hierarchy for its assets and liabilities that are measured at fair value on a recurring basis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224,172</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1"/>
        </w:trPr>
        <w:tc>
          <w:tcPr>
            <w:tcW w:w="5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 at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73"/>
        </w:trPr>
        <w:tc>
          <w:tcPr>
            <w:tcW w:w="5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8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Pr>
          <w:p>
            <w:pPr>
              <w:spacing w:after="0"/>
              <w:rPr>
                <w:sz w:val="12"/>
                <w:szCs w:val="12"/>
                <w:color w:val="auto"/>
              </w:rPr>
            </w:pPr>
          </w:p>
        </w:tc>
        <w:tc>
          <w:tcPr>
            <w:tcW w:w="880" w:type="dxa"/>
            <w:vAlign w:val="bottom"/>
            <w:tcBorders>
              <w:bottom w:val="single" w:sz="8" w:color="auto"/>
            </w:tcBorders>
          </w:tcPr>
          <w:p>
            <w:pPr>
              <w:jc w:val="right"/>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8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20" w:type="dxa"/>
            <w:vAlign w:val="bottom"/>
            <w:shd w:val="clear" w:color="auto" w:fill="CFF0FC"/>
          </w:tcPr>
          <w:p>
            <w:pPr>
              <w:spacing w:after="0"/>
              <w:rPr>
                <w:sz w:val="18"/>
                <w:szCs w:val="18"/>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58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2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18"/>
                <w:szCs w:val="18"/>
                <w:color w:val="auto"/>
              </w:rPr>
            </w:pP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68,345</w:t>
            </w:r>
          </w:p>
        </w:tc>
        <w:tc>
          <w:tcPr>
            <w:tcW w:w="12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-1216660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-1216660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-1216660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-1216660</wp:posOffset>
            </wp:positionV>
            <wp:extent cx="774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-170815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-170815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money market funds were valued by the Company based on quoted market prices, which represent a Level 1 measurement within the fair value hierarchy.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changes to the valuation methods during the years ended December 31, 2025 or 2024.</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evaluates transfers between levels at the end of each reporting period. There were no transfers into or out of Level 1, Level 2 or Level 3 fair value measurements during the years ended December 31, 2025 or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non-current inventories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20,769</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4,730</w:t>
            </w:r>
          </w:p>
        </w:tc>
        <w:tc>
          <w:tcPr>
            <w:tcW w:w="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5,138</w:t>
            </w:r>
          </w:p>
        </w:tc>
        <w:tc>
          <w:tcPr>
            <w:tcW w:w="100" w:type="dxa"/>
            <w:vAlign w:val="bottom"/>
          </w:tcPr>
          <w:p>
            <w:pPr>
              <w:spacing w:after="0"/>
              <w:rPr>
                <w:sz w:val="18"/>
                <w:szCs w:val="18"/>
                <w:color w:val="auto"/>
              </w:rPr>
            </w:pPr>
          </w:p>
        </w:tc>
      </w:tr>
      <w:tr>
        <w:trPr>
          <w:trHeight w:val="249"/>
        </w:trPr>
        <w:tc>
          <w:tcPr>
            <w:tcW w:w="77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3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-25400</wp:posOffset>
            </wp:positionV>
            <wp:extent cx="7683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7683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$0.3 million of finished goods inventory was classified as a current asset and included within prepaid and other current assets in the consolidated balance sheet. Please refer to Note 5 for additional information.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5. Prepaid Expenses and Other Current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external research, development and manufacturing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inventory, current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6,859</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77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7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external research, development and manufacturing costs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6,616</w:t>
            </w: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and consultant fees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employee compensation</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spacing w:after="0"/>
              <w:rPr>
                <w:sz w:val="20"/>
                <w:szCs w:val="20"/>
                <w:color w:val="auto"/>
              </w:rPr>
            </w:pPr>
            <w:r>
              <w:rPr>
                <w:rFonts w:ascii="Times New Roman" w:cs="Times New Roman" w:eastAsia="Times New Roman" w:hAnsi="Times New Roman"/>
                <w:sz w:val="18"/>
                <w:szCs w:val="18"/>
                <w:color w:val="auto"/>
              </w:rPr>
              <w:t>Accrued inventory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4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19,053</w:t>
            </w: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-1945005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License and Collaboration Agreements</w:t>
      </w:r>
    </w:p>
    <w:p>
      <w:pPr>
        <w:spacing w:after="0" w:line="3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July 2020, the Company entered into an Assignment and License Agreement with Adimab (the “Adimab Assignment Agreement”). Under the terms of the agreement, Adimab assigned to the Company all rights, title and interest in and to certain of its coronavirus-specific antibodies (each, a “CoV Antibody” and together, the “CoV Antibodies”), including modified or derivative forms thereof, and related intellectual property. In addition, Adimab granted to the Company a non-exclusive, worldwide, royalty-bearing, sublicensable license to certain of its platform patents and technology for the development, manufacture and commercialization of the CoV Antibodies and pharmaceutical products containing or comprising one or more CoV Antibodies (each, a “Product”) for all indications and uses, with the exception of certain diagnostic uses and use as a research reagent (the “Field”). The Company is entitled to sublicense the assigned rights and licensed intellectual property solely with respect to any CoV Antibody or Product, subject to specified conditions of the agreement. The Company is obligated to use commercially reasonable efforts to achieve specified development and regulatory milestones for Products in certain major markets and to commercialize a product in any country in which the Company obtains marketing approval.</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Pursuant to the terms of the Adimab Assignment Agreement, the parties will establish one or more work plans that set forth the activities to be performed under the agreement (each, a “Work Plan”), and each party is responsible for performing the obligations to which it is assigned under such Work Plans. Upon execution of the Adimab Assignment Agreement, the Company and Adimab agreed on an initial Work Plan that outlined the services that will be performed commencing at inception of the arrangement. The Company is obligated to pay Adimab quarterly for its services performed under each Work Plan at a specified full-time equivalent rate. Otherwise, the Company is solely responsible for the development, manufacture and commercialization of the CoV Antibodies and associated Products at its own cost and expense. The Company is solely responsible for preparing and submitting all investigational new drug applications, new drug applications, biologics license applications and other regulatory filings for the CoV Antibodies and Products in the Field, and for obtaining and maintaining all marketing approvals for Products in the Field, at its sole expense. Additionally, the Company has the sole right to prosecute, maintain, enforce and defend patents covering the CoV Antibodies and Products, all at its own expense.</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Amounts paid with respect to services performed by Adimab on the Company’s behalf under the Adimab Assignment Agreement are recognized as research and development expense as such amounts are incurred. During the years ended December 31, 2025 and 2024, the Company did not recognize any research and development expense with respect to services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t>performed by Adimab on the Company’s behalf under the Adimab Assignment Agreement. Please refer to Note 15 for additional information.</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The Company is obligated to pay Adimab up to $16.5 million upon the achievement of specified development and regulatory milestones for the first Product under the agreement that achieves such specified milestones and up to $8.1 million upon the achievement of specified development and regulatory milestones for the second Product under the agreement that achieves such specified milestones. The maximum aggregate amount of milestone payments payable under the agreement for any and all Products is $24.6 million, of which a total of $11.1 million has been achieved and paid as of December 31, 2025; however, milestone payments do not accrue for certain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devices consisting of or containing CoV Antibodies.</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next potential milestone under the Adimab Assignment Agreement is a low single-digit million-dollar regulatory milestone, which was not considered probable under U.S. GAAP and therefore, no expense was recognized as of December 31, 2025.</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any in-process research and development (“IPR&amp;D”) expense with respect to contingent consideration payable under the Adimab Assignment Agreement. Except for milestone payments of $11.1 million incurred through December 31, 2023, no other milestone payments have been paid to or have been earned by Adimab through December 31, 2025.</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royalties of a mid-single-digit percentage based on net sales of any Products, beginning upon the first commercial sale of a Product in accordance with the Adimab Assignment Agreement. The royalty rate is subject to reductions specified under the agreement. Royalties are due on a Product-by-Product and country-by-country basis beginning upon the first commercial sale of each Product and ending on the later of (i) 12 years after the first commercial sale of such Product in such country and (ii) the expiration of the last valid claim of a patent covering such Product in such country (the “Royalty Term”). During the year ended December 31, 2025, the Company expensed $2.1 million of royalties, while reserving all rights under the Adimab Assignment Agreement and the applicable law. During the year ended December 31, 2024, the Company expensed $1.0 million of royalties, while reserving all rights under the Adimab Assignment Agreement and the applicable law. In addition, the Company is obligated to pay Adimab royalties of a specified percentage in the range of 45% to 55% of any compulsory sublicense consideration received by the Company in lieu of certain royalty payments.</w:t>
      </w:r>
    </w:p>
    <w:p>
      <w:pPr>
        <w:spacing w:after="0" w:line="80"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Unless earlier terminated, the Adimab Assignment Agreement remains in effect until the expiration of the last-to-expire Royalty Term for any and all Products. The Company may terminate the agreement at any time for any or no reason upon advance written notice to Adimab, or in the event of a material breach by Adimab that is not cured with specific periods. Adimab may only terminate the agreement for an uncured material breach by the Company for its due diligence obligation or a payment obligation. Upon any termination of the agreement prior to its expiration, all licenses and rights granted pursuant to the arrangement will automatically terminate and revert to the granting party and all other rights and obligations of the parties will terminate.</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concluded that the Adimab Assignment Agreement represented an asset acquisition of IPR&amp;D assets with no alternative future use. The arrangement did not qualify as a business combination because substantially all of the fair value of the assets acquired was concentrated in a single asset.</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May 2021, the Company entered into a Collaboration Agreement with Adimab, as amended in November 2022 and September 2023 (the “Adimab Collaboration Agreement”), for the discovery and optimization of proprietary antibodies as potential therapeutic product candidates. Under the Adimab Collaboration Agreement, the Company and Adimab could collaborate on research programs for a specified number of targets selected by the Company within a specified time period. Under the Adimab Collaboration Agreement, Adimab granted the Company a worldwide, non-exclusive license to certain of its platform patents and technology and antibody patents to perform the Company’s responsibilities during the ongoing research period and for a specified evaluation period thereafter (the “Evaluation Term”). In addition, the Company granted Adimab a license to certain of the Company’s patents and intellectual property solely to perform Adimab’s responsibilities under the research plans. Under the Adimab Collaboration Agreement, the Company has an exclusive option, on a program-by-program basis, to obtain licenses and assignments to commercialize selected products containing or comprising antibodies directed against the applicable target, which option may be exercised upon the payment of a specified option fee for each program. Upon exercise of an option by the Company, Adimab will assign to the Company all right, title and interest in the antibodies of the optioned research program and will grant the Company a worldwide, royalty-free, fully paid-up, non-exclusive, sublicensable license under the Adimab platform technology for the development, manufacture and commercialization of the antibodies for which the Company has exercised its options and products containing or comprising those antibodies. The Company is obligated to use commercially reasonable efforts to develop, seek marketing approval for, and commercialize one product that contains an antibody discovered in each optioned research program.</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1" w:name="page152"/>
    <w:bookmarkEnd w:id="151"/>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agreed to pay Adimab a quarterly fee of $1.3 million, which could be cancelled at the Company’s option at any time. For so long as the Company was paying such quarterly fee (or earlier if (i) the Company experienced a change of control after the third anniversary of the Adimab Collaboration Agreement or (ii) Adimab owned less than a specified percentage of the Company’s equity), Adimab and its affiliates agreed not to assist or direct certain third parties to discover or optimize antibodies intended to bind to coronaviruses or influenza viruses. Under the Adimab Collaboration Agreement, the Company could also elect to decrease the scope of Adimab’s exclusivity obligations and obtain a corresponding decrease in the quarterly fee. In December 2023, the Company elected to decrease the scope of Adimab’s exclusivity obligations to cover only coronaviruses and obtained a corresponding decrease in the quarterly fee. Effective January 2024, the Company became obligated to pay Adimab a quarterly fee of $0.6 million. For both of the years ended December 31, 2025 and 2024, the Company recognized $2.4 million of research and development expense related to the quarterly fee.</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For each agreed upon research program that is commenced, the Company is obligated to pay Adimab quarterly for its services performed during a given research program at a specified full-time equivalent rate; a discovery delivery fee of $0.2 million; and an optimization completion fee of $0.2 million. For each option exercised by the Company to commercialize a specific research program, the Company is obligated to pay Adimab an exercise fee of $1.0 million. Amounts paid with respect to services performed by Adimab on the Company’s behalf in each of the research programs under the Adimab Collaboration Agreement are recognized as research and development expense as such amounts are incurred and services are rendered. During both the years ended December 31, 2025 and 2024, the Company did not recognize any research and development expense with respect to services performed by Adimab on the Company’s behalf under the Adimab Collaboration Agreement. During the years ended December 31, 2025 and 2024, the Company did not recognize any IPR&amp;D expense. Please refer to Note 15 for additional information.</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Company is obligated to pay Adimab up to $18.0 million upon the achievement of specified development and regulatory milestones for each product under the Adimab Collaboration Agreement that achieves such milestones. The next potential milestone under the Adimab Collaboration Agreement is a low single-digit million-dollar clinical milestone, which was not considered probable under U.S. GAAP and therefore, no expense was recognized as of December 31, 2025 and 2024. The Company is also obligated to pay Adimab royalties of a mid-single-digit percentage based on net sales of any product under the Adimab Collaboration Agreement, subject to reductions for third-party licenses. The royalty term will expire for each product on a country-by-country basis upon the later of (i) 12 years after the first commercial sale of such product in such country and (ii) the expiration of the last valid claim of any patent claiming composition of matter or method of making or using any antibody identified or optimized under the Adimab Collaboration Agreement in such country.</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the Company is obligated to pay Adimab for Adimab’s performance of certain validation work with respect to certain antigens acquired from a third party. In consideration for this work, the Company is obligated to pay Adimab royalties of a low single-digit percentage based on net sales of products that contain such antigens for the same royalty term as antibody-based products, but the Company is not obligated to make any milestone payments for such antigen products. Through December 31, 2025, no royalty payments have been paid to or have been earned by Adimab under the Adimab Collaboration Agreement.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Adimab Collaboration Agreement will expire (i) if the Company does not exercise any option, upon the conclusion of the last Evaluation Term for the research programs, or (ii) if the Company exercises an option, on the expiration of the last royalty term for a product in a particular country, unless the agreement is earlier terminated. The Company may terminate the Adimab Collaboration Agreement at any time upon advance written notice to Adimab. In addition, subject to certain conditions, either party may terminate the Adimab Collaboration Agreement in the event of a material breach by the other party that is not cured within specified periods.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concluded that the Adimab Collaboration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services performed by Adimab on the Company’s behalf under the Adimab Collaboration Agreement are recognized as research and development expense as such amounts are incurred and services are rendered. Please refer to Note 15 for additional information.</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September 2022 (the “Adimab Platform Transfer Agreement Effective Date”), the Company entered into a Platform Transfer Agreement with Adimab (the “Adimab Platform Transfer Agreement”) under which the Company was granted the right under certain intellectual property of Adimab to practice certain elements of Adimab’s platform technology, including B-cell cloning using Adimab’s proprietary yeast cell lines and other antibody optimization libraries, trade secrets, protocols and software of Adimab, to discover, engineer and optimize antibodies. The Company does not have access to Adimab’s proprietary discovery libraries. The Company was also granted the right under certain intellectual property of Adimab to research, develop,</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2" w:name="page153"/>
    <w:bookmarkEnd w:id="152"/>
    <w:p>
      <w:pPr>
        <w:jc w:val="both"/>
        <w:spacing w:after="0" w:line="266" w:lineRule="auto"/>
        <w:rPr>
          <w:sz w:val="20"/>
          <w:szCs w:val="20"/>
          <w:color w:val="auto"/>
        </w:rPr>
      </w:pPr>
      <w:r>
        <w:rPr>
          <w:rFonts w:ascii="Times New Roman" w:cs="Times New Roman" w:eastAsia="Times New Roman" w:hAnsi="Times New Roman"/>
          <w:sz w:val="18"/>
          <w:szCs w:val="18"/>
          <w:color w:val="auto"/>
        </w:rPr>
        <w:t>make, sell and exploit such antibodies and products containing such antibodies. The Adimab platform has been transferred to the Company in accordance with the terms of the Adimab Platform Transfer Agreement. In September 2022, the Company recognized $3.0 million as IPR&amp;D expense in connection with the upfront consideration payable for the rights assigned pursuant to the Adimab Platform Transfer Agreement.</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is obligated to pay Adimab an annual fee of single digit millions on each of the first four anniversaries of the Adimab Platform Transfer Agreement Effective Date, which allows the Company to receive material improvements to the platform technology, including materially improved antibody optimization libraries, updates that provide new functionality to the platform, and software upgrades, from Adimab through June 2027. The first annual fee became due in September 2023 and was paid in October 2023. During both the years ended December 31, 2025 and 2024, the Company recognized $2.0 million of R&amp;D expense related to the annual fees. Beginning in July 2027 and ending in June 2042, unless terminated earlier, the Company has the option to receive additional material improvements to the platform technology from Adimab, subject to a commercially reasonable fee to be negotiated by the parties.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is obligated to pay Adimab up to $9.5 million upon the achievement of specified development and regulatory milestones for each product under the Adimab Platform Transfer Agreement that achieves such milestones. The next potential milestone under the Adimab Platform Transfer Agreement is a mid-six-digit dollar preclinical milestone, which was not considered probable under U.S. GAAP and therefore, no expense was recognized as of December 31, 2025.</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Company is obligated to pay Adimab royalties of a low single-digit percentage based on net sales of products containing an antibody discovered, engineered or optimized using Adimab’s platform technology, subject to reductions specified under the Adimab Platform Transfer Agreement. Royalties are due on a product-by-product and country-by-country basis. The royalty term will expire for each product on a country-by-country basis upon the later of (i) 12 years after the first commercial sale of such product in such country and (ii) the expiration of the last valid claim of a program antibody patent for covering the program antibody contained in such product in such country. Through December 31, 2025, no royalty payments have been paid to or have been earned by Adimab under the Adimab Platform Transfer Agreement.</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may terminate the Adimab Platform Transfer Agreement at any time upon advance written notice to Adimab. In addition, subject to certain conditions, either party may terminate the Adimab Platform Transfer Agreement in the event of a material breach by the other party that is not cured within specified periods or in connection with the other party’s insolvency.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Adimab Platform Transfer Agreement represented an asset acquisition of IPR&amp;D with no alternative future use. Therefore, payments made by the Company to Adimab for milestones achieved will be recognized as IPR&amp;D expense in the related period in which the services are performed or the related milestone is considered probable of achievement. Amounts paid with respect to the annual material improvement fees are recognized as research and development expense as such amounts are incurred. Please refer to Note 15 for additional information.</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WuXi Biologics Cell Line License Agreement</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December 2020, as amended in February 2023, March 2024 and March 2026, the Company entered into a Cell Line License Agreement with WuXi Biologics (Hong Kong) Limited (“WuXi Biologics”) (the “Cell Line License Agreement”), under which WuXi Biologics granted to the Company a non-exclusive, non-transferable, worldwide, royalty-bearing, sublicensable license to certain of its intellectual property, including certain patent rights associated with a proprietary cell line developed by WuXi Biologics for the exploitation of certain recombinant antibodies developed using such proprietary cell line (each, a “Licensed Product”). Each Licensed Product generated under the arrangement will be produced from a transformed or transfected version of the proprietary cell line derived by WuXi Biologics (each of such transformed or transfected cell lines, a “Licensed Cell Line”).</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December 2020, the Company recognized an upfront fee of $0.2 million upon completion of cell bank generation for the first Licensed Cell Line created under the Cell Line License Agreement.</w:t>
      </w:r>
    </w:p>
    <w:p>
      <w:pPr>
        <w:spacing w:after="0" w:line="5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Company is also obligated to pay royalties in the range of less than 1.0% to WuXi Biologics based on net sales of any Licensed Products manufactured by the Company or a third party on its behalf. However, if the Company uses WuXi Biologics to manufacture all of its commercial supplies for Licensed Products, no royalties would be owed by the Company to WuXi Biologics for net sales of Licensed Products. The Company has an option to buy out its royalty obligations on a Licensed Cell Line-by-Licensed Cell Line basis with respect to certain Licensed Products by making a one-time payment in the low eight-figures to WuXi Biologics and with respect to certain other Licensed Products by making a one-time payment in the middle-seven figures to WuXi Biologics. Royalties are due on a Licensed Product-by-Licensed Product basis commencing on the date of the first commercial sale of the applicable product and continuing for so long as the Company commercializes Licensed Products or, if earlier, until the Company exercises its option to buy out the royalty obligations. The royalty obligation shall be waived to the extent the royalty obligation is derived or arising from a Licensed Product sold in the U.S. if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3" w:name="page154"/>
    <w:bookmarkEnd w:id="153"/>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ability to have such Licensed Product manufactured by WuXi Biologics becomes materially restricted due to certain government actions, with such waiver continuing for so long as such government action continues. Through December 31, 2025, no royalties had become due to WuXi Biologics.</w:t>
      </w:r>
    </w:p>
    <w:p>
      <w:pPr>
        <w:spacing w:after="0" w:line="4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Cell Line License Agreement remains in effect until it is terminated. The Company may terminate the Cell Line License Agreement at any time with notice to WuXi Biologics. WuXi Biologics may terminate the Cell Line License Agreement in the event the Company fails to make a payment when due under the Cell Line License Agreement and such non-payment is not cured within a specified period after notice. Either party may terminate the Cell Line License Agreement in the event of a material breach by the other party that is not cured within a specified period after notice. Upon termination of the Cell Line License Agreement, the license conveyed by WuXi Biologics to the Company will continue in full force and effect with respect to all Licensed Products manufactured using the Licensed Cell Line already generated under the Cell Line License Agreement, provided that the Company continues to pay its royalty obligations, if any.</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concluded that the Cell Line License Agreement represented an asset acquisition of IPR&amp;D with no alternative future use. The Cell Line License Agreement did not qualify as a business combination because substantially all of the fair value of the assets acquired was concentrated in a single asset. The Company did not recognize any IPR&amp;D expense under the Cell Line License Agreement during the years ended December 31, 2025 or 2024.</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Population Health Partners, L.P.</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In November 2022 (the “PHP Effective Date”), the Company entered into a Master Services Agreement with Population Health Partners, L.P. (“PHP”), pursuant to which PHP agreed to provide services and create deliverables for the Company as agreed between the Company and PHP and set forth in one or more work orders under such agreement (the “PHP MSA”). The term of the PHP MSA commenced on the PHP Effective Date for an initial term of one year. The PHP MSA renewed for subsequent periods, until terminated in accordance with its terms. The PHP MSA was terminated effective July 2024. On the PHP Effective Date, the Company and PHP entered into the first work order under the PHP MSA (the “PHP Work Order”), pursuant to which PHP agreed to advise and counsel the Company regarding clinical development and regulatory matters with respect to the Company’s product candidates. The PHP Work Order was effective for six months from the PHP Effective Date and terminated in accordance with its terms in May 2023. The PHP MSA contained customary confidentiality provisions and representations and warranties of the parties, as well as mutual non-solicitation of certain employees during the term of the PHP MSA and for a period of one year thereafter.</w:t>
      </w:r>
    </w:p>
    <w:p>
      <w:pPr>
        <w:spacing w:after="0" w:line="8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compensation for the services and deliverables under the PHP Work Order, the Company paid PHP a cash fee of $0.5 million per month during the term of the PHP Work Order for an aggregate fee of $3.0 million (the “Aggregate Fee”).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any research and development expense related to the cash compensation paid to PHP. Please refer to Note 15 for additional information.</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the cash compensation, on the PHP Effective Date, the Company issued a warrant to purchase shares of the Company’s common stock to PHP (the “PHP Warrant”). The exercise price of the PHP Warrant is $3.48 per share of the Company’s common stock, which was equal to the Nasdaq official closing price of a share of the Company’s common stock on the trading day immediately prior to the PHP Effective Date. The PHP Warrant is exercisable for up to an aggregate of 6,824,712 shares of the Company’s common stock, and vests in three separate tranches as follows:</w:t>
      </w:r>
    </w:p>
    <w:p>
      <w:pPr>
        <w:spacing w:after="0" w:line="180" w:lineRule="exact"/>
        <w:rPr>
          <w:sz w:val="20"/>
          <w:szCs w:val="20"/>
          <w:color w:val="auto"/>
        </w:rPr>
      </w:pPr>
    </w:p>
    <w:p>
      <w:pPr>
        <w:ind w:left="1020" w:right="320" w:hanging="445"/>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3,591,954 shares of the Company’s common stock underlying the PHP Warrant vests if the Company’s Market Capitalization (as defined below) equals or exceeds $758,517,511 by November 15, 2028;</w:t>
      </w:r>
    </w:p>
    <w:p>
      <w:pPr>
        <w:spacing w:after="0" w:line="161"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1,795,977 shares of the Company’s common stock underlying the PHP Warrant vests if the Company’s Market Capitalization equals or exceeds $1,137,776,266 by November 15, 2029; and</w:t>
      </w:r>
    </w:p>
    <w:p>
      <w:pPr>
        <w:spacing w:after="0" w:line="161" w:lineRule="exact"/>
        <w:rPr>
          <w:rFonts w:ascii="Times New Roman" w:cs="Times New Roman" w:eastAsia="Times New Roman" w:hAnsi="Times New Roman"/>
          <w:sz w:val="18"/>
          <w:szCs w:val="18"/>
          <w:color w:val="auto"/>
        </w:rPr>
      </w:pPr>
    </w:p>
    <w:p>
      <w:pPr>
        <w:ind w:left="1020" w:right="460" w:hanging="445"/>
        <w:spacing w:after="0" w:line="282" w:lineRule="auto"/>
        <w:tabs>
          <w:tab w:leader="none" w:pos="10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1,436,781 shares of the Company’s common stock underlying the PHP Warrant vests if the Company’s Market Capitalization equals or exceeds $1,517,035,022 by November 15, 2030.</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purposes of the PHP Warrant, the term “Market Capitalization” means, with respect to a particular trading day, the total value of the outstanding shares of the Company’s common stock on such date, calculated by multiplying the Company’s volume weighted-average price for the ten (10) trading days immediately preceding such date by the Company’s total number of outstanding shares of the Company’s common stock as reflected in (i) the Company’s most recent periodic or annual report filed with the SEC (e.g., Annual Report on Form 10-K or Quarterly Report on Form 10-Q), as the case may be, (ii) a more recent public announcement by the Company or (iii) a more recent written notice by the Company or the Company’s transfer agent setting forth the number of shares of the Company's common stock outstanding. As of December 31, 2025, no portion of the PHP Warrant had vested.</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5" w:right="339" w:bottom="1440" w:gutter="0" w:footer="0" w:header="0"/>
        </w:sectPr>
      </w:pPr>
    </w:p>
    <w:bookmarkStart w:id="154" w:name="page155"/>
    <w:bookmarkEnd w:id="154"/>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PHP Warrant is exercisable for ten years from the PHP Effective Date with respect to the vested portion(s) of the PHP Warrant. The PHP Warrant may be exercised by cash exercise or, at the election of PHP, by means of “cashless exercise” pursuant to a formula set forth in the PHP Warrant. The Company also granted PHP certain “piggyback” registration rights requiring the Company to register any shares of the Company’s common stock underlying the PHP Warrant for resale with the SEC, subject to the Company’s existing obligations under that certain Second Amended and Restated Investors’ Rights Agreement, dated April 16, 2021, by and among the Company and the investors party thereto, which registration rights PHP exercised in January 2024.</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Upon the consummation of a fundamental transaction of the Company (as defined in the PHP Warrant) on or prior to November 15, 2028, all of the shares underlying the PHP Warrant would become immediately vested and exercisable; upon the consummation of a fundamental transaction of the Company after November 15, 2028 but on or prior to November 15, 2029, the shares underlying the second and third tranches of the PHP Warrant would become immediately vested and exercisable; and upon the consummation of a fundamental transaction of the Company after November 15, 2029 but on or prior to November 15, 2030, the shares underlying the third tranche of the PHP Warrant would become immediately vested and exercisable.</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Refer to Note 11 for additional information on the PHP Warrant.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Tamsin Berry, a member of the Company’s board of directors, is a Limited Partner of PHP.</w:t>
      </w:r>
    </w:p>
    <w:p>
      <w:pPr>
        <w:spacing w:after="0" w:line="221" w:lineRule="exact"/>
        <w:rPr>
          <w:sz w:val="20"/>
          <w:szCs w:val="20"/>
          <w:color w:val="auto"/>
        </w:rPr>
      </w:pPr>
    </w:p>
    <w:p>
      <w:pPr>
        <w:ind w:left="520" w:right="8420" w:hanging="512"/>
        <w:spacing w:after="0" w:line="400" w:lineRule="auto"/>
        <w:tabs>
          <w:tab w:leader="none" w:pos="191"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Operating Lease Commitments</w:t>
      </w: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September 2021, the Company entered into a five-year facilities lease agreement for approximately 9,600 square feet of office space in Waltham, Massachusetts, which provides for monthly rental payments, including base rent charges of $0.4 million per year, subject to periodic rent increases, and the Company’s proportionate share of operating expenses. The Company exercised its option to terminate and this lease agreement expired in accordance with its terms on May 31, 2025.</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June 2022, the Company entered into a two-year noncancelable agreement for dedicated laboratory and office space in Newton, Massachusetts (the “Newton, MA Lease”), which was amended in September 2022. Pursuant to the amended Newton, MA Lease, the Company entered into a two-year noncancelable agreement for new dedicated laboratory and office space in Newton, Massachusetts, on the same campus as, and in lieu of, the space leased under the original lease. The Company took occupancy of the new dedicated laboratory and office space in December 2022. The amended Newton, MA Lease provided for monthly rental payments, including base rent charges of $1.3 million per year. In August 2024 and May 2025, the Newton, MA Lease was further amended to extend the lease through December 2027, with an option to further extend the lease for an additional twenty-four months or continue the lease on a month-to-month basis after completion of the term ending in December 2027.</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2026, the Company further amended the Newton, MA Lease to add additional dedicated laboratory space, which commenced on March 1, 2026. The amendment provides for incremental annual base rent of $0.3 million for the remainder of the lease term, through December 2027. As the modification had not commenced as of December 31, 2025, no right-of-use asset or lease liability has been recorded in the accompanying financial statements.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2025, the Company entered into a short-term lease agreement for approximately 13,600 square feet of office space in New Haven, Connecticut, with an original term of 12 months. The Company has elected the short-term lease recognition exemption under ASC Topic 842 – Leases and therefore has not recognized a right-of-use asset or lease liability on the balance sheet. As of December 31, 2025, base rent charges of less than $0.1 million were incurred.</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January 2026, the Company entered into an agreement to lease approximately 33,000 square feet of office space in New Haven, Connecticut. The term of the lease will commence after the later of (i) the date on which landlord improvements to the premises are deemed to be substantially completed, or</w:t>
      </w:r>
    </w:p>
    <w:p>
      <w:pPr>
        <w:jc w:val="both"/>
        <w:ind w:firstLine="8"/>
        <w:spacing w:after="0" w:line="251" w:lineRule="auto"/>
        <w:tabs>
          <w:tab w:leader="none" w:pos="272"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the lender consent package. The lease has an initial term of one hundred twenty-nine months, measured from the lease commencement date.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obligation for the payment of rent for the premises begins six months after the lease commencement date and total future minimum lease payments are expected to be $10.9 million. The lease includes a tenant improvement allowance of approximately $1.0 million.</w:t>
      </w:r>
    </w:p>
    <w:p>
      <w:pPr>
        <w:spacing w:after="0" w:line="7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New Haven, CT lease requires the Company to provide a security deposit of $1.0 million in the form of a letter of credit, which will be reduced by 50% following the first twelve months of rent payments.</w:t>
      </w:r>
    </w:p>
    <w:p>
      <w:pPr>
        <w:spacing w:after="0" w:line="54"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the New Haven, CT lease had not commenced as of December 31, 2025, no right-of-use asset or lease liability has been recorded in the accompanying financial statements.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operating lease expense were as follows (in thousands):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90"/>
        </w:trPr>
        <w:tc>
          <w:tcPr>
            <w:tcW w:w="6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86"/>
        </w:trPr>
        <w:tc>
          <w:tcPr>
            <w:tcW w:w="6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r>
      <w:tr>
        <w:trPr>
          <w:trHeight w:val="209"/>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cost:</w:t>
            </w:r>
          </w:p>
        </w:tc>
        <w:tc>
          <w:tcPr>
            <w:tcW w:w="1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6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cost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2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Variable lease cost</w:t>
            </w:r>
          </w:p>
        </w:tc>
        <w:tc>
          <w:tcPr>
            <w:tcW w:w="1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1,768</w:t>
            </w:r>
          </w:p>
        </w:tc>
        <w:tc>
          <w:tcPr>
            <w:tcW w:w="12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3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cash flows related to operating leases</w:t>
            </w: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1,335</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-582295</wp:posOffset>
            </wp:positionV>
            <wp:extent cx="6858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-582295</wp:posOffset>
            </wp:positionV>
            <wp:extent cx="7747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Future minimum lease payments under the noncancelable leases as of December 31, 2025 was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00" w:type="dxa"/>
            <w:vAlign w:val="bottom"/>
          </w:tcPr>
          <w:p>
            <w:pPr>
              <w:ind w:left="158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500" w:type="dxa"/>
            <w:vAlign w:val="bottom"/>
          </w:tcPr>
          <w:p>
            <w:pPr>
              <w:spacing w:after="0"/>
              <w:rPr>
                <w:sz w:val="15"/>
                <w:szCs w:val="15"/>
                <w:color w:val="auto"/>
              </w:rPr>
            </w:pPr>
          </w:p>
        </w:tc>
        <w:tc>
          <w:tcPr>
            <w:tcW w:w="2440" w:type="dxa"/>
            <w:vAlign w:val="bottom"/>
            <w:gridSpan w:val="2"/>
          </w:tcPr>
          <w:p>
            <w:pPr>
              <w:jc w:val="right"/>
              <w:ind w:right="1020"/>
              <w:spacing w:after="0"/>
              <w:rPr>
                <w:sz w:val="20"/>
                <w:szCs w:val="20"/>
                <w:color w:val="auto"/>
              </w:rPr>
            </w:pPr>
            <w:r>
              <w:rPr>
                <w:rFonts w:ascii="Times New Roman" w:cs="Times New Roman" w:eastAsia="Times New Roman" w:hAnsi="Times New Roman"/>
                <w:sz w:val="14"/>
                <w:szCs w:val="14"/>
                <w:b w:val="1"/>
                <w:bCs w:val="1"/>
                <w:color w:val="auto"/>
              </w:rPr>
              <w:t>Operating Lease</w:t>
            </w:r>
          </w:p>
        </w:tc>
      </w:tr>
      <w:tr>
        <w:trPr>
          <w:trHeight w:val="20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500" w:type="dxa"/>
            <w:vAlign w:val="bottom"/>
            <w:tcBorders>
              <w:top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w:t>
            </w:r>
          </w:p>
        </w:tc>
        <w:tc>
          <w:tcPr>
            <w:tcW w:w="100" w:type="dxa"/>
            <w:vAlign w:val="bottom"/>
          </w:tcPr>
          <w:p>
            <w:pPr>
              <w:spacing w:after="0"/>
              <w:rPr>
                <w:sz w:val="18"/>
                <w:szCs w:val="18"/>
                <w:color w:val="auto"/>
              </w:rPr>
            </w:pPr>
          </w:p>
        </w:tc>
      </w:tr>
      <w:tr>
        <w:trPr>
          <w:trHeight w:val="209"/>
        </w:trPr>
        <w:tc>
          <w:tcPr>
            <w:tcW w:w="8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500" w:type="dxa"/>
            <w:vAlign w:val="bottom"/>
            <w:shd w:val="clear" w:color="auto" w:fill="CFF0FC"/>
          </w:tcPr>
          <w:p>
            <w:pPr>
              <w:spacing w:after="0"/>
              <w:rPr>
                <w:sz w:val="18"/>
                <w:szCs w:val="18"/>
                <w:color w:val="auto"/>
              </w:rPr>
            </w:pPr>
          </w:p>
        </w:tc>
        <w:tc>
          <w:tcPr>
            <w:tcW w:w="2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00" w:type="dxa"/>
            <w:vAlign w:val="bottom"/>
            <w:shd w:val="clear" w:color="auto" w:fill="CFF0FC"/>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adjustment</w:t>
            </w:r>
          </w:p>
        </w:tc>
        <w:tc>
          <w:tcPr>
            <w:tcW w:w="500" w:type="dxa"/>
            <w:vAlign w:val="bottom"/>
          </w:tcPr>
          <w:p>
            <w:pPr>
              <w:spacing w:after="0"/>
              <w:rPr>
                <w:sz w:val="18"/>
                <w:szCs w:val="18"/>
                <w:color w:val="auto"/>
              </w:rPr>
            </w:pPr>
          </w:p>
        </w:tc>
        <w:tc>
          <w:tcPr>
            <w:tcW w:w="2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(146)</w:t>
            </w:r>
          </w:p>
        </w:tc>
      </w:tr>
      <w:tr>
        <w:trPr>
          <w:trHeight w:val="250"/>
        </w:trPr>
        <w:tc>
          <w:tcPr>
            <w:tcW w:w="8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operating lease liability</w:t>
            </w:r>
          </w:p>
        </w:tc>
        <w:tc>
          <w:tcPr>
            <w:tcW w:w="500" w:type="dxa"/>
            <w:vAlign w:val="bottom"/>
            <w:tcBorders>
              <w:top w:val="single" w:sz="8" w:color="auto"/>
              <w:bottom w:val="single" w:sz="8" w:color="auto"/>
            </w:tcBorders>
            <w:shd w:val="clear" w:color="auto" w:fill="CFF0FC"/>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operating leases were measured using a weighted-average incremental borrowing rate of 6.0% over a weighted-average remaining lease term of 2.0 years.</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2024, the Company’s operating leases were measured using a weighted-average incremental borrowing rate of 6.0% over a weighted-average remaining lease term of 0.9 years.</w:t>
      </w:r>
    </w:p>
    <w:p>
      <w:pPr>
        <w:spacing w:after="0" w:line="54" w:lineRule="exact"/>
        <w:rPr>
          <w:sz w:val="20"/>
          <w:szCs w:val="20"/>
          <w:color w:val="auto"/>
        </w:rPr>
      </w:pPr>
    </w:p>
    <w:p>
      <w:pPr>
        <w:jc w:val="both"/>
        <w:ind w:firstLine="509"/>
        <w:spacing w:after="0" w:line="269" w:lineRule="auto"/>
        <w:rPr>
          <w:sz w:val="20"/>
          <w:szCs w:val="20"/>
          <w:color w:val="auto"/>
        </w:rPr>
      </w:pPr>
      <w:r>
        <w:rPr>
          <w:rFonts w:ascii="Times New Roman" w:cs="Times New Roman" w:eastAsia="Times New Roman" w:hAnsi="Times New Roman"/>
          <w:sz w:val="18"/>
          <w:szCs w:val="18"/>
          <w:color w:val="auto"/>
        </w:rPr>
        <w:t xml:space="preserve">The total operating liabilities are presented on the Company’s consolidated balance sheet based on maturity dates. $1.3 million is classified under </w:t>
      </w:r>
      <w:r>
        <w:rPr>
          <w:rFonts w:ascii="Times New Roman" w:cs="Times New Roman" w:eastAsia="Times New Roman" w:hAnsi="Times New Roman"/>
          <w:sz w:val="21"/>
          <w:szCs w:val="21"/>
          <w:color w:val="auto"/>
        </w:rPr>
        <w:t>“</w:t>
      </w:r>
      <w:r>
        <w:rPr>
          <w:rFonts w:ascii="Times New Roman" w:cs="Times New Roman" w:eastAsia="Times New Roman" w:hAnsi="Times New Roman"/>
          <w:sz w:val="17"/>
          <w:szCs w:val="17"/>
          <w:color w:val="auto"/>
        </w:rPr>
        <w:t>operating lease liabilities, current” for the portion due within twelve months, and $1.2 million classified under “operating lease liabilities, non-current” 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7"/>
          <w:szCs w:val="17"/>
          <w:color w:val="auto"/>
        </w:rPr>
        <w:t>of December 31, 2025.</w:t>
      </w:r>
    </w:p>
    <w:p>
      <w:pPr>
        <w:spacing w:after="0" w:line="2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entered into license agreements with Adimab and WuXi Biologics (see Note 7).</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Manufacturing Agreements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July 2020, the Company entered into a clinical Master Services Agreement with WuXi Biologics, which was amended in March 2026 (as amended, the “Clinical Master Services Agreement”). The Clinical Master Services Agreement outlines the terms and conditions under which WuXi Biologics coordinates biologics development and clinical manufacturing services for the Company.</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December 2020, the Company entered into a Commercial Manufacturing Services Agreement with WuXi Biologics, which was amended and restated in August 2021, further amended and restated in September 2023 and amended in March 2026 (as amended and restated and subsequently amended, the “Commercial Manufacturing Agreement”). The Commercial Manufacturing Agreement outlines the terms and conditions under which WuXi Biologics manufactures drug substance and drug product for commercial use.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committed to noncancelable purchase obligations related to commercial drug substance and drug product manufacturing under the Commercial Manufacturing Agreement. As of December 31, 2025, the total remaining contractually binding commercial drug substance and drug product purchase obligations due to WuXi Biologics was $10.6 million, which was included in accounts payable and accrued expenses. The remaining contractually binding purchase obligation and was paid in January 2026.</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committed to noncancelable purchase obligations related to the procurement of materials to be used in future drug substance and drug product manufacturing under the Commercial Manufacturing Agreement. As of December 31, 2025, the total remaining contractually binding purchase obligations due to WuXi Biologics was $3.5 million, which was included in accounts payable and accrued expenses. The remaining contractually binding purchase obligation was paid in January 2026.</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156" w:name="page157"/>
    <w:bookmarkEnd w:id="156"/>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Unless earlier terminated, the Commercial Manufacturing Agreement remains in effect until March 1, 2036, subject to renewal as may be agreed by the parties. Either party may terminate the agreement upon the breach or default by the other party, other than a non-payment breach, that is not timely cured after notice thereof. Both parties are also entitled to terminate the Commercial Manufacturing Agreement if the other party becomes insolvent or is the subject of a petition in bankruptcy or of any other related proceeding or event. Either party may terminate either the Commercial Manufacturing Agreement in its entirety, or an individual order, (i) to the extent the other party suffers a force majeure event that is continuing for a predefined period of time and (ii) if the other party fails to make a payment when due under the arrangement and such non-payment is not timely cured after notice thereof. With advance notice, the Company may terminate the Commercial Manufacturing Agreement or an individual order for convenience. The Company may terminate the Commercial Manufacturing Agreement effective immediately if any new or existing law, rule, regulation, guideline or order prevents the Company from being able to enter into or maintain a contract with a U.S. governmental entity, or from receiving grant funds from such entity, or affects the Company’s ability to obtain government insurance coverage of any product under the Commercial Manufacturing Agreement, in each case, as a result of WuXi Biologics providing services to the Company under the Commercial Manufacturing Agreement or being a party to the Commercial Manufacturing Agreement. Until regulatory approval and future economic benefit is probable, the Company will continue to expense costs related to batches manufactured under the Commercial Manufacturing Agreement.</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Other Contracts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enters into agreements with third parties in the ordinary course of business for various products and services, including those related to research, preclinical and clinical operations, manufacturing and support, supply chain, and distribution. These contracts do not contain any material minimum purchase commitments. Certain of these agreements provide for termination rights subject to the payment of termination fees and/or wind-down costs. Under such agreements, the Company is contractually obligated to make certain payments to vendors upon early termination, primarily to reimburse them for their unrecoverable outlays incurred prior to cancellation as well as any amounts owed by the Company prior to early termination. The actual amounts the Company could pay in the future to the vendors under such agreements may differ from the purchase order amounts due to cancellation provisions. The termination fees were not probable of payment as of December 31, 2025 and 2024.</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involved in legal proceedings or other litigation relating to claims arising in the ordinary course of business. The Company accrues a liability for such matters when it is probable that future expenditures will be made and that such expenditures can be reasonably estimated. Significant judgment is required to determine both probability and estimated exposure amount. Legal fees and other costs associated with such proceedings are expensed as incurred. As of December 31, 2025, the Company was not a party to any material legal proceedings.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may provide indemnification of varying scope and terms to its vendors, lessors, CROs, contract development and manufacturing organizations (“CDMOs”),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its executive officers that require the Company, among other things, to indemnify them against certain liabilities that may arise by reason of their status or service as directors or executive officers. The maximum potential amount of future payments that the Company could be required to make under these indemnification agreements is, in many cases, unlimited. The Company has not incurred any material costs as a result of such indemnifications and is not currently aware of any indemnification claims.</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Loan Agreement</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April 18, 2025, the Company entered into a Loan and Security Agreement (the “Loan Agreement”) with Silicon Valley Bank, a division of First-Citizens Bank &amp; Trust Company, as lender (the “Lender”). The Loan Agreement provides for a senior secured term loan facility in an aggregate principal amount of up to $30 million (the “Term Facility”) consisting of (a) Term A Loans in an aggregate principal amount of up to $10 million, which shall be available to be drawn from and after August 15, 2025 through December 31, 2026 upon compliance with certain financial covenants and conditions, (b) Term B Loans in an aggregate principal amount of up to $10 million, which shall be available to be drawn during the period commencing on the date of the achievement of certain net product revenue milestones and ending on June 30, 2027, and (c) Term C Loans in an aggregate principal amount of up to $10 million, which shall be available to be drawn during the period commencing on the date of the achievement of certain net product revenue milestones and ending on June 30, 2027. The proceeds of the Term Facility may be used for working capital and general business purposes. As of December 31, 2025, the</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7" w:name="page158"/>
    <w:bookmarkEnd w:id="157"/>
    <w:p>
      <w:pPr>
        <w:jc w:val="both"/>
        <w:spacing w:after="0" w:line="282" w:lineRule="auto"/>
        <w:rPr>
          <w:sz w:val="20"/>
          <w:szCs w:val="20"/>
          <w:color w:val="auto"/>
        </w:rPr>
      </w:pPr>
      <w:r>
        <w:rPr>
          <w:rFonts w:ascii="Times New Roman" w:cs="Times New Roman" w:eastAsia="Times New Roman" w:hAnsi="Times New Roman"/>
          <w:sz w:val="18"/>
          <w:szCs w:val="18"/>
          <w:color w:val="auto"/>
        </w:rPr>
        <w:t>Company had not satisfied certain financial covenants and conditions, including the net product revenue milestone required to be eligible to access proceeds from the Term Facility. Accordingly, as of December 31, 2025, no amounts have been drawn down under the Loan Agreement.</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loans under the Term Facility are due and payable on March 1, 2029 and bear interest that is payable monthly, commencing with the month in which any loans are funded under the Term Facility, in arrears at a per annum rate, subject to increase during an Event of Default (as defined in the Loan Agreement), equal to the greater of (x) the Wall Street Journal prime rate minus 0.25%, subject to a 9.00% cap, and (y) 6.00%. Commencing on April 1, 2027, which date may be extended to April 1, 2028 upon the achievement of certain net product revenue milestones (the “Interest-Only Period Extension”), the Company will be required to repay the principal of the Term Facility in 24 consecutive equal monthly installments or, in the case of the Interest-Only Period Extension, 12 consecutive equal monthly installments. At maturity, or if earlier prepaid, the Company will also be required to pay a final payment fee equal to 4.50% of the aggregate principal amount of the loans advanced under the Term Facility. The Loan Agreement provides for an unused term loan commitment fee equal to 1.00% of the Term Facility upon the earliest to occur of (a) July 1, 2027, (b) the occurrence of an Event of Default under the Loan Agreement and (c) the termination of the Loan Agreement; provided, that such fee will be waived by the Lender in the event that the Company has requested and the Lender has funded any loans under the Term Facility prior to such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Common Stock</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Future Issuance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2025 the Company had reserved 36,121,835 shares of common stock for the exercise of outstanding stock options, the vesting of outstanding restricted stock units (</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RSUs</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and the issuance of awards available for grant under the Company’s 2020 Equity Incentive Plan, 2021 Equity Incentive Plan and 2021 Employee Stock Purchase Plan (see Note 11).</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2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In September 2022, the Company filed a shelf registration statement on Form S-3 with the SEC and an accompanying base prospectus, which was declared effective by the SEC on October 5, 2022, for the offer and sale of up to $400 million of the Company’s securities (the “2022 Shelf Registration Statement”). The 2022 Shelf Registration Statement expired upon the effectiveness of the 2025 Shelf Registration Statement (as defined below).</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October 2025, the Company filed a new shelf registration statement on Form S-3 with the SEC and an accompanying base prospectus, which was declared effective by the SEC on December 23, 2025, for the offer and sale of up to $350 million of the Company’s securities (the “2025 Shelf Registration Statement”). As of December 31, 2025, excluding the $75 million allocated to the 2025 ATM Prospectus Supplement (as defined below), $275 million of the Company’s securities remained available for offer and sale under the 2025 Shelf Registration Statement.</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August 2025 Underwritten Public Offering</w:t>
      </w:r>
    </w:p>
    <w:p>
      <w:pPr>
        <w:spacing w:after="0" w:line="121" w:lineRule="exact"/>
        <w:rPr>
          <w:sz w:val="20"/>
          <w:szCs w:val="20"/>
          <w:color w:val="auto"/>
        </w:rPr>
      </w:pPr>
    </w:p>
    <w:p>
      <w:pPr>
        <w:ind w:right="240" w:firstLine="509"/>
        <w:spacing w:after="0" w:line="254" w:lineRule="auto"/>
        <w:rPr>
          <w:sz w:val="20"/>
          <w:szCs w:val="20"/>
          <w:color w:val="auto"/>
        </w:rPr>
      </w:pPr>
      <w:r>
        <w:rPr>
          <w:rFonts w:ascii="Times New Roman" w:cs="Times New Roman" w:eastAsia="Times New Roman" w:hAnsi="Times New Roman"/>
          <w:sz w:val="18"/>
          <w:szCs w:val="18"/>
          <w:color w:val="auto"/>
        </w:rPr>
        <w:t>In August 2025, the Company completed an underwritten public offering pursuant to an underwriting agreement (the “August Underwriting Agreement”) with Cantor Fitzgerald &amp; Co. (“Cantor”), as representative of the underwriters named therein, pursuant to which it issued and sold an aggregate of 89,234,480 shares of its common stock at a price of $0.52 per share, and pre-funded warrants to purchase up to an aggregate of 21,342,442 shares of common stock at a price of $0.5199 per pre-funded warrant (the “August 2025 Underwritten Public Offering”). The price of $0.5199 per pre-funded warrant represented the $0.52 per share purchase price for the common stock less the exercise price of $0.0001 per pre-funded warrant. The pre-funded warrants are exercisable at any time after their original issuance and will not expire. The Company received total net proceeds of approximately $53.5 million, after deducting underwriting discounts and commissions and offering expenses payable by the Company. As of December 31, 2025, there were no exercises of pre-funded warrants.</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November 2025 Underwritten Public Offering</w:t>
      </w:r>
    </w:p>
    <w:p>
      <w:pPr>
        <w:spacing w:after="0" w:line="121"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November 2025, the Company completed an underwritten public offering pursuant to an underwriting agreement (the “November Underwriting Agreement” and together with the August Underwriting Agreement, the “Underwriting Agreements”) with Cantor, as representative of the underwriters named therein, pursuant to which it issued and sold an aggregate of 44,000,000 shares of its common stock at a price of $2.50 per share, and pre-funded warrants to purchase up to an aggregate of 6,000,000 shares of common stock at a price of $2.4999 per pre-funded warrant (the “November 2025 Underwritten Public Offering”, and, together with the August 2025 Underwritten Public Offering, the “2025 Underwritten Public Offerings”). The price of $2.4999 per pre-funded warrant represented the $2.50 per share purchase price for the</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8" w:name="page159"/>
    <w:bookmarkEnd w:id="158"/>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common stock less the exercise price of $0.0001 per pre-funded warrant. The pre-funded warrants are exercisable at any time after their original issuance and will not expire. The Company received total net proceeds of approximately $117.2 million, after deducting underwriting discounts and commissions and offering expenses payable by the Company. As of December 31, 2025, there were no exercises of pre-funded warrants.</w:t>
      </w:r>
    </w:p>
    <w:p>
      <w:pPr>
        <w:spacing w:after="0" w:line="6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December 2025, and in connection with the November 2025 Underwritten Public Offering, Cantor exercised the option pursuant to the November Underwriting Agreement to purchase 4,675,000 additional shares of common stock at the public offering price of $2.50, less underwriting discounts and commissions. In connection with such exercise, the Company received total net proceeds of approximately $10.9 million, after deducting underwriting discounts and commissions and offering expenses payable by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ATM Facility</w:t>
      </w:r>
    </w:p>
    <w:p>
      <w:pPr>
        <w:spacing w:after="0" w:line="12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18"/>
          <w:szCs w:val="18"/>
          <w:color w:val="auto"/>
        </w:rPr>
        <w:t>In December 2023, the Company entered into a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(the “Sales Agreement”) with Cantor, as sales agent and filed with the SEC a prospectus supplement to the 2022 Shelf Registration Statement (the “2023 ATM Prospectus Supplement”), pursuant to which the Company could, at its option, offer and sell shares of its common stock, with a sales value of up to $75.0 million, from time to time, through Cantor, acting as sales agent, in transactions deemed to be “at the market offerings”, as defined in Rule 415 under the Securities Act of 1933, as amended (the “Securities Act”). Cantor was entitled to a commission of 3% of the gross proceeds from any sales of such shares. In 2024, the Company sold 9,000,000 shares of its common stock under the Sales Agreement and the 2023 ATM Prospectus Supplement, at an average price of $4.50 per share for $39.3 million in proceeds net of commissions. In 2025, the Company sold 23,055,402 shares of its common stock under the Sales Agreement and the 2023 ATM Prospectus Supplement at an average price of $1.49 per share for $33.4 million in proceeds net of commissions. Upon the effectiveness of the 2025 Shelf Registration Statement, all offers and sales under the 2023 ATM Prospectus Supplement were deemed terminated.</w:t>
      </w:r>
    </w:p>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October 2025, in connection with the filing of the 2025 Shelf Registration Statement, the Company filed with the SEC a new prospectus supplement (the “2025 ATM Prospectus Supplement”), pursuant to which the Company may, at its option, offer and sell shares of its common stock, with a sales value of up to $75.0 million, from time to time, through Cantor, acting as sales agent, in transactions deemed to be “at the market offerings”, as defined in Rule 415 under the Securities Act. Cantor is entitled to a commission of 3% of the gross proceeds from any sales of such shares. The 2025 Shelf Registration Statement was declared effective by the SEC on December 23, 2025, and $75.0 million remained available for sale under the 2025 ATM Prospectus Supplement as of December 31, 2025.</w:t>
      </w:r>
    </w:p>
    <w:p>
      <w:pPr>
        <w:spacing w:after="0" w:line="183" w:lineRule="exact"/>
        <w:rPr>
          <w:sz w:val="20"/>
          <w:szCs w:val="20"/>
          <w:color w:val="auto"/>
        </w:rPr>
      </w:pPr>
    </w:p>
    <w:p>
      <w:pPr>
        <w:ind w:left="520" w:right="8700" w:hanging="512"/>
        <w:spacing w:after="0" w:line="400" w:lineRule="auto"/>
        <w:tabs>
          <w:tab w:leader="none" w:pos="281" w:val="left"/>
        </w:tabs>
        <w:numPr>
          <w:ilvl w:val="0"/>
          <w:numId w:val="8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Stock-Based Compensation </w:t>
      </w:r>
      <w:r>
        <w:rPr>
          <w:rFonts w:ascii="Times New Roman" w:cs="Times New Roman" w:eastAsia="Times New Roman" w:hAnsi="Times New Roman"/>
          <w:sz w:val="17"/>
          <w:szCs w:val="17"/>
          <w:b w:val="1"/>
          <w:bCs w:val="1"/>
          <w:i w:val="1"/>
          <w:iCs w:val="1"/>
          <w:color w:val="auto"/>
        </w:rPr>
        <w:t>2020 Equity Incentive Plan</w:t>
      </w: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2020 Equity Incentive Plan (the “2020 Plan”) provides for the Company to grant incentive stock options, non-qualified stock options, restricted stock awards, restricted stock units and other stock-based awards to employees, members of the board of directors and consultants. The 2020 Plan is administered by the board of directors or, at the discretion of the board of directors, by a committee of the board of directors. The board of directors may also delegate to one or more officers of the Company the power to grant awards to employees and certain officers of the Company. The exercise prices, vesting and other restrictions are determined at the discretion of the board of directors, or its committee or any such officer if so delegated.</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exercise price for stock options granted may not be less than the fair market value of the Company’s common stock on the date of grant, as determined by the board of directors, or at least 110% of the fair market value of the Company’s common stock on the date of grant in the case of an incentive stock option granted to an employee who owns stock representing more than 10% of the voting power of all classes of stock as determined by the board of directors as of the date of grant. Prior to the IPO, the Company’s board of directors determined the fair value of the Company’s common stock, taking into consideration its most recently available valuation of common stock performed by third parties as well as additional factors which may have changed since the date of the most recent contemporaneous valuation through the date of grant. Stock options granted under the 2020 Plan expire after ten years and typically vest over a four-year period with the first 25% vesting upon the first anniversary of a specified vesting commencement date and the remainder vesting in 36 equal monthly installments over the succeeding three years, contingent on the recipient’s continued employment or service. Certain awards of stock options permit the holders to exercise the option in whole or in part prior to the full vesting of the option in exchange for unvested shares of restricted common stock with respect to any unvested portion of the option so exercised.</w:t>
      </w:r>
    </w:p>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there were 467,615 shares authorized to be issued upon the exercise of outstanding stock option grants and no shares reserved for future issuance under the 2020 Plan.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59" w:name="page160"/>
    <w:bookmarkEnd w:id="159"/>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12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Equity Incentive Plan (the “2021 Plan”), which became effective immediately prior to and contingent upon the execution of the underwriting agreement related to the Company’s IPO. The 2021 Plan provides for the grant of incentive stock options, non-statutory stock options, stock appreciation rights, restricted stock awards, restricted stock units and other stock-based awards. The number of shares reserved for issuance under the 2021 Plan was equal to 35,075,122, which is the sum of 11,413,572 new shares; plus the number of shares (not to exceed 23,661,550 shares), which represents (i) the number of shares that remained available for issuance under the 2020 Plan, at the time the 2021 Plan became effective, and (ii) any shares subject to outstanding stock options or other stock awards that were granted under the 2020 Plan that are forfeited, terminate, expire or are otherwise not issued. In December 2024, the 2021 Plan was amended by Amendment No. 1 to the 2021 Plan, which decreased the aggregate number of shares of the Company’s common stock reserved for issuance under the 2021 Plan by 8,000,000 shares. In addition, the number of shares of the Company’s common stock reserved for issuance under the 2021 Plan will automatically increase on the first day of each calendar year pursuant to the evergreen provision thereof, beginning on January 1, 2022 and continuing through January 1, 2031, in an amount equal to 5% of the shares of common stock outstanding on the last day of the calendar month before the date of each automatic increase, or a lesser number of shares determined by the board of directors. On January 1, 2022, 5,539,145 shares of common stock were automatically added to the shares authorized for issuance under the 2021 Plan pursuant to the evergreen provision thereof. On January 1, 2024, 3,304,820 shares of common stock were added to the shares authorized for issuance under the 2021 Plan, pursuant to the evergreen provision thereof, as determined by the Company’s board of directors. On January 1, 2026, 14,099,351 shares of common stock were added to the shares authorized for issuance under the 2021 Plan, pursuant to the evergreen provision thereof, as determined by the Company’s board of directors. The number of shares to be issued under the 2021 Plan did not increase pursuant to the evergreen provision thereof on January 1, 2023 nor January 1, 2025, as determined by the Company’s board of directors. The shares of common stock underlying any awards that are forfeited, cancelled, held back upon exercise or settlement of an award to satisfy the exercise price or tax withholding, repurchased or are otherwise terminated by the Company under the 2021 Plan will be added back to the shares of common stock available for issuance under the 2021 Plan.</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there were an aggregate of 35,609,897 shares authorized to be issued under the 2020 Plan and the 2021 Plan, which included 467,615 and 22,423,326 shares authorized to be issued upon the exercise of outstanding stock option grants from the 2020 Plan and 2021 Plan, respectively, and 0 and 12,718,956 shares reserved for future issuance under the 2020 Plan and 2021 Plan, respectively.</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2026 Inducement Plan</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January 2026, the Company’s board of directors adopted the 2026 Inducement Plan (the “2026 Inducement Plan”). Under the 2026 Inducement Plan, the Company is authorized to issue up to 8,000,000 shares pursuant to inducement grants. The only persons eligible to receive grants under the 2026 Inducement Plan are individuals who satisfy the standards for inducement grants under Nasdaq Listing Rule 5635(c)(4) and the related guidance under Nasdaq IM 5635-1, including individuals who were not previously an employee or director of the Company (or individuals following a bona fide period of non-employment), in each case as an inducement material to such individual’s agreement to enter into employment with the Company. The 2026 Inducement Plan provides for the discretionary grant of nonstatutory stock options, stock appreciation rights, restricted stock awards, restricted stock unit awards, performance awards, and certain other awards.</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fair value of stock option grants is estimated using the Black-Scholes option-pricing model. Prior to its IPO in August 2021, the Company had been a private company. Due to the proximity to the IPO, the Company continues to lack sufficient company-specific historical and implied volatility information. Therefore, it estimates its expected stock volatility based on the historical volatility of a publicly traded set of peer companies and expects to continue to do so until such time as it has adequate historical data regarding the volatility of its own traded stock price. For options with service-based vesting conditions, the expected term of the Company’s stock options has been determined utilizing the “simplified” method. The risk-free interest rate is determined by reference to the U.S. Treasury yield curve in effect at the time of grant of the award for time periods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60" w:name="page161"/>
    <w:bookmarkEnd w:id="160"/>
    <w:p>
      <w:pPr>
        <w:jc w:val="both"/>
        <w:spacing w:after="0" w:line="282" w:lineRule="auto"/>
        <w:rPr>
          <w:sz w:val="20"/>
          <w:szCs w:val="20"/>
          <w:color w:val="auto"/>
        </w:rPr>
      </w:pPr>
      <w:r>
        <w:rPr>
          <w:rFonts w:ascii="Times New Roman" w:cs="Times New Roman" w:eastAsia="Times New Roman" w:hAnsi="Times New Roman"/>
          <w:sz w:val="18"/>
          <w:szCs w:val="18"/>
          <w:color w:val="auto"/>
        </w:rPr>
        <w:t>approximately equal to the expected term of the award. Expected dividend yield is based on the fact that the Company has never paid cash dividends and does not expect to pay any cash dividends in the foreseeable future.</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on a weighted-average basis, the assumptions used in the Black-Scholes option-pricing model to determine the grant date fair value of stock options granted: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140" w:type="dxa"/>
            <w:vAlign w:val="bottom"/>
          </w:tcPr>
          <w:p>
            <w:pPr>
              <w:spacing w:after="0"/>
              <w:rPr>
                <w:sz w:val="13"/>
                <w:szCs w:val="13"/>
                <w:color w:val="auto"/>
              </w:rPr>
            </w:pPr>
          </w:p>
        </w:tc>
        <w:tc>
          <w:tcPr>
            <w:tcW w:w="1260" w:type="dxa"/>
            <w:vAlign w:val="bottom"/>
            <w:gridSpan w:val="4"/>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1400" w:type="dxa"/>
            <w:vAlign w:val="bottom"/>
            <w:gridSpan w:val="5"/>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0" w:type="dxa"/>
            <w:vAlign w:val="bottom"/>
            <w:gridSpan w:val="2"/>
          </w:tcPr>
          <w:p>
            <w:pPr>
              <w:jc w:val="right"/>
              <w:ind w:right="445"/>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ind w:right="438"/>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2"/>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34"/>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22"/>
        </w:trPr>
        <w:tc>
          <w:tcPr>
            <w:tcW w:w="5780" w:type="dxa"/>
            <w:vAlign w:val="bottom"/>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 Option Activity</w:t>
            </w: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40" w:type="dxa"/>
            <w:vAlign w:val="bottom"/>
            <w:gridSpan w:val="4"/>
          </w:tcPr>
          <w:p>
            <w:pPr>
              <w:ind w:left="520"/>
              <w:spacing w:after="0"/>
              <w:rPr>
                <w:sz w:val="20"/>
                <w:szCs w:val="20"/>
                <w:color w:val="auto"/>
              </w:rPr>
            </w:pPr>
            <w:r>
              <w:rPr>
                <w:rFonts w:ascii="Times New Roman" w:cs="Times New Roman" w:eastAsia="Times New Roman" w:hAnsi="Times New Roman"/>
                <w:sz w:val="18"/>
                <w:szCs w:val="18"/>
                <w:color w:val="auto"/>
                <w:w w:val="99"/>
              </w:rPr>
              <w:t>The following table summarizes the Company’s stock option activity since December 31, 2024:</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4"/>
                <w:szCs w:val="24"/>
                <w:color w:val="auto"/>
              </w:rPr>
            </w:pPr>
          </w:p>
        </w:tc>
        <w:tc>
          <w:tcPr>
            <w:tcW w:w="13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144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3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30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780" w:type="dxa"/>
            <w:vAlign w:val="bottom"/>
          </w:tcPr>
          <w:p>
            <w:pPr>
              <w:spacing w:after="0"/>
              <w:rPr>
                <w:sz w:val="15"/>
                <w:szCs w:val="15"/>
                <w:color w:val="auto"/>
              </w:rPr>
            </w:pP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5"/>
                <w:szCs w:val="15"/>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5"/>
                <w:szCs w:val="15"/>
                <w:color w:val="auto"/>
              </w:rPr>
            </w:pPr>
          </w:p>
        </w:tc>
        <w:tc>
          <w:tcPr>
            <w:tcW w:w="13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Term</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tcBorders>
              <w:top w:val="single" w:sz="8" w:color="auto"/>
            </w:tcBorders>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years)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12,168,094</w:t>
            </w:r>
          </w:p>
        </w:tc>
        <w:tc>
          <w:tcPr>
            <w:tcW w:w="24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4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(292,273)</w:t>
            </w: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(5,511,439)</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21,351,941</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42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15,525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7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expected to vest at December 31, 2025</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21,351,941</w:t>
            </w:r>
          </w:p>
        </w:tc>
        <w:tc>
          <w:tcPr>
            <w:tcW w:w="240" w:type="dxa"/>
            <w:vAlign w:val="bottom"/>
          </w:tcPr>
          <w:p>
            <w:pPr>
              <w:spacing w:after="0"/>
              <w:rPr>
                <w:sz w:val="17"/>
                <w:szCs w:val="17"/>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2.96</w:t>
            </w:r>
          </w:p>
        </w:tc>
        <w:tc>
          <w:tcPr>
            <w:tcW w:w="1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 exercisable at December 31, 2025</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9,823,931</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42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-299720</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-281940</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 value of stock options granted during the years ended December 31, 2025 and 2024 was $0.89 and $1.88, respectively, per share.</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is calculated as the difference between the exercise price of the underlying options and the fair market value of the common stock for the options that had exercise prices lower than the estimated fair value of the Company’s common stock at December 31, 2025 and December 31, 2024.</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total intrinsic value of stock options exercised during the years ended December 31, 2025 and 2024 was $0.2 million and $0.4 million, respectively.</w:t>
      </w:r>
    </w:p>
    <w:p>
      <w:pPr>
        <w:spacing w:after="0" w:line="26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 Activity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February and September 2025, the Company’s board of directors approved RSU grants to the Company’s executive officers and certain of its employees under the 2021 Plan. In February, an aggregate of 1,700,000 RSUs were issued at a grant date fair value of $1.61 per share. In September 2025, an aggregate of 400,000 RSUs were issued at a grant date fair value of $1.15 per share. All RSU grants are scheduled to vest over an eighteen-month period, with one-third of the RSUs vesting every six months following the relevant grant date, subject to continuous service as of each vesting date.</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since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4445</wp:posOffset>
            </wp:positionV>
            <wp:extent cx="93980" cy="2311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2">
                      <a:extLst>
                        <a:ext uri="{28A0092B-C50C-407E-A947-70E740481C1C}"/>
                      </a:extLst>
                    </a:blip>
                    <a:srcRect/>
                    <a:stretch>
                      <a:fillRect/>
                    </a:stretch>
                  </pic:blipFill>
                  <pic:spPr bwMode="auto">
                    <a:xfrm>
                      <a:off x="0" y="0"/>
                      <a:ext cx="93980" cy="2311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88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1740" w:type="dxa"/>
            <w:vAlign w:val="bottom"/>
            <w:gridSpan w:val="2"/>
          </w:tcPr>
          <w:p>
            <w:pPr>
              <w:jc w:val="right"/>
              <w:ind w:right="720"/>
              <w:spacing w:after="0" w:line="142"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2000" w:type="dxa"/>
            <w:vAlign w:val="bottom"/>
            <w:tcBorders>
              <w:top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Weighted Average Grant Date</w:t>
            </w:r>
          </w:p>
        </w:tc>
        <w:tc>
          <w:tcPr>
            <w:tcW w:w="100" w:type="dxa"/>
            <w:vAlign w:val="bottom"/>
          </w:tcPr>
          <w:p>
            <w:pPr>
              <w:spacing w:after="0"/>
              <w:rPr>
                <w:sz w:val="12"/>
                <w:szCs w:val="12"/>
                <w:color w:val="auto"/>
              </w:rPr>
            </w:pPr>
          </w:p>
        </w:tc>
      </w:tr>
      <w:tr>
        <w:trPr>
          <w:trHeight w:val="175"/>
        </w:trPr>
        <w:tc>
          <w:tcPr>
            <w:tcW w:w="38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74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10"/>
        </w:trPr>
        <w:tc>
          <w:tcPr>
            <w:tcW w:w="38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338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4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2,100,000</w:t>
            </w:r>
          </w:p>
        </w:tc>
        <w:tc>
          <w:tcPr>
            <w:tcW w:w="200" w:type="dxa"/>
            <w:vAlign w:val="bottom"/>
          </w:tcPr>
          <w:p>
            <w:pPr>
              <w:spacing w:after="0"/>
              <w:rPr>
                <w:sz w:val="18"/>
                <w:szCs w:val="18"/>
                <w:color w:val="auto"/>
              </w:rPr>
            </w:pP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16"/>
        </w:trPr>
        <w:tc>
          <w:tcPr>
            <w:tcW w:w="3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Vested</w:t>
            </w:r>
          </w:p>
        </w:tc>
        <w:tc>
          <w:tcPr>
            <w:tcW w:w="51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(561,000)</w:t>
            </w:r>
          </w:p>
        </w:tc>
        <w:tc>
          <w:tcPr>
            <w:tcW w:w="52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FF0FC"/>
          </w:tcPr>
          <w:p>
            <w:pPr>
              <w:spacing w:after="0"/>
              <w:rPr>
                <w:sz w:val="18"/>
                <w:szCs w:val="18"/>
                <w:color w:val="auto"/>
              </w:rPr>
            </w:pPr>
          </w:p>
        </w:tc>
      </w:tr>
      <w:tr>
        <w:trPr>
          <w:trHeight w:val="216"/>
        </w:trPr>
        <w:tc>
          <w:tcPr>
            <w:tcW w:w="3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33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3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338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1,539,000</w:t>
            </w:r>
          </w:p>
        </w:tc>
        <w:tc>
          <w:tcPr>
            <w:tcW w:w="20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CFF0FC"/>
            </w:tcBorders>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628"/>
        </w:trPr>
        <w:tc>
          <w:tcPr>
            <w:tcW w:w="3880" w:type="dxa"/>
            <w:vAlign w:val="bottom"/>
          </w:tcPr>
          <w:p>
            <w:pPr>
              <w:spacing w:after="0"/>
              <w:rPr>
                <w:sz w:val="24"/>
                <w:szCs w:val="24"/>
                <w:color w:val="auto"/>
              </w:rPr>
            </w:pPr>
          </w:p>
        </w:tc>
        <w:tc>
          <w:tcPr>
            <w:tcW w:w="5120" w:type="dxa"/>
            <w:vAlign w:val="bottom"/>
            <w:gridSpan w:val="3"/>
          </w:tcPr>
          <w:p>
            <w:pPr>
              <w:jc w:val="right"/>
              <w:ind w:right="3200"/>
              <w:spacing w:after="0"/>
              <w:rPr>
                <w:sz w:val="20"/>
                <w:szCs w:val="20"/>
                <w:color w:val="auto"/>
              </w:rPr>
            </w:pPr>
            <w:r>
              <w:rPr>
                <w:rFonts w:ascii="Times New Roman" w:cs="Times New Roman" w:eastAsia="Times New Roman" w:hAnsi="Times New Roman"/>
                <w:sz w:val="18"/>
                <w:szCs w:val="18"/>
                <w:color w:val="auto"/>
              </w:rPr>
              <w:t>F-28</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8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-933450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-916305</wp:posOffset>
            </wp:positionV>
            <wp:extent cx="685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1" w:name="page162"/>
    <w:bookmarkEnd w:id="161"/>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recorded stock-based compensation expense (service-based stock options, RSUs and the Company’s employee stock purchase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following expense categories of its consolidated statements of operations and comprehensive loss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48"/>
        </w:trPr>
        <w:tc>
          <w:tcPr>
            <w:tcW w:w="7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80" w:type="dxa"/>
            <w:vAlign w:val="bottom"/>
          </w:tcPr>
          <w:p>
            <w:pPr>
              <w:jc w:val="center"/>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73"/>
        </w:trPr>
        <w:tc>
          <w:tcPr>
            <w:tcW w:w="7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10"/>
        </w:trPr>
        <w:tc>
          <w:tcPr>
            <w:tcW w:w="7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shd w:val="clear" w:color="auto" w:fill="CFF0FC"/>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4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18"/>
                <w:szCs w:val="18"/>
                <w:color w:val="auto"/>
              </w:rPr>
            </w:pPr>
          </w:p>
        </w:tc>
      </w:tr>
      <w:tr>
        <w:trPr>
          <w:trHeight w:val="229"/>
        </w:trPr>
        <w:tc>
          <w:tcPr>
            <w:tcW w:w="70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11,643</w:t>
            </w:r>
          </w:p>
        </w:tc>
        <w:tc>
          <w:tcPr>
            <w:tcW w:w="5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100" w:type="dxa"/>
            <w:vAlign w:val="bottom"/>
            <w:shd w:val="clear" w:color="auto" w:fill="CFF0FC"/>
          </w:tcPr>
          <w:p>
            <w:pPr>
              <w:spacing w:after="0"/>
              <w:rPr>
                <w:sz w:val="19"/>
                <w:szCs w:val="19"/>
                <w:color w:val="auto"/>
              </w:rPr>
            </w:pPr>
          </w:p>
        </w:tc>
      </w:tr>
      <w:tr>
        <w:trPr>
          <w:trHeight w:val="20"/>
        </w:trPr>
        <w:tc>
          <w:tcPr>
            <w:tcW w:w="70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6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-25400</wp:posOffset>
            </wp:positionV>
            <wp:extent cx="7683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768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related to unvested options was $11.2 million, which is expected to be recognized over a weighted-average period of 2.2 years.</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stock-based compensation expense related to unvested RSUs was $1.5 million, which is expected to be recognized over a weighted-average period of 0.77 years.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2021 Employee Stock Purchase Plan</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July 2021, the Company’s board of directors adopted, and its stockholders approved, the 2021 Employee Stock Purchase Plan (the “2021 ESPP”), which became effective immediately prior to and contingent upon the execution of the underwriting agreement related to the Company’s IPO. A total of 1,342,773 shares of common stock were initially reserved for issuance under the 2021 ESPP. There were 830,835 shares issued under the 2021 ESPP as of December 31, 2025. The number of shares of common stock that may be issued under the 2021 ESPP will automatically increase on the first day of each calendar year, pursuant to the evergreen provision thereof, beginning on January 1, 2022 and continuing through January 1, 2031, by an amount equal to the lesser of (i) 1% of the shares of common stock outstanding on the last day of the calendar month before the date of each automatic increase, (ii) 2,685,546 shares and (iii) an amount determined by the Company’s board of directors. The number of shares to be issued under the 2021 ESPP did not increase pursuant to the evergreen provision thereof on January 1, 2023, January 1, 2024, nor January 1, 2025, as determined by the Company’s board of directors. On January 1, 2026, the number of shares to be issued under the 2021 ESPP increased by 2,685,546 shares of common stock, pursuant to the evergreen provision thereof. The first offering under the 2021 ESPP was June 6, 2022. As of December 31, 2025, 511,938 shares remained available for issuance under the 2021 ESPP. During the years ended December 31, 2025 and 2024, the Company recognized $0.2 million and $0.1 million, respectively, in related stock-based compensation expense.</w:t>
      </w:r>
    </w:p>
    <w:p>
      <w:pPr>
        <w:spacing w:after="0" w:line="2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Warrant Expense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November 2022, the Company entered into the PHP MSA, the PHP Work Order and a warrant agreement with respect to the PHP Warrant. To compensate for the services and deliverables provided by PHP, the Company issued 6,824,712 equity-classified warrants to PHP. Each warrant shall give the right to acquire common stock of the Company at a purchase price of $3.48 per share. Per the agreement, the PHP Warrant is exercisable upon either the achievement of corresponding market capitalization targets or a consummation of a fundamental transaction (as defined in the PHP Warrant); as such, there are no other requirements, including any continuous service requirements, in order for PHP to be entitled to the PHP Warrant, if and when any portion of it vests.</w:t>
      </w:r>
    </w:p>
    <w:p>
      <w:pPr>
        <w:spacing w:after="0" w:line="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aggregate grant date fair value of the PHP Warrant was $17.4 million, which was recognized as warrant expense on the grant date in November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Other than the pre-funded warrants issued in the 2025 Underwritten Public Offerings, there were no warrants issued during the years ended December 31, 2025 and December 31, 2024.</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2025, other than the pre-funded warrants issued in the 2025 Underwritten Public Offerings, there were 6,824,712 warrants outstanding and not yet vested at a weighted average exercise price of $3.48, with a weighted-average remaining contractual term of 6.88 years.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record income tax benefits for the net operating losses (“NOLs”) incurred or for the research and development tax credits generated in each period, due to its uncertainty of realizing a benefit from those items. All of the Company’s operating losses since inception have been generated in the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62" w:name="page163"/>
    <w:bookmarkEnd w:id="162"/>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further described in Note 2, the Company has elected to prospectively adopt the guidance in ASU 2023-09. The following table is a reconciliation of the effective income tax rate to the statutory federal income tax rate for the year ended December 31, 2025 in accordance with the guidance in ASU 2023-09: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4"/>
          </w:tcPr>
          <w:p>
            <w:pPr>
              <w:ind w:left="64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0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42"/>
        </w:trPr>
        <w:tc>
          <w:tcPr>
            <w:tcW w:w="7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20" w:type="dxa"/>
            <w:vAlign w:val="bottom"/>
            <w:gridSpan w:val="4"/>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2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80" w:type="dxa"/>
            <w:vAlign w:val="bottom"/>
          </w:tcPr>
          <w:p>
            <w:pPr>
              <w:spacing w:after="0"/>
              <w:rPr>
                <w:sz w:val="12"/>
                <w:szCs w:val="12"/>
                <w:color w:val="auto"/>
              </w:rPr>
            </w:pPr>
          </w:p>
        </w:tc>
      </w:tr>
      <w:tr>
        <w:trPr>
          <w:trHeight w:val="142"/>
        </w:trPr>
        <w:tc>
          <w:tcPr>
            <w:tcW w:w="700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980" w:type="dxa"/>
            <w:vAlign w:val="bottom"/>
            <w:tcBorders>
              <w:top w:val="single" w:sz="8" w:color="auto"/>
            </w:tcBorders>
          </w:tcPr>
          <w:p>
            <w:pPr>
              <w:jc w:val="right"/>
              <w:ind w:right="6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federal taxes at statutory rate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(11,019)</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Foreign tax effects</w:t>
            </w: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Tax credits</w:t>
            </w: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Federal R&amp;D tax credits</w:t>
            </w:r>
          </w:p>
        </w:tc>
        <w:tc>
          <w:tcPr>
            <w:tcW w:w="420" w:type="dxa"/>
            <w:vAlign w:val="bottom"/>
            <w:shd w:val="clear" w:color="auto" w:fill="CFF0FC"/>
          </w:tcPr>
          <w:p>
            <w:pPr>
              <w:spacing w:after="0"/>
              <w:rPr>
                <w:sz w:val="18"/>
                <w:szCs w:val="18"/>
                <w:color w:val="auto"/>
              </w:rPr>
            </w:pPr>
          </w:p>
        </w:tc>
        <w:tc>
          <w:tcPr>
            <w:tcW w:w="21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shd w:val="clear" w:color="auto" w:fill="CFF0FC"/>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valuation allowances</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Nontaxable or nondeductible items</w:t>
            </w:r>
          </w:p>
        </w:tc>
        <w:tc>
          <w:tcPr>
            <w:tcW w:w="4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7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70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420" w:type="dxa"/>
            <w:vAlign w:val="bottom"/>
            <w:shd w:val="clear" w:color="auto" w:fill="CFF0FC"/>
          </w:tcPr>
          <w:p>
            <w:pPr>
              <w:spacing w:after="0"/>
              <w:rPr>
                <w:sz w:val="18"/>
                <w:szCs w:val="18"/>
                <w:color w:val="auto"/>
              </w:rPr>
            </w:pP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(0.5)</w:t>
            </w:r>
          </w:p>
        </w:tc>
      </w:tr>
      <w:tr>
        <w:trPr>
          <w:trHeight w:val="216"/>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r>
      <w:tr>
        <w:trPr>
          <w:trHeight w:val="20"/>
        </w:trPr>
        <w:tc>
          <w:tcPr>
            <w:tcW w:w="7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7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0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4">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5">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7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is a reconciliation of the Company’s effective income tax rate to the statutory federal income tax rate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Federal statutory income tax rate</w:t>
            </w: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060" w:type="dxa"/>
            <w:vAlign w:val="bottom"/>
            <w:vMerge w:val="continue"/>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research and development tax credits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 in deferred tax asset valuation allowance</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vMerge w:val="restart"/>
          </w:tcPr>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consisted of the following (in thousands):</w:t>
            </w: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7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120" w:type="dxa"/>
            <w:vAlign w:val="bottom"/>
            <w:gridSpan w:val="7"/>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0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5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119,103</w:t>
            </w:r>
          </w:p>
        </w:tc>
        <w:tc>
          <w:tcPr>
            <w:tcW w:w="120" w:type="dxa"/>
            <w:vAlign w:val="bottom"/>
          </w:tcPr>
          <w:p>
            <w:pPr>
              <w:spacing w:after="0"/>
              <w:rPr>
                <w:sz w:val="18"/>
                <w:szCs w:val="18"/>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97,344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74,352</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91,954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tax credit carryforwards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18,868</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17,576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Warrant expense</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Intangibles</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3,265</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1,496</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7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244,949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(252,232)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(244,457)</w:t>
            </w:r>
          </w:p>
        </w:tc>
        <w:tc>
          <w:tcPr>
            <w:tcW w:w="0" w:type="dxa"/>
            <w:vAlign w:val="bottom"/>
          </w:tcPr>
          <w:p>
            <w:pPr>
              <w:spacing w:after="0"/>
              <w:rPr>
                <w:sz w:val="1"/>
                <w:szCs w:val="1"/>
                <w:color w:val="auto"/>
              </w:rPr>
            </w:pPr>
          </w:p>
        </w:tc>
      </w:tr>
      <w:tr>
        <w:trPr>
          <w:trHeight w:val="210"/>
        </w:trPr>
        <w:tc>
          <w:tcPr>
            <w:tcW w:w="70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7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Deferred tax liabilities:</w:t>
            </w:r>
          </w:p>
        </w:tc>
        <w:tc>
          <w:tcPr>
            <w:tcW w:w="7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(358)</w:t>
            </w:r>
          </w:p>
        </w:tc>
        <w:tc>
          <w:tcPr>
            <w:tcW w:w="0" w:type="dxa"/>
            <w:vAlign w:val="bottom"/>
          </w:tcPr>
          <w:p>
            <w:pPr>
              <w:spacing w:after="0"/>
              <w:rPr>
                <w:sz w:val="1"/>
                <w:szCs w:val="1"/>
                <w:color w:val="auto"/>
              </w:rPr>
            </w:pPr>
          </w:p>
        </w:tc>
      </w:tr>
      <w:tr>
        <w:trPr>
          <w:trHeight w:val="216"/>
        </w:trPr>
        <w:tc>
          <w:tcPr>
            <w:tcW w:w="70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expense</w:t>
            </w:r>
          </w:p>
        </w:tc>
        <w:tc>
          <w:tcPr>
            <w:tcW w:w="7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0"/>
        </w:trPr>
        <w:tc>
          <w:tcPr>
            <w:tcW w:w="7060" w:type="dxa"/>
            <w:vAlign w:val="bottom"/>
            <w:shd w:val="clear" w:color="auto" w:fill="CFF0FC"/>
          </w:tcPr>
          <w:p>
            <w:pPr>
              <w:spacing w:after="0" w:line="20" w:lineRule="exact"/>
              <w:rPr>
                <w:sz w:val="1"/>
                <w:szCs w:val="1"/>
                <w:color w:val="auto"/>
              </w:rPr>
            </w:pPr>
          </w:p>
        </w:tc>
        <w:tc>
          <w:tcPr>
            <w:tcW w:w="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70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net deferred tax assets</w:t>
            </w: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060" w:type="dxa"/>
            <w:vAlign w:val="bottom"/>
            <w:tcBorders>
              <w:top w:val="single" w:sz="8" w:color="CFF0FC"/>
            </w:tcBorders>
            <w:shd w:val="clear" w:color="auto" w:fill="CFF0FC"/>
          </w:tcPr>
          <w:p>
            <w:pPr>
              <w:spacing w:after="0" w:line="20" w:lineRule="exact"/>
              <w:rPr>
                <w:sz w:val="1"/>
                <w:szCs w:val="1"/>
                <w:color w:val="auto"/>
              </w:rPr>
            </w:pPr>
          </w:p>
        </w:tc>
        <w:tc>
          <w:tcPr>
            <w:tcW w:w="7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6991350</wp:posOffset>
            </wp:positionH>
            <wp:positionV relativeFrom="paragraph">
              <wp:posOffset>-3265170</wp:posOffset>
            </wp:positionV>
            <wp:extent cx="14541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6">
                      <a:extLst>
                        <a:ext uri="{28A0092B-C50C-407E-A947-70E740481C1C}"/>
                      </a:extLst>
                    </a:blip>
                    <a:srcRect/>
                    <a:stretch>
                      <a:fillRect/>
                    </a:stretch>
                  </pic:blipFill>
                  <pic:spPr bwMode="auto">
                    <a:xfrm>
                      <a:off x="0" y="0"/>
                      <a:ext cx="145415"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-1190625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-899795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-899795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-316865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2025 and 2024, the Company had U.S. federal NOL carryforwards of $485.8 million and $392.0 million, respectively, which may be available to reduce future taxable income. All of the U.S. federal NOL carryforwards have an indefinite carryforward period but are limited in their usage to 80% of annual taxable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3" w:name="page164"/>
    <w:bookmarkEnd w:id="163"/>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of December 31, 2025, the Company had state NOL carryforwards of $286.9 million, which may be available to reduce future taxable income, of which $41.8 million have an indefinite carryforward period while the remaining $245.1 million begin to expire in 2031. As of December 31, 2025, the Company also had U.S. federal and state research and development tax credit carryforwards of $24.8 million and $7.7 million, respectively, which may be available to reduce future tax liabilities and expire at various dates beginning in 2040 and 2036, respectively.</w:t>
      </w:r>
    </w:p>
    <w:p>
      <w:pPr>
        <w:spacing w:after="0" w:line="72"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Utilization of the U.S. federal and state NOL carryforwards and research and development tax credit carryforwards may be subject to a substantial annual limitation under Sections 382 and 383 of the Internal Revenue Code of 1986, as amended, and corresponding provisions of state law, due to ownership changes that have occurred previously or that could occur in the future. These ownership changes may limit the amount of carryforwards that can be utilized annually to offset future taxable income or tax liabilities. 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NOL carryforwards or research and development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If a change in ownership were to have occurred during that period and resulted in the restriction of NOL or credit carryforwards, the reduction in the related deferred tax asset would be offset with a corresponding reduction in the valuation allowance.</w:t>
      </w:r>
    </w:p>
    <w:p>
      <w:pPr>
        <w:spacing w:after="0" w:line="8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its ability to realize the deferred tax assets. Management has considered the Company’s history of cumulative losses since inception, expectation of future losses and lack of other positive evidence and has concluded that it is more likely than not that the Company will not realize the benefits of the deferred tax assets. Accordingly, a full valuation allowance has been established against the net deferred tax assets as of December 31, 2025 and 2024. Management reevaluates the positive and negative evidence at each reporting period. During the years ended December 31, 2025 and 2024, the Company increased its valuation allowance by $7.8 million and $44.1 million, respectively, with such increase recognized as income tax expense, in order to maintain a full valuation allowance against its deferred tax assets, and there were no changes recorded to the allowance during the period.</w:t>
      </w:r>
    </w:p>
    <w:p>
      <w:pPr>
        <w:spacing w:after="0" w:line="7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Company</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change in valuation allowance for the years ended December 31, 2025 and 2024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46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jc w:val="right"/>
              <w:ind w:right="7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65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2"/>
                <w:szCs w:val="12"/>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the beginning of the year</w:t>
            </w:r>
          </w:p>
        </w:tc>
        <w:tc>
          <w:tcPr>
            <w:tcW w:w="2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244,457</w:t>
            </w:r>
          </w:p>
        </w:tc>
        <w:tc>
          <w:tcPr>
            <w:tcW w:w="84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200,385</w:t>
            </w:r>
          </w:p>
        </w:tc>
        <w:tc>
          <w:tcPr>
            <w:tcW w:w="100" w:type="dxa"/>
            <w:vAlign w:val="bottom"/>
            <w:shd w:val="clear" w:color="auto" w:fill="CFF0FC"/>
          </w:tcPr>
          <w:p>
            <w:pPr>
              <w:spacing w:after="0"/>
              <w:rPr>
                <w:sz w:val="18"/>
                <w:szCs w:val="18"/>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for the current period</w:t>
            </w:r>
          </w:p>
        </w:tc>
        <w:tc>
          <w:tcPr>
            <w:tcW w:w="194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7,775</w:t>
            </w:r>
          </w:p>
        </w:tc>
        <w:tc>
          <w:tcPr>
            <w:tcW w:w="12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44,072</w:t>
            </w:r>
          </w:p>
        </w:tc>
        <w:tc>
          <w:tcPr>
            <w:tcW w:w="100" w:type="dxa"/>
            <w:vAlign w:val="bottom"/>
          </w:tcPr>
          <w:p>
            <w:pPr>
              <w:spacing w:after="0"/>
              <w:rPr>
                <w:sz w:val="18"/>
                <w:szCs w:val="18"/>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 at the end of the year</w:t>
            </w:r>
          </w:p>
        </w:tc>
        <w:tc>
          <w:tcPr>
            <w:tcW w:w="23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252,232</w:t>
            </w:r>
          </w:p>
        </w:tc>
        <w:tc>
          <w:tcPr>
            <w:tcW w:w="840" w:type="dxa"/>
            <w:vAlign w:val="bottom"/>
            <w:gridSpan w:val="2"/>
            <w:shd w:val="clear" w:color="auto" w:fill="CFF0FC"/>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244,457</w:t>
            </w:r>
          </w:p>
        </w:tc>
        <w:tc>
          <w:tcPr>
            <w:tcW w:w="100" w:type="dxa"/>
            <w:vAlign w:val="bottom"/>
            <w:shd w:val="clear" w:color="auto" w:fill="CFF0FC"/>
          </w:tcPr>
          <w:p>
            <w:pPr>
              <w:spacing w:after="0"/>
              <w:rPr>
                <w:sz w:val="18"/>
                <w:szCs w:val="18"/>
                <w:color w:val="auto"/>
              </w:rPr>
            </w:pPr>
          </w:p>
        </w:tc>
      </w:tr>
    </w:tbl>
    <w:p>
      <w:pPr>
        <w:spacing w:after="0" w:line="19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Company assesses uncertain tax positions in accordance with the guidance for accounting for uncertain tax positions. This pronouncement prescribes a recognition threshold and measurement methodology for recording within the consolidated financial statements uncertain tax positions taken, or expected to be taken, in the Company’s income tax returns. To the extent the uncertain tax positions do not meet the “more likely than not” threshold, the Company derecognizes such positions. For tax positions meeting the “more likely than not" threshold, the Company measures and records the highest probable benefit, and establishes appropriate reserves for benefits that exceed the amount likely to be sustained upon examination. As of December 31, 2025 and 2024, the Company has not recorded any uncertain tax positions or related interest and penalties.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files income tax returns in the U.S. federal and various state jurisdictions and is not currently under examination by any taxing authority for any open tax year. Due to NOL carryforwards, all years remain open for income tax examination. To the extent the Company has tax attribute carryforwards, the tax years in which the attribute was generated may still be adjusted upon examination by the federal or state tax authorities to the extent utilized in a future period. No federal or state tax audits are currently in process. Income taxes paid, net of refunds received, were immaterial for the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Defined Contribution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maintains a 401(k) Plan (the “401(k) Plan”) for the benefit of eligible employees. The 401(k) Plan is a defined contribution plan under Section 401(k) of the Internal Revenue Code of 1986, as amended, that covers all employees who meet defined minimum age and service requirements and allows participants to defer a portion of their annual compensation on a pre-tax basis. Pursuant to the terms of the 401(k) Plan, the Company is required to make non-elective</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164" w:name="page165"/>
    <w:bookmarkEnd w:id="164"/>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contributions of 3% of eligible participants’ compensation. For the years ended December 31, 2025 and 2024, the Company contributed $0.8 million and $0.6 million to the 401(k) Plan,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Net Loss per Share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Basic and diluted net loss per share attributable to common stockholders was calculated as follows (in thousands, except share and per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1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8"/>
        </w:trPr>
        <w:tc>
          <w:tcPr>
            <w:tcW w:w="64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tcPr>
          <w:p>
            <w:pPr>
              <w:jc w:val="right"/>
              <w:ind w:right="597"/>
              <w:spacing w:after="0" w:line="149" w:lineRule="exact"/>
              <w:rPr>
                <w:sz w:val="20"/>
                <w:szCs w:val="20"/>
                <w:color w:val="auto"/>
              </w:rPr>
            </w:pPr>
            <w:r>
              <w:rPr>
                <w:rFonts w:ascii="Times New Roman" w:cs="Times New Roman" w:eastAsia="Times New Roman" w:hAnsi="Times New Roman"/>
                <w:sz w:val="14"/>
                <w:szCs w:val="14"/>
                <w:b w:val="1"/>
                <w:bCs w:val="1"/>
                <w:color w:val="auto"/>
              </w:rPr>
              <w:t>31,</w:t>
            </w:r>
          </w:p>
        </w:tc>
        <w:tc>
          <w:tcPr>
            <w:tcW w:w="26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6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500" w:type="dxa"/>
            <w:vAlign w:val="bottom"/>
            <w:gridSpan w:val="2"/>
          </w:tcPr>
          <w:p>
            <w:pPr>
              <w:jc w:val="right"/>
              <w:ind w:right="179"/>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(52,489)</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(169,925)</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172,212,902</w:t>
            </w:r>
          </w:p>
        </w:tc>
        <w:tc>
          <w:tcPr>
            <w:tcW w:w="2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118,555,073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4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400" w:type="dxa"/>
            <w:vAlign w:val="bottom"/>
            <w:shd w:val="clear" w:color="auto" w:fill="CFF0FC"/>
          </w:tcPr>
          <w:p>
            <w:pPr>
              <w:jc w:val="right"/>
              <w:ind w:right="240"/>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(1.43)</w:t>
            </w:r>
          </w:p>
        </w:tc>
        <w:tc>
          <w:tcPr>
            <w:tcW w:w="0" w:type="dxa"/>
            <w:vAlign w:val="bottom"/>
          </w:tcPr>
          <w:p>
            <w:pPr>
              <w:spacing w:after="0"/>
              <w:rPr>
                <w:sz w:val="1"/>
                <w:szCs w:val="1"/>
                <w:color w:val="auto"/>
              </w:rPr>
            </w:pPr>
          </w:p>
        </w:tc>
      </w:tr>
      <w:tr>
        <w:trPr>
          <w:trHeight w:val="20"/>
        </w:trPr>
        <w:tc>
          <w:tcPr>
            <w:tcW w:w="644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-25400</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-7620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60" w:firstLine="749"/>
        <w:spacing w:after="0" w:line="282" w:lineRule="auto"/>
        <w:rPr>
          <w:sz w:val="20"/>
          <w:szCs w:val="20"/>
          <w:color w:val="auto"/>
        </w:rPr>
      </w:pPr>
      <w:r>
        <w:rPr>
          <w:rFonts w:ascii="Times New Roman" w:cs="Times New Roman" w:eastAsia="Times New Roman" w:hAnsi="Times New Roman"/>
          <w:sz w:val="18"/>
          <w:szCs w:val="18"/>
          <w:color w:val="auto"/>
        </w:rPr>
        <w:t>The 27,342,442 shares of common stock issuable upon exercise of pre-funded warrants described in Note 10 are included as outstanding common stock in the calculation of net loss per share.</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Company’s potential dilutive securities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20" w:type="dxa"/>
            <w:vAlign w:val="bottom"/>
          </w:tcPr>
          <w:p>
            <w:pPr>
              <w:spacing w:after="0"/>
              <w:rPr>
                <w:sz w:val="13"/>
                <w:szCs w:val="13"/>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the Year</w:t>
            </w:r>
          </w:p>
        </w:tc>
      </w:tr>
      <w:tr>
        <w:trPr>
          <w:trHeight w:val="190"/>
        </w:trPr>
        <w:tc>
          <w:tcPr>
            <w:tcW w:w="79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Ended December 31,</w:t>
            </w:r>
          </w:p>
        </w:tc>
        <w:tc>
          <w:tcPr>
            <w:tcW w:w="22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Ended December 31,</w:t>
            </w:r>
          </w:p>
        </w:tc>
      </w:tr>
      <w:tr>
        <w:trPr>
          <w:trHeight w:val="185"/>
        </w:trPr>
        <w:tc>
          <w:tcPr>
            <w:tcW w:w="790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210"/>
        </w:trPr>
        <w:tc>
          <w:tcPr>
            <w:tcW w:w="7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21,351,941</w:t>
            </w:r>
          </w:p>
        </w:tc>
        <w:tc>
          <w:tcPr>
            <w:tcW w:w="17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14,987,559</w:t>
            </w:r>
          </w:p>
        </w:tc>
        <w:tc>
          <w:tcPr>
            <w:tcW w:w="100" w:type="dxa"/>
            <w:vAlign w:val="bottom"/>
            <w:shd w:val="clear" w:color="auto" w:fill="CFF0FC"/>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1,539,000</w:t>
            </w:r>
          </w:p>
        </w:tc>
        <w:tc>
          <w:tcPr>
            <w:tcW w:w="22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220" w:type="dxa"/>
            <w:vAlign w:val="bottom"/>
            <w:tcBorders>
              <w:bottom w:val="single" w:sz="8" w:color="CFF0FC"/>
            </w:tcBorders>
            <w:shd w:val="clear" w:color="auto" w:fill="CFF0FC"/>
          </w:tcPr>
          <w:p>
            <w:pPr>
              <w:spacing w:after="0"/>
              <w:rPr>
                <w:sz w:val="18"/>
                <w:szCs w:val="18"/>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6,824,712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9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29,715,653</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21,812,271</w:t>
            </w:r>
          </w:p>
        </w:tc>
        <w:tc>
          <w:tcPr>
            <w:tcW w:w="100" w:type="dxa"/>
            <w:vAlign w:val="bottom"/>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Related-Party Transactions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of December 31, 2025 and 2024, an aggregate of $0.7 million and $1.3 million, respectively, was due to Adimab, a beneficial owner of more than 5% of the Company’s common stock, under the Adimab Assignment Agreement, the Adimab Collaboration Agreement, the Adimab Platform Transfer Agreement, the Adimab DNA Sequencing Services Agreement and the Adimab LCMS Services Agreement (as defined below) by the Company and was included in accrued expenses. As of December 31, 2025 and 2024, no amounts were due to the Company from Adimab under the Adimab Assignment Agreement, the Adimab Collaboration Agreement, the Adimab Platform Transfer Agreement, the Adimab DNA Sequencing Services Agreement or the Adimab LCMS Services Agreement.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Assignment Agreement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Adimab Assignment Agreement, Adimab is entitled to receive milestone and royalty payments upon specified conditions and receives payments from the Company for providing ongoing services under the agreement (see Note 7).</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any IPR&amp;D expense with respect to contingent consideration payable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any research and development expense with respect to services performed by Adimab on the Company’s behalf under the Adimab Assignment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expensed $2.1 million of royalties as costs of product revenue, while reserving all rights under the Adimab Assignment Agreement and the applicable law. During the year ended</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5" w:name="page166"/>
    <w:bookmarkEnd w:id="165"/>
    <w:p>
      <w:pPr>
        <w:jc w:val="both"/>
        <w:spacing w:after="0" w:line="282" w:lineRule="auto"/>
        <w:rPr>
          <w:sz w:val="20"/>
          <w:szCs w:val="20"/>
          <w:color w:val="auto"/>
        </w:rPr>
      </w:pPr>
      <w:r>
        <w:rPr>
          <w:rFonts w:ascii="Times New Roman" w:cs="Times New Roman" w:eastAsia="Times New Roman" w:hAnsi="Times New Roman"/>
          <w:sz w:val="18"/>
          <w:szCs w:val="18"/>
          <w:color w:val="auto"/>
        </w:rPr>
        <w:t>December 31, 2024, the Company expensed $1.0 million of royalties as costs of product revenue, while reserving all rights under the Adimab Assignment Agreement and the applicable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Collaboration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the Adimab Collaboration Agreement, the Company is obligated to pay Adimab for certain fees, milestones and royalty payments (see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9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recognized $2.4 million of research and development expense related to the quarterly fee under the Adimab Collaboration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any research and development expense with respect to services performed by Adimab on the Company’s behalf under the Adimab Collaboration Agreement.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2025 and 2024, the Company did not recognize any IPR&amp;D expense related to drug delivery fees, optimization completion fees or option exercise fees.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Platform Transfer Agreement</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Under the Adimab Platform Transfer Agreement, the Company is obligated to pay Adimab for certain fees, milestones and royalty payments (see Note 7), including an annual fee of single digit millions on each of the first four anniversaries of the Adimab Platform Transfer Agreement Effective Date.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During both the years ended December 31, 2025 and 2024, the Company recognized $2.0 million of research and development expense related to the annual fee under the Adimab Platform Transfer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DNA Sequencing Services Agreement</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May 2023, as amended in January 2024, the Company entered into a Services Agreement with Adimab for Adimab to perform DNA sequencing on yeast samples provided by the Company, and the delivery of the resulting data and information to the Company (the “Adimab DNA Sequencing Services Agreement”). In exchange for the services performed, the Company will pay Adimab a fee for each yeast-derived DNA template sample present in the well within the sequencer plate.</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During both the year ended December 31, 2025, and 2024, the Company recognized less than $0.1 million of research and development expense with respect to services performed by Adimab on the Company’s behalf under the Adimab DNA Sequencing Services Agreement.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Adimab LCMS Services Agreement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November 2023, as amended in December 2025, the Company entered into a Services Agreement with Adimab for Adimab to provide molecular weight determination services and deliver to the Company the resulting data and information (the “Adimab LCMS Services Agreement”). In exchange for the services performed, the Company will pay Adimab a fee for each sample tested.</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less than $0.1 million of research and development expense with respect to services performed by Adimab on the Company’s behalf under the Adimab LCMS Services Agreement. During the year ended December 31, 2024, the Company did not recognize any research and development expense with respect to services performed by Adimab on the Company’s behalf under the Adimab LCMS Services Agreement.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Reporting</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operates as a single reportable and operating segment dedicated to the research and development, commercialization, and sale of mAbs in the U.S to deliver protection from serious viral infectious diseases.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determination of a single reportable segment is consistent with the consolidated financial information regularly reviewed by the Chief Operating Decision Maker (the “CODM”) in assessing performance and deciding how to allocate resources on a consolidated basis. The CODM is the Principal Executive Officer, who also serves as the Chief Financial Officer.</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CODM assesses performance and allocates resources based on the Company’s net loss reported on the consolidated statements of operations and comprehensive loss. The CODM’s area of focus is period over period fluxes and budget-to-actual variances when assessing performance and deciding how to allocate resources. The Company’s reportable segment derives its revenues from sales of its product, PEMGARDA. No asset information has been provided for the reportable segment as the CODM does not regularly review asset information by reportable segment.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6" w:name="page167"/>
    <w:bookmarkEnd w:id="166"/>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reported segment revenues, and significant segment expenses as provided to the CODM (in thousands). Certain prior period segment expense amounts have been recast to reflect the current year presentation.</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20" w:type="dxa"/>
            <w:vAlign w:val="bottom"/>
          </w:tcPr>
          <w:p>
            <w:pPr>
              <w:spacing w:after="0"/>
              <w:rPr>
                <w:sz w:val="16"/>
                <w:szCs w:val="16"/>
                <w:color w:val="auto"/>
              </w:rPr>
            </w:pPr>
          </w:p>
        </w:tc>
        <w:tc>
          <w:tcPr>
            <w:tcW w:w="18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86"/>
        </w:trPr>
        <w:tc>
          <w:tcPr>
            <w:tcW w:w="7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09"/>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Product revenue, net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180" w:type="dxa"/>
            <w:vAlign w:val="bottom"/>
          </w:tcPr>
          <w:p>
            <w:pPr>
              <w:spacing w:after="0"/>
              <w:rPr>
                <w:sz w:val="18"/>
                <w:szCs w:val="18"/>
                <w:color w:val="auto"/>
              </w:rPr>
            </w:pP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 of product revenue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w:t>
            </w: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Direct, external research and development expenses by program:</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line="216" w:lineRule="exact"/>
              <w:rPr>
                <w:sz w:val="20"/>
                <w:szCs w:val="20"/>
                <w:color w:val="auto"/>
              </w:rPr>
            </w:pPr>
            <w:r>
              <w:rPr>
                <w:rFonts w:ascii="Times New Roman" w:cs="Times New Roman" w:eastAsia="Times New Roman" w:hAnsi="Times New Roman"/>
                <w:sz w:val="18"/>
                <w:szCs w:val="18"/>
                <w:color w:val="auto"/>
              </w:rPr>
              <w:t>Pemivibart</w:t>
            </w:r>
            <w:r>
              <w:rPr>
                <w:rFonts w:ascii="Times New Roman" w:cs="Times New Roman" w:eastAsia="Times New Roman" w:hAnsi="Times New Roman"/>
                <w:sz w:val="24"/>
                <w:szCs w:val="24"/>
                <w:color w:val="auto"/>
                <w:vertAlign w:val="superscript"/>
              </w:rPr>
              <w:t>(1)</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31,757</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60"/>
              <w:spacing w:after="0" w:line="216" w:lineRule="exact"/>
              <w:rPr>
                <w:sz w:val="20"/>
                <w:szCs w:val="20"/>
                <w:color w:val="auto"/>
              </w:rPr>
            </w:pPr>
            <w:r>
              <w:rPr>
                <w:rFonts w:ascii="Times New Roman" w:cs="Times New Roman" w:eastAsia="Times New Roman" w:hAnsi="Times New Roman"/>
                <w:sz w:val="18"/>
                <w:szCs w:val="18"/>
                <w:color w:val="auto"/>
              </w:rPr>
              <w:t>VYD2311</w:t>
            </w:r>
            <w:r>
              <w:rPr>
                <w:rFonts w:ascii="Times New Roman" w:cs="Times New Roman" w:eastAsia="Times New Roman" w:hAnsi="Times New Roman"/>
                <w:sz w:val="24"/>
                <w:szCs w:val="24"/>
                <w:color w:val="auto"/>
                <w:vertAlign w:val="superscript"/>
              </w:rPr>
              <w:t>(2)</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67,505</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60"/>
              <w:spacing w:after="0" w:line="216" w:lineRule="exact"/>
              <w:rPr>
                <w:sz w:val="20"/>
                <w:szCs w:val="20"/>
                <w:color w:val="auto"/>
              </w:rPr>
            </w:pPr>
            <w:r>
              <w:rPr>
                <w:rFonts w:ascii="Times New Roman" w:cs="Times New Roman" w:eastAsia="Times New Roman" w:hAnsi="Times New Roman"/>
                <w:sz w:val="18"/>
                <w:szCs w:val="18"/>
                <w:color w:val="auto"/>
              </w:rPr>
              <w:t>VBY329</w:t>
            </w:r>
            <w:r>
              <w:rPr>
                <w:rFonts w:ascii="Times New Roman" w:cs="Times New Roman" w:eastAsia="Times New Roman" w:hAnsi="Times New Roman"/>
                <w:sz w:val="24"/>
                <w:szCs w:val="24"/>
                <w:color w:val="auto"/>
                <w:vertAlign w:val="superscript"/>
              </w:rPr>
              <w:t>(3)</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Early-stage programs</w:t>
            </w: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direct, external research and development expenses by program</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100,236</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expense (research and development)</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16,294</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(research and development)</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research and development expenses</w:t>
            </w: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14,745</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137,254</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Sales and Marketing costs</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15,990</w:t>
            </w:r>
          </w:p>
        </w:tc>
        <w:tc>
          <w:tcPr>
            <w:tcW w:w="100" w:type="dxa"/>
            <w:vAlign w:val="bottom"/>
          </w:tcPr>
          <w:p>
            <w:pPr>
              <w:spacing w:after="0"/>
              <w:rPr>
                <w:sz w:val="18"/>
                <w:szCs w:val="18"/>
                <w:color w:val="auto"/>
              </w:rPr>
            </w:pPr>
          </w:p>
        </w:tc>
      </w:tr>
      <w:tr>
        <w:trPr>
          <w:trHeight w:val="216"/>
        </w:trPr>
        <w:tc>
          <w:tcPr>
            <w:tcW w:w="71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Personnel expense (selling, general and administrative)</w:t>
            </w:r>
          </w:p>
        </w:tc>
        <w:tc>
          <w:tcPr>
            <w:tcW w:w="12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15,101</w:t>
            </w: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(selling, general and administrative)</w:t>
            </w:r>
          </w:p>
        </w:tc>
        <w:tc>
          <w:tcPr>
            <w:tcW w:w="1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14,808</w:t>
            </w:r>
          </w:p>
        </w:tc>
        <w:tc>
          <w:tcPr>
            <w:tcW w:w="100" w:type="dxa"/>
            <w:vAlign w:val="bottom"/>
          </w:tcPr>
          <w:p>
            <w:pPr>
              <w:spacing w:after="0"/>
              <w:rPr>
                <w:sz w:val="18"/>
                <w:szCs w:val="18"/>
                <w:color w:val="auto"/>
              </w:rPr>
            </w:pPr>
          </w:p>
        </w:tc>
      </w:tr>
      <w:tr>
        <w:trPr>
          <w:trHeight w:val="216"/>
        </w:trPr>
        <w:tc>
          <w:tcPr>
            <w:tcW w:w="71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selling, general and administrative expenses</w:t>
            </w: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21,888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63,388</w:t>
            </w:r>
          </w:p>
        </w:tc>
        <w:tc>
          <w:tcPr>
            <w:tcW w:w="100" w:type="dxa"/>
            <w:vAlign w:val="bottom"/>
          </w:tcPr>
          <w:p>
            <w:pPr>
              <w:spacing w:after="0"/>
              <w:rPr>
                <w:sz w:val="18"/>
                <w:szCs w:val="18"/>
                <w:color w:val="auto"/>
              </w:rPr>
            </w:pPr>
          </w:p>
        </w:tc>
      </w:tr>
      <w:tr>
        <w:trPr>
          <w:trHeight w:val="209"/>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108,986</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202,260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tcPr>
          <w:p>
            <w:pPr>
              <w:spacing w:after="0"/>
              <w:rPr>
                <w:sz w:val="18"/>
                <w:szCs w:val="18"/>
                <w:color w:val="auto"/>
              </w:rPr>
            </w:pP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(55,560)</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(176,876)</w:t>
            </w:r>
          </w:p>
        </w:tc>
      </w:tr>
      <w:tr>
        <w:trPr>
          <w:trHeight w:val="210"/>
        </w:trPr>
        <w:tc>
          <w:tcPr>
            <w:tcW w:w="7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tcBorders>
              <w:top w:val="single" w:sz="8" w:color="auto"/>
            </w:tcBorders>
            <w:shd w:val="clear" w:color="auto" w:fill="CFF0FC"/>
          </w:tcPr>
          <w:p>
            <w:pPr>
              <w:spacing w:after="0"/>
              <w:rPr>
                <w:sz w:val="18"/>
                <w:szCs w:val="18"/>
                <w:color w:val="auto"/>
              </w:rPr>
            </w:pPr>
          </w:p>
        </w:tc>
        <w:tc>
          <w:tcPr>
            <w:tcW w:w="18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0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Other income, net</w:t>
            </w:r>
            <w:r>
              <w:rPr>
                <w:rFonts w:ascii="Times New Roman" w:cs="Times New Roman" w:eastAsia="Times New Roman" w:hAnsi="Times New Roman"/>
                <w:sz w:val="24"/>
                <w:szCs w:val="24"/>
                <w:color w:val="auto"/>
                <w:vertAlign w:val="superscript"/>
              </w:rPr>
              <w:t>(4)</w:t>
            </w: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Pr>
          <w:p>
            <w:pPr>
              <w:spacing w:after="0"/>
              <w:rPr>
                <w:sz w:val="18"/>
                <w:szCs w:val="18"/>
                <w:color w:val="auto"/>
              </w:rPr>
            </w:pPr>
          </w:p>
        </w:tc>
      </w:tr>
      <w:tr>
        <w:trPr>
          <w:trHeight w:val="210"/>
        </w:trPr>
        <w:tc>
          <w:tcPr>
            <w:tcW w:w="71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Total other income, net</w:t>
            </w:r>
          </w:p>
        </w:tc>
        <w:tc>
          <w:tcPr>
            <w:tcW w:w="12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(52,489)</w:t>
            </w:r>
          </w:p>
        </w:tc>
        <w:tc>
          <w:tcPr>
            <w:tcW w:w="540" w:type="dxa"/>
            <w:vAlign w:val="bottom"/>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(169,925)</w:t>
            </w:r>
          </w:p>
        </w:tc>
      </w:tr>
      <w:tr>
        <w:trPr>
          <w:trHeight w:val="20"/>
        </w:trPr>
        <w:tc>
          <w:tcPr>
            <w:tcW w:w="7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-3531235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-2425065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-1868170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-1036320</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-1036320</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-745490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-745490</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-170815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2023, the Company announced the nomination of VYD222 (pemivibart) as a novel mAb therapeutic option for COVID-19.</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2024, the Company announced the nomination of VYD2311 as a novel mAb therapeutic option for COVID-19.</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2025, the Company announced the nomination of VBY329 as an RSV mAb candidate for preclinical development.</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income of $3,107 and $7,216 for the years ended December 31, 2025 and 2024, respectively.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20"/>
          <w:szCs w:val="20"/>
          <w:b w:val="1"/>
          <w:bCs w:val="1"/>
          <w:color w:val="auto"/>
        </w:rPr>
        <w:t>Exhibit 4.2</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THE REGISTRANT’S SECURITIES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REGISTERED PURSUANT TO SECTION 12 OF THE</w:t>
      </w: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spacing w:after="0" w:line="22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As of the date of the Annual Report on Form 10-K of which this exhibit forms a part, the only class of securities of Invivyd, Inc. (the “Company”) registered under Section 12 of the Securities Exchange Act of 1934, as amended (the “Exchange Act”), is the Company’s common stock, par value $0.0001 per share.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the common stock of the Company and certain provisions of the Company’s amended and restated certificate of incorporation, as amended (the “Certificate of Incorporation”), and the Company’s amended and restated bylaws, as amended (the “Bylaws”), are summaries. These summaries are qualified in their entirety by reference to (i) the complete texts of the Certificate of Incorporation and the Bylaws, which are incorporated by reference as exhibits to the Annual Report on Form 10-K of which this exhibit forms a part, and (ii) the provisions of the General Corporation Law of the State of Delaware (the “DGCL”).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authorized to issue up to 1,010,000,000 shares, of which 1,000,000,000 have been designated common stock, par value $0.0001 per share.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holder of the Company’s common stock is entitled to one vote for each share on all matters submitted to a vote of the stockholders, including the election of directors.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provided by statute or by applicable stock exchange rules, or by the Certificate of Incorporation or the Bylaws, in all matters other than the election of directors, the affirmative vote of the majority of shares present in person, by remote communication, if applicable, or represented by proxy at the meeting and entitled to vote generally on the subject matter shall be the act of the stockholders. Except as otherwise provided by statute, the Certificate of Incorporation or the Bylaws, directors are elected by a plurality of the votes of the shares present in person, by remote communication, if applicable, or represented by proxy at the meeting and entitled to vote generally on the election of directors. Where a separate vote by a class or classes or series is required, except where otherwise provided by the statute or by the Certificate of Incorporation or the Bylaws, a majority of the outstanding shares of such class or classes or series, present in person, by remote communication, if applicable, or represented by proxy duly authorized, shall constitute a quorum entitled to take action with respect to that vote on that matter. Except where otherwise provided by statute or by the Certificate of Incorporation or the Bylaws, the affirmative vote of the majority (plurality, in the case of the election of directors) of shares of such class or classes or series present in person, by remote communication, if applicable, or represented by proxy at the meeting shall be the act of such class or classes or series.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at least sixty-six and two-thirds percent (66 2/3%) of the voting power of all of the then-outstanding shares of capital stock entitled to vote generally in the election of directors, voting as a single class, is required to alter, amend or repeal certain provisions of the Certificate of Incorporation, including provisions relating to amending the Bylaws, the size of the Company’s board of directors, removal of directors, director liability, vacancies on the Company’s board of directors, stockholder notices, actions by written consent and exclusive forum.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preferences that may be applicable to any then-outstanding preferred stock, holders of common stock are entitled to receive ratably those dividends, if any, as may be declared from time to time by the board of directors out of legally available funds.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the Company’s liquidation, dissolution or winding up, holders of common stock will be entitled to share ratably in the net assets legally available for distribution to stockholders after the payment of all of the Company’s debts and other liabilities and the satisfaction of any liquidation preference granted to the holders of any then-outstanding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and Preferences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Holders of common stock have no preemptive, conversion or subscription rights and there are no redemption or sinking fund provisions applicable to the common stock. The rights, preferences and privileges of the holders of common stock are subject to, and may be adversely affected by, the right of the holders of shares of any series of preferred stock that the Company’s board of directors may designate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Second Amended and Restated Investors’ Rights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certain holders of its common stock have entered into a second amended and restated investors’ rights agreement (the “Investors’ Rights Agreement”). The registration rights provisions of this agreement provide those holders with demand and piggyback registration rights with respect to the shares of common stock covered by the Investors’ Rights Agreement. These shares are collectively referred to herein as “Registrable Securities.”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Demand Registration Rights</w:t>
      </w:r>
    </w:p>
    <w:p>
      <w:pPr>
        <w:spacing w:after="0" w:line="229" w:lineRule="exact"/>
        <w:rPr>
          <w:sz w:val="20"/>
          <w:szCs w:val="20"/>
          <w:color w:val="auto"/>
        </w:rPr>
      </w:pPr>
    </w:p>
    <w:p>
      <w:pPr>
        <w:jc w:val="both"/>
        <w:ind w:left="760"/>
        <w:spacing w:after="0" w:line="256" w:lineRule="auto"/>
        <w:rPr>
          <w:sz w:val="20"/>
          <w:szCs w:val="20"/>
          <w:color w:val="auto"/>
        </w:rPr>
      </w:pPr>
      <w:r>
        <w:rPr>
          <w:rFonts w:ascii="Times New Roman" w:cs="Times New Roman" w:eastAsia="Times New Roman" w:hAnsi="Times New Roman"/>
          <w:sz w:val="18"/>
          <w:szCs w:val="18"/>
          <w:color w:val="auto"/>
        </w:rPr>
        <w:t>The holders of a majority of Registrable Securities then outstanding have the right to demand that the Company file a Form S-1 registration statement for which the anticipated aggregate offering price would exceed $10 million. Upon such demand, the Company is required to, as soon as practicable, and in any event within 60 days after the date such request is given by the initiating holders, file a Form S-1 registration statement covering all Registrable Securities that the initiating holders requested to be registered and any additional Registrable Securities requested to be included in such registration by any other holders, subject to the terms and conditions included in the Investors’ Rights Agreement. The holders of at least thirty percent (30%) of the Registrable Securities then outstanding have the right to demand, at a time when the Company is eligible to use Form S-3 registration statement, that the Company file a Form S-3 registration statement with respect to outstanding Registrable Securities of such holders having an anticipated aggregate offering price of at least $1 million. Upon such demand, the Company is required to, as soon as practicable, and in any event within 45 days after the date such request is given by the initiating holders, file a Form S-3 registration statement covering all Registrable Securities that the initiating holders requested to be registered and any additional Registrable Securities requested to be included in such registration by any other holders, subject to the terms and conditions included in the Investors’ Rights Agreement.</w:t>
      </w:r>
    </w:p>
    <w:p>
      <w:pPr>
        <w:spacing w:after="0" w:line="190" w:lineRule="exact"/>
        <w:rPr>
          <w:sz w:val="20"/>
          <w:szCs w:val="20"/>
          <w:color w:val="auto"/>
        </w:rPr>
      </w:pPr>
    </w:p>
    <w:p>
      <w:pPr>
        <w:jc w:val="both"/>
        <w:ind w:left="760"/>
        <w:spacing w:after="0" w:line="282" w:lineRule="auto"/>
        <w:rPr>
          <w:sz w:val="20"/>
          <w:szCs w:val="20"/>
          <w:color w:val="auto"/>
        </w:rPr>
      </w:pPr>
      <w:r>
        <w:rPr>
          <w:rFonts w:ascii="Times New Roman" w:cs="Times New Roman" w:eastAsia="Times New Roman" w:hAnsi="Times New Roman"/>
          <w:sz w:val="18"/>
          <w:szCs w:val="18"/>
          <w:color w:val="auto"/>
        </w:rPr>
        <w:t>These registration rights are subject to specified conditions and limitations included in the Investors’ Rights Agreement, including the right of the underwriters, if any, to limit the number of shares included in any such registration under specified circumstances.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Piggyback Registration Rights</w:t>
      </w: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If the Company proposes to register any of its securities under the Securities Act of 1933, as amended (the “Securities Act”), either for its own account or for the account of other stockholders, the holders of Registrable Securities will each be entitled to notice of the registration and will be entitled to include their shares of common stock in the registration statement. These piggyback registration rights are subject to specified conditions and limitations, including the right of the underwriters to limit the number of shares included in any such registration under specified circumstances.</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Expenses of Registration</w:t>
      </w:r>
    </w:p>
    <w:p>
      <w:pPr>
        <w:spacing w:after="0" w:line="229" w:lineRule="exact"/>
        <w:rPr>
          <w:sz w:val="20"/>
          <w:szCs w:val="20"/>
          <w:color w:val="auto"/>
        </w:rPr>
      </w:pPr>
    </w:p>
    <w:p>
      <w:pPr>
        <w:jc w:val="both"/>
        <w:ind w:left="760"/>
        <w:spacing w:after="0" w:line="258" w:lineRule="auto"/>
        <w:rPr>
          <w:sz w:val="20"/>
          <w:szCs w:val="20"/>
          <w:color w:val="auto"/>
        </w:rPr>
      </w:pPr>
      <w:r>
        <w:rPr>
          <w:rFonts w:ascii="Times New Roman" w:cs="Times New Roman" w:eastAsia="Times New Roman" w:hAnsi="Times New Roman"/>
          <w:sz w:val="18"/>
          <w:szCs w:val="18"/>
          <w:color w:val="auto"/>
        </w:rPr>
        <w:t>The Company is required to pay all expenses, including fees and expenses of one counsel to represent the selling stockholders, relating to any demand, piggyback or Form S-3 registration, other than underwriting discounts and commissions, stock transfer taxes and any additional fees of counsel for the selling stockholders, subject to specified conditions and limitations. The Company is not required to pay registration expenses if a demand registration request is withdrawn at the request of a majority of holders of Registrable Securities to be registered, unless holders of a majority of the Registrable Securities agree to forfeit their right to one demand registration.</w:t>
      </w:r>
    </w:p>
    <w:p>
      <w:pPr>
        <w:spacing w:after="0" w:line="183"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Investors’ Rights Agreement contains customary cross-indemnification provisions, pursuant to which the Company is obligated to indemnify the selling stockholders in the event of material misstatements or omissions in the applicable registration statement attributable to the Company, and the selling stockholders are obligated to indemnify the Company for material misstatements or omissions in the registration statement attributable to them, subject to certain limitations.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Termination of Registration Rights</w:t>
      </w:r>
    </w:p>
    <w:p>
      <w:pPr>
        <w:spacing w:after="0" w:line="229" w:lineRule="exact"/>
        <w:rPr>
          <w:sz w:val="20"/>
          <w:szCs w:val="20"/>
          <w:color w:val="auto"/>
        </w:rPr>
      </w:pPr>
    </w:p>
    <w:p>
      <w:pPr>
        <w:jc w:val="both"/>
        <w:ind w:left="760"/>
        <w:spacing w:after="0" w:line="261" w:lineRule="auto"/>
        <w:rPr>
          <w:sz w:val="20"/>
          <w:szCs w:val="20"/>
          <w:color w:val="auto"/>
        </w:rPr>
      </w:pPr>
      <w:r>
        <w:rPr>
          <w:rFonts w:ascii="Times New Roman" w:cs="Times New Roman" w:eastAsia="Times New Roman" w:hAnsi="Times New Roman"/>
          <w:sz w:val="18"/>
          <w:szCs w:val="18"/>
          <w:color w:val="auto"/>
        </w:rPr>
        <w:t>The registration rights granted under the Investors’ Rights Agreement will terminate with respect to any particular stockholder upon the earliest of (a) the closing of a deemed liquidation event, as defined in the Certificate of Incorporation, (b) with respect to each stockholder, at such time such stockholder is able to sell all of its shares pursuant to Rule 144 or another similar exemption under the Securities Act during a three-month period without registration and (c) the fifth anniversary of the closing of the Company’s initial public offering.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Purchase Warrant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outstanding a warrant to purchase shares of its common stock which provides certain piggyback registration rights requiring the Company to register the shares of common stock underlying such warrant, subject to the Company’s existing obligations under the Investors’ Rights Agreement. In the event that the Company, at any time prior to the termination of the warrant pursuant to its terms, proposes to file on behalf of one or more of its stockholders a registration statement under the Securities Act pursuant to the Investors’ Rights Agreement, the Company is required to provide written notice to the warrantholder as soon as practicable of such proposed filing, and the warrantholder shall have the right to include the applicable shares in such registration statement upon timely written notice. The Company is not required to file any registration statement pursuant to the warrant if at the time of such request (A) the Company is not eligible to file a Form S-3 for such sales, or (B) the warrantholder can sell all applicable shares without restriction pursuant to Rule 144 under the Securities Act.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spacing w:after="0" w:line="162" w:lineRule="exact"/>
        <w:rPr>
          <w:sz w:val="20"/>
          <w:szCs w:val="20"/>
          <w:color w:val="auto"/>
        </w:rPr>
      </w:pPr>
    </w:p>
    <w:p>
      <w:pPr>
        <w:ind w:left="760" w:hanging="378"/>
        <w:spacing w:after="0" w:line="282"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the board of directors of the corporation approved either the business combination or the transaction that resulted in the stockholder becoming an interested stockholder;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completion of the transaction that resulted in the stockholder becoming an interested stockholder, the interested stockholder owned at least eighty-five percent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0" w:name="page171"/>
    <w:bookmarkEnd w:id="170"/>
    <w:p>
      <w:pPr>
        <w:ind w:left="760"/>
        <w:spacing w:after="0" w:line="282" w:lineRule="auto"/>
        <w:rPr>
          <w:sz w:val="20"/>
          <w:szCs w:val="20"/>
          <w:color w:val="auto"/>
        </w:rPr>
      </w:pPr>
      <w:r>
        <w:rPr>
          <w:rFonts w:ascii="Times New Roman" w:cs="Times New Roman" w:eastAsia="Times New Roman" w:hAnsi="Times New Roman"/>
          <w:sz w:val="18"/>
          <w:szCs w:val="18"/>
          <w:color w:val="auto"/>
        </w:rPr>
        <w:t>participants do not have the right to determine confidentially whether shares held subject to the plan will be tendered in a tender or exchange offer; or</w:t>
      </w:r>
    </w:p>
    <w:p>
      <w:pPr>
        <w:spacing w:after="0" w:line="54" w:lineRule="exact"/>
        <w:rPr>
          <w:sz w:val="20"/>
          <w:szCs w:val="20"/>
          <w:color w:val="auto"/>
        </w:rPr>
      </w:pPr>
    </w:p>
    <w:p>
      <w:pPr>
        <w:jc w:val="both"/>
        <w:ind w:left="760" w:hanging="378"/>
        <w:spacing w:after="0" w:line="266" w:lineRule="auto"/>
        <w:tabs>
          <w:tab w:leader="none" w:pos="7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the board of directors and authorized at an annual or special meeting of the stockholders, and not by written consent, by the affirmative vote of at least sixty-six and two-thirds percent (66 2/3%) of the outstanding voting stock that is not owned by the interested stockholder.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general, Section 203 defines a “business combination” to include the following:</w:t>
      </w:r>
    </w:p>
    <w:p>
      <w:pPr>
        <w:spacing w:after="0" w:line="225" w:lineRule="exact"/>
        <w:rPr>
          <w:sz w:val="20"/>
          <w:szCs w:val="20"/>
          <w:color w:val="auto"/>
        </w:rPr>
      </w:pPr>
    </w:p>
    <w:p>
      <w:pPr>
        <w:ind w:left="760" w:right="20" w:hanging="378"/>
        <w:spacing w:after="0" w:line="282"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or any direct or indirect majority-owned subsidiary of the corporation and the interested stockholder;</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lease, exchange, mortgage, pledge, transfer or other disposition of ten percent (10%) or more of the assets of the corporation or of any direct or indirect majority-owned subsidiary involving the interested stockholder (in one transaction or a series of transactions);</w:t>
      </w:r>
    </w:p>
    <w:p>
      <w:pPr>
        <w:spacing w:after="0" w:line="5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or by any direct or indirect majority-owned subsidiary of the corporation of any stock of the corporation or of such subsidiary to the interested stockholder;</w:t>
      </w:r>
    </w:p>
    <w:p>
      <w:pPr>
        <w:spacing w:after="0" w:line="5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or any direct or indirect majority-owned subsidiary of the corporation that has the effect of increasing the proportionate share of the stock or any class or series of the corporation or any such subsidiary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by or through the corporation.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fifteen percent (15%) or more of the outstanding voting stock of the corporation.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Certificate of Incorporation and Amended and Restated Bylaws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Certificate of Incorporation provides for each member of the Company’s board of directors to be elected at each annual meeting of stockholders for a term expiring at the next succeeding annual meeting of stockholders and until his or her successor is duly elected and qualified or until his or her earlier death, resignation or removal. Because the Company’s stockholders do not have cumulative voting rights, stockholders holding a majority of the shares of common stock outstanding are able to elect all of the Company’s directors. The Certificate of Incorporation provides that any individual director or directors may be removed with or without cause by the affirmative vote of the holders of at least a majority of the voting power of all then-outstanding shares of capital stock of the Company entitled to vote generally at an election of directors. Furthermore, the authorized number of directors may be changed only by resolution of the board of directors, and vacancies and newly created directorships on the board of directors may, except as otherwise required by law or determined by the board of directors and subject to the rights of any series of then-outstanding preferred stock, only be filled by a majority vote of the directors then serving on the board of directors, even though less than a quorum.</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Certificate of Incorporation and the Bylaws also provide that all stockholder actions must be effected at a duly called meeting of stockholders and eliminate the right of stockholders to act by written consent without a meeting. The Bylaws provide that only the chairman of the board of directors, the chief executive officer or the board of directors pursuant to a resolution adopted by a majority of the total number of authorized directors may call a special meeting of stockholders.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1" w:name="page172"/>
    <w:bookmarkEnd w:id="171"/>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and the Bylaws provide that the stockholders cannot amend many of the provisions described above except by a vote of at least sixty-six and two-thirds percent (66 2/3%) of the voting power of all of the then-outstanding shares of capital stock entitled to vote generally at an election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gives the Company’s board of directors the authority, without further action by the Company’s stockholders, to issue up to 10,000,000 shares of preferred stock in one or more series, with any rights, preferences and privileges as they may designate, including the right to approve an acquisition or other change in control.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combination of these provisions makes it more difficult for the Company’s existing stockholders to replace the Company’s board of directors as well as for another party to obtain control of the Company by replacing the Company’s board of directors. Since the Company’s board of directors has the power to retain and discharge the Company’s officers, these provisions could also make it more difficult for existing stockholders or another party to effect a change in management. In addition, the authorization of undesignated preferred stock makes it possible for the Company’s board of directors to issue preferred stock with voting or other rights or preferences that could impede the success of any attempt to change control of the Company.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the Company’s board of directors and its policies and to discourage coercive takeover practices and inadequate takeover bids. These provisions are also designed to reduce the Company’s vulnerability to hostile takeovers and to discourage certain tactics that may be used in proxy fights. However, such provisions could have the effect of discouraging others from making tender offers for the Company’s shares and may have the effect of delaying changes in the Company’s control or management. As a consequence, these provisions may also inhibit fluctuations in the market price of the Company’s stock that could result from actual or rumored takeover attempts. The Company believes that the benefits of these provisions, including increased protection of the Company’s potential ability to negotiate with the proponent of an unfriendly or unsolicited proposal to acquire or restructure the Company, outweigh the disadvantages of discouraging takeover proposals, because negotiation of takeover proposals could result in an improvement of their terms.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Certificate of Incorporation provides that the Court of Chancery of the State of Delaware will be the exclusive forum for the following types of actions or proceedings under Delaware statutory or common law:</w:t>
      </w:r>
    </w:p>
    <w:p>
      <w:pPr>
        <w:spacing w:after="0" w:line="162" w:lineRule="exact"/>
        <w:rPr>
          <w:sz w:val="20"/>
          <w:szCs w:val="20"/>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behalf of the Company;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arising pursuant to the DGCL, the Certificate of Incorporation, or the Company’s Bylaws;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seeking to interpret, apply, enforce or determine the validity of the Certificate of Incorporation or the Bylaws;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cause of action as to which the DGCL confers jurisdiction on the Court of Chancery of the State of Delaware;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the Company that is governed by the internal affairs doctrine.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provision would not apply to suits brought to enforce a duty or liability created by the Securities Act or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the Certificate of Incorporation also provides that unless the Company consents in writing to the selection of an alternative forum, the federal district courts of the United States of America</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2" w:name="page173"/>
    <w:bookmarkEnd w:id="17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the exclusive forum for the resolution of any complaint asserting a cause of action arising under the Securities Act.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 Delaware courts have determined that such choice of forum provisions are facially valid, a stockholder may nevertheless seek to bring a claim in a venue other than those designated in the exclusive forum provisions. In such instance, the Company would expect to vigorously assert the validity and enforceability of the exclusive forum provisions of the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exclusive forum provisions may result in increased costs for investors to bring a claim. Further, these exclusive forum provisions may limit a stockholder’s ability to bring a claim in a judicial forum that it finds favorable for disputes with the Company or its directors, officers, or other employees, which may discourage lawsuits against the Company and its directors, officers and other employees. If a court were to find either exclusive-forum provision in the Certificate of Incorporation to be inapplicable or unenforceable in an action, the Company may incur further significant additional costs associated with resolving the dispute in other jurisdictions, all of which could seriously harm its business.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Certificate of Incorporation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the Company’s common stock is Equiniti Trust Company, LLC. The transfer agent’s address is 6201 15th Avenue, Brooklyn, New York 11219.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common stock is listed on the Nasdaq Global Market under the trading symbol “IVVD.”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7"/>
          <w:szCs w:val="17"/>
          <w:b w:val="1"/>
          <w:bCs w:val="1"/>
          <w:color w:val="auto"/>
        </w:rPr>
        <w:t>NVIVYD,</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7"/>
          <w:szCs w:val="17"/>
          <w:b w:val="1"/>
          <w:bCs w:val="1"/>
          <w:color w:val="auto"/>
        </w:rPr>
        <w:t>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3"/>
          <w:szCs w:val="13"/>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IRECTORS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27, 2021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TOCKHOLDERS</w:t>
      </w:r>
      <w:r>
        <w:rPr>
          <w:rFonts w:ascii="Times New Roman" w:cs="Times New Roman" w:eastAsia="Times New Roman" w:hAnsi="Times New Roman"/>
          <w:sz w:val="18"/>
          <w:szCs w:val="18"/>
          <w:b w:val="1"/>
          <w:bCs w:val="1"/>
          <w:color w:val="auto"/>
        </w:rPr>
        <w:t>: J</w:t>
      </w:r>
      <w:r>
        <w:rPr>
          <w:rFonts w:ascii="Times New Roman" w:cs="Times New Roman" w:eastAsia="Times New Roman" w:hAnsi="Times New Roman"/>
          <w:sz w:val="13"/>
          <w:szCs w:val="13"/>
          <w:b w:val="1"/>
          <w:bCs w:val="1"/>
          <w:color w:val="auto"/>
        </w:rPr>
        <w:t>ULY</w:t>
      </w:r>
      <w:r>
        <w:rPr>
          <w:rFonts w:ascii="Times New Roman" w:cs="Times New Roman" w:eastAsia="Times New Roman" w:hAnsi="Times New Roman"/>
          <w:sz w:val="18"/>
          <w:szCs w:val="18"/>
          <w:b w:val="1"/>
          <w:bCs w:val="1"/>
          <w:color w:val="auto"/>
        </w:rPr>
        <w:t xml:space="preserve"> 29, 2021</w:t>
      </w:r>
    </w:p>
    <w:p>
      <w:pPr>
        <w:spacing w:after="0" w:line="230" w:lineRule="exact"/>
        <w:rPr>
          <w:sz w:val="20"/>
          <w:szCs w:val="20"/>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ENERAL</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00" w:firstLine="517"/>
        <w:spacing w:after="0" w:line="259" w:lineRule="auto"/>
        <w:tabs>
          <w:tab w:leader="none" w:pos="76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Successor to and Continuation of Prior Plan</w:t>
      </w:r>
      <w:r>
        <w:rPr>
          <w:rFonts w:ascii="Times New Roman" w:cs="Times New Roman" w:eastAsia="Times New Roman" w:hAnsi="Times New Roman"/>
          <w:sz w:val="18"/>
          <w:szCs w:val="18"/>
          <w:color w:val="auto"/>
        </w:rPr>
        <w:t>. The Plan is the successor to and continuation of the Prior Plan. As of the Effective Date, (i)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additional awards may be granted under the Prior Plan; (ii) the Prior Plan’s Available Reserve plus any Returning Shares will become available for issuance pursuant to Awards granted under this Plan; and (iii) all outstanding awards granted under the Prior Plan will remain subject to the terms of the Prior Plan (except to the extent such outstanding awards result in Returning Shares that become available for issuance pursuant to Awards granted under this Plan). All Awards granted under this Plan will be subject to the terms of this Plan.</w:t>
      </w:r>
    </w:p>
    <w:p>
      <w:pPr>
        <w:spacing w:after="0" w:line="71" w:lineRule="exact"/>
        <w:rPr>
          <w:rFonts w:ascii="Times New Roman" w:cs="Times New Roman" w:eastAsia="Times New Roman" w:hAnsi="Times New Roman"/>
          <w:sz w:val="18"/>
          <w:szCs w:val="18"/>
          <w:b w:val="1"/>
          <w:bCs w:val="1"/>
          <w:color w:val="auto"/>
        </w:rPr>
      </w:pPr>
    </w:p>
    <w:p>
      <w:pPr>
        <w:jc w:val="both"/>
        <w:ind w:right="80" w:firstLine="517"/>
        <w:spacing w:after="0" w:line="268" w:lineRule="auto"/>
        <w:tabs>
          <w:tab w:leader="none" w:pos="77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Plan Purpose. </w:t>
      </w:r>
      <w:r>
        <w:rPr>
          <w:rFonts w:ascii="Times New Roman" w:cs="Times New Roman" w:eastAsia="Times New Roman" w:hAnsi="Times New Roman"/>
          <w:sz w:val="18"/>
          <w:szCs w:val="18"/>
          <w:color w:val="auto"/>
        </w:rPr>
        <w:t>The Company, by means of the Plan, seeks to secure and retain the services of Employees, Directors and Consultants,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incentives for such persons to exert maximum efforts for the success of the Company and any Affiliate and to provide a means by which such persons may be given an opportunity to benefit from increases in value of the Common Stock through the granting of Awards.</w:t>
      </w:r>
    </w:p>
    <w:p>
      <w:pPr>
        <w:spacing w:after="0" w:line="62" w:lineRule="exact"/>
        <w:rPr>
          <w:rFonts w:ascii="Times New Roman" w:cs="Times New Roman" w:eastAsia="Times New Roman" w:hAnsi="Times New Roman"/>
          <w:sz w:val="18"/>
          <w:szCs w:val="18"/>
          <w:b w:val="1"/>
          <w:bCs w:val="1"/>
          <w:color w:val="auto"/>
        </w:rPr>
      </w:pPr>
    </w:p>
    <w:p>
      <w:pPr>
        <w:ind w:right="180" w:firstLine="517"/>
        <w:spacing w:after="0" w:line="286" w:lineRule="auto"/>
        <w:tabs>
          <w:tab w:leader="none" w:pos="753"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Awards. </w:t>
      </w:r>
      <w:r>
        <w:rPr>
          <w:rFonts w:ascii="Times New Roman" w:cs="Times New Roman" w:eastAsia="Times New Roman" w:hAnsi="Times New Roman"/>
          <w:sz w:val="18"/>
          <w:szCs w:val="18"/>
          <w:color w:val="auto"/>
        </w:rPr>
        <w:t>The Plan provides for the grant of the following Awards: (i) Incentive Stock Options; (ii) Nonstatutory Stock Options;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(iv) Restricted Stock Awards; (v) RSU Awards; (vi) Performance Awards; and (vii) Other Awards.</w:t>
      </w:r>
    </w:p>
    <w:p>
      <w:pPr>
        <w:spacing w:after="0" w:line="4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Adoption Date; Effective Date. </w:t>
      </w:r>
      <w:r>
        <w:rPr>
          <w:rFonts w:ascii="Times New Roman" w:cs="Times New Roman" w:eastAsia="Times New Roman" w:hAnsi="Times New Roman"/>
          <w:sz w:val="18"/>
          <w:szCs w:val="18"/>
          <w:color w:val="auto"/>
        </w:rPr>
        <w:t>The Plan will come into existence on the Adoption Date, but no Award may be granted prior to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229"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160" w:firstLine="517"/>
        <w:spacing w:after="0" w:line="251" w:lineRule="auto"/>
        <w:tabs>
          <w:tab w:leader="none" w:pos="76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 Reserve. </w:t>
      </w:r>
      <w:r>
        <w:rPr>
          <w:rFonts w:ascii="Times New Roman" w:cs="Times New Roman" w:eastAsia="Times New Roman" w:hAnsi="Times New Roman"/>
          <w:sz w:val="18"/>
          <w:szCs w:val="18"/>
          <w:color w:val="auto"/>
        </w:rPr>
        <w:t>Subject to adjustment in accordance with Section 2(c) and any adjustments as necessary to implement any Capitalization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Adjustments, the aggregate number of shares of Common Stock that may be issued pursuant to Awards will not exceed 35,075,122 shares (the “</w:t>
      </w:r>
      <w:r>
        <w:rPr>
          <w:rFonts w:ascii="Times New Roman" w:cs="Times New Roman" w:eastAsia="Times New Roman" w:hAnsi="Times New Roman"/>
          <w:sz w:val="18"/>
          <w:szCs w:val="18"/>
          <w:b w:val="1"/>
          <w:bCs w:val="1"/>
          <w:i w:val="1"/>
          <w:i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Reserve</w:t>
      </w:r>
      <w:r>
        <w:rPr>
          <w:rFonts w:ascii="Times New Roman" w:cs="Times New Roman" w:eastAsia="Times New Roman" w:hAnsi="Times New Roman"/>
          <w:sz w:val="18"/>
          <w:szCs w:val="18"/>
          <w:color w:val="auto"/>
        </w:rPr>
        <w:t>”), which is the sum of: (i) 11,413,572 new shares, plus (ii) the number of shares of Common Stock (not to exceed 23,661,550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which represents (A) the Prior Plan’s Available Reserve plus (B) the number of Returning Shares, if any, as such shares become available from time to time. In addition, subject to any adjustments as necessary to implement any Capitalization Adjustments, such aggregate number of shares of Common Stock will automatically increase on January 1 of each year for a period of ten years commencing on January 1, 2022 and ending on (and including) January 1, 2031, in an amount equal to five percent (5%) of the total number of shares of Common Stock outstanding on December 31 of the preceding year; provided, however, that the Board may act prior to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a given year to provide that the increase for such year will be a lesser number of shares of Common Stock (such increase, the “</w:t>
      </w:r>
      <w:r>
        <w:rPr>
          <w:rFonts w:ascii="Times New Roman" w:cs="Times New Roman" w:eastAsia="Times New Roman" w:hAnsi="Times New Roman"/>
          <w:sz w:val="18"/>
          <w:szCs w:val="18"/>
          <w:b w:val="1"/>
          <w:bCs w:val="1"/>
          <w:i w:val="1"/>
          <w:iCs w:val="1"/>
          <w:color w:val="auto"/>
        </w:rPr>
        <w:t>Annual Increase</w:t>
      </w:r>
      <w:r>
        <w:rPr>
          <w:rFonts w:ascii="Times New Roman" w:cs="Times New Roman" w:eastAsia="Times New Roman" w:hAnsi="Times New Roman"/>
          <w:sz w:val="18"/>
          <w:szCs w:val="18"/>
          <w:color w:val="auto"/>
        </w:rPr>
        <w:t>”).</w:t>
      </w:r>
    </w:p>
    <w:p>
      <w:pPr>
        <w:spacing w:after="0" w:line="120" w:lineRule="exact"/>
        <w:rPr>
          <w:rFonts w:ascii="Times New Roman" w:cs="Times New Roman" w:eastAsia="Times New Roman" w:hAnsi="Times New Roman"/>
          <w:sz w:val="18"/>
          <w:szCs w:val="18"/>
          <w:b w:val="1"/>
          <w:bCs w:val="1"/>
          <w:color w:val="auto"/>
        </w:rPr>
      </w:pPr>
    </w:p>
    <w:p>
      <w:pPr>
        <w:ind w:right="20" w:firstLine="517"/>
        <w:spacing w:after="0" w:line="253" w:lineRule="auto"/>
        <w:tabs>
          <w:tab w:leader="none" w:pos="774"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Notwithstanding anything to the contrary in Section 2(a) and subject to any adjustments as necessary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implement any Capitalization Adjustments, the aggregate maximum number of shares of Common Stock that may be issued pursuant to the exercise of Incentive Stock Options shall not exceed the Initial Reserve cumulatively increased on January 1, 2022 and each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thereafter by the lesser of (i) the Annual Increase for such year or (ii) 23,827,144 shares of Common Stock.</w:t>
      </w:r>
    </w:p>
    <w:p>
      <w:pPr>
        <w:spacing w:after="0" w:line="74"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1"/>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 Operation.</w:t>
      </w:r>
    </w:p>
    <w:p>
      <w:pPr>
        <w:spacing w:after="0" w:line="117" w:lineRule="exact"/>
        <w:rPr>
          <w:rFonts w:ascii="Times New Roman" w:cs="Times New Roman" w:eastAsia="Times New Roman" w:hAnsi="Times New Roman"/>
          <w:sz w:val="18"/>
          <w:szCs w:val="18"/>
          <w:b w:val="1"/>
          <w:bCs w:val="1"/>
          <w:color w:val="auto"/>
        </w:rPr>
      </w:pPr>
    </w:p>
    <w:p>
      <w:pPr>
        <w:ind w:right="100" w:firstLine="1154"/>
        <w:spacing w:after="0" w:line="268" w:lineRule="auto"/>
        <w:tabs>
          <w:tab w:leader="none" w:pos="1360"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 Applies to Common Stock Issued Pursuant to Awards. </w:t>
      </w:r>
      <w:r>
        <w:rPr>
          <w:rFonts w:ascii="Times New Roman" w:cs="Times New Roman" w:eastAsia="Times New Roman" w:hAnsi="Times New Roman"/>
          <w:sz w:val="18"/>
          <w:szCs w:val="18"/>
          <w:color w:val="auto"/>
        </w:rPr>
        <w:t>For clarity, the Share Reserve is a limit on the number of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8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64" w:lineRule="exact"/>
        <w:rPr>
          <w:sz w:val="20"/>
          <w:szCs w:val="20"/>
          <w:color w:val="auto"/>
        </w:rPr>
      </w:pPr>
    </w:p>
    <w:p>
      <w:pPr>
        <w:ind w:firstLine="1154"/>
        <w:spacing w:after="0" w:line="257" w:lineRule="auto"/>
        <w:tabs>
          <w:tab w:leader="none" w:pos="141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Actions that Do Not Constitute Issuance of Common Stock and Do Not Reduce Share Reserve. </w:t>
      </w:r>
      <w:r>
        <w:rPr>
          <w:rFonts w:ascii="Times New Roman" w:cs="Times New Roman" w:eastAsia="Times New Roman" w:hAnsi="Times New Roman"/>
          <w:sz w:val="18"/>
          <w:szCs w:val="18"/>
          <w:color w:val="auto"/>
        </w:rPr>
        <w:t>The following actions do not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an issuance of shares under the Plan and accordingly do not reduce the number of shares subject to the Share Reserve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74" w:lineRule="exact"/>
        <w:rPr>
          <w:rFonts w:ascii="Times New Roman" w:cs="Times New Roman" w:eastAsia="Times New Roman" w:hAnsi="Times New Roman"/>
          <w:sz w:val="18"/>
          <w:szCs w:val="18"/>
          <w:b w:val="1"/>
          <w:bCs w:val="1"/>
          <w:color w:val="auto"/>
        </w:rPr>
      </w:pPr>
    </w:p>
    <w:p>
      <w:pPr>
        <w:ind w:right="40" w:firstLine="1154"/>
        <w:spacing w:after="0" w:line="259" w:lineRule="auto"/>
        <w:tabs>
          <w:tab w:leader="none" w:pos="1460" w:val="left"/>
        </w:tabs>
        <w:numPr>
          <w:ilvl w:val="2"/>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Reversion of Previously Issued Shares of Common Stock to Share Reserve. </w:t>
      </w:r>
      <w:r>
        <w:rPr>
          <w:rFonts w:ascii="Times New Roman" w:cs="Times New Roman" w:eastAsia="Times New Roman" w:hAnsi="Times New Roman"/>
          <w:sz w:val="18"/>
          <w:szCs w:val="18"/>
          <w:color w:val="auto"/>
        </w:rPr>
        <w:t>The following shares of Common Stock previously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pursuant to an Award and accordingly initially deducted from the Share Reserve will be added back to the Share Reserve and again become available for 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206"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LIGIBILITY AND</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IMITATIONS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Subject to the terms of the Plan, Employees, Directors and Consultants are eligible to receive Awards.</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Specific Award Limitations.</w:t>
      </w:r>
    </w:p>
    <w:p>
      <w:pPr>
        <w:spacing w:after="0" w:line="117" w:lineRule="exact"/>
        <w:rPr>
          <w:rFonts w:ascii="Times New Roman" w:cs="Times New Roman" w:eastAsia="Times New Roman" w:hAnsi="Times New Roman"/>
          <w:sz w:val="18"/>
          <w:szCs w:val="18"/>
          <w:b w:val="1"/>
          <w:bCs w:val="1"/>
          <w:color w:val="auto"/>
        </w:rPr>
      </w:pPr>
    </w:p>
    <w:p>
      <w:pPr>
        <w:ind w:right="160" w:firstLine="1154"/>
        <w:spacing w:after="0" w:line="286" w:lineRule="auto"/>
        <w:tabs>
          <w:tab w:leader="none" w:pos="136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 Recipients. </w:t>
      </w:r>
      <w:r>
        <w:rPr>
          <w:rFonts w:ascii="Times New Roman" w:cs="Times New Roman" w:eastAsia="Times New Roman" w:hAnsi="Times New Roman"/>
          <w:sz w:val="18"/>
          <w:szCs w:val="18"/>
          <w:color w:val="auto"/>
        </w:rPr>
        <w:t>Incentive Stock Options may be granted only to Employees of the Company 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“parent corporation” or “subsidiary corporation” thereof (as such terms are defined in Sections 424(e) and (f) of the Code).</w:t>
      </w:r>
    </w:p>
    <w:p>
      <w:pPr>
        <w:spacing w:after="0" w:line="87" w:lineRule="exact"/>
        <w:rPr>
          <w:rFonts w:ascii="Times New Roman" w:cs="Times New Roman" w:eastAsia="Times New Roman" w:hAnsi="Times New Roman"/>
          <w:sz w:val="18"/>
          <w:szCs w:val="18"/>
          <w:b w:val="1"/>
          <w:bCs w:val="1"/>
          <w:color w:val="auto"/>
        </w:rPr>
      </w:pPr>
    </w:p>
    <w:p>
      <w:pPr>
        <w:ind w:right="80" w:firstLine="1154"/>
        <w:spacing w:after="0" w:line="257" w:lineRule="auto"/>
        <w:tabs>
          <w:tab w:leader="none" w:pos="141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$100,000 Limitation. </w:t>
      </w:r>
      <w:r>
        <w:rPr>
          <w:rFonts w:ascii="Times New Roman" w:cs="Times New Roman" w:eastAsia="Times New Roman" w:hAnsi="Times New Roman"/>
          <w:sz w:val="18"/>
          <w:szCs w:val="18"/>
          <w:color w:val="auto"/>
        </w:rPr>
        <w:t>To the extent that the aggregate Fair Market Value (determined at the time of grant)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74" w:lineRule="exact"/>
        <w:rPr>
          <w:rFonts w:ascii="Times New Roman" w:cs="Times New Roman" w:eastAsia="Times New Roman" w:hAnsi="Times New Roman"/>
          <w:sz w:val="18"/>
          <w:szCs w:val="18"/>
          <w:b w:val="1"/>
          <w:bCs w:val="1"/>
          <w:color w:val="auto"/>
        </w:rPr>
      </w:pPr>
    </w:p>
    <w:p>
      <w:pPr>
        <w:ind w:right="140" w:firstLine="1154"/>
        <w:spacing w:after="0" w:line="268" w:lineRule="auto"/>
        <w:tabs>
          <w:tab w:leader="none" w:pos="146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Incentive Stock Options Granted to Ten Percent Stockholders. </w:t>
      </w:r>
      <w:r>
        <w:rPr>
          <w:rFonts w:ascii="Times New Roman" w:cs="Times New Roman" w:eastAsia="Times New Roman" w:hAnsi="Times New Roman"/>
          <w:sz w:val="18"/>
          <w:szCs w:val="18"/>
          <w:color w:val="auto"/>
        </w:rPr>
        <w:t>A Ten Percent Stockholder may not be granted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Incentive Stock Option unless (1) the exercise price of such Option is at least 110% of the Fair Market Value on the date of grant of such Option and (2) the Option is not exercisable after the expiration of five years from the date of grant of such Option.</w:t>
      </w:r>
    </w:p>
    <w:p>
      <w:pPr>
        <w:spacing w:after="0" w:line="62" w:lineRule="exact"/>
        <w:rPr>
          <w:rFonts w:ascii="Times New Roman" w:cs="Times New Roman" w:eastAsia="Times New Roman" w:hAnsi="Times New Roman"/>
          <w:sz w:val="18"/>
          <w:szCs w:val="18"/>
          <w:b w:val="1"/>
          <w:bCs w:val="1"/>
          <w:color w:val="auto"/>
        </w:rPr>
      </w:pPr>
    </w:p>
    <w:p>
      <w:pPr>
        <w:ind w:right="260" w:firstLine="1154"/>
        <w:spacing w:after="0" w:line="268" w:lineRule="auto"/>
        <w:tabs>
          <w:tab w:leader="none" w:pos="1450" w:val="left"/>
        </w:tabs>
        <w:numPr>
          <w:ilvl w:val="2"/>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Limitations on Nonstatutory Stock Options and SARs. </w:t>
      </w:r>
      <w:r>
        <w:rPr>
          <w:rFonts w:ascii="Times New Roman" w:cs="Times New Roman" w:eastAsia="Times New Roman" w:hAnsi="Times New Roman"/>
          <w:sz w:val="18"/>
          <w:szCs w:val="18"/>
          <w:color w:val="auto"/>
        </w:rPr>
        <w:t>Nonstatutory Stock Options and SARs may not be granted to Employees,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and Consultants unless the stock underlying such Awards is treated as “service recipient stock” under Section 409A or unless such Awards otherwise comply with the requirements of Section 409A.</w:t>
      </w:r>
    </w:p>
    <w:p>
      <w:pPr>
        <w:spacing w:after="0" w:line="62" w:lineRule="exact"/>
        <w:rPr>
          <w:rFonts w:ascii="Times New Roman" w:cs="Times New Roman" w:eastAsia="Times New Roman" w:hAnsi="Times New Roman"/>
          <w:sz w:val="18"/>
          <w:szCs w:val="18"/>
          <w:b w:val="1"/>
          <w:bCs w:val="1"/>
          <w:color w:val="auto"/>
        </w:rPr>
      </w:pPr>
    </w:p>
    <w:p>
      <w:pPr>
        <w:ind w:right="340" w:firstLine="517"/>
        <w:spacing w:after="0" w:line="286" w:lineRule="auto"/>
        <w:tabs>
          <w:tab w:leader="none" w:pos="753"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Aggregate Incentive Stock Option Limit. </w:t>
      </w:r>
      <w:r>
        <w:rPr>
          <w:rFonts w:ascii="Times New Roman" w:cs="Times New Roman" w:eastAsia="Times New Roman" w:hAnsi="Times New Roman"/>
          <w:sz w:val="18"/>
          <w:szCs w:val="18"/>
          <w:color w:val="auto"/>
        </w:rPr>
        <w:t>The aggregate maximum number of shares of Common Stock that may be issued pursuant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of Incentive Stock Options is the number of shares specified in Section 2(b).</w:t>
      </w:r>
    </w:p>
    <w:p>
      <w:pPr>
        <w:spacing w:after="0" w:line="46" w:lineRule="exact"/>
        <w:rPr>
          <w:rFonts w:ascii="Times New Roman" w:cs="Times New Roman" w:eastAsia="Times New Roman" w:hAnsi="Times New Roman"/>
          <w:sz w:val="18"/>
          <w:szCs w:val="18"/>
          <w:b w:val="1"/>
          <w:bCs w:val="1"/>
          <w:color w:val="auto"/>
        </w:rPr>
      </w:pPr>
    </w:p>
    <w:p>
      <w:pPr>
        <w:ind w:right="160" w:firstLine="517"/>
        <w:spacing w:after="0" w:line="259" w:lineRule="auto"/>
        <w:tabs>
          <w:tab w:leader="none" w:pos="774"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Non-Employee Director Compensation Limit. </w:t>
      </w:r>
      <w:r>
        <w:rPr>
          <w:rFonts w:ascii="Times New Roman" w:cs="Times New Roman" w:eastAsia="Times New Roman" w:hAnsi="Times New Roman"/>
          <w:sz w:val="18"/>
          <w:szCs w:val="18"/>
          <w:color w:val="auto"/>
        </w:rPr>
        <w:t>The aggregate value of all compensation granted or paid, as applicable, to any individual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 as a Non-Employee Director with respect to any calendar year, including Awards granted and cash fees paid by the Company to such Non-Employee Director, will not exceed $1,500,000 in total value, calculating the value of any equity awards based on the grant date fair value of such equity awards for financial reporting purposes. The limitations in this Section 3(d) shall apply commencing with the first calendar year that begins following the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5" w:name="page176"/>
    <w:bookmarkEnd w:id="175"/>
    <w:p>
      <w:pPr>
        <w:spacing w:after="0" w:line="217" w:lineRule="exact"/>
        <w:rPr>
          <w:sz w:val="20"/>
          <w:szCs w:val="20"/>
          <w:color w:val="auto"/>
        </w:rPr>
      </w:pPr>
    </w:p>
    <w:p>
      <w:pPr>
        <w:ind w:left="460" w:hanging="452"/>
        <w:spacing w:after="0"/>
        <w:tabs>
          <w:tab w:leader="none" w:pos="4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Each Option and SAR will have such terms and conditions as determined by the Board. Each Option will be designated in writing as an Incentive Stock Option or Nonstatutory Stock Option at the time of grant; provided, however, that if an Option is not so designated or if an Option designated as an Incentive Stock Option fails to qualify as an Incentive Stock Option,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116" w:lineRule="exact"/>
        <w:rPr>
          <w:sz w:val="20"/>
          <w:szCs w:val="20"/>
          <w:color w:val="auto"/>
        </w:rPr>
      </w:pPr>
    </w:p>
    <w:p>
      <w:pPr>
        <w:ind w:right="160" w:firstLine="517"/>
        <w:spacing w:after="0" w:line="286" w:lineRule="auto"/>
        <w:tabs>
          <w:tab w:leader="none" w:pos="76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Section 3(b) regarding Ten Percent Stockholders, no Option or SAR will be exercisable after the expiration of ten years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of such Award or such shorter period specified in the Award Agreement.</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59" w:lineRule="auto"/>
        <w:tabs>
          <w:tab w:leader="none" w:pos="774"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or Strike Price. </w:t>
      </w:r>
      <w:r>
        <w:rPr>
          <w:rFonts w:ascii="Times New Roman" w:cs="Times New Roman" w:eastAsia="Times New Roman" w:hAnsi="Times New Roman"/>
          <w:sz w:val="18"/>
          <w:szCs w:val="18"/>
          <w:color w:val="auto"/>
        </w:rPr>
        <w:t>Subject to Section 3(b) regarding Ten Percent Stockholders, the exercise or strike price of each Option or SAR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less than 100% of the Fair Market 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71"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753" w:val="left"/>
        </w:tabs>
        <w:numPr>
          <w:ilvl w:val="0"/>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Exercise Price for Options. </w:t>
      </w:r>
      <w:r>
        <w:rPr>
          <w:rFonts w:ascii="Times New Roman" w:cs="Times New Roman" w:eastAsia="Times New Roman" w:hAnsi="Times New Roman"/>
          <w:sz w:val="18"/>
          <w:szCs w:val="18"/>
          <w:color w:val="auto"/>
        </w:rPr>
        <w:t>In order to exercise an Option, the Participant must provide notice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 The exercise price of an Option may be paid, to the extent permitted by Applicable Law and as determined by the Board, by one or more of the following methods of payment to the extent set forth in the Option Agreement:</w:t>
      </w:r>
    </w:p>
    <w:p>
      <w:pPr>
        <w:spacing w:after="0" w:line="78"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or check, bank draft or money order payable to the Company;</w:t>
      </w:r>
    </w:p>
    <w:p>
      <w:pPr>
        <w:spacing w:after="0" w:line="117" w:lineRule="exact"/>
        <w:rPr>
          <w:rFonts w:ascii="Times New Roman" w:cs="Times New Roman" w:eastAsia="Times New Roman" w:hAnsi="Times New Roman"/>
          <w:sz w:val="18"/>
          <w:szCs w:val="18"/>
          <w:b w:val="1"/>
          <w:bCs w:val="1"/>
          <w:color w:val="auto"/>
        </w:rPr>
      </w:pPr>
    </w:p>
    <w:p>
      <w:pPr>
        <w:ind w:right="20" w:firstLine="1154"/>
        <w:spacing w:after="0" w:line="266" w:lineRule="auto"/>
        <w:tabs>
          <w:tab w:leader="none" w:pos="141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67" w:lineRule="exact"/>
        <w:rPr>
          <w:rFonts w:ascii="Times New Roman" w:cs="Times New Roman" w:eastAsia="Times New Roman" w:hAnsi="Times New Roman"/>
          <w:sz w:val="18"/>
          <w:szCs w:val="18"/>
          <w:b w:val="1"/>
          <w:bCs w:val="1"/>
          <w:color w:val="auto"/>
        </w:rPr>
      </w:pPr>
    </w:p>
    <w:p>
      <w:pPr>
        <w:ind w:right="40" w:firstLine="1154"/>
        <w:spacing w:after="0" w:line="255" w:lineRule="auto"/>
        <w:tabs>
          <w:tab w:leader="none" w:pos="146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 that are already owned by the Participant free and clear of any liens, claims, 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80" w:lineRule="exact"/>
        <w:rPr>
          <w:rFonts w:ascii="Times New Roman" w:cs="Times New Roman" w:eastAsia="Times New Roman" w:hAnsi="Times New Roman"/>
          <w:sz w:val="18"/>
          <w:szCs w:val="18"/>
          <w:b w:val="1"/>
          <w:bCs w:val="1"/>
          <w:color w:val="auto"/>
        </w:rPr>
      </w:pPr>
    </w:p>
    <w:p>
      <w:pPr>
        <w:ind w:right="120" w:firstLine="1154"/>
        <w:spacing w:after="0" w:line="261" w:lineRule="auto"/>
        <w:tabs>
          <w:tab w:leader="none" w:pos="145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Option is a Nonstatutory Stock Option,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112"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consideration that may be acceptable to the Board and permissible under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76" w:name="page177"/>
    <w:bookmarkEnd w:id="176"/>
    <w:p>
      <w:pPr>
        <w:spacing w:after="0" w:line="82" w:lineRule="exact"/>
        <w:rPr>
          <w:sz w:val="20"/>
          <w:szCs w:val="20"/>
          <w:color w:val="auto"/>
        </w:rPr>
      </w:pPr>
    </w:p>
    <w:p>
      <w:pPr>
        <w:ind w:left="-517" w:firstLine="517"/>
        <w:spacing w:after="0" w:line="257" w:lineRule="auto"/>
        <w:tabs>
          <w:tab w:leader="none" w:pos="25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Procedure and Payment of Appreciation Distribution for SARs. </w:t>
      </w:r>
      <w:r>
        <w:rPr>
          <w:rFonts w:ascii="Times New Roman" w:cs="Times New Roman" w:eastAsia="Times New Roman" w:hAnsi="Times New Roman"/>
          <w:sz w:val="18"/>
          <w:szCs w:val="18"/>
          <w:color w:val="auto"/>
        </w:rPr>
        <w:t>In order to exercise any SAR, the Participant must provide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74" w:lineRule="exact"/>
        <w:rPr>
          <w:rFonts w:ascii="Times New Roman" w:cs="Times New Roman" w:eastAsia="Times New Roman" w:hAnsi="Times New Roman"/>
          <w:sz w:val="18"/>
          <w:szCs w:val="18"/>
          <w:b w:val="1"/>
          <w:bCs w:val="1"/>
          <w:color w:val="auto"/>
        </w:rPr>
      </w:pPr>
    </w:p>
    <w:p>
      <w:pPr>
        <w:ind w:left="-517" w:right="60" w:firstLine="517"/>
        <w:spacing w:after="0" w:line="259" w:lineRule="auto"/>
        <w:tabs>
          <w:tab w:leader="none" w:pos="236"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Options and SARs may not be transferred to third party financial institutions for value. The Board may impose such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an Option is an Incentive Stock Option, such Option may be deemed to be a Nonstatutory Stock Option as a result of such transfer:</w:t>
      </w:r>
    </w:p>
    <w:p>
      <w:pPr>
        <w:spacing w:after="0" w:line="71" w:lineRule="exact"/>
        <w:rPr>
          <w:rFonts w:ascii="Times New Roman" w:cs="Times New Roman" w:eastAsia="Times New Roman" w:hAnsi="Times New Roman"/>
          <w:sz w:val="18"/>
          <w:szCs w:val="18"/>
          <w:b w:val="1"/>
          <w:bCs w:val="1"/>
          <w:color w:val="auto"/>
        </w:rPr>
      </w:pPr>
    </w:p>
    <w:p>
      <w:pPr>
        <w:ind w:left="-517" w:right="40" w:firstLine="1154"/>
        <w:spacing w:after="0" w:line="259" w:lineRule="auto"/>
        <w:tabs>
          <w:tab w:leader="none" w:pos="84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 and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71" w:lineRule="exact"/>
        <w:rPr>
          <w:rFonts w:ascii="Times New Roman" w:cs="Times New Roman" w:eastAsia="Times New Roman" w:hAnsi="Times New Roman"/>
          <w:sz w:val="18"/>
          <w:szCs w:val="18"/>
          <w:b w:val="1"/>
          <w:bCs w:val="1"/>
          <w:color w:val="auto"/>
        </w:rPr>
      </w:pPr>
    </w:p>
    <w:p>
      <w:pPr>
        <w:ind w:left="-517" w:right="120" w:firstLine="1154"/>
        <w:spacing w:after="0" w:line="268" w:lineRule="auto"/>
        <w:tabs>
          <w:tab w:leader="none" w:pos="89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Notwithstanding the foregoing, subject to the execution of transfer documentation in a format acceptable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Company and subject to the approval of the Board or a duly authorized Officer, an Option or SAR may be transferred pursuant to a domestic relations order.</w:t>
      </w:r>
    </w:p>
    <w:p>
      <w:pPr>
        <w:spacing w:after="0" w:line="62" w:lineRule="exact"/>
        <w:rPr>
          <w:rFonts w:ascii="Times New Roman" w:cs="Times New Roman" w:eastAsia="Times New Roman" w:hAnsi="Times New Roman"/>
          <w:sz w:val="18"/>
          <w:szCs w:val="18"/>
          <w:b w:val="1"/>
          <w:bCs w:val="1"/>
          <w:color w:val="auto"/>
        </w:rPr>
      </w:pPr>
    </w:p>
    <w:p>
      <w:pPr>
        <w:ind w:left="-517" w:right="20" w:firstLine="517"/>
        <w:spacing w:after="0" w:line="268" w:lineRule="auto"/>
        <w:tabs>
          <w:tab w:leader="none" w:pos="21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and/or exercisability of an Option or SAR as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Except as otherwise provided in the Award Agreement or other written agreement between a Participant and the Company or an Affiliate, vesting of Options and SARs will cease upon termination of the Participant’s Continuous Service.</w:t>
      </w:r>
    </w:p>
    <w:p>
      <w:pPr>
        <w:spacing w:after="0" w:line="103" w:lineRule="exact"/>
        <w:rPr>
          <w:rFonts w:ascii="Times New Roman" w:cs="Times New Roman" w:eastAsia="Times New Roman" w:hAnsi="Times New Roman"/>
          <w:sz w:val="18"/>
          <w:szCs w:val="18"/>
          <w:b w:val="1"/>
          <w:bCs w:val="1"/>
          <w:color w:val="auto"/>
        </w:rPr>
      </w:pPr>
    </w:p>
    <w:p>
      <w:pPr>
        <w:ind w:left="-517" w:right="200" w:firstLine="517"/>
        <w:spacing w:after="0" w:line="257" w:lineRule="auto"/>
        <w:tabs>
          <w:tab w:leader="none" w:pos="24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for Cause. </w:t>
      </w:r>
      <w:r>
        <w:rPr>
          <w:rFonts w:ascii="Times New Roman" w:cs="Times New Roman" w:eastAsia="Times New Roman" w:hAnsi="Times New Roman"/>
          <w:sz w:val="18"/>
          <w:szCs w:val="18"/>
          <w:color w:val="auto"/>
        </w:rPr>
        <w:t>Except as explicitly otherwise provided in the Award Agreement or other written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74" w:lineRule="exact"/>
        <w:rPr>
          <w:rFonts w:ascii="Times New Roman" w:cs="Times New Roman" w:eastAsia="Times New Roman" w:hAnsi="Times New Roman"/>
          <w:sz w:val="18"/>
          <w:szCs w:val="18"/>
          <w:b w:val="1"/>
          <w:bCs w:val="1"/>
          <w:color w:val="auto"/>
        </w:rPr>
      </w:pPr>
    </w:p>
    <w:p>
      <w:pPr>
        <w:ind w:left="-517" w:right="20" w:firstLine="517"/>
        <w:spacing w:after="0" w:line="259" w:lineRule="auto"/>
        <w:tabs>
          <w:tab w:leader="none" w:pos="257"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18"/>
          <w:szCs w:val="18"/>
          <w:color w:val="auto"/>
        </w:rPr>
        <w:t>Subject to Section 4(i),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75" w:lineRule="exact"/>
        <w:rPr>
          <w:rFonts w:ascii="Times New Roman" w:cs="Times New Roman" w:eastAsia="Times New Roman" w:hAnsi="Times New Roman"/>
          <w:sz w:val="18"/>
          <w:szCs w:val="18"/>
          <w:b w:val="1"/>
          <w:bCs w:val="1"/>
          <w:color w:val="auto"/>
        </w:rPr>
      </w:pPr>
    </w:p>
    <w:p>
      <w:pPr>
        <w:ind w:left="-517" w:right="180" w:firstLine="1154"/>
        <w:spacing w:after="0" w:line="282" w:lineRule="auto"/>
        <w:tabs>
          <w:tab w:leader="none" w:pos="84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three months following the date of such termination if such termination is a termination without Cause (other than any termination due to the Participant’s Disability or death);</w:t>
      </w:r>
    </w:p>
    <w:p>
      <w:pPr>
        <w:spacing w:after="0" w:line="53" w:lineRule="exact"/>
        <w:rPr>
          <w:rFonts w:ascii="Times New Roman" w:cs="Times New Roman" w:eastAsia="Times New Roman" w:hAnsi="Times New Roman"/>
          <w:sz w:val="18"/>
          <w:szCs w:val="18"/>
          <w:b w:val="1"/>
          <w:bCs w:val="1"/>
          <w:color w:val="auto"/>
        </w:rPr>
      </w:pPr>
    </w:p>
    <w:p>
      <w:pPr>
        <w:ind w:left="903" w:hanging="266"/>
        <w:spacing w:after="0"/>
        <w:tabs>
          <w:tab w:leader="none" w:pos="90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following the date of such termination if such termination is due to the Participant’s Disability;</w:t>
      </w:r>
    </w:p>
    <w:p>
      <w:pPr>
        <w:spacing w:after="0" w:line="117" w:lineRule="exact"/>
        <w:rPr>
          <w:rFonts w:ascii="Times New Roman" w:cs="Times New Roman" w:eastAsia="Times New Roman" w:hAnsi="Times New Roman"/>
          <w:sz w:val="18"/>
          <w:szCs w:val="18"/>
          <w:b w:val="1"/>
          <w:bCs w:val="1"/>
          <w:color w:val="auto"/>
        </w:rPr>
      </w:pPr>
    </w:p>
    <w:p>
      <w:pPr>
        <w:ind w:left="943" w:hanging="306"/>
        <w:spacing w:after="0"/>
        <w:tabs>
          <w:tab w:leader="none" w:pos="94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such termination if such termination is due to the Participant’s death; or</w:t>
      </w:r>
    </w:p>
    <w:p>
      <w:pPr>
        <w:spacing w:after="0" w:line="117" w:lineRule="exact"/>
        <w:rPr>
          <w:rFonts w:ascii="Times New Roman" w:cs="Times New Roman" w:eastAsia="Times New Roman" w:hAnsi="Times New Roman"/>
          <w:sz w:val="18"/>
          <w:szCs w:val="18"/>
          <w:b w:val="1"/>
          <w:bCs w:val="1"/>
          <w:color w:val="auto"/>
        </w:rPr>
      </w:pPr>
    </w:p>
    <w:p>
      <w:pPr>
        <w:ind w:left="-517" w:right="500" w:firstLine="1154"/>
        <w:spacing w:after="0" w:line="282" w:lineRule="auto"/>
        <w:tabs>
          <w:tab w:leader="none" w:pos="933"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following the date of the Participant’s death if such death occurs following the date of such termination but during the period such Award is otherwise exercisable (as provided in (i) or (ii)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855980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177" w:name="page178"/>
    <w:bookmarkEnd w:id="177"/>
    <w:p>
      <w:pPr>
        <w:spacing w:after="0" w:line="1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68" w:lineRule="exact"/>
        <w:rPr>
          <w:sz w:val="20"/>
          <w:szCs w:val="20"/>
          <w:color w:val="auto"/>
        </w:rPr>
      </w:pPr>
    </w:p>
    <w:p>
      <w:pPr>
        <w:ind w:right="20" w:firstLine="517"/>
        <w:spacing w:after="0" w:line="254" w:lineRule="auto"/>
        <w:tabs>
          <w:tab w:leader="none" w:pos="724"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Exercise; Extension of Exercisability. </w:t>
      </w:r>
      <w:r>
        <w:rPr>
          <w:rFonts w:ascii="Times New Roman" w:cs="Times New Roman" w:eastAsia="Times New Roman" w:hAnsi="Times New Roman"/>
          <w:sz w:val="18"/>
          <w:szCs w:val="18"/>
          <w:color w:val="auto"/>
        </w:rPr>
        <w:t>A Participant may not exercise an Option or SAR at any time that the issuance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 (i) 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77" w:lineRule="exact"/>
        <w:rPr>
          <w:rFonts w:ascii="Times New Roman" w:cs="Times New Roman" w:eastAsia="Times New Roman" w:hAnsi="Times New Roman"/>
          <w:sz w:val="18"/>
          <w:szCs w:val="18"/>
          <w:b w:val="1"/>
          <w:bCs w:val="1"/>
          <w:color w:val="auto"/>
        </w:rPr>
      </w:pPr>
    </w:p>
    <w:p>
      <w:pPr>
        <w:ind w:firstLine="517"/>
        <w:spacing w:after="0" w:line="255" w:lineRule="auto"/>
        <w:tabs>
          <w:tab w:leader="none" w:pos="734"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No Option or SAR, whether or not vested, granted to an Employee who is a non-exempt employee for purposes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Fair Labor Standards Act of 1938, as 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7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Whole Shares. </w:t>
      </w:r>
      <w:r>
        <w:rPr>
          <w:rFonts w:ascii="Times New Roman" w:cs="Times New Roman" w:eastAsia="Times New Roman" w:hAnsi="Times New Roman"/>
          <w:sz w:val="18"/>
          <w:szCs w:val="18"/>
          <w:color w:val="auto"/>
        </w:rPr>
        <w:t>Options and SARs may be exercised only with respect to whole shares of Common Stock or their equivalents.</w:t>
      </w:r>
    </w:p>
    <w:p>
      <w:pPr>
        <w:spacing w:after="0" w:line="252"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IGHTS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64"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and RSU Awards. </w:t>
      </w:r>
      <w:r>
        <w:rPr>
          <w:rFonts w:ascii="Times New Roman" w:cs="Times New Roman" w:eastAsia="Times New Roman" w:hAnsi="Times New Roman"/>
          <w:sz w:val="18"/>
          <w:szCs w:val="18"/>
          <w:color w:val="auto"/>
        </w:rPr>
        <w:t>Each Restricted Stock Award and RSU Award will have such terms and conditions as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62"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2"/>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Form of Award.</w:t>
      </w:r>
    </w:p>
    <w:p>
      <w:pPr>
        <w:spacing w:after="0" w:line="121" w:lineRule="exact"/>
        <w:rPr>
          <w:rFonts w:ascii="Times New Roman" w:cs="Times New Roman" w:eastAsia="Times New Roman" w:hAnsi="Times New Roman"/>
          <w:sz w:val="18"/>
          <w:szCs w:val="18"/>
          <w:b w:val="1"/>
          <w:bCs w:val="1"/>
          <w:color w:val="auto"/>
        </w:rPr>
      </w:pPr>
    </w:p>
    <w:p>
      <w:pPr>
        <w:ind w:right="20" w:firstLine="1663"/>
        <w:spacing w:after="0" w:line="258" w:lineRule="auto"/>
        <w:tabs>
          <w:tab w:leader="none" w:pos="1909" w:val="left"/>
        </w:tabs>
        <w:numPr>
          <w:ilvl w:val="3"/>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75" w:lineRule="exact"/>
        <w:rPr>
          <w:rFonts w:ascii="Times New Roman" w:cs="Times New Roman" w:eastAsia="Times New Roman" w:hAnsi="Times New Roman"/>
          <w:sz w:val="18"/>
          <w:szCs w:val="18"/>
          <w:b w:val="1"/>
          <w:bCs w:val="1"/>
          <w:color w:val="auto"/>
        </w:rPr>
      </w:pPr>
    </w:p>
    <w:p>
      <w:pPr>
        <w:ind w:right="60" w:firstLine="1663"/>
        <w:spacing w:after="0" w:line="256" w:lineRule="auto"/>
        <w:tabs>
          <w:tab w:leader="none" w:pos="1909" w:val="left"/>
        </w:tabs>
        <w:numPr>
          <w:ilvl w:val="3"/>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82" w:lineRule="exact"/>
        <w:rPr>
          <w:sz w:val="20"/>
          <w:szCs w:val="20"/>
          <w:color w:val="auto"/>
        </w:rPr>
      </w:pPr>
    </w:p>
    <w:p>
      <w:pPr>
        <w:ind w:left="1412" w:hanging="266"/>
        <w:spacing w:after="0"/>
        <w:tabs>
          <w:tab w:leader="none" w:pos="1412" w:val="left"/>
        </w:tabs>
        <w:numPr>
          <w:ilvl w:val="2"/>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Consideration.</w:t>
      </w:r>
    </w:p>
    <w:p>
      <w:pPr>
        <w:spacing w:after="0" w:line="121" w:lineRule="exact"/>
        <w:rPr>
          <w:rFonts w:ascii="Times New Roman" w:cs="Times New Roman" w:eastAsia="Times New Roman" w:hAnsi="Times New Roman"/>
          <w:sz w:val="18"/>
          <w:szCs w:val="18"/>
          <w:b w:val="1"/>
          <w:bCs w:val="1"/>
          <w:color w:val="auto"/>
        </w:rPr>
      </w:pPr>
    </w:p>
    <w:p>
      <w:pPr>
        <w:ind w:left="-8" w:right="40" w:firstLine="1663"/>
        <w:spacing w:after="0" w:line="266" w:lineRule="auto"/>
        <w:tabs>
          <w:tab w:leader="none" w:pos="1901" w:val="left"/>
        </w:tabs>
        <w:numPr>
          <w:ilvl w:val="3"/>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Restricted Stock Awards: A Restricted Stock Award may be granted in consideration for (A) cash or check, bank draft or money order payable to the Company, (B) services to the Company or an Affiliate, or (C) any other form of consideration as the Board may determine and permissible under Applicable Law.</w:t>
      </w:r>
    </w:p>
    <w:p>
      <w:pPr>
        <w:spacing w:after="0" w:line="67" w:lineRule="exact"/>
        <w:rPr>
          <w:rFonts w:ascii="Times New Roman" w:cs="Times New Roman" w:eastAsia="Times New Roman" w:hAnsi="Times New Roman"/>
          <w:sz w:val="18"/>
          <w:szCs w:val="18"/>
          <w:b w:val="1"/>
          <w:bCs w:val="1"/>
          <w:color w:val="auto"/>
        </w:rPr>
      </w:pPr>
    </w:p>
    <w:p>
      <w:pPr>
        <w:ind w:left="-8" w:firstLine="1663"/>
        <w:spacing w:after="0" w:line="256" w:lineRule="auto"/>
        <w:tabs>
          <w:tab w:leader="none" w:pos="1901" w:val="left"/>
        </w:tabs>
        <w:numPr>
          <w:ilvl w:val="3"/>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Awards: Unless otherwise determined by the Board at the time of grant, an RSU Award will be 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 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75" w:lineRule="exact"/>
        <w:rPr>
          <w:rFonts w:ascii="Times New Roman" w:cs="Times New Roman" w:eastAsia="Times New Roman" w:hAnsi="Times New Roman"/>
          <w:sz w:val="18"/>
          <w:szCs w:val="18"/>
          <w:b w:val="1"/>
          <w:bCs w:val="1"/>
          <w:color w:val="auto"/>
        </w:rPr>
      </w:pPr>
    </w:p>
    <w:p>
      <w:pPr>
        <w:ind w:left="-8" w:right="100" w:firstLine="517"/>
        <w:spacing w:after="0" w:line="268" w:lineRule="auto"/>
        <w:tabs>
          <w:tab w:leader="none" w:pos="81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The Board may impose such restrictions on or conditions to the vesting of a Restricted Stock Award or RSU Award as determined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62" w:lineRule="exact"/>
        <w:rPr>
          <w:rFonts w:ascii="Times New Roman" w:cs="Times New Roman" w:eastAsia="Times New Roman" w:hAnsi="Times New Roman"/>
          <w:sz w:val="18"/>
          <w:szCs w:val="18"/>
          <w:b w:val="1"/>
          <w:bCs w:val="1"/>
          <w:color w:val="auto"/>
        </w:rPr>
      </w:pPr>
    </w:p>
    <w:p>
      <w:pPr>
        <w:ind w:left="-8" w:right="20" w:firstLine="517"/>
        <w:spacing w:after="0" w:line="255" w:lineRule="auto"/>
        <w:tabs>
          <w:tab w:leader="none" w:pos="80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Award Agreement or other written agreement between a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76" w:lineRule="exact"/>
        <w:rPr>
          <w:rFonts w:ascii="Times New Roman" w:cs="Times New Roman" w:eastAsia="Times New Roman" w:hAnsi="Times New Roman"/>
          <w:sz w:val="18"/>
          <w:szCs w:val="18"/>
          <w:b w:val="1"/>
          <w:bCs w:val="1"/>
          <w:color w:val="auto"/>
        </w:rPr>
      </w:pPr>
    </w:p>
    <w:p>
      <w:pPr>
        <w:ind w:left="-8" w:right="160" w:firstLine="517"/>
        <w:spacing w:after="0" w:line="286" w:lineRule="auto"/>
        <w:tabs>
          <w:tab w:leader="none" w:pos="756"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Restricted Stock Award or RSU Award, as determined by the Board and specified in the Award Agreement.</w:t>
      </w:r>
    </w:p>
    <w:p>
      <w:pPr>
        <w:spacing w:after="0" w:line="87" w:lineRule="exact"/>
        <w:rPr>
          <w:rFonts w:ascii="Times New Roman" w:cs="Times New Roman" w:eastAsia="Times New Roman" w:hAnsi="Times New Roman"/>
          <w:sz w:val="18"/>
          <w:szCs w:val="18"/>
          <w:b w:val="1"/>
          <w:bCs w:val="1"/>
          <w:color w:val="auto"/>
        </w:rPr>
      </w:pPr>
    </w:p>
    <w:p>
      <w:pPr>
        <w:ind w:left="-8" w:right="340" w:firstLine="757"/>
        <w:spacing w:after="0" w:line="268" w:lineRule="auto"/>
        <w:tabs>
          <w:tab w:leader="none" w:pos="1045" w:val="left"/>
        </w:tabs>
        <w:numPr>
          <w:ilvl w:val="1"/>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Settlement of RSU Awards</w:t>
      </w:r>
      <w:r>
        <w:rPr>
          <w:rFonts w:ascii="Times New Roman" w:cs="Times New Roman" w:eastAsia="Times New Roman" w:hAnsi="Times New Roman"/>
          <w:sz w:val="18"/>
          <w:szCs w:val="18"/>
          <w:color w:val="auto"/>
        </w:rPr>
        <w:t>. An RSU Award may be settled by the issuance of shares of Common Stock or cash (or any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63" w:lineRule="exact"/>
        <w:rPr>
          <w:sz w:val="20"/>
          <w:szCs w:val="20"/>
          <w:color w:val="auto"/>
        </w:rPr>
      </w:pPr>
    </w:p>
    <w:p>
      <w:pPr>
        <w:ind w:left="-8" w:right="200" w:firstLine="517"/>
        <w:spacing w:after="0" w:line="268" w:lineRule="auto"/>
        <w:tabs>
          <w:tab w:leader="none" w:pos="766"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Performance Awards</w:t>
      </w:r>
      <w:r>
        <w:rPr>
          <w:rFonts w:ascii="Times New Roman" w:cs="Times New Roman" w:eastAsia="Times New Roman" w:hAnsi="Times New Roman"/>
          <w:sz w:val="18"/>
          <w:szCs w:val="18"/>
          <w:color w:val="auto"/>
        </w:rPr>
        <w:t>. With respect to any Performance Award, the length of any Performance Period, the Performance Goals to be achieved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Performance Period, the other terms and conditions of such Award, and the measure of whether and to what degree such Performance Goals have been attained will be determined by the Board.</w:t>
      </w:r>
    </w:p>
    <w:p>
      <w:pPr>
        <w:spacing w:after="0" w:line="62" w:lineRule="exact"/>
        <w:rPr>
          <w:rFonts w:ascii="Times New Roman" w:cs="Times New Roman" w:eastAsia="Times New Roman" w:hAnsi="Times New Roman"/>
          <w:sz w:val="18"/>
          <w:szCs w:val="18"/>
          <w:b w:val="1"/>
          <w:bCs w:val="1"/>
          <w:color w:val="auto"/>
        </w:rPr>
      </w:pPr>
    </w:p>
    <w:p>
      <w:pPr>
        <w:ind w:left="-8" w:firstLine="517"/>
        <w:spacing w:after="0" w:line="259" w:lineRule="auto"/>
        <w:tabs>
          <w:tab w:leader="none" w:pos="745"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Awards</w:t>
      </w:r>
      <w:r>
        <w:rPr>
          <w:rFonts w:ascii="Times New Roman" w:cs="Times New Roman" w:eastAsia="Times New Roman" w:hAnsi="Times New Roman"/>
          <w:sz w:val="18"/>
          <w:szCs w:val="18"/>
          <w:color w:val="auto"/>
        </w:rPr>
        <w:t>. Other forms of Awards valued in whole or in part by reference to, or otherwise based on, Common Stock,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206"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3"/>
          <w:szCs w:val="13"/>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VENTS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8" w:firstLine="517"/>
        <w:spacing w:after="0" w:line="259" w:lineRule="auto"/>
        <w:tabs>
          <w:tab w:leader="none" w:pos="756" w:val="left"/>
        </w:tabs>
        <w:numPr>
          <w:ilvl w:val="1"/>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Capitalization Adjustments</w:t>
      </w:r>
      <w:r>
        <w:rPr>
          <w:rFonts w:ascii="Times New Roman" w:cs="Times New Roman" w:eastAsia="Times New Roman" w:hAnsi="Times New Roman"/>
          <w:sz w:val="18"/>
          <w:szCs w:val="18"/>
          <w:color w:val="auto"/>
        </w:rPr>
        <w:t>. In the event of a Capitalization Adjustment, the Board shall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shares of Common Stock subject to the Plan and the maximum number of shares by which the Share Reserve may annually increase pursuant to Section 2(a); (ii) the class(es) and maximum number of shares that may be issued pursuant to the exercise of Incentive Stock Options pursuant to Section 2(b); and (iii) the class(es) and number of securities and exercise price, strike price or purchase price of Common Stock subject to outstanding Awards. The Board shall make such adjustments, and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869315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79" w:name="page180"/>
    <w:bookmarkEnd w:id="179"/>
    <w:p>
      <w:pPr>
        <w:spacing w:after="0" w:line="86"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determination shall be final, binding and conclusive. Notwithstanding the 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64" w:lineRule="exact"/>
        <w:rPr>
          <w:sz w:val="20"/>
          <w:szCs w:val="20"/>
          <w:color w:val="auto"/>
        </w:rPr>
      </w:pPr>
    </w:p>
    <w:p>
      <w:pPr>
        <w:ind w:right="40" w:firstLine="517"/>
        <w:spacing w:after="0" w:line="256" w:lineRule="auto"/>
        <w:tabs>
          <w:tab w:leader="none" w:pos="774"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Award Agreement, in the event of a dissolution or liquidation of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15" w:lineRule="exact"/>
        <w:rPr>
          <w:rFonts w:ascii="Times New Roman" w:cs="Times New Roman" w:eastAsia="Times New Roman" w:hAnsi="Times New Roman"/>
          <w:sz w:val="18"/>
          <w:szCs w:val="18"/>
          <w:b w:val="1"/>
          <w:bCs w:val="1"/>
          <w:color w:val="auto"/>
        </w:rPr>
      </w:pPr>
    </w:p>
    <w:p>
      <w:pPr>
        <w:ind w:right="200" w:firstLine="517"/>
        <w:spacing w:after="0" w:line="268" w:lineRule="auto"/>
        <w:tabs>
          <w:tab w:leader="none" w:pos="753"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 </w:t>
      </w:r>
      <w:r>
        <w:rPr>
          <w:rFonts w:ascii="Times New Roman" w:cs="Times New Roman" w:eastAsia="Times New Roman" w:hAnsi="Times New Roman"/>
          <w:sz w:val="18"/>
          <w:szCs w:val="18"/>
          <w:color w:val="auto"/>
        </w:rPr>
        <w:t>The following provisions will apply to Awards in the event of a Corporate Transaction, except as set forth in Section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11, unless otherwise provided in the instrument evidencing the Award or any other written agreement between the Company or any Affiliate and the Participant or unless otherwise expressly provided by the Board at the time of grant of an Award.</w:t>
      </w:r>
    </w:p>
    <w:p>
      <w:pPr>
        <w:spacing w:after="0" w:line="62" w:lineRule="exact"/>
        <w:rPr>
          <w:rFonts w:ascii="Times New Roman" w:cs="Times New Roman" w:eastAsia="Times New Roman" w:hAnsi="Times New Roman"/>
          <w:sz w:val="18"/>
          <w:szCs w:val="18"/>
          <w:b w:val="1"/>
          <w:bCs w:val="1"/>
          <w:color w:val="auto"/>
        </w:rPr>
      </w:pPr>
    </w:p>
    <w:p>
      <w:pPr>
        <w:ind w:right="20" w:firstLine="1154"/>
        <w:spacing w:after="0" w:line="255" w:lineRule="auto"/>
        <w:tabs>
          <w:tab w:leader="none" w:pos="136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May Be Assumed. </w:t>
      </w:r>
      <w:r>
        <w:rPr>
          <w:rFonts w:ascii="Times New Roman" w:cs="Times New Roman" w:eastAsia="Times New Roman" w:hAnsi="Times New Roman"/>
          <w:sz w:val="18"/>
          <w:szCs w:val="18"/>
          <w:color w:val="auto"/>
        </w:rPr>
        <w:t>In the event of a Corporate Transaction, any surviving corporation or acquiring corporation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76" w:lineRule="exact"/>
        <w:rPr>
          <w:rFonts w:ascii="Times New Roman" w:cs="Times New Roman" w:eastAsia="Times New Roman" w:hAnsi="Times New Roman"/>
          <w:sz w:val="18"/>
          <w:szCs w:val="18"/>
          <w:b w:val="1"/>
          <w:bCs w:val="1"/>
          <w:color w:val="auto"/>
        </w:rPr>
      </w:pPr>
    </w:p>
    <w:p>
      <w:pPr>
        <w:ind w:firstLine="1154"/>
        <w:spacing w:after="0" w:line="253" w:lineRule="auto"/>
        <w:tabs>
          <w:tab w:leader="none" w:pos="141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Current Participants. </w:t>
      </w:r>
      <w:r>
        <w:rPr>
          <w:rFonts w:ascii="Times New Roman" w:cs="Times New Roman" w:eastAsia="Times New Roman" w:hAnsi="Times New Roman"/>
          <w:sz w:val="18"/>
          <w:szCs w:val="18"/>
          <w:color w:val="auto"/>
        </w:rPr>
        <w:t>In the event of a Corporate Transaction in which the surviving corporation or acquiring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18"/>
          <w:szCs w:val="18"/>
          <w:b w:val="1"/>
          <w:bCs w:val="1"/>
          <w:i w:val="1"/>
          <w:iCs w:val="1"/>
          <w:color w:val="auto"/>
        </w:rPr>
        <w:t>Current Participants</w:t>
      </w:r>
      <w:r>
        <w:rPr>
          <w:rFonts w:ascii="Times New Roman" w:cs="Times New Roman" w:eastAsia="Times New Roman" w:hAnsi="Times New Roman"/>
          <w:sz w:val="18"/>
          <w:szCs w:val="18"/>
          <w:color w:val="auto"/>
        </w:rPr>
        <w:t>”), the vesting of such Awards (and, with respect to Options and Stock Appreciation Rights, the time when such Awards may be 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 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15" w:lineRule="exact"/>
        <w:rPr>
          <w:rFonts w:ascii="Times New Roman" w:cs="Times New Roman" w:eastAsia="Times New Roman" w:hAnsi="Times New Roman"/>
          <w:sz w:val="18"/>
          <w:szCs w:val="18"/>
          <w:b w:val="1"/>
          <w:bCs w:val="1"/>
          <w:color w:val="auto"/>
        </w:rPr>
      </w:pPr>
    </w:p>
    <w:p>
      <w:pPr>
        <w:ind w:right="180" w:firstLine="1154"/>
        <w:spacing w:after="0" w:line="257" w:lineRule="auto"/>
        <w:tabs>
          <w:tab w:leader="none" w:pos="1460"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Awards Held by Persons other than Current Participants. </w:t>
      </w:r>
      <w:r>
        <w:rPr>
          <w:rFonts w:ascii="Times New Roman" w:cs="Times New Roman" w:eastAsia="Times New Roman" w:hAnsi="Times New Roman"/>
          <w:sz w:val="18"/>
          <w:szCs w:val="18"/>
          <w:color w:val="auto"/>
        </w:rPr>
        <w:t>In the event of a Corporate Transaction in which the surviving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871220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82" w:lineRule="exact"/>
        <w:rPr>
          <w:sz w:val="20"/>
          <w:szCs w:val="20"/>
          <w:color w:val="auto"/>
        </w:rPr>
      </w:pPr>
    </w:p>
    <w:p>
      <w:pPr>
        <w:ind w:left="-8" w:right="100" w:firstLine="1154"/>
        <w:spacing w:after="0" w:line="259" w:lineRule="auto"/>
        <w:tabs>
          <w:tab w:leader="none" w:pos="1442" w:val="left"/>
        </w:tabs>
        <w:numPr>
          <w:ilvl w:val="2"/>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for Awards in Lieu of Exercise. </w:t>
      </w:r>
      <w:r>
        <w:rPr>
          <w:rFonts w:ascii="Times New Roman" w:cs="Times New Roman" w:eastAsia="Times New Roman" w:hAnsi="Times New Roman"/>
          <w:sz w:val="18"/>
          <w:szCs w:val="18"/>
          <w:color w:val="auto"/>
        </w:rPr>
        <w:t>Notwithstanding the foregoing, in the event an Award will terminate if not exercised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71" w:lineRule="exact"/>
        <w:rPr>
          <w:rFonts w:ascii="Times New Roman" w:cs="Times New Roman" w:eastAsia="Times New Roman" w:hAnsi="Times New Roman"/>
          <w:sz w:val="18"/>
          <w:szCs w:val="18"/>
          <w:b w:val="1"/>
          <w:bCs w:val="1"/>
          <w:color w:val="auto"/>
        </w:rPr>
      </w:pPr>
    </w:p>
    <w:p>
      <w:pPr>
        <w:ind w:left="-8" w:right="160" w:firstLine="517"/>
        <w:spacing w:after="0" w:line="262" w:lineRule="auto"/>
        <w:tabs>
          <w:tab w:leader="none" w:pos="766"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Appointment of Stockholder Representative. </w:t>
      </w:r>
      <w:r>
        <w:rPr>
          <w:rFonts w:ascii="Times New Roman" w:cs="Times New Roman" w:eastAsia="Times New Roman" w:hAnsi="Times New Roman"/>
          <w:sz w:val="18"/>
          <w:szCs w:val="18"/>
          <w:color w:val="auto"/>
        </w:rPr>
        <w:t>As a condition to the receipt of an Award under this Plan, a Participant will be deemed to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68" w:lineRule="exact"/>
        <w:rPr>
          <w:rFonts w:ascii="Times New Roman" w:cs="Times New Roman" w:eastAsia="Times New Roman" w:hAnsi="Times New Roman"/>
          <w:sz w:val="18"/>
          <w:szCs w:val="18"/>
          <w:b w:val="1"/>
          <w:bCs w:val="1"/>
          <w:color w:val="auto"/>
        </w:rPr>
      </w:pPr>
    </w:p>
    <w:p>
      <w:pPr>
        <w:ind w:left="-8" w:right="20" w:firstLine="517"/>
        <w:spacing w:after="0" w:line="256" w:lineRule="auto"/>
        <w:tabs>
          <w:tab w:leader="none" w:pos="745"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Restriction on Right to Undertake Transactions. </w:t>
      </w:r>
      <w:r>
        <w:rPr>
          <w:rFonts w:ascii="Times New Roman" w:cs="Times New Roman" w:eastAsia="Times New Roman" w:hAnsi="Times New Roman"/>
          <w:sz w:val="18"/>
          <w:szCs w:val="18"/>
          <w:color w:val="auto"/>
        </w:rPr>
        <w:t>The grant of any Award under the Plan and the issuance of shares pursuant to any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209"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DMINISTRATION</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left="-8" w:firstLine="517"/>
        <w:spacing w:after="0" w:line="286" w:lineRule="auto"/>
        <w:tabs>
          <w:tab w:leader="none" w:pos="756"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unless and until the Board delegates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subsection (c) below.</w:t>
      </w:r>
    </w:p>
    <w:p>
      <w:pPr>
        <w:spacing w:after="0" w:line="46" w:lineRule="exact"/>
        <w:rPr>
          <w:rFonts w:ascii="Times New Roman" w:cs="Times New Roman" w:eastAsia="Times New Roman" w:hAnsi="Times New Roman"/>
          <w:sz w:val="18"/>
          <w:szCs w:val="18"/>
          <w:b w:val="1"/>
          <w:bCs w:val="1"/>
          <w:color w:val="auto"/>
        </w:rPr>
      </w:pPr>
    </w:p>
    <w:p>
      <w:pPr>
        <w:ind w:left="772" w:hanging="263"/>
        <w:spacing w:after="0"/>
        <w:tabs>
          <w:tab w:leader="none" w:pos="772"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121" w:lineRule="exact"/>
        <w:rPr>
          <w:rFonts w:ascii="Times New Roman" w:cs="Times New Roman" w:eastAsia="Times New Roman" w:hAnsi="Times New Roman"/>
          <w:sz w:val="18"/>
          <w:szCs w:val="18"/>
          <w:b w:val="1"/>
          <w:bCs w:val="1"/>
          <w:color w:val="auto"/>
        </w:rPr>
      </w:pPr>
    </w:p>
    <w:p>
      <w:pPr>
        <w:ind w:left="-8" w:right="80" w:firstLine="1154"/>
        <w:spacing w:after="0" w:line="256" w:lineRule="auto"/>
        <w:tabs>
          <w:tab w:leader="none" w:pos="1352"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 or otherwise based on, the Common Stock, including the amount of cash payment or other property that may be earned and the timing of payment.</w:t>
      </w:r>
    </w:p>
    <w:p>
      <w:pPr>
        <w:spacing w:after="0" w:line="79" w:lineRule="exact"/>
        <w:rPr>
          <w:rFonts w:ascii="Times New Roman" w:cs="Times New Roman" w:eastAsia="Times New Roman" w:hAnsi="Times New Roman"/>
          <w:sz w:val="18"/>
          <w:szCs w:val="18"/>
          <w:b w:val="1"/>
          <w:bCs w:val="1"/>
          <w:color w:val="auto"/>
        </w:rPr>
      </w:pPr>
    </w:p>
    <w:p>
      <w:pPr>
        <w:ind w:left="-8" w:right="260" w:firstLine="1154"/>
        <w:spacing w:after="0" w:line="266" w:lineRule="auto"/>
        <w:tabs>
          <w:tab w:leader="none" w:pos="1402"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67" w:lineRule="exact"/>
        <w:rPr>
          <w:rFonts w:ascii="Times New Roman" w:cs="Times New Roman" w:eastAsia="Times New Roman" w:hAnsi="Times New Roman"/>
          <w:sz w:val="18"/>
          <w:szCs w:val="18"/>
          <w:b w:val="1"/>
          <w:bCs w:val="1"/>
          <w:color w:val="auto"/>
        </w:rPr>
      </w:pPr>
    </w:p>
    <w:p>
      <w:pPr>
        <w:ind w:left="1452" w:hanging="306"/>
        <w:spacing w:after="0"/>
        <w:tabs>
          <w:tab w:leader="none" w:pos="1452"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Awards granted under it.</w:t>
      </w:r>
    </w:p>
    <w:p>
      <w:pPr>
        <w:spacing w:after="0" w:line="117" w:lineRule="exact"/>
        <w:rPr>
          <w:rFonts w:ascii="Times New Roman" w:cs="Times New Roman" w:eastAsia="Times New Roman" w:hAnsi="Times New Roman"/>
          <w:sz w:val="18"/>
          <w:szCs w:val="18"/>
          <w:b w:val="1"/>
          <w:bCs w:val="1"/>
          <w:color w:val="auto"/>
        </w:rPr>
      </w:pPr>
    </w:p>
    <w:p>
      <w:pPr>
        <w:ind w:left="-8" w:right="480" w:firstLine="1154"/>
        <w:spacing w:after="0" w:line="282" w:lineRule="auto"/>
        <w:tabs>
          <w:tab w:leader="none" w:pos="1442"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53" w:lineRule="exact"/>
        <w:rPr>
          <w:rFonts w:ascii="Times New Roman" w:cs="Times New Roman" w:eastAsia="Times New Roman" w:hAnsi="Times New Roman"/>
          <w:sz w:val="18"/>
          <w:szCs w:val="18"/>
          <w:b w:val="1"/>
          <w:bCs w:val="1"/>
          <w:color w:val="auto"/>
        </w:rPr>
      </w:pPr>
    </w:p>
    <w:p>
      <w:pPr>
        <w:jc w:val="both"/>
        <w:ind w:left="-8" w:right="100" w:firstLine="1154"/>
        <w:spacing w:after="0" w:line="261" w:lineRule="auto"/>
        <w:tabs>
          <w:tab w:leader="none" w:pos="1392" w:val="left"/>
        </w:tabs>
        <w:numPr>
          <w:ilvl w:val="2"/>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867410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40" w:right="359" w:bottom="1440" w:gutter="0" w:footer="0" w:header="0"/>
        </w:sectPr>
      </w:pPr>
    </w:p>
    <w:bookmarkStart w:id="181" w:name="page182"/>
    <w:bookmarkEnd w:id="181"/>
    <w:p>
      <w:pPr>
        <w:spacing w:after="0" w:line="86" w:lineRule="exact"/>
        <w:rPr>
          <w:sz w:val="20"/>
          <w:szCs w:val="20"/>
          <w:color w:val="auto"/>
        </w:rPr>
      </w:pPr>
    </w:p>
    <w:p>
      <w:pPr>
        <w:ind w:left="-517" w:right="220" w:firstLine="1154"/>
        <w:spacing w:after="0" w:line="282" w:lineRule="auto"/>
        <w:tabs>
          <w:tab w:leader="none" w:pos="93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51" w:lineRule="exact"/>
        <w:rPr>
          <w:rFonts w:ascii="Times New Roman" w:cs="Times New Roman" w:eastAsia="Times New Roman" w:hAnsi="Times New Roman"/>
          <w:sz w:val="18"/>
          <w:szCs w:val="18"/>
          <w:b w:val="1"/>
          <w:bCs w:val="1"/>
          <w:color w:val="auto"/>
        </w:rPr>
      </w:pPr>
    </w:p>
    <w:p>
      <w:pPr>
        <w:ind w:left="-517" w:firstLine="1154"/>
        <w:spacing w:after="0" w:line="261" w:lineRule="auto"/>
        <w:tabs>
          <w:tab w:leader="none" w:pos="98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stockholder approval will be required for any amendment to the extent required by Applicable Law.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73" w:lineRule="exact"/>
        <w:rPr>
          <w:rFonts w:ascii="Times New Roman" w:cs="Times New Roman" w:eastAsia="Times New Roman" w:hAnsi="Times New Roman"/>
          <w:sz w:val="18"/>
          <w:szCs w:val="18"/>
          <w:b w:val="1"/>
          <w:bCs w:val="1"/>
          <w:color w:val="auto"/>
        </w:rPr>
      </w:pPr>
    </w:p>
    <w:p>
      <w:pPr>
        <w:ind w:left="1043" w:hanging="406"/>
        <w:spacing w:after="0"/>
        <w:tabs>
          <w:tab w:leader="none" w:pos="104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w:t>
      </w:r>
    </w:p>
    <w:p>
      <w:pPr>
        <w:spacing w:after="0" w:line="117" w:lineRule="exact"/>
        <w:rPr>
          <w:rFonts w:ascii="Times New Roman" w:cs="Times New Roman" w:eastAsia="Times New Roman" w:hAnsi="Times New Roman"/>
          <w:sz w:val="18"/>
          <w:szCs w:val="18"/>
          <w:b w:val="1"/>
          <w:bCs w:val="1"/>
          <w:color w:val="auto"/>
        </w:rPr>
      </w:pPr>
    </w:p>
    <w:p>
      <w:pPr>
        <w:ind w:left="-517" w:firstLine="1154"/>
        <w:spacing w:after="0" w:line="261" w:lineRule="auto"/>
        <w:tabs>
          <w:tab w:leader="none" w:pos="93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 Participant’s rights under any Award will not be Materially Impaired by any such amendment unless (1) the Company requests the consent of the affected Participant, and (2) such Participant consents in writing.</w:t>
      </w:r>
    </w:p>
    <w:p>
      <w:pPr>
        <w:spacing w:after="0" w:line="112" w:lineRule="exact"/>
        <w:rPr>
          <w:rFonts w:ascii="Times New Roman" w:cs="Times New Roman" w:eastAsia="Times New Roman" w:hAnsi="Times New Roman"/>
          <w:sz w:val="18"/>
          <w:szCs w:val="18"/>
          <w:b w:val="1"/>
          <w:bCs w:val="1"/>
          <w:color w:val="auto"/>
        </w:rPr>
      </w:pPr>
    </w:p>
    <w:p>
      <w:pPr>
        <w:ind w:left="-517" w:right="80" w:firstLine="1154"/>
        <w:spacing w:after="0" w:line="282" w:lineRule="auto"/>
        <w:tabs>
          <w:tab w:leader="none" w:pos="88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53" w:lineRule="exact"/>
        <w:rPr>
          <w:rFonts w:ascii="Times New Roman" w:cs="Times New Roman" w:eastAsia="Times New Roman" w:hAnsi="Times New Roman"/>
          <w:sz w:val="18"/>
          <w:szCs w:val="18"/>
          <w:b w:val="1"/>
          <w:bCs w:val="1"/>
          <w:color w:val="auto"/>
        </w:rPr>
      </w:pPr>
    </w:p>
    <w:p>
      <w:pPr>
        <w:ind w:left="-517" w:right="140" w:firstLine="1154"/>
        <w:spacing w:after="0" w:line="261" w:lineRule="auto"/>
        <w:tabs>
          <w:tab w:leader="none" w:pos="93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and facilitate participation in the Plan by, or take advantage of specific tax treatment for Awards granted to, Employees, Directors or Consultants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71" w:lineRule="exact"/>
        <w:rPr>
          <w:rFonts w:ascii="Times New Roman" w:cs="Times New Roman" w:eastAsia="Times New Roman" w:hAnsi="Times New Roman"/>
          <w:sz w:val="18"/>
          <w:szCs w:val="18"/>
          <w:b w:val="1"/>
          <w:bCs w:val="1"/>
          <w:color w:val="auto"/>
        </w:rPr>
      </w:pPr>
    </w:p>
    <w:p>
      <w:pPr>
        <w:ind w:left="-517" w:firstLine="1154"/>
        <w:spacing w:after="0" w:line="258" w:lineRule="auto"/>
        <w:tabs>
          <w:tab w:leader="none" w:pos="983" w:val="left"/>
        </w:tabs>
        <w:numPr>
          <w:ilvl w:val="1"/>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 the Board); or (3) any other action that is treated as a repricing under generally accepted accounting principles.</w:t>
      </w:r>
    </w:p>
    <w:p>
      <w:pPr>
        <w:spacing w:after="0" w:line="71" w:lineRule="exact"/>
        <w:rPr>
          <w:rFonts w:ascii="Times New Roman" w:cs="Times New Roman" w:eastAsia="Times New Roman" w:hAnsi="Times New Roman"/>
          <w:sz w:val="18"/>
          <w:szCs w:val="18"/>
          <w:b w:val="1"/>
          <w:bCs w:val="1"/>
          <w:color w:val="auto"/>
        </w:rPr>
      </w:pPr>
    </w:p>
    <w:p>
      <w:pPr>
        <w:ind w:left="243" w:hanging="243"/>
        <w:spacing w:after="0"/>
        <w:tabs>
          <w:tab w:leader="none" w:pos="243" w:val="left"/>
        </w:tabs>
        <w:numPr>
          <w:ilvl w:val="0"/>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117" w:lineRule="exact"/>
        <w:rPr>
          <w:rFonts w:ascii="Times New Roman" w:cs="Times New Roman" w:eastAsia="Times New Roman" w:hAnsi="Times New Roman"/>
          <w:sz w:val="18"/>
          <w:szCs w:val="18"/>
          <w:b w:val="1"/>
          <w:bCs w:val="1"/>
          <w:color w:val="auto"/>
        </w:rPr>
      </w:pPr>
    </w:p>
    <w:p>
      <w:pPr>
        <w:ind w:left="-517" w:right="140" w:firstLine="1154"/>
        <w:spacing w:after="0" w:line="255" w:lineRule="auto"/>
        <w:tabs>
          <w:tab w:leader="none" w:pos="843"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76" w:lineRule="exact"/>
        <w:rPr>
          <w:rFonts w:ascii="Times New Roman" w:cs="Times New Roman" w:eastAsia="Times New Roman" w:hAnsi="Times New Roman"/>
          <w:sz w:val="18"/>
          <w:szCs w:val="18"/>
          <w:b w:val="1"/>
          <w:bCs w:val="1"/>
          <w:color w:val="auto"/>
        </w:rPr>
      </w:pPr>
    </w:p>
    <w:p>
      <w:pPr>
        <w:ind w:left="-517" w:firstLine="1154"/>
        <w:spacing w:after="0" w:line="262" w:lineRule="auto"/>
        <w:tabs>
          <w:tab w:leader="none" w:pos="893" w:val="left"/>
        </w:tabs>
        <w:numPr>
          <w:ilvl w:val="1"/>
          <w:numId w:val="1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To the extent an Award is intended to qualify for the exemption from Section 16(b) of the Exchange Act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868045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82" w:name="page183"/>
    <w:bookmarkEnd w:id="182"/>
    <w:p>
      <w:pPr>
        <w:spacing w:after="0" w:line="82" w:lineRule="exact"/>
        <w:rPr>
          <w:sz w:val="20"/>
          <w:szCs w:val="20"/>
          <w:color w:val="auto"/>
        </w:rPr>
      </w:pPr>
    </w:p>
    <w:p>
      <w:pPr>
        <w:ind w:left="-8" w:firstLine="517"/>
        <w:spacing w:after="0" w:line="286" w:lineRule="auto"/>
        <w:tabs>
          <w:tab w:leader="none" w:pos="766"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or any Committee in good faith will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review by any person and will be final, binding and conclusive on all persons.</w:t>
      </w:r>
    </w:p>
    <w:p>
      <w:pPr>
        <w:spacing w:after="0" w:line="87" w:lineRule="exact"/>
        <w:rPr>
          <w:rFonts w:ascii="Times New Roman" w:cs="Times New Roman" w:eastAsia="Times New Roman" w:hAnsi="Times New Roman"/>
          <w:sz w:val="18"/>
          <w:szCs w:val="18"/>
          <w:b w:val="1"/>
          <w:bCs w:val="1"/>
          <w:color w:val="auto"/>
        </w:rPr>
      </w:pPr>
    </w:p>
    <w:p>
      <w:pPr>
        <w:ind w:left="-8" w:right="20" w:firstLine="517"/>
        <w:spacing w:after="0" w:line="254" w:lineRule="auto"/>
        <w:tabs>
          <w:tab w:leader="none" w:pos="745" w:val="left"/>
        </w:tabs>
        <w:numPr>
          <w:ilvl w:val="1"/>
          <w:numId w:val="1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or any Committee may delegate to one or more Officers the authority to do one or both of the following (i)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designate Employees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215" w:lineRule="exact"/>
        <w:rPr>
          <w:rFonts w:ascii="Times New Roman" w:cs="Times New Roman" w:eastAsia="Times New Roman" w:hAnsi="Times New Roman"/>
          <w:sz w:val="18"/>
          <w:szCs w:val="18"/>
          <w:b w:val="1"/>
          <w:bCs w:val="1"/>
          <w:color w:val="auto"/>
        </w:rPr>
      </w:pPr>
    </w:p>
    <w:p>
      <w:pPr>
        <w:ind w:left="452" w:hanging="452"/>
        <w:spacing w:after="0"/>
        <w:tabs>
          <w:tab w:leader="none" w:pos="452" w:val="left"/>
        </w:tabs>
        <w:numPr>
          <w:ilvl w:val="0"/>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AX</w:t>
      </w:r>
      <w:r>
        <w:rPr>
          <w:rFonts w:ascii="Times New Roman" w:cs="Times New Roman" w:eastAsia="Times New Roman" w:hAnsi="Times New Roman"/>
          <w:sz w:val="18"/>
          <w:szCs w:val="18"/>
          <w:b w:val="1"/>
          <w:bCs w:val="1"/>
          <w:color w:val="auto"/>
        </w:rPr>
        <w:t xml:space="preserve"> W</w:t>
      </w:r>
      <w:r>
        <w:rPr>
          <w:rFonts w:ascii="Times New Roman" w:cs="Times New Roman" w:eastAsia="Times New Roman" w:hAnsi="Times New Roman"/>
          <w:sz w:val="13"/>
          <w:szCs w:val="13"/>
          <w:b w:val="1"/>
          <w:bCs w:val="1"/>
          <w:color w:val="auto"/>
        </w:rPr>
        <w:t>ITHHOLDING</w:t>
      </w:r>
    </w:p>
    <w:p>
      <w:pPr>
        <w:spacing w:after="0" w:line="117" w:lineRule="exact"/>
        <w:rPr>
          <w:rFonts w:ascii="Times New Roman" w:cs="Times New Roman" w:eastAsia="Times New Roman" w:hAnsi="Times New Roman"/>
          <w:sz w:val="18"/>
          <w:szCs w:val="18"/>
          <w:b w:val="1"/>
          <w:bCs w:val="1"/>
          <w:color w:val="auto"/>
        </w:rPr>
      </w:pPr>
    </w:p>
    <w:p>
      <w:pPr>
        <w:ind w:left="-8" w:right="100" w:firstLine="517"/>
        <w:spacing w:after="0" w:line="257" w:lineRule="auto"/>
        <w:tabs>
          <w:tab w:leader="none" w:pos="756"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Authorization. </w:t>
      </w:r>
      <w:r>
        <w:rPr>
          <w:rFonts w:ascii="Times New Roman" w:cs="Times New Roman" w:eastAsia="Times New Roman" w:hAnsi="Times New Roman"/>
          <w:sz w:val="18"/>
          <w:szCs w:val="18"/>
          <w:color w:val="auto"/>
        </w:rPr>
        <w:t>As a condition to acceptance of any Award under the Plan, a Participant authorizes withholding from payroll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74" w:lineRule="exact"/>
        <w:rPr>
          <w:rFonts w:ascii="Times New Roman" w:cs="Times New Roman" w:eastAsia="Times New Roman" w:hAnsi="Times New Roman"/>
          <w:sz w:val="18"/>
          <w:szCs w:val="18"/>
          <w:b w:val="1"/>
          <w:bCs w:val="1"/>
          <w:color w:val="auto"/>
        </w:rPr>
      </w:pPr>
    </w:p>
    <w:p>
      <w:pPr>
        <w:ind w:left="-8" w:right="60" w:firstLine="517"/>
        <w:spacing w:after="0" w:line="256" w:lineRule="auto"/>
        <w:tabs>
          <w:tab w:leader="none" w:pos="766"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Satisfaction of Withholding Obligation. </w:t>
      </w:r>
      <w:r>
        <w:rPr>
          <w:rFonts w:ascii="Times New Roman" w:cs="Times New Roman" w:eastAsia="Times New Roman" w:hAnsi="Times New Roman"/>
          <w:sz w:val="18"/>
          <w:szCs w:val="18"/>
          <w:color w:val="auto"/>
        </w:rPr>
        <w:t>To the extent permitted by the terms of an Award Agreement, the Company may, in its sole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74" w:lineRule="exact"/>
        <w:rPr>
          <w:rFonts w:ascii="Times New Roman" w:cs="Times New Roman" w:eastAsia="Times New Roman" w:hAnsi="Times New Roman"/>
          <w:sz w:val="18"/>
          <w:szCs w:val="18"/>
          <w:b w:val="1"/>
          <w:bCs w:val="1"/>
          <w:color w:val="auto"/>
        </w:rPr>
      </w:pPr>
    </w:p>
    <w:p>
      <w:pPr>
        <w:ind w:left="-8" w:right="20" w:firstLine="517"/>
        <w:spacing w:after="0" w:line="253" w:lineRule="auto"/>
        <w:tabs>
          <w:tab w:leader="none" w:pos="745"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No Liability to Claims. </w:t>
      </w:r>
      <w:r>
        <w:rPr>
          <w:rFonts w:ascii="Times New Roman" w:cs="Times New Roman" w:eastAsia="Times New Roman" w:hAnsi="Times New Roman"/>
          <w:sz w:val="18"/>
          <w:szCs w:val="18"/>
          <w:color w:val="auto"/>
        </w:rPr>
        <w:t>Except as required by Applicable Law the Company has no duty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77" w:lineRule="exact"/>
        <w:rPr>
          <w:rFonts w:ascii="Times New Roman" w:cs="Times New Roman" w:eastAsia="Times New Roman" w:hAnsi="Times New Roman"/>
          <w:sz w:val="18"/>
          <w:szCs w:val="18"/>
          <w:b w:val="1"/>
          <w:bCs w:val="1"/>
          <w:color w:val="auto"/>
        </w:rPr>
      </w:pPr>
    </w:p>
    <w:p>
      <w:pPr>
        <w:ind w:left="-8" w:firstLine="517"/>
        <w:spacing w:after="0" w:line="268" w:lineRule="auto"/>
        <w:tabs>
          <w:tab w:leader="none" w:pos="766" w:val="left"/>
        </w:tabs>
        <w:numPr>
          <w:ilvl w:val="1"/>
          <w:numId w:val="1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Indemnification. </w:t>
      </w:r>
      <w:r>
        <w:rPr>
          <w:rFonts w:ascii="Times New Roman" w:cs="Times New Roman" w:eastAsia="Times New Roman" w:hAnsi="Times New Roman"/>
          <w:sz w:val="18"/>
          <w:szCs w:val="18"/>
          <w:color w:val="auto"/>
        </w:rPr>
        <w:t>As a condition to accepting an Award under the Plan, in the event that the amount of the Company’s and/or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withholding obligation in connection with such Award was greater than the amount actually withheld by the Company and/or its Affiliates, each Participant agrees to indemnify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864235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440" w:right="379" w:bottom="1440" w:gutter="0" w:footer="0" w:header="0"/>
        </w:sectPr>
      </w:pPr>
    </w:p>
    <w:bookmarkStart w:id="183" w:name="page184"/>
    <w:bookmarkEnd w:id="18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 the Company and/or its Affiliates harmless from any failure by the Company and/or its Affiliates to withhold the proper amount.</w:t>
      </w:r>
    </w:p>
    <w:p>
      <w:pPr>
        <w:spacing w:after="0" w:line="248" w:lineRule="exact"/>
        <w:rPr>
          <w:sz w:val="20"/>
          <w:szCs w:val="20"/>
          <w:color w:val="auto"/>
        </w:rPr>
      </w:pPr>
    </w:p>
    <w:p>
      <w:pPr>
        <w:ind w:left="460" w:hanging="452"/>
        <w:spacing w:after="0"/>
        <w:tabs>
          <w:tab w:leader="none" w:pos="4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3"/>
          <w:szCs w:val="13"/>
          <w:b w:val="1"/>
          <w:bCs w:val="1"/>
          <w:color w:val="auto"/>
        </w:rPr>
        <w:t>ISCELLANEOUS</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76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repurchased by the Company on the open market or otherwise.</w:t>
      </w:r>
    </w:p>
    <w:p>
      <w:pPr>
        <w:spacing w:after="0" w:line="46" w:lineRule="exact"/>
        <w:rPr>
          <w:rFonts w:ascii="Times New Roman" w:cs="Times New Roman" w:eastAsia="Times New Roman" w:hAnsi="Times New Roman"/>
          <w:sz w:val="18"/>
          <w:szCs w:val="18"/>
          <w:b w:val="1"/>
          <w:bCs w:val="1"/>
          <w:color w:val="auto"/>
        </w:rPr>
      </w:pPr>
    </w:p>
    <w:p>
      <w:pPr>
        <w:ind w:right="80" w:firstLine="517"/>
        <w:spacing w:after="0" w:line="286" w:lineRule="auto"/>
        <w:tabs>
          <w:tab w:leader="none" w:pos="77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pursuant to Awards will constitute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funds of the Company.</w:t>
      </w:r>
    </w:p>
    <w:p>
      <w:pPr>
        <w:spacing w:after="0" w:line="46" w:lineRule="exact"/>
        <w:rPr>
          <w:rFonts w:ascii="Times New Roman" w:cs="Times New Roman" w:eastAsia="Times New Roman" w:hAnsi="Times New Roman"/>
          <w:sz w:val="18"/>
          <w:szCs w:val="18"/>
          <w:b w:val="1"/>
          <w:bCs w:val="1"/>
          <w:color w:val="auto"/>
        </w:rPr>
      </w:pPr>
    </w:p>
    <w:p>
      <w:pPr>
        <w:ind w:firstLine="517"/>
        <w:spacing w:after="0" w:line="256" w:lineRule="auto"/>
        <w:tabs>
          <w:tab w:leader="none" w:pos="753"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Awards. </w:t>
      </w:r>
      <w:r>
        <w:rPr>
          <w:rFonts w:ascii="Times New Roman" w:cs="Times New Roman" w:eastAsia="Times New Roman" w:hAnsi="Times New Roman"/>
          <w:sz w:val="18"/>
          <w:szCs w:val="18"/>
          <w:color w:val="auto"/>
        </w:rPr>
        <w:t>Corporate action constituting a grant by the Company of an Award to any Participant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 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74" w:lineRule="exact"/>
        <w:rPr>
          <w:rFonts w:ascii="Times New Roman" w:cs="Times New Roman" w:eastAsia="Times New Roman" w:hAnsi="Times New Roman"/>
          <w:sz w:val="18"/>
          <w:szCs w:val="18"/>
          <w:b w:val="1"/>
          <w:bCs w:val="1"/>
          <w:color w:val="auto"/>
        </w:rPr>
      </w:pPr>
    </w:p>
    <w:p>
      <w:pPr>
        <w:ind w:right="140" w:firstLine="517"/>
        <w:spacing w:after="0" w:line="268" w:lineRule="auto"/>
        <w:tabs>
          <w:tab w:leader="none" w:pos="77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103" w:lineRule="exact"/>
        <w:rPr>
          <w:rFonts w:ascii="Times New Roman" w:cs="Times New Roman" w:eastAsia="Times New Roman" w:hAnsi="Times New Roman"/>
          <w:sz w:val="18"/>
          <w:szCs w:val="18"/>
          <w:b w:val="1"/>
          <w:bCs w:val="1"/>
          <w:color w:val="auto"/>
        </w:rPr>
      </w:pPr>
    </w:p>
    <w:p>
      <w:pPr>
        <w:ind w:right="140" w:firstLine="517"/>
        <w:spacing w:after="0" w:line="254" w:lineRule="auto"/>
        <w:tabs>
          <w:tab w:leader="none" w:pos="753"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Award Agreement or any other instrument executed thereunder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77" w:lineRule="exact"/>
        <w:rPr>
          <w:rFonts w:ascii="Times New Roman" w:cs="Times New Roman" w:eastAsia="Times New Roman" w:hAnsi="Times New Roman"/>
          <w:sz w:val="18"/>
          <w:szCs w:val="18"/>
          <w:b w:val="1"/>
          <w:bCs w:val="1"/>
          <w:color w:val="auto"/>
        </w:rPr>
      </w:pPr>
    </w:p>
    <w:p>
      <w:pPr>
        <w:ind w:right="80" w:firstLine="517"/>
        <w:spacing w:after="0" w:line="256" w:lineRule="auto"/>
        <w:tabs>
          <w:tab w:leader="none" w:pos="73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74" w:lineRule="exact"/>
        <w:rPr>
          <w:rFonts w:ascii="Times New Roman" w:cs="Times New Roman" w:eastAsia="Times New Roman" w:hAnsi="Times New Roman"/>
          <w:sz w:val="18"/>
          <w:szCs w:val="18"/>
          <w:b w:val="1"/>
          <w:bCs w:val="1"/>
          <w:color w:val="auto"/>
        </w:rPr>
      </w:pPr>
    </w:p>
    <w:p>
      <w:pPr>
        <w:ind w:right="360" w:firstLine="517"/>
        <w:spacing w:after="0" w:line="268" w:lineRule="auto"/>
        <w:tabs>
          <w:tab w:leader="none" w:pos="76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Execution of Additional Documents. </w:t>
      </w:r>
      <w:r>
        <w:rPr>
          <w:rFonts w:ascii="Times New Roman" w:cs="Times New Roman" w:eastAsia="Times New Roman" w:hAnsi="Times New Roman"/>
          <w:sz w:val="18"/>
          <w:szCs w:val="18"/>
          <w:color w:val="auto"/>
        </w:rPr>
        <w:t>As a condition to accepting an Award under the Plan, the Participant agrees to execute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62"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74" w:val="left"/>
        </w:tabs>
        <w:numPr>
          <w:ilvl w:val="1"/>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and Participation. </w:t>
      </w:r>
      <w:r>
        <w:rPr>
          <w:rFonts w:ascii="Times New Roman" w:cs="Times New Roman" w:eastAsia="Times New Roman" w:hAnsi="Times New Roman"/>
          <w:sz w:val="18"/>
          <w:szCs w:val="18"/>
          <w:color w:val="auto"/>
        </w:rPr>
        <w:t>Any reference herein or in an Award Agreement to a “written” agreement or document will include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document delivered electronically, filed publicly at www.sec.gov (or any successor website thereto) or posted on the Company’s intranet (or other shared electronic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8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108" w:lineRule="exact"/>
        <w:rPr>
          <w:sz w:val="20"/>
          <w:szCs w:val="20"/>
          <w:color w:val="auto"/>
        </w:rPr>
      </w:pPr>
    </w:p>
    <w:p>
      <w:pPr>
        <w:ind w:right="20" w:firstLine="517"/>
        <w:spacing w:after="0" w:line="255" w:lineRule="auto"/>
        <w:tabs>
          <w:tab w:leader="none" w:pos="7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Awards granted under the Plan will be subject to recoupment in accordance with any clawback policy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76" w:lineRule="exact"/>
        <w:rPr>
          <w:rFonts w:ascii="Times New Roman" w:cs="Times New Roman" w:eastAsia="Times New Roman" w:hAnsi="Times New Roman"/>
          <w:sz w:val="18"/>
          <w:szCs w:val="18"/>
          <w:b w:val="1"/>
          <w:bCs w:val="1"/>
          <w:color w:val="auto"/>
        </w:rPr>
      </w:pPr>
    </w:p>
    <w:p>
      <w:pPr>
        <w:jc w:val="both"/>
        <w:ind w:right="160" w:firstLine="517"/>
        <w:spacing w:after="0" w:line="262" w:lineRule="auto"/>
        <w:tabs>
          <w:tab w:leader="none" w:pos="73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A Participant will not be issued any shares in respect of an Award unless either (i) the shares are registered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68" w:lineRule="exact"/>
        <w:rPr>
          <w:rFonts w:ascii="Times New Roman" w:cs="Times New Roman" w:eastAsia="Times New Roman" w:hAnsi="Times New Roman"/>
          <w:sz w:val="18"/>
          <w:szCs w:val="18"/>
          <w:b w:val="1"/>
          <w:bCs w:val="1"/>
          <w:color w:val="auto"/>
        </w:rPr>
      </w:pPr>
    </w:p>
    <w:p>
      <w:pPr>
        <w:ind w:firstLine="517"/>
        <w:spacing w:after="0" w:line="259" w:lineRule="auto"/>
        <w:tabs>
          <w:tab w:leader="none" w:pos="77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 or Assignment of Awards; Issued Shares. </w:t>
      </w:r>
      <w:r>
        <w:rPr>
          <w:rFonts w:ascii="Times New Roman" w:cs="Times New Roman" w:eastAsia="Times New Roman" w:hAnsi="Times New Roman"/>
          <w:sz w:val="18"/>
          <w:szCs w:val="18"/>
          <w:color w:val="auto"/>
        </w:rPr>
        <w:t>Except as expressly provided in the Plan or the form of Award Agreement,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71" w:lineRule="exact"/>
        <w:rPr>
          <w:rFonts w:ascii="Times New Roman" w:cs="Times New Roman" w:eastAsia="Times New Roman" w:hAnsi="Times New Roman"/>
          <w:sz w:val="18"/>
          <w:szCs w:val="18"/>
          <w:b w:val="1"/>
          <w:bCs w:val="1"/>
          <w:color w:val="auto"/>
        </w:rPr>
      </w:pPr>
    </w:p>
    <w:p>
      <w:pPr>
        <w:ind w:firstLine="517"/>
        <w:spacing w:after="0" w:line="262" w:lineRule="auto"/>
        <w:tabs>
          <w:tab w:leader="none" w:pos="72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on Other Employee Benefit Plans. </w:t>
      </w:r>
      <w:r>
        <w:rPr>
          <w:rFonts w:ascii="Times New Roman" w:cs="Times New Roman" w:eastAsia="Times New Roman" w:hAnsi="Times New Roman"/>
          <w:sz w:val="18"/>
          <w:szCs w:val="18"/>
          <w:color w:val="auto"/>
        </w:rPr>
        <w:t>The value of any Award granted under the Plan, as determined upon grant, vesting or settlement,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68" w:lineRule="exact"/>
        <w:rPr>
          <w:rFonts w:ascii="Times New Roman" w:cs="Times New Roman" w:eastAsia="Times New Roman" w:hAnsi="Times New Roman"/>
          <w:sz w:val="18"/>
          <w:szCs w:val="18"/>
          <w:b w:val="1"/>
          <w:bCs w:val="1"/>
          <w:color w:val="auto"/>
        </w:rPr>
      </w:pPr>
    </w:p>
    <w:p>
      <w:pPr>
        <w:ind w:right="220" w:firstLine="517"/>
        <w:spacing w:after="0" w:line="268" w:lineRule="auto"/>
        <w:tabs>
          <w:tab w:leader="none" w:pos="823"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62" w:lineRule="exact"/>
        <w:rPr>
          <w:rFonts w:ascii="Times New Roman" w:cs="Times New Roman" w:eastAsia="Times New Roman" w:hAnsi="Times New Roman"/>
          <w:sz w:val="18"/>
          <w:szCs w:val="18"/>
          <w:b w:val="1"/>
          <w:bCs w:val="1"/>
          <w:color w:val="auto"/>
        </w:rPr>
      </w:pPr>
    </w:p>
    <w:p>
      <w:pPr>
        <w:ind w:right="80" w:firstLine="517"/>
        <w:spacing w:after="0" w:line="253" w:lineRule="auto"/>
        <w:tabs>
          <w:tab w:leader="none" w:pos="774" w:val="left"/>
        </w:tabs>
        <w:numPr>
          <w:ilvl w:val="0"/>
          <w:numId w:val="1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Unless otherwise expressly provided for in an Award Agreement, the Plan and Award Agreements will be interpreted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 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82" w:lineRule="exact"/>
        <w:rPr>
          <w:sz w:val="20"/>
          <w:szCs w:val="20"/>
          <w:color w:val="auto"/>
        </w:rPr>
      </w:pPr>
    </w:p>
    <w:p>
      <w:pPr>
        <w:ind w:right="120" w:firstLine="517"/>
        <w:spacing w:after="0" w:line="268" w:lineRule="auto"/>
        <w:tabs>
          <w:tab w:leader="none" w:pos="764" w:val="left"/>
        </w:tabs>
        <w:numPr>
          <w:ilvl w:val="1"/>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Plan and any controversy arising out of or relating to this Plan shall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laws of the State of Delaware, without regard to conflict of law principles that would result in any application of any law other than the law of the State of Delaware.</w:t>
      </w:r>
    </w:p>
    <w:p>
      <w:pPr>
        <w:spacing w:after="0" w:line="197" w:lineRule="exact"/>
        <w:rPr>
          <w:rFonts w:ascii="Times New Roman" w:cs="Times New Roman" w:eastAsia="Times New Roman" w:hAnsi="Times New Roman"/>
          <w:sz w:val="18"/>
          <w:szCs w:val="18"/>
          <w:b w:val="1"/>
          <w:bCs w:val="1"/>
          <w:color w:val="auto"/>
        </w:rPr>
      </w:pPr>
    </w:p>
    <w:p>
      <w:pPr>
        <w:ind w:left="460" w:hanging="452"/>
        <w:spacing w:after="0"/>
        <w:tabs>
          <w:tab w:leader="none" w:pos="4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3"/>
          <w:szCs w:val="13"/>
          <w:b w:val="1"/>
          <w:bCs w:val="1"/>
          <w:color w:val="auto"/>
        </w:rPr>
        <w:t>OMPANY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215" w:lineRule="exact"/>
        <w:rPr>
          <w:sz w:val="20"/>
          <w:szCs w:val="20"/>
          <w:color w:val="auto"/>
        </w:rPr>
      </w:pPr>
    </w:p>
    <w:p>
      <w:pPr>
        <w:ind w:left="460" w:hanging="452"/>
        <w:spacing w:after="0"/>
        <w:tabs>
          <w:tab w:leader="none" w:pos="46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DDITIONAL</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ULES FOR</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UBJECT TO</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ECTION</w:t>
      </w:r>
      <w:r>
        <w:rPr>
          <w:rFonts w:ascii="Times New Roman" w:cs="Times New Roman" w:eastAsia="Times New Roman" w:hAnsi="Times New Roman"/>
          <w:sz w:val="18"/>
          <w:szCs w:val="18"/>
          <w:b w:val="1"/>
          <w:bCs w:val="1"/>
          <w:color w:val="auto"/>
        </w:rPr>
        <w:t xml:space="preserve"> 409</w:t>
      </w:r>
      <w:r>
        <w:rPr>
          <w:rFonts w:ascii="Times New Roman" w:cs="Times New Roman" w:eastAsia="Times New Roman" w:hAnsi="Times New Roman"/>
          <w:sz w:val="13"/>
          <w:szCs w:val="13"/>
          <w:b w:val="1"/>
          <w:bCs w:val="1"/>
          <w:color w:val="auto"/>
        </w:rPr>
        <w:t>A</w:t>
      </w:r>
      <w:r>
        <w:rPr>
          <w:rFonts w:ascii="Times New Roman" w:cs="Times New Roman" w:eastAsia="Times New Roman" w:hAnsi="Times New Roman"/>
          <w:sz w:val="18"/>
          <w:szCs w:val="18"/>
          <w:b w:val="1"/>
          <w:bCs w:val="1"/>
          <w:color w:val="auto"/>
        </w:rPr>
        <w:t>.</w:t>
      </w:r>
    </w:p>
    <w:p>
      <w:pPr>
        <w:spacing w:after="0" w:line="117"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764"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Unless the provisions of this Section of the Plan are expressly superseded by the provisions in the form of Award Agreement,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Section shall apply and shall supersede anything to the contrary set forth in the Award Agreement for a Non- Exempt Award.</w:t>
      </w:r>
    </w:p>
    <w:p>
      <w:pPr>
        <w:spacing w:after="0" w:line="46" w:lineRule="exact"/>
        <w:rPr>
          <w:rFonts w:ascii="Times New Roman" w:cs="Times New Roman" w:eastAsia="Times New Roman" w:hAnsi="Times New Roman"/>
          <w:sz w:val="18"/>
          <w:szCs w:val="18"/>
          <w:b w:val="1"/>
          <w:bCs w:val="1"/>
          <w:color w:val="auto"/>
        </w:rPr>
      </w:pPr>
    </w:p>
    <w:p>
      <w:pPr>
        <w:ind w:right="80" w:firstLine="517"/>
        <w:spacing w:after="0" w:line="286" w:lineRule="auto"/>
        <w:tabs>
          <w:tab w:leader="none" w:pos="774"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Awards Subject to Non-Exempt Severance Arrangements. </w:t>
      </w:r>
      <w:r>
        <w:rPr>
          <w:rFonts w:ascii="Times New Roman" w:cs="Times New Roman" w:eastAsia="Times New Roman" w:hAnsi="Times New Roman"/>
          <w:sz w:val="18"/>
          <w:szCs w:val="18"/>
          <w:color w:val="auto"/>
        </w:rPr>
        <w:t>To the extent a Non-Exempt Award is subject to Section 409A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application of a Non-Exempt Severance Arrangement, the following provisions of this subsection (b) apply.</w:t>
      </w:r>
    </w:p>
    <w:p>
      <w:pPr>
        <w:spacing w:after="0" w:line="50" w:lineRule="exact"/>
        <w:rPr>
          <w:rFonts w:ascii="Times New Roman" w:cs="Times New Roman" w:eastAsia="Times New Roman" w:hAnsi="Times New Roman"/>
          <w:sz w:val="18"/>
          <w:szCs w:val="18"/>
          <w:b w:val="1"/>
          <w:bCs w:val="1"/>
          <w:color w:val="auto"/>
        </w:rPr>
      </w:pPr>
    </w:p>
    <w:p>
      <w:pPr>
        <w:ind w:firstLine="1154"/>
        <w:spacing w:after="0" w:line="260" w:lineRule="auto"/>
        <w:tabs>
          <w:tab w:leader="none" w:pos="1360" w:val="left"/>
        </w:tabs>
        <w:numPr>
          <w:ilvl w:val="2"/>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8"/>
          <w:szCs w:val="18"/>
          <w:color w:val="auto"/>
        </w:rPr>
        <w:t xml:space="preserve"> of the calendar year that includes the applicable vesting date, or (ii)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applicable vesting date.</w:t>
      </w:r>
    </w:p>
    <w:p>
      <w:pPr>
        <w:spacing w:after="0" w:line="65" w:lineRule="exact"/>
        <w:rPr>
          <w:rFonts w:ascii="Times New Roman" w:cs="Times New Roman" w:eastAsia="Times New Roman" w:hAnsi="Times New Roman"/>
          <w:sz w:val="18"/>
          <w:szCs w:val="18"/>
          <w:b w:val="1"/>
          <w:bCs w:val="1"/>
          <w:color w:val="auto"/>
        </w:rPr>
      </w:pPr>
    </w:p>
    <w:p>
      <w:pPr>
        <w:ind w:right="20" w:firstLine="1154"/>
        <w:spacing w:after="0" w:line="251" w:lineRule="auto"/>
        <w:tabs>
          <w:tab w:leader="none" w:pos="1410" w:val="left"/>
        </w:tabs>
        <w:numPr>
          <w:ilvl w:val="2"/>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the Non-Exempt Award accelerates under the terms of a Non- 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80" w:lineRule="exact"/>
        <w:rPr>
          <w:rFonts w:ascii="Times New Roman" w:cs="Times New Roman" w:eastAsia="Times New Roman" w:hAnsi="Times New Roman"/>
          <w:sz w:val="18"/>
          <w:szCs w:val="18"/>
          <w:b w:val="1"/>
          <w:bCs w:val="1"/>
          <w:color w:val="auto"/>
        </w:rPr>
      </w:pPr>
    </w:p>
    <w:p>
      <w:pPr>
        <w:ind w:firstLine="1154"/>
        <w:spacing w:after="0" w:line="255" w:lineRule="auto"/>
        <w:tabs>
          <w:tab w:leader="none" w:pos="1460" w:val="left"/>
        </w:tabs>
        <w:numPr>
          <w:ilvl w:val="2"/>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vesting of a Non-Exempt Award accelerates under the terms of a Non- 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76" w:lineRule="exact"/>
        <w:rPr>
          <w:rFonts w:ascii="Times New Roman" w:cs="Times New Roman" w:eastAsia="Times New Roman" w:hAnsi="Times New Roman"/>
          <w:sz w:val="18"/>
          <w:szCs w:val="18"/>
          <w:b w:val="1"/>
          <w:bCs w:val="1"/>
          <w:color w:val="auto"/>
        </w:rPr>
      </w:pPr>
    </w:p>
    <w:p>
      <w:pPr>
        <w:ind w:right="200" w:firstLine="517"/>
        <w:spacing w:after="0" w:line="262" w:lineRule="auto"/>
        <w:tabs>
          <w:tab w:leader="none" w:pos="753" w:val="left"/>
        </w:tabs>
        <w:numPr>
          <w:ilvl w:val="1"/>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Employees and Consultants. </w:t>
      </w:r>
      <w:r>
        <w:rPr>
          <w:rFonts w:ascii="Times New Roman" w:cs="Times New Roman" w:eastAsia="Times New Roman" w:hAnsi="Times New Roman"/>
          <w:sz w:val="18"/>
          <w:szCs w:val="18"/>
          <w:color w:val="auto"/>
        </w:rPr>
        <w:t>The provisions of this subsection (c)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apply and shall supersede anything to the contrary set forth in the Plan with respect to the permitted treatment of any Non- Exempt Award in connection with a Corporate Transaction if the Participant was either an Employee or Consultant upon the applicable date of grant of the Non-Exempt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86" w:name="page187"/>
    <w:bookmarkEnd w:id="186"/>
    <w:p>
      <w:pPr>
        <w:spacing w:after="0" w:line="82" w:lineRule="exact"/>
        <w:rPr>
          <w:sz w:val="20"/>
          <w:szCs w:val="20"/>
          <w:color w:val="auto"/>
        </w:rPr>
      </w:pPr>
    </w:p>
    <w:p>
      <w:pPr>
        <w:ind w:left="1360" w:hanging="206"/>
        <w:spacing w:after="0"/>
        <w:tabs>
          <w:tab w:leader="none" w:pos="1360" w:val="left"/>
        </w:tabs>
        <w:numPr>
          <w:ilvl w:val="0"/>
          <w:numId w:val="1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Vested Non-Exempt Awards. </w:t>
      </w:r>
      <w:r>
        <w:rPr>
          <w:rFonts w:ascii="Times New Roman" w:cs="Times New Roman" w:eastAsia="Times New Roman" w:hAnsi="Times New Roman"/>
          <w:sz w:val="18"/>
          <w:szCs w:val="18"/>
          <w:color w:val="auto"/>
        </w:rPr>
        <w:t>The following provisions shall apply to any Vested Non-Exempt Award in connection with a Corporate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9" w:lineRule="exact"/>
        <w:rPr>
          <w:sz w:val="20"/>
          <w:szCs w:val="20"/>
          <w:color w:val="auto"/>
        </w:rPr>
      </w:pPr>
    </w:p>
    <w:p>
      <w:pPr>
        <w:ind w:firstLine="1663"/>
        <w:spacing w:after="0" w:line="258" w:lineRule="auto"/>
        <w:tabs>
          <w:tab w:leader="none" w:pos="1909" w:val="left"/>
        </w:tabs>
        <w:numPr>
          <w:ilvl w:val="2"/>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15" w:lineRule="exact"/>
        <w:rPr>
          <w:rFonts w:ascii="Times New Roman" w:cs="Times New Roman" w:eastAsia="Times New Roman" w:hAnsi="Times New Roman"/>
          <w:sz w:val="18"/>
          <w:szCs w:val="18"/>
          <w:b w:val="1"/>
          <w:bCs w:val="1"/>
          <w:color w:val="auto"/>
        </w:rPr>
      </w:pPr>
    </w:p>
    <w:p>
      <w:pPr>
        <w:ind w:right="360" w:firstLine="1663"/>
        <w:spacing w:after="0" w:line="256" w:lineRule="auto"/>
        <w:tabs>
          <w:tab w:leader="none" w:pos="1909" w:val="left"/>
        </w:tabs>
        <w:numPr>
          <w:ilvl w:val="2"/>
          <w:numId w:val="1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each Vested Non- 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75" w:lineRule="exact"/>
        <w:rPr>
          <w:rFonts w:ascii="Times New Roman" w:cs="Times New Roman" w:eastAsia="Times New Roman" w:hAnsi="Times New Roman"/>
          <w:sz w:val="18"/>
          <w:szCs w:val="18"/>
          <w:b w:val="1"/>
          <w:bCs w:val="1"/>
          <w:color w:val="auto"/>
        </w:rPr>
      </w:pPr>
    </w:p>
    <w:p>
      <w:pPr>
        <w:ind w:right="740" w:firstLine="1154"/>
        <w:spacing w:after="0" w:line="286" w:lineRule="auto"/>
        <w:tabs>
          <w:tab w:leader="none" w:pos="1410" w:val="left"/>
        </w:tabs>
        <w:numPr>
          <w:ilvl w:val="1"/>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Unvested Non-Exempt Awards. </w:t>
      </w:r>
      <w:r>
        <w:rPr>
          <w:rFonts w:ascii="Times New Roman" w:cs="Times New Roman" w:eastAsia="Times New Roman" w:hAnsi="Times New Roman"/>
          <w:sz w:val="18"/>
          <w:szCs w:val="18"/>
          <w:color w:val="auto"/>
        </w:rPr>
        <w:t>The following provisions shall apply to any Unvested Non-Exempt Award unless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 pursuant to subsection (e) of this Section.</w:t>
      </w:r>
    </w:p>
    <w:p>
      <w:pPr>
        <w:spacing w:after="0" w:line="50" w:lineRule="exact"/>
        <w:rPr>
          <w:rFonts w:ascii="Times New Roman" w:cs="Times New Roman" w:eastAsia="Times New Roman" w:hAnsi="Times New Roman"/>
          <w:sz w:val="18"/>
          <w:szCs w:val="18"/>
          <w:b w:val="1"/>
          <w:bCs w:val="1"/>
          <w:color w:val="auto"/>
        </w:rPr>
      </w:pPr>
    </w:p>
    <w:p>
      <w:pPr>
        <w:ind w:right="180" w:firstLine="1663"/>
        <w:spacing w:after="0" w:line="255" w:lineRule="auto"/>
        <w:tabs>
          <w:tab w:leader="none" w:pos="1909"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80" w:lineRule="exact"/>
        <w:rPr>
          <w:rFonts w:ascii="Times New Roman" w:cs="Times New Roman" w:eastAsia="Times New Roman" w:hAnsi="Times New Roman"/>
          <w:sz w:val="18"/>
          <w:szCs w:val="18"/>
          <w:b w:val="1"/>
          <w:bCs w:val="1"/>
          <w:color w:val="auto"/>
        </w:rPr>
      </w:pPr>
    </w:p>
    <w:p>
      <w:pPr>
        <w:ind w:right="60" w:firstLine="1663"/>
        <w:spacing w:after="0" w:line="254" w:lineRule="auto"/>
        <w:tabs>
          <w:tab w:leader="none" w:pos="1909"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(e)(ii) 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83" w:lineRule="exact"/>
        <w:rPr>
          <w:rFonts w:ascii="Times New Roman" w:cs="Times New Roman" w:eastAsia="Times New Roman" w:hAnsi="Times New Roman"/>
          <w:sz w:val="18"/>
          <w:szCs w:val="18"/>
          <w:b w:val="1"/>
          <w:bCs w:val="1"/>
          <w:color w:val="auto"/>
        </w:rPr>
      </w:pPr>
    </w:p>
    <w:p>
      <w:pPr>
        <w:ind w:right="400" w:firstLine="1663"/>
        <w:spacing w:after="0" w:line="282" w:lineRule="auto"/>
        <w:tabs>
          <w:tab w:leader="none" w:pos="1909" w:val="left"/>
        </w:tabs>
        <w:numPr>
          <w:ilvl w:val="2"/>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treatment shall apply with respect to all Unvested Non-Exempt Awards upon any Corporate Transaction, and regardless of whether or not such Corporate Transaction is also a Section 409A Change in Control.</w:t>
      </w:r>
    </w:p>
    <w:p>
      <w:pPr>
        <w:spacing w:after="0" w:line="49" w:lineRule="exact"/>
        <w:rPr>
          <w:rFonts w:ascii="Times New Roman" w:cs="Times New Roman" w:eastAsia="Times New Roman" w:hAnsi="Times New Roman"/>
          <w:sz w:val="18"/>
          <w:szCs w:val="18"/>
          <w:b w:val="1"/>
          <w:bCs w:val="1"/>
          <w:color w:val="auto"/>
        </w:rPr>
      </w:pPr>
    </w:p>
    <w:p>
      <w:pPr>
        <w:ind w:right="280" w:firstLine="517"/>
        <w:spacing w:after="0" w:line="268" w:lineRule="auto"/>
        <w:tabs>
          <w:tab w:leader="none" w:pos="774"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Treatment of Non-Exempt Awards Upon a Corporate Transaction for Non-Employee Directors. </w:t>
      </w:r>
      <w:r>
        <w:rPr>
          <w:rFonts w:ascii="Times New Roman" w:cs="Times New Roman" w:eastAsia="Times New Roman" w:hAnsi="Times New Roman"/>
          <w:sz w:val="18"/>
          <w:szCs w:val="18"/>
          <w:color w:val="auto"/>
        </w:rPr>
        <w:t>The following provisions of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subsection (d) shall apply and shall supersede anything to the contrary that may be set forth in the Plan with respect to the permitted treatment of a Non-Exempt Director Award in connection with a Corporate Transaction.</w:t>
      </w:r>
    </w:p>
    <w:p>
      <w:pPr>
        <w:spacing w:after="0" w:line="107" w:lineRule="exact"/>
        <w:rPr>
          <w:rFonts w:ascii="Times New Roman" w:cs="Times New Roman" w:eastAsia="Times New Roman" w:hAnsi="Times New Roman"/>
          <w:sz w:val="18"/>
          <w:szCs w:val="18"/>
          <w:b w:val="1"/>
          <w:bCs w:val="1"/>
          <w:color w:val="auto"/>
        </w:rPr>
      </w:pPr>
    </w:p>
    <w:p>
      <w:pPr>
        <w:ind w:right="80" w:firstLine="1154"/>
        <w:spacing w:after="0" w:line="261" w:lineRule="auto"/>
        <w:tabs>
          <w:tab w:leader="none" w:pos="1360" w:val="left"/>
        </w:tabs>
        <w:numPr>
          <w:ilvl w:val="1"/>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also a Section 409A Change in Control then the Acquiring Entity may not assume, continue or substitute the Non-Exempt Director Award. Upon the Section 409A Change in Control the vesting and settlement of any Non-Exempt Director Award will automatically be accelerated and the shares will be immediately issued to the Participant in respect of the Non-Exempt Director Award. Alternatively, the Company may provide that the Participant will instead receive a cash settlement equal to the Fair Market Value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867410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color w:val="auto"/>
        </w:rPr>
        <w:t>that would otherwise be issued to the Participant upon the Section 409A Change in Control pursuant to the preceding provision.</w:t>
      </w:r>
    </w:p>
    <w:p>
      <w:pPr>
        <w:spacing w:after="0" w:line="117" w:lineRule="exact"/>
        <w:rPr>
          <w:sz w:val="20"/>
          <w:szCs w:val="20"/>
          <w:color w:val="auto"/>
        </w:rPr>
      </w:pPr>
    </w:p>
    <w:p>
      <w:pPr>
        <w:ind w:right="220" w:firstLine="1154"/>
        <w:spacing w:after="0" w:line="255" w:lineRule="auto"/>
        <w:tabs>
          <w:tab w:leader="none" w:pos="1410" w:val="left"/>
        </w:tabs>
        <w:numPr>
          <w:ilvl w:val="1"/>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Corporate Transaction is not also a Section 409A Change in Control, then the Acquiring Entity must either assume, continue or substitute the Non-Exempt Director Award. Unless otherwise determined by the Board, the Non-Exempt Director Award will remain subject to the same vesting and forfeiture restrictions that were applicable to the Award prior to the Corporate Transaction. The shares to be issued in respect of the Non-Exempt Director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made on the date of the Corporate Transaction.</w:t>
      </w:r>
    </w:p>
    <w:p>
      <w:pPr>
        <w:spacing w:after="0" w:line="80" w:lineRule="exact"/>
        <w:rPr>
          <w:rFonts w:ascii="Times New Roman" w:cs="Times New Roman" w:eastAsia="Times New Roman" w:hAnsi="Times New Roman"/>
          <w:sz w:val="18"/>
          <w:szCs w:val="18"/>
          <w:b w:val="1"/>
          <w:bCs w:val="1"/>
          <w:color w:val="auto"/>
        </w:rPr>
      </w:pPr>
    </w:p>
    <w:p>
      <w:pPr>
        <w:ind w:right="80" w:firstLine="517"/>
        <w:spacing w:after="0" w:line="282" w:lineRule="auto"/>
        <w:tabs>
          <w:tab w:leader="none" w:pos="754"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RSU Award is a Non-Exempt Award, then the provisions in this Section 11(e) shall apply and supersede anything to the contrary that may be set forth in the Plan or the Award Agreement with respect to the permitted treatment of such Non-Exempt Award:</w:t>
      </w:r>
    </w:p>
    <w:p>
      <w:pPr>
        <w:spacing w:after="0" w:line="53" w:lineRule="exact"/>
        <w:rPr>
          <w:rFonts w:ascii="Times New Roman" w:cs="Times New Roman" w:eastAsia="Times New Roman" w:hAnsi="Times New Roman"/>
          <w:sz w:val="18"/>
          <w:szCs w:val="18"/>
          <w:b w:val="1"/>
          <w:bCs w:val="1"/>
          <w:color w:val="auto"/>
        </w:rPr>
      </w:pPr>
    </w:p>
    <w:p>
      <w:pPr>
        <w:ind w:right="180" w:firstLine="1154"/>
        <w:spacing w:after="0" w:line="266" w:lineRule="auto"/>
        <w:tabs>
          <w:tab w:leader="none" w:pos="1360" w:val="left"/>
        </w:tabs>
        <w:numPr>
          <w:ilvl w:val="1"/>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exercise by the Board of discretion to accelerate the vesting of a Non- 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68" w:lineRule="exact"/>
        <w:rPr>
          <w:sz w:val="20"/>
          <w:szCs w:val="20"/>
          <w:color w:val="auto"/>
        </w:rPr>
      </w:pPr>
    </w:p>
    <w:p>
      <w:pPr>
        <w:ind w:right="200" w:firstLine="1154"/>
        <w:spacing w:after="0" w:line="282" w:lineRule="auto"/>
        <w:tabs>
          <w:tab w:leader="none" w:pos="141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explicitly reserves the right to earlier settle any Non-Exempt Award to the extent permitted and in compliance with the requirements of Section 409A, including pursuant to any of the exemptions available in Treasury Regulations Section 1.409A- 3(j)(4)(ix).</w:t>
      </w:r>
    </w:p>
    <w:p>
      <w:pPr>
        <w:spacing w:after="0" w:line="53" w:lineRule="exact"/>
        <w:rPr>
          <w:rFonts w:ascii="Times New Roman" w:cs="Times New Roman" w:eastAsia="Times New Roman" w:hAnsi="Times New Roman"/>
          <w:sz w:val="18"/>
          <w:szCs w:val="18"/>
          <w:b w:val="1"/>
          <w:bCs w:val="1"/>
          <w:color w:val="auto"/>
        </w:rPr>
      </w:pPr>
    </w:p>
    <w:p>
      <w:pPr>
        <w:ind w:firstLine="1154"/>
        <w:spacing w:after="0" w:line="254" w:lineRule="auto"/>
        <w:tabs>
          <w:tab w:leader="none" w:pos="146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83" w:lineRule="exact"/>
        <w:rPr>
          <w:rFonts w:ascii="Times New Roman" w:cs="Times New Roman" w:eastAsia="Times New Roman" w:hAnsi="Times New Roman"/>
          <w:sz w:val="18"/>
          <w:szCs w:val="18"/>
          <w:b w:val="1"/>
          <w:bCs w:val="1"/>
          <w:color w:val="auto"/>
        </w:rPr>
      </w:pPr>
    </w:p>
    <w:p>
      <w:pPr>
        <w:ind w:right="280" w:firstLine="1154"/>
        <w:spacing w:after="0" w:line="266" w:lineRule="auto"/>
        <w:tabs>
          <w:tab w:leader="none" w:pos="145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in this subsection (e)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99" w:lineRule="exact"/>
        <w:rPr>
          <w:sz w:val="20"/>
          <w:szCs w:val="20"/>
          <w:color w:val="auto"/>
        </w:rPr>
      </w:pPr>
    </w:p>
    <w:p>
      <w:pPr>
        <w:ind w:left="460" w:hanging="452"/>
        <w:spacing w:after="0"/>
        <w:tabs>
          <w:tab w:leader="none" w:pos="460" w:val="left"/>
        </w:tabs>
        <w:numPr>
          <w:ilvl w:val="0"/>
          <w:numId w:val="1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 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203" w:lineRule="exact"/>
        <w:rPr>
          <w:sz w:val="20"/>
          <w:szCs w:val="20"/>
          <w:color w:val="auto"/>
        </w:rPr>
      </w:pPr>
    </w:p>
    <w:p>
      <w:pPr>
        <w:ind w:left="460" w:hanging="452"/>
        <w:spacing w:after="0"/>
        <w:tabs>
          <w:tab w:leader="none" w:pos="4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ERMINATION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Board may suspend or terminate the Plan at any time. No Incentive Stock Options may be granted after the tenth anniversary of the earlier of:</w:t>
      </w:r>
    </w:p>
    <w:p>
      <w:pPr>
        <w:spacing w:after="0" w:line="27" w:lineRule="exact"/>
        <w:rPr>
          <w:sz w:val="20"/>
          <w:szCs w:val="20"/>
          <w:color w:val="auto"/>
        </w:rPr>
      </w:pPr>
    </w:p>
    <w:p>
      <w:pPr>
        <w:ind w:right="360" w:firstLine="8"/>
        <w:spacing w:after="0" w:line="260" w:lineRule="auto"/>
        <w:tabs>
          <w:tab w:leader="none" w:pos="21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Date, or (ii) the date the Plan is approved by the Company’s stockholders. No Awards may be granted under the Plan while the Plan is suspended or after it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962660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88" w:name="page189"/>
    <w:bookmarkEnd w:id="188"/>
    <w:p>
      <w:pPr>
        <w:spacing w:after="0" w:line="365" w:lineRule="exact"/>
        <w:rPr>
          <w:sz w:val="20"/>
          <w:szCs w:val="20"/>
          <w:color w:val="auto"/>
        </w:rPr>
      </w:pPr>
    </w:p>
    <w:p>
      <w:pPr>
        <w:ind w:left="460" w:hanging="452"/>
        <w:spacing w:after="0"/>
        <w:tabs>
          <w:tab w:leader="none" w:pos="4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EFINITIONS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used in the Plan, the following definitions apply to the capitalized terms indicated below:</w:t>
      </w:r>
    </w:p>
    <w:p>
      <w:pPr>
        <w:spacing w:after="0" w:line="113" w:lineRule="exact"/>
        <w:rPr>
          <w:sz w:val="20"/>
          <w:szCs w:val="20"/>
          <w:color w:val="auto"/>
        </w:rPr>
      </w:pPr>
    </w:p>
    <w:p>
      <w:pPr>
        <w:ind w:left="780" w:hanging="263"/>
        <w:spacing w:after="0"/>
        <w:tabs>
          <w:tab w:leader="none" w:pos="7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Acquiring Entity</w:t>
      </w:r>
      <w:r>
        <w:rPr>
          <w:rFonts w:ascii="Times New Roman" w:cs="Times New Roman" w:eastAsia="Times New Roman" w:hAnsi="Times New Roman"/>
          <w:sz w:val="18"/>
          <w:szCs w:val="18"/>
          <w:color w:val="auto"/>
        </w:rPr>
        <w:t>” means the surviving or acquiring corporation (or its parent company) in connection with a Corporate Transaction.</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Adoption Date</w:t>
      </w:r>
      <w:r>
        <w:rPr>
          <w:rFonts w:ascii="Times New Roman" w:cs="Times New Roman" w:eastAsia="Times New Roman" w:hAnsi="Times New Roman"/>
          <w:sz w:val="18"/>
          <w:szCs w:val="18"/>
          <w:color w:val="auto"/>
        </w:rPr>
        <w:t>” means the date the Plan is first approved by the Board or Compensation Committee.</w:t>
      </w:r>
    </w:p>
    <w:p>
      <w:pPr>
        <w:spacing w:after="0" w:line="117" w:lineRule="exact"/>
        <w:rPr>
          <w:rFonts w:ascii="Times New Roman" w:cs="Times New Roman" w:eastAsia="Times New Roman" w:hAnsi="Times New Roman"/>
          <w:sz w:val="18"/>
          <w:szCs w:val="18"/>
          <w:b w:val="1"/>
          <w:bCs w:val="1"/>
          <w:color w:val="auto"/>
        </w:rPr>
      </w:pPr>
    </w:p>
    <w:p>
      <w:pPr>
        <w:jc w:val="both"/>
        <w:ind w:right="40" w:firstLine="517"/>
        <w:spacing w:after="0" w:line="317" w:lineRule="auto"/>
        <w:tabs>
          <w:tab w:leader="none" w:pos="754"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23" w:lineRule="exact"/>
        <w:rPr>
          <w:rFonts w:ascii="Times New Roman" w:cs="Times New Roman" w:eastAsia="Times New Roman" w:hAnsi="Times New Roman"/>
          <w:sz w:val="17"/>
          <w:szCs w:val="17"/>
          <w:b w:val="1"/>
          <w:bCs w:val="1"/>
          <w:color w:val="auto"/>
        </w:rPr>
      </w:pPr>
    </w:p>
    <w:p>
      <w:pPr>
        <w:ind w:right="40" w:firstLine="517"/>
        <w:spacing w:after="0" w:line="262" w:lineRule="auto"/>
        <w:tabs>
          <w:tab w:leader="none" w:pos="77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 regulating organization such as the Nasdaq Stock Market, New York Stock Exchange, or the Financial Industry Regulatory Authority).</w:t>
      </w:r>
    </w:p>
    <w:p>
      <w:pPr>
        <w:spacing w:after="0" w:line="68" w:lineRule="exact"/>
        <w:rPr>
          <w:rFonts w:ascii="Times New Roman" w:cs="Times New Roman" w:eastAsia="Times New Roman" w:hAnsi="Times New Roman"/>
          <w:sz w:val="18"/>
          <w:szCs w:val="18"/>
          <w:b w:val="1"/>
          <w:bCs w:val="1"/>
          <w:color w:val="auto"/>
        </w:rPr>
      </w:pPr>
    </w:p>
    <w:p>
      <w:pPr>
        <w:ind w:right="500" w:firstLine="517"/>
        <w:spacing w:after="0" w:line="286" w:lineRule="auto"/>
        <w:tabs>
          <w:tab w:leader="none" w:pos="75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any right to receive Common Stock, cash or other property granted under the Plan (including an Incentive Stock Option, a Nonstatutory Stock Option, a Restricted Stock Award, an RSU Award, a SAR, a Performance Award or any Other Award).</w:t>
      </w:r>
    </w:p>
    <w:p>
      <w:pPr>
        <w:spacing w:after="0" w:line="46" w:lineRule="exact"/>
        <w:rPr>
          <w:rFonts w:ascii="Times New Roman" w:cs="Times New Roman" w:eastAsia="Times New Roman" w:hAnsi="Times New Roman"/>
          <w:sz w:val="18"/>
          <w:szCs w:val="18"/>
          <w:b w:val="1"/>
          <w:bCs w:val="1"/>
          <w:color w:val="auto"/>
        </w:rPr>
      </w:pPr>
    </w:p>
    <w:p>
      <w:pPr>
        <w:ind w:right="100" w:firstLine="517"/>
        <w:spacing w:after="0" w:line="268" w:lineRule="auto"/>
        <w:tabs>
          <w:tab w:leader="none" w:pos="73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62"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76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62" w:lineRule="exact"/>
        <w:rPr>
          <w:rFonts w:ascii="Times New Roman" w:cs="Times New Roman" w:eastAsia="Times New Roman" w:hAnsi="Times New Roman"/>
          <w:sz w:val="18"/>
          <w:szCs w:val="18"/>
          <w:b w:val="1"/>
          <w:bCs w:val="1"/>
          <w:color w:val="auto"/>
        </w:rPr>
      </w:pPr>
    </w:p>
    <w:p>
      <w:pPr>
        <w:jc w:val="both"/>
        <w:ind w:firstLine="517"/>
        <w:spacing w:after="0" w:line="255" w:lineRule="auto"/>
        <w:tabs>
          <w:tab w:leader="none" w:pos="774" w:val="left"/>
        </w:tabs>
        <w:numPr>
          <w:ilvl w:val="0"/>
          <w:numId w:val="1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w:t>
      </w:r>
    </w:p>
    <w:p>
      <w:pPr>
        <w:spacing w:after="0" w:line="2"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foregoing, the conversion of any convertible securities of the Company will not be treated as a Capitalization Adjustment.</w:t>
      </w:r>
    </w:p>
    <w:p>
      <w:pPr>
        <w:spacing w:after="0" w:line="135" w:lineRule="exact"/>
        <w:rPr>
          <w:rFonts w:ascii="Times New Roman" w:cs="Times New Roman" w:eastAsia="Times New Roman" w:hAnsi="Times New Roman"/>
          <w:sz w:val="18"/>
          <w:szCs w:val="18"/>
          <w:b w:val="1"/>
          <w:bCs w:val="1"/>
          <w:color w:val="auto"/>
        </w:rPr>
      </w:pPr>
    </w:p>
    <w:p>
      <w:pPr>
        <w:ind w:right="60" w:firstLine="517"/>
        <w:spacing w:after="0" w:line="253" w:lineRule="auto"/>
        <w:tabs>
          <w:tab w:leader="none" w:pos="724"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 (B) 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ind w:right="240"/>
        <w:spacing w:after="0" w:line="282" w:lineRule="auto"/>
        <w:rPr>
          <w:sz w:val="20"/>
          <w:szCs w:val="20"/>
          <w:color w:val="auto"/>
        </w:rPr>
      </w:pPr>
      <w:r>
        <w:rPr>
          <w:rFonts w:ascii="Times New Roman" w:cs="Times New Roman" w:eastAsia="Times New Roman" w:hAnsi="Times New Roman"/>
          <w:sz w:val="18"/>
          <w:szCs w:val="18"/>
          <w:color w:val="auto"/>
        </w:rPr>
        <w:t>without Cause for the purposes of outstanding Awards held by such Participant will have no effect upon any determination of the rights or obligations of the Company or such Participant for any other purpose.</w:t>
      </w:r>
    </w:p>
    <w:p>
      <w:pPr>
        <w:spacing w:after="0" w:line="50" w:lineRule="exact"/>
        <w:rPr>
          <w:sz w:val="20"/>
          <w:szCs w:val="20"/>
          <w:color w:val="auto"/>
        </w:rPr>
      </w:pPr>
    </w:p>
    <w:p>
      <w:pPr>
        <w:ind w:right="260" w:firstLine="517"/>
        <w:spacing w:after="0" w:line="286" w:lineRule="auto"/>
        <w:tabs>
          <w:tab w:leader="none" w:pos="734"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Change of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firstLine="1154"/>
        <w:spacing w:after="0" w:line="253" w:lineRule="auto"/>
        <w:tabs>
          <w:tab w:leader="none" w:pos="1360"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24" w:lineRule="exact"/>
        <w:rPr>
          <w:rFonts w:ascii="Times New Roman" w:cs="Times New Roman" w:eastAsia="Times New Roman" w:hAnsi="Times New Roman"/>
          <w:sz w:val="18"/>
          <w:szCs w:val="18"/>
          <w:b w:val="1"/>
          <w:bCs w:val="1"/>
          <w:color w:val="auto"/>
        </w:rPr>
      </w:pPr>
    </w:p>
    <w:p>
      <w:pPr>
        <w:ind w:right="140" w:firstLine="1154"/>
        <w:spacing w:after="0" w:line="256" w:lineRule="auto"/>
        <w:tabs>
          <w:tab w:leader="none" w:pos="1410"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79" w:lineRule="exact"/>
        <w:rPr>
          <w:rFonts w:ascii="Times New Roman" w:cs="Times New Roman" w:eastAsia="Times New Roman" w:hAnsi="Times New Roman"/>
          <w:sz w:val="18"/>
          <w:szCs w:val="18"/>
          <w:b w:val="1"/>
          <w:bCs w:val="1"/>
          <w:color w:val="auto"/>
        </w:rPr>
      </w:pPr>
    </w:p>
    <w:p>
      <w:pPr>
        <w:ind w:right="80" w:firstLine="1154"/>
        <w:spacing w:after="0" w:line="258" w:lineRule="auto"/>
        <w:tabs>
          <w:tab w:leader="none" w:pos="1460"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71" w:lineRule="exact"/>
        <w:rPr>
          <w:rFonts w:ascii="Times New Roman" w:cs="Times New Roman" w:eastAsia="Times New Roman" w:hAnsi="Times New Roman"/>
          <w:sz w:val="18"/>
          <w:szCs w:val="18"/>
          <w:b w:val="1"/>
          <w:bCs w:val="1"/>
          <w:color w:val="auto"/>
        </w:rPr>
      </w:pPr>
    </w:p>
    <w:p>
      <w:pPr>
        <w:ind w:right="180" w:firstLine="1154"/>
        <w:spacing w:after="0" w:line="262" w:lineRule="auto"/>
        <w:tabs>
          <w:tab w:leader="none" w:pos="1450" w:val="left"/>
        </w:tabs>
        <w:numPr>
          <w:ilvl w:val="1"/>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72"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77" w:lineRule="exact"/>
        <w:rPr>
          <w:sz w:val="20"/>
          <w:szCs w:val="20"/>
          <w:color w:val="auto"/>
        </w:rPr>
      </w:pPr>
    </w:p>
    <w:p>
      <w:pPr>
        <w:ind w:left="780" w:hanging="263"/>
        <w:spacing w:after="0"/>
        <w:tabs>
          <w:tab w:leader="none" w:pos="78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117" w:lineRule="exact"/>
        <w:rPr>
          <w:rFonts w:ascii="Times New Roman" w:cs="Times New Roman" w:eastAsia="Times New Roman" w:hAnsi="Times New Roman"/>
          <w:sz w:val="18"/>
          <w:szCs w:val="18"/>
          <w:b w:val="1"/>
          <w:bCs w:val="1"/>
          <w:color w:val="auto"/>
        </w:rPr>
      </w:pPr>
    </w:p>
    <w:p>
      <w:pPr>
        <w:ind w:right="200" w:firstLine="517"/>
        <w:spacing w:after="0" w:line="286" w:lineRule="auto"/>
        <w:tabs>
          <w:tab w:leader="none" w:pos="724"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and any other committee of one or more Directors to whom authority has been delegated by the Board or Compensation Committee in accordance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0" w:name="page191"/>
    <w:bookmarkEnd w:id="190"/>
    <w:p>
      <w:pPr>
        <w:spacing w:after="0" w:line="82" w:lineRule="exact"/>
        <w:rPr>
          <w:sz w:val="20"/>
          <w:szCs w:val="20"/>
          <w:color w:val="auto"/>
        </w:rPr>
      </w:pPr>
    </w:p>
    <w:p>
      <w:pPr>
        <w:ind w:left="840" w:hanging="323"/>
        <w:spacing w:after="0"/>
        <w:tabs>
          <w:tab w:leader="none" w:pos="84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Invivyd, Inc., a Delaware corporation.</w:t>
      </w:r>
    </w:p>
    <w:p>
      <w:pPr>
        <w:spacing w:after="0" w:line="15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means the Compensation Committee of the Board.</w:t>
      </w:r>
    </w:p>
    <w:p>
      <w:pPr>
        <w:spacing w:after="0" w:line="117" w:lineRule="exact"/>
        <w:rPr>
          <w:rFonts w:ascii="Times New Roman" w:cs="Times New Roman" w:eastAsia="Times New Roman" w:hAnsi="Times New Roman"/>
          <w:sz w:val="18"/>
          <w:szCs w:val="18"/>
          <w:b w:val="1"/>
          <w:bCs w:val="1"/>
          <w:color w:val="auto"/>
        </w:rPr>
      </w:pPr>
    </w:p>
    <w:p>
      <w:pPr>
        <w:ind w:right="80" w:firstLine="517"/>
        <w:spacing w:after="0" w:line="259" w:lineRule="auto"/>
        <w:tabs>
          <w:tab w:leader="none" w:pos="774"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71" w:lineRule="exact"/>
        <w:rPr>
          <w:rFonts w:ascii="Times New Roman" w:cs="Times New Roman" w:eastAsia="Times New Roman" w:hAnsi="Times New Roman"/>
          <w:sz w:val="18"/>
          <w:szCs w:val="18"/>
          <w:b w:val="1"/>
          <w:bCs w:val="1"/>
          <w:color w:val="auto"/>
        </w:rPr>
      </w:pPr>
    </w:p>
    <w:p>
      <w:pPr>
        <w:ind w:right="20" w:firstLine="517"/>
        <w:spacing w:after="0" w:line="253" w:lineRule="auto"/>
        <w:tabs>
          <w:tab w:leader="none" w:pos="774" w:val="left"/>
        </w:tabs>
        <w:numPr>
          <w:ilvl w:val="1"/>
          <w:numId w:val="1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Continuous Service</w:t>
      </w:r>
      <w:r>
        <w:rPr>
          <w:rFonts w:ascii="Times New Roman" w:cs="Times New Roman" w:eastAsia="Times New Roman" w:hAnsi="Times New Roman"/>
          <w:sz w:val="18"/>
          <w:szCs w:val="18"/>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w:t>
      </w:r>
    </w:p>
    <w:p>
      <w:pPr>
        <w:spacing w:after="0" w:line="4" w:lineRule="exact"/>
        <w:rPr>
          <w:rFonts w:ascii="Times New Roman" w:cs="Times New Roman" w:eastAsia="Times New Roman" w:hAnsi="Times New Roman"/>
          <w:sz w:val="18"/>
          <w:szCs w:val="18"/>
          <w:b w:val="1"/>
          <w:bCs w:val="1"/>
          <w:color w:val="auto"/>
        </w:rPr>
      </w:pPr>
    </w:p>
    <w:p>
      <w:pPr>
        <w:ind w:right="180" w:firstLine="8"/>
        <w:spacing w:after="0" w:line="252" w:lineRule="auto"/>
        <w:tabs>
          <w:tab w:leader="none" w:pos="215"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76" w:lineRule="exact"/>
        <w:rPr>
          <w:rFonts w:ascii="Times New Roman" w:cs="Times New Roman" w:eastAsia="Times New Roman" w:hAnsi="Times New Roman"/>
          <w:sz w:val="18"/>
          <w:szCs w:val="18"/>
          <w:color w:val="auto"/>
        </w:rPr>
      </w:pPr>
    </w:p>
    <w:p>
      <w:pPr>
        <w:ind w:right="560" w:firstLine="517"/>
        <w:spacing w:after="0" w:line="286" w:lineRule="auto"/>
        <w:tabs>
          <w:tab w:leader="none" w:pos="754" w:val="left"/>
        </w:tabs>
        <w:numPr>
          <w:ilvl w:val="1"/>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50"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all or substantially all, as determined by the Board, of the consolidated assets of the Company and its</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Subsidiaries;</w:t>
      </w:r>
    </w:p>
    <w:p>
      <w:pPr>
        <w:spacing w:after="0" w:line="98"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50% of the outstanding securities of the Company;</w:t>
      </w:r>
    </w:p>
    <w:p>
      <w:pPr>
        <w:spacing w:after="0" w:line="117" w:lineRule="exact"/>
        <w:rPr>
          <w:rFonts w:ascii="Times New Roman" w:cs="Times New Roman" w:eastAsia="Times New Roman" w:hAnsi="Times New Roman"/>
          <w:sz w:val="18"/>
          <w:szCs w:val="18"/>
          <w:b w:val="1"/>
          <w:bCs w:val="1"/>
          <w:color w:val="auto"/>
        </w:rPr>
      </w:pPr>
    </w:p>
    <w:p>
      <w:pPr>
        <w:ind w:left="1460" w:hanging="306"/>
        <w:spacing w:after="0"/>
        <w:tabs>
          <w:tab w:leader="none" w:pos="1460"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157" w:lineRule="exact"/>
        <w:rPr>
          <w:rFonts w:ascii="Times New Roman" w:cs="Times New Roman" w:eastAsia="Times New Roman" w:hAnsi="Times New Roman"/>
          <w:sz w:val="18"/>
          <w:szCs w:val="18"/>
          <w:b w:val="1"/>
          <w:bCs w:val="1"/>
          <w:color w:val="auto"/>
        </w:rPr>
      </w:pPr>
    </w:p>
    <w:p>
      <w:pPr>
        <w:ind w:right="280" w:firstLine="1154"/>
        <w:spacing w:after="0" w:line="266" w:lineRule="auto"/>
        <w:tabs>
          <w:tab w:leader="none" w:pos="1450" w:val="left"/>
        </w:tabs>
        <w:numPr>
          <w:ilvl w:val="2"/>
          <w:numId w:val="1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873125</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82" w:lineRule="exact"/>
        <w:rPr>
          <w:sz w:val="20"/>
          <w:szCs w:val="20"/>
          <w:color w:val="auto"/>
        </w:rPr>
      </w:pPr>
    </w:p>
    <w:p>
      <w:pPr>
        <w:ind w:left="760" w:hanging="243"/>
        <w:spacing w:after="0"/>
        <w:tabs>
          <w:tab w:leader="none" w:pos="7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117" w:lineRule="exact"/>
        <w:rPr>
          <w:rFonts w:ascii="Times New Roman" w:cs="Times New Roman" w:eastAsia="Times New Roman" w:hAnsi="Times New Roman"/>
          <w:sz w:val="18"/>
          <w:szCs w:val="18"/>
          <w:b w:val="1"/>
          <w:bCs w:val="1"/>
          <w:color w:val="auto"/>
        </w:rPr>
      </w:pPr>
    </w:p>
    <w:p>
      <w:pPr>
        <w:ind w:left="740" w:hanging="223"/>
        <w:spacing w:after="0"/>
        <w:tabs>
          <w:tab w:leader="none" w:pos="74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determine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determined</w:t>
      </w:r>
      <w:r>
        <w:rPr>
          <w:rFonts w:ascii="Times New Roman" w:cs="Times New Roman" w:eastAsia="Times New Roman" w:hAnsi="Times New Roman"/>
          <w:sz w:val="18"/>
          <w:szCs w:val="18"/>
          <w:color w:val="auto"/>
        </w:rPr>
        <w:t>” means as determined by the Board or the Committee (or its designee) in its sole discretion.</w:t>
      </w:r>
    </w:p>
    <w:p>
      <w:pPr>
        <w:spacing w:after="0" w:line="117" w:lineRule="exact"/>
        <w:rPr>
          <w:rFonts w:ascii="Times New Roman" w:cs="Times New Roman" w:eastAsia="Times New Roman" w:hAnsi="Times New Roman"/>
          <w:sz w:val="18"/>
          <w:szCs w:val="18"/>
          <w:b w:val="1"/>
          <w:bCs w:val="1"/>
          <w:color w:val="auto"/>
        </w:rPr>
      </w:pPr>
    </w:p>
    <w:p>
      <w:pPr>
        <w:jc w:val="both"/>
        <w:ind w:right="600" w:firstLine="517"/>
        <w:spacing w:after="0" w:line="262" w:lineRule="auto"/>
        <w:tabs>
          <w:tab w:leader="none" w:pos="77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68"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immediately prior to the IPO Date, provided that this Plan is approved by the Company’s stockholders prior to the IPO</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8"/>
          <w:szCs w:val="18"/>
          <w:b w:val="1"/>
          <w:bCs w:val="1"/>
          <w:color w:val="auto"/>
        </w:rPr>
      </w:pPr>
    </w:p>
    <w:p>
      <w:pPr>
        <w:ind w:right="240" w:firstLine="517"/>
        <w:spacing w:after="0" w:line="286" w:lineRule="auto"/>
        <w:tabs>
          <w:tab w:leader="none" w:pos="804"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46"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Employer</w:t>
      </w:r>
      <w:r>
        <w:rPr>
          <w:rFonts w:ascii="Times New Roman" w:cs="Times New Roman" w:eastAsia="Times New Roman" w:hAnsi="Times New Roman"/>
          <w:sz w:val="18"/>
          <w:szCs w:val="18"/>
          <w:color w:val="auto"/>
        </w:rPr>
        <w:t>” means the Company or the Affiliate of the Company that employs the Participant.</w:t>
      </w:r>
    </w:p>
    <w:p>
      <w:pPr>
        <w:spacing w:after="0" w:line="117"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117" w:lineRule="exact"/>
        <w:rPr>
          <w:rFonts w:ascii="Times New Roman" w:cs="Times New Roman" w:eastAsia="Times New Roman" w:hAnsi="Times New Roman"/>
          <w:sz w:val="18"/>
          <w:szCs w:val="18"/>
          <w:b w:val="1"/>
          <w:bCs w:val="1"/>
          <w:color w:val="auto"/>
        </w:rPr>
      </w:pPr>
    </w:p>
    <w:p>
      <w:pPr>
        <w:ind w:left="760" w:hanging="243"/>
        <w:spacing w:after="0"/>
        <w:tabs>
          <w:tab w:leader="none" w:pos="760" w:val="left"/>
        </w:tabs>
        <w:numPr>
          <w:ilvl w:val="0"/>
          <w:numId w:val="1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158" w:lineRule="exact"/>
        <w:rPr>
          <w:sz w:val="20"/>
          <w:szCs w:val="20"/>
          <w:color w:val="auto"/>
        </w:rPr>
      </w:pPr>
    </w:p>
    <w:p>
      <w:pPr>
        <w:ind w:firstLine="517"/>
        <w:spacing w:after="0" w:line="256" w:lineRule="auto"/>
        <w:tabs>
          <w:tab w:leader="none" w:pos="85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74"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87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unless otherwise determined by the Board, the value of the Common Stock (as determined on a per share or aggregate basis, as applicable) determined as follows:</w:t>
      </w:r>
    </w:p>
    <w:p>
      <w:pPr>
        <w:spacing w:after="0" w:line="50" w:lineRule="exact"/>
        <w:rPr>
          <w:rFonts w:ascii="Times New Roman" w:cs="Times New Roman" w:eastAsia="Times New Roman" w:hAnsi="Times New Roman"/>
          <w:sz w:val="18"/>
          <w:szCs w:val="18"/>
          <w:b w:val="1"/>
          <w:bCs w:val="1"/>
          <w:color w:val="auto"/>
        </w:rPr>
      </w:pPr>
    </w:p>
    <w:p>
      <w:pPr>
        <w:ind w:right="100" w:firstLine="1154"/>
        <w:spacing w:after="0" w:line="266" w:lineRule="auto"/>
        <w:tabs>
          <w:tab w:leader="none" w:pos="1360"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67" w:lineRule="exact"/>
        <w:rPr>
          <w:rFonts w:ascii="Times New Roman" w:cs="Times New Roman" w:eastAsia="Times New Roman" w:hAnsi="Times New Roman"/>
          <w:sz w:val="18"/>
          <w:szCs w:val="18"/>
          <w:b w:val="1"/>
          <w:bCs w:val="1"/>
          <w:color w:val="auto"/>
        </w:rPr>
      </w:pPr>
    </w:p>
    <w:p>
      <w:pPr>
        <w:ind w:right="380" w:firstLine="1154"/>
        <w:spacing w:after="0" w:line="282" w:lineRule="auto"/>
        <w:tabs>
          <w:tab w:leader="none" w:pos="1410"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there is no closing sales price for the Common Stock on the date of determination, then the Fair Market Value will be the closing selling price on the last preceding date for which such quotation exists.</w:t>
      </w:r>
    </w:p>
    <w:p>
      <w:pPr>
        <w:spacing w:after="0" w:line="53" w:lineRule="exact"/>
        <w:rPr>
          <w:rFonts w:ascii="Times New Roman" w:cs="Times New Roman" w:eastAsia="Times New Roman" w:hAnsi="Times New Roman"/>
          <w:sz w:val="18"/>
          <w:szCs w:val="18"/>
          <w:b w:val="1"/>
          <w:bCs w:val="1"/>
          <w:color w:val="auto"/>
        </w:rPr>
      </w:pPr>
    </w:p>
    <w:p>
      <w:pPr>
        <w:ind w:right="680" w:firstLine="1154"/>
        <w:spacing w:after="0" w:line="282" w:lineRule="auto"/>
        <w:tabs>
          <w:tab w:leader="none" w:pos="1460" w:val="left"/>
        </w:tabs>
        <w:numPr>
          <w:ilvl w:val="1"/>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49" w:lineRule="exact"/>
        <w:rPr>
          <w:rFonts w:ascii="Times New Roman" w:cs="Times New Roman" w:eastAsia="Times New Roman" w:hAnsi="Times New Roman"/>
          <w:sz w:val="18"/>
          <w:szCs w:val="18"/>
          <w:b w:val="1"/>
          <w:bCs w:val="1"/>
          <w:color w:val="auto"/>
        </w:rPr>
      </w:pPr>
    </w:p>
    <w:p>
      <w:pPr>
        <w:ind w:right="20" w:firstLine="517"/>
        <w:spacing w:after="0" w:line="257" w:lineRule="auto"/>
        <w:tabs>
          <w:tab w:leader="none" w:pos="833"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Body</w:t>
      </w:r>
      <w:r>
        <w:rPr>
          <w:rFonts w:ascii="Times New Roman" w:cs="Times New Roman" w:eastAsia="Times New Roman" w:hAnsi="Times New Roman"/>
          <w:sz w:val="18"/>
          <w:szCs w:val="18"/>
          <w:color w:val="auto"/>
        </w:rPr>
        <w:t>” means any: (i) nation, state, commonwealth, province, territory, county, municipality, district or other jurisdiction of any nature; (ii) federal, state, local, municipal, foreign or other government; (iii) governmental or regulatory body, or quasi- 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74" w:lineRule="exact"/>
        <w:rPr>
          <w:rFonts w:ascii="Times New Roman" w:cs="Times New Roman" w:eastAsia="Times New Roman" w:hAnsi="Times New Roman"/>
          <w:sz w:val="18"/>
          <w:szCs w:val="18"/>
          <w:b w:val="1"/>
          <w:bCs w:val="1"/>
          <w:color w:val="auto"/>
        </w:rPr>
      </w:pPr>
    </w:p>
    <w:p>
      <w:pPr>
        <w:ind w:right="360" w:firstLine="517"/>
        <w:spacing w:after="0" w:line="286" w:lineRule="auto"/>
        <w:tabs>
          <w:tab w:leader="none" w:pos="874" w:val="left"/>
        </w:tabs>
        <w:numPr>
          <w:ilvl w:val="0"/>
          <w:numId w:val="1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means the notice provided to a Participant that he or she has been granted an Award under the Plan and which includes the name of the Participant, the type of Award, the date of grant of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number of shares of Common Stock subject to the Award or potential cash payment right, (if any), the vesting schedule for the Award (if any) and other key terms applicable to the Award.</w:t>
      </w:r>
    </w:p>
    <w:p>
      <w:pPr>
        <w:spacing w:after="0" w:line="50" w:lineRule="exact"/>
        <w:rPr>
          <w:sz w:val="20"/>
          <w:szCs w:val="20"/>
          <w:color w:val="auto"/>
        </w:rPr>
      </w:pPr>
    </w:p>
    <w:p>
      <w:pPr>
        <w:ind w:right="100" w:firstLine="517"/>
        <w:spacing w:after="0" w:line="286" w:lineRule="auto"/>
        <w:tabs>
          <w:tab w:leader="none" w:pos="833"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4 of the Plan that is intended to be, and qualifies as, an “incentive stock option” within the meaning of Section 422 of the Code.</w:t>
      </w:r>
    </w:p>
    <w:p>
      <w:pPr>
        <w:spacing w:after="0" w:line="87" w:lineRule="exact"/>
        <w:rPr>
          <w:rFonts w:ascii="Times New Roman" w:cs="Times New Roman" w:eastAsia="Times New Roman" w:hAnsi="Times New Roman"/>
          <w:sz w:val="18"/>
          <w:szCs w:val="18"/>
          <w:b w:val="1"/>
          <w:bCs w:val="1"/>
          <w:color w:val="auto"/>
        </w:rPr>
      </w:pPr>
    </w:p>
    <w:p>
      <w:pPr>
        <w:ind w:right="120" w:firstLine="517"/>
        <w:spacing w:after="0" w:line="286" w:lineRule="auto"/>
        <w:tabs>
          <w:tab w:leader="none" w:pos="79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IPO Date</w:t>
      </w:r>
      <w:r>
        <w:rPr>
          <w:rFonts w:ascii="Times New Roman" w:cs="Times New Roman" w:eastAsia="Times New Roman" w:hAnsi="Times New Roman"/>
          <w:sz w:val="18"/>
          <w:szCs w:val="18"/>
          <w:color w:val="auto"/>
        </w:rPr>
        <w:t>” means the date of the underwriting agreement between the Company and the underwriter(s) managing the initial public offering of the Common Stock, pursuant to which the Common Stock is priced for the initial public offering.</w:t>
      </w:r>
    </w:p>
    <w:p>
      <w:pPr>
        <w:spacing w:after="0" w:line="46" w:lineRule="exact"/>
        <w:rPr>
          <w:rFonts w:ascii="Times New Roman" w:cs="Times New Roman" w:eastAsia="Times New Roman" w:hAnsi="Times New Roman"/>
          <w:sz w:val="18"/>
          <w:szCs w:val="18"/>
          <w:b w:val="1"/>
          <w:bCs w:val="1"/>
          <w:color w:val="auto"/>
        </w:rPr>
      </w:pPr>
    </w:p>
    <w:p>
      <w:pPr>
        <w:ind w:right="100" w:firstLine="517"/>
        <w:spacing w:after="0" w:line="255" w:lineRule="auto"/>
        <w:tabs>
          <w:tab w:leader="none" w:pos="85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Materially Impair</w:t>
      </w:r>
      <w:r>
        <w:rPr>
          <w:rFonts w:ascii="Times New Roman" w:cs="Times New Roman" w:eastAsia="Times New Roman" w:hAnsi="Times New Roman"/>
          <w:sz w:val="18"/>
          <w:szCs w:val="18"/>
          <w:color w:val="auto"/>
        </w:rPr>
        <w:t>” means any amendment to the terms of the Award that materially adversely affects the Participant’s rights 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maintain the qualified status of the Award as an Incentive Stock Option under Section 422 of the Code; (iii) to change the terms of an Incentive Stock Option in a manner that disqualifies, impairs or otherwise affects the qualified status of the Award as an Incentive Stock Option under Section 422 of the Code; (iv) to clarify the manner of exemption from, or to bring the Award into compliance with or qualify it for an exemption from, Section 409A; or (v) to comply with other Applicable Laws.</w:t>
      </w:r>
    </w:p>
    <w:p>
      <w:pPr>
        <w:spacing w:after="0" w:line="76" w:lineRule="exact"/>
        <w:rPr>
          <w:rFonts w:ascii="Times New Roman" w:cs="Times New Roman" w:eastAsia="Times New Roman" w:hAnsi="Times New Roman"/>
          <w:sz w:val="18"/>
          <w:szCs w:val="18"/>
          <w:b w:val="1"/>
          <w:bCs w:val="1"/>
          <w:color w:val="auto"/>
        </w:rPr>
      </w:pPr>
    </w:p>
    <w:p>
      <w:pPr>
        <w:ind w:firstLine="517"/>
        <w:spacing w:after="0" w:line="257" w:lineRule="auto"/>
        <w:tabs>
          <w:tab w:leader="none" w:pos="87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74"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77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Award</w:t>
      </w:r>
      <w:r>
        <w:rPr>
          <w:rFonts w:ascii="Times New Roman" w:cs="Times New Roman" w:eastAsia="Times New Roman" w:hAnsi="Times New Roman"/>
          <w:sz w:val="18"/>
          <w:szCs w:val="18"/>
          <w:color w:val="auto"/>
        </w:rPr>
        <w:t>” means any Award that is subject to, and not exempt from, Section 409A, including as the result of (i) a deferral of the issuance of the shares subject to the Award which is elected by the Participant or imposed by the Company, or (ii) the terms of any Non-Exempt Severance Agreement.</w:t>
      </w:r>
    </w:p>
    <w:p>
      <w:pPr>
        <w:spacing w:after="0" w:line="62" w:lineRule="exact"/>
        <w:rPr>
          <w:rFonts w:ascii="Times New Roman" w:cs="Times New Roman" w:eastAsia="Times New Roman" w:hAnsi="Times New Roman"/>
          <w:sz w:val="18"/>
          <w:szCs w:val="18"/>
          <w:b w:val="1"/>
          <w:bCs w:val="1"/>
          <w:color w:val="auto"/>
        </w:rPr>
      </w:pPr>
    </w:p>
    <w:p>
      <w:pPr>
        <w:ind w:left="800" w:hanging="283"/>
        <w:spacing w:after="0"/>
        <w:tabs>
          <w:tab w:leader="none" w:pos="8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Non-Exempt Director Award</w:t>
      </w:r>
      <w:r>
        <w:rPr>
          <w:rFonts w:ascii="Times New Roman" w:cs="Times New Roman" w:eastAsia="Times New Roman" w:hAnsi="Times New Roman"/>
          <w:sz w:val="17"/>
          <w:szCs w:val="17"/>
          <w:color w:val="auto"/>
        </w:rPr>
        <w:t>” means a Non-Exempt Award granted to a Participant who was a Director but not an Employee on the applicable</w:t>
      </w:r>
    </w:p>
    <w:p>
      <w:pPr>
        <w:spacing w:after="0" w:line="42"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grant date.</w:t>
      </w:r>
    </w:p>
    <w:p>
      <w:pPr>
        <w:spacing w:after="0" w:line="94" w:lineRule="exact"/>
        <w:rPr>
          <w:rFonts w:ascii="Times New Roman" w:cs="Times New Roman" w:eastAsia="Times New Roman" w:hAnsi="Times New Roman"/>
          <w:sz w:val="17"/>
          <w:szCs w:val="17"/>
          <w:b w:val="1"/>
          <w:bCs w:val="1"/>
          <w:color w:val="auto"/>
        </w:rPr>
      </w:pPr>
    </w:p>
    <w:p>
      <w:pPr>
        <w:ind w:right="120" w:firstLine="517"/>
        <w:spacing w:after="0" w:line="259" w:lineRule="auto"/>
        <w:tabs>
          <w:tab w:leader="none" w:pos="87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Non-Exempt Severance Arrangement</w:t>
      </w:r>
      <w:r>
        <w:rPr>
          <w:rFonts w:ascii="Times New Roman" w:cs="Times New Roman" w:eastAsia="Times New Roman" w:hAnsi="Times New Roman"/>
          <w:sz w:val="18"/>
          <w:szCs w:val="18"/>
          <w:color w:val="auto"/>
        </w:rPr>
        <w:t>” means a severance arrangement or other agreement between the Participant and the 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8"/>
          <w:szCs w:val="18"/>
          <w:b w:val="1"/>
          <w:bCs w:val="1"/>
          <w:i w:val="1"/>
          <w:iCs w:val="1"/>
          <w:color w:val="auto"/>
        </w:rPr>
        <w:t>Separation from Service</w:t>
      </w:r>
      <w:r>
        <w:rPr>
          <w:rFonts w:ascii="Times New Roman" w:cs="Times New Roman" w:eastAsia="Times New Roman" w:hAnsi="Times New Roman"/>
          <w:sz w:val="18"/>
          <w:szCs w:val="18"/>
          <w:color w:val="auto"/>
        </w:rPr>
        <w:t>”) and such severance benefit does not satisfy the requirements for an exemption from application of Section 409A provided under Treasury Regulations Section 1.409A-1(b)(4), 1.409A-1(b)(9) or otherwise.</w:t>
      </w:r>
    </w:p>
    <w:p>
      <w:pPr>
        <w:spacing w:after="0" w:line="71"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4 of the Plan that does not qualify as an Incentive Stock Option.</w:t>
      </w:r>
    </w:p>
    <w:p>
      <w:pPr>
        <w:spacing w:after="0" w:line="15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117" w:lineRule="exact"/>
        <w:rPr>
          <w:rFonts w:ascii="Times New Roman" w:cs="Times New Roman" w:eastAsia="Times New Roman" w:hAnsi="Times New Roman"/>
          <w:sz w:val="18"/>
          <w:szCs w:val="18"/>
          <w:b w:val="1"/>
          <w:bCs w:val="1"/>
          <w:color w:val="auto"/>
        </w:rPr>
      </w:pPr>
    </w:p>
    <w:p>
      <w:pPr>
        <w:ind w:left="880" w:hanging="363"/>
        <w:spacing w:after="0"/>
        <w:tabs>
          <w:tab w:leader="none" w:pos="880"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 Plan.</w:t>
      </w:r>
    </w:p>
    <w:p>
      <w:pPr>
        <w:spacing w:after="0" w:line="117" w:lineRule="exact"/>
        <w:rPr>
          <w:rFonts w:ascii="Times New Roman" w:cs="Times New Roman" w:eastAsia="Times New Roman" w:hAnsi="Times New Roman"/>
          <w:sz w:val="18"/>
          <w:szCs w:val="18"/>
          <w:b w:val="1"/>
          <w:bCs w:val="1"/>
          <w:color w:val="auto"/>
        </w:rPr>
      </w:pPr>
    </w:p>
    <w:p>
      <w:pPr>
        <w:ind w:right="40" w:firstLine="517"/>
        <w:spacing w:after="0" w:line="262" w:lineRule="auto"/>
        <w:tabs>
          <w:tab w:leader="none" w:pos="854" w:val="left"/>
        </w:tabs>
        <w:numPr>
          <w:ilvl w:val="0"/>
          <w:numId w:val="1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3" w:name="page194"/>
    <w:bookmarkEnd w:id="193"/>
    <w:p>
      <w:pPr>
        <w:spacing w:after="0" w:line="82" w:lineRule="exact"/>
        <w:rPr>
          <w:sz w:val="20"/>
          <w:szCs w:val="20"/>
          <w:color w:val="auto"/>
        </w:rPr>
      </w:pPr>
    </w:p>
    <w:p>
      <w:pPr>
        <w:ind w:left="-517" w:right="820" w:firstLine="517"/>
        <w:spacing w:after="0" w:line="286" w:lineRule="auto"/>
        <w:tabs>
          <w:tab w:leader="none" w:pos="35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46" w:lineRule="exact"/>
        <w:rPr>
          <w:rFonts w:ascii="Times New Roman" w:cs="Times New Roman" w:eastAsia="Times New Roman" w:hAnsi="Times New Roman"/>
          <w:sz w:val="18"/>
          <w:szCs w:val="18"/>
          <w:b w:val="1"/>
          <w:bCs w:val="1"/>
          <w:color w:val="auto"/>
        </w:rPr>
      </w:pPr>
    </w:p>
    <w:p>
      <w:pPr>
        <w:jc w:val="both"/>
        <w:ind w:left="-517" w:right="140" w:firstLine="517"/>
        <w:spacing w:after="0" w:line="268" w:lineRule="auto"/>
        <w:tabs>
          <w:tab w:leader="none" w:pos="35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w:t>
      </w:r>
      <w:r>
        <w:rPr>
          <w:rFonts w:ascii="Times New Roman" w:cs="Times New Roman" w:eastAsia="Times New Roman" w:hAnsi="Times New Roman"/>
          <w:sz w:val="18"/>
          <w:szCs w:val="18"/>
          <w:color w:val="auto"/>
        </w:rPr>
        <w:t>” means an award valued in whole or in part by reference to, or otherwise based on, Common Stock, including the appreciation in value thereof (e.g., options or stock rights with an exercise price or strike price less than 100% of the Fair Market Value at the time of grant) that is not an Incentive Stock Option, Nonstatutory Stock Option, SAR, Restricted Stock Award, RSU Award or Performance Award.</w:t>
      </w:r>
    </w:p>
    <w:p>
      <w:pPr>
        <w:spacing w:after="0" w:line="62" w:lineRule="exact"/>
        <w:rPr>
          <w:rFonts w:ascii="Times New Roman" w:cs="Times New Roman" w:eastAsia="Times New Roman" w:hAnsi="Times New Roman"/>
          <w:sz w:val="18"/>
          <w:szCs w:val="18"/>
          <w:b w:val="1"/>
          <w:bCs w:val="1"/>
          <w:color w:val="auto"/>
        </w:rPr>
      </w:pPr>
    </w:p>
    <w:p>
      <w:pPr>
        <w:ind w:left="-517" w:right="380" w:firstLine="517"/>
        <w:spacing w:after="0" w:line="286" w:lineRule="auto"/>
        <w:tabs>
          <w:tab w:leader="none" w:pos="316"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Award Agreement</w:t>
      </w:r>
      <w:r>
        <w:rPr>
          <w:rFonts w:ascii="Times New Roman" w:cs="Times New Roman" w:eastAsia="Times New Roman" w:hAnsi="Times New Roman"/>
          <w:sz w:val="18"/>
          <w:szCs w:val="18"/>
          <w:color w:val="auto"/>
        </w:rPr>
        <w:t>” means a written or electronic agreement between the Company and a holder of an Other Award evidencing the terms and conditions of an Other Award grant. Each Other Award Agreement will be subject to the terms and conditions of the Plan.</w:t>
      </w:r>
    </w:p>
    <w:p>
      <w:pPr>
        <w:spacing w:after="0" w:line="46" w:lineRule="exact"/>
        <w:rPr>
          <w:rFonts w:ascii="Times New Roman" w:cs="Times New Roman" w:eastAsia="Times New Roman" w:hAnsi="Times New Roman"/>
          <w:sz w:val="18"/>
          <w:szCs w:val="18"/>
          <w:b w:val="1"/>
          <w:bCs w:val="1"/>
          <w:color w:val="auto"/>
        </w:rPr>
      </w:pPr>
    </w:p>
    <w:p>
      <w:pPr>
        <w:ind w:left="-517" w:firstLine="517"/>
        <w:spacing w:after="0" w:line="268" w:lineRule="auto"/>
        <w:tabs>
          <w:tab w:leader="none" w:pos="29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means that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62" w:lineRule="exact"/>
        <w:rPr>
          <w:rFonts w:ascii="Times New Roman" w:cs="Times New Roman" w:eastAsia="Times New Roman" w:hAnsi="Times New Roman"/>
          <w:sz w:val="18"/>
          <w:szCs w:val="18"/>
          <w:b w:val="1"/>
          <w:bCs w:val="1"/>
          <w:color w:val="auto"/>
        </w:rPr>
      </w:pPr>
    </w:p>
    <w:p>
      <w:pPr>
        <w:ind w:left="-517" w:right="40" w:firstLine="517"/>
        <w:spacing w:after="0" w:line="286" w:lineRule="auto"/>
        <w:tabs>
          <w:tab w:leader="none" w:pos="27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 Employee, Director or Consultant to whom an Award is granted pursuant to the Plan or, if applicable, such other person who holds an outstanding Award.</w:t>
      </w:r>
    </w:p>
    <w:p>
      <w:pPr>
        <w:spacing w:after="0" w:line="46" w:lineRule="exact"/>
        <w:rPr>
          <w:rFonts w:ascii="Times New Roman" w:cs="Times New Roman" w:eastAsia="Times New Roman" w:hAnsi="Times New Roman"/>
          <w:sz w:val="18"/>
          <w:szCs w:val="18"/>
          <w:b w:val="1"/>
          <w:bCs w:val="1"/>
          <w:color w:val="auto"/>
        </w:rPr>
      </w:pPr>
    </w:p>
    <w:p>
      <w:pPr>
        <w:ind w:left="-517" w:right="100" w:firstLine="517"/>
        <w:spacing w:after="0" w:line="259" w:lineRule="auto"/>
        <w:tabs>
          <w:tab w:leader="none" w:pos="35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Award</w:t>
      </w:r>
      <w:r>
        <w:rPr>
          <w:rFonts w:ascii="Times New Roman" w:cs="Times New Roman" w:eastAsia="Times New Roman" w:hAnsi="Times New Roman"/>
          <w:sz w:val="18"/>
          <w:szCs w:val="18"/>
          <w:color w:val="auto"/>
        </w:rPr>
        <w:t>” means an Award that may vest or may be exercised or a cash award that may vest or become earned and 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71" w:lineRule="exact"/>
        <w:rPr>
          <w:rFonts w:ascii="Times New Roman" w:cs="Times New Roman" w:eastAsia="Times New Roman" w:hAnsi="Times New Roman"/>
          <w:sz w:val="18"/>
          <w:szCs w:val="18"/>
          <w:b w:val="1"/>
          <w:bCs w:val="1"/>
          <w:color w:val="auto"/>
        </w:rPr>
      </w:pPr>
    </w:p>
    <w:p>
      <w:pPr>
        <w:ind w:left="-517" w:firstLine="517"/>
        <w:spacing w:after="0" w:line="252" w:lineRule="auto"/>
        <w:tabs>
          <w:tab w:leader="none" w:pos="33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one or more criteria that the Board will select for purposes of establishing the Performance 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 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 performance goals; corporate development and planning goals; and other measures of performance selected by the Board or Committee whether or not listed herein.</w:t>
      </w:r>
    </w:p>
    <w:p>
      <w:pPr>
        <w:spacing w:after="0" w:line="86" w:lineRule="exact"/>
        <w:rPr>
          <w:rFonts w:ascii="Times New Roman" w:cs="Times New Roman" w:eastAsia="Times New Roman" w:hAnsi="Times New Roman"/>
          <w:sz w:val="18"/>
          <w:szCs w:val="18"/>
          <w:b w:val="1"/>
          <w:bCs w:val="1"/>
          <w:color w:val="auto"/>
        </w:rPr>
      </w:pPr>
    </w:p>
    <w:p>
      <w:pPr>
        <w:ind w:left="-517" w:right="60" w:firstLine="517"/>
        <w:spacing w:after="0" w:line="256" w:lineRule="auto"/>
        <w:tabs>
          <w:tab w:leader="none" w:pos="417"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871855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440" w:right="359" w:bottom="1440" w:gutter="0" w:footer="0" w:header="0"/>
        </w:sectPr>
      </w:pPr>
    </w:p>
    <w:bookmarkStart w:id="194" w:name="page195"/>
    <w:bookmarkEnd w:id="194"/>
    <w:p>
      <w:pPr>
        <w:spacing w:after="0" w:line="8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 or the written terms of a Performance Cash Award.</w:t>
      </w:r>
    </w:p>
    <w:p>
      <w:pPr>
        <w:spacing w:after="0" w:line="85" w:lineRule="exact"/>
        <w:rPr>
          <w:sz w:val="20"/>
          <w:szCs w:val="20"/>
          <w:color w:val="auto"/>
        </w:rPr>
      </w:pPr>
    </w:p>
    <w:p>
      <w:pPr>
        <w:ind w:right="120" w:firstLine="517"/>
        <w:spacing w:after="0" w:line="268" w:lineRule="auto"/>
        <w:tabs>
          <w:tab w:leader="none" w:pos="854"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vesting or exercise of an Award. Performance Periods may be of varying and overlapping duration, at the sole discretion of the Board.</w:t>
      </w:r>
    </w:p>
    <w:p>
      <w:pPr>
        <w:spacing w:after="0" w:line="62"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Invivyd, Inc. 2021 Equity Incentive Plan, as amended from time to time.</w:t>
      </w:r>
    </w:p>
    <w:p>
      <w:pPr>
        <w:spacing w:after="0" w:line="117" w:lineRule="exact"/>
        <w:rPr>
          <w:rFonts w:ascii="Times New Roman" w:cs="Times New Roman" w:eastAsia="Times New Roman" w:hAnsi="Times New Roman"/>
          <w:sz w:val="18"/>
          <w:szCs w:val="18"/>
          <w:b w:val="1"/>
          <w:bCs w:val="1"/>
          <w:color w:val="auto"/>
        </w:rPr>
      </w:pPr>
    </w:p>
    <w:p>
      <w:pPr>
        <w:ind w:right="380" w:firstLine="517"/>
        <w:spacing w:after="0" w:line="286" w:lineRule="auto"/>
        <w:tabs>
          <w:tab w:leader="none" w:pos="833"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 Administrator</w:t>
      </w:r>
      <w:r>
        <w:rPr>
          <w:rFonts w:ascii="Times New Roman" w:cs="Times New Roman" w:eastAsia="Times New Roman" w:hAnsi="Times New Roman"/>
          <w:sz w:val="18"/>
          <w:szCs w:val="18"/>
          <w:color w:val="auto"/>
        </w:rPr>
        <w:t>” means the person, persons, and/or third-party administrator designated by the Company to administer the day to day operations of the Plan and the Company’s other equity incentive programs.</w:t>
      </w:r>
    </w:p>
    <w:p>
      <w:pPr>
        <w:spacing w:after="0" w:line="47" w:lineRule="exact"/>
        <w:rPr>
          <w:sz w:val="20"/>
          <w:szCs w:val="20"/>
          <w:color w:val="auto"/>
        </w:rPr>
      </w:pPr>
    </w:p>
    <w:p>
      <w:pPr>
        <w:ind w:firstLine="517"/>
        <w:spacing w:after="0" w:line="286" w:lineRule="auto"/>
        <w:tabs>
          <w:tab w:leader="none" w:pos="94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Post-Termination Exercise Period</w:t>
      </w:r>
      <w:r>
        <w:rPr>
          <w:rFonts w:ascii="Times New Roman" w:cs="Times New Roman" w:eastAsia="Times New Roman" w:hAnsi="Times New Roman"/>
          <w:sz w:val="18"/>
          <w:szCs w:val="18"/>
          <w:color w:val="auto"/>
        </w:rPr>
        <w:t>” means the period following termination of a Participant’s Continuous Service within which an Option or SAR is exercisable, as specified in Section 4(h).</w:t>
      </w:r>
    </w:p>
    <w:p>
      <w:pPr>
        <w:spacing w:after="0" w:line="46"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Plan’s Available Reserve</w:t>
      </w:r>
      <w:r>
        <w:rPr>
          <w:rFonts w:ascii="Times New Roman" w:cs="Times New Roman" w:eastAsia="Times New Roman" w:hAnsi="Times New Roman"/>
          <w:sz w:val="18"/>
          <w:szCs w:val="18"/>
          <w:color w:val="auto"/>
        </w:rPr>
        <w:t>” means the number of shares available for the grant of new awards under the Prior Plan as of the Effective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Date.</w:t>
      </w:r>
    </w:p>
    <w:p>
      <w:pPr>
        <w:spacing w:after="0" w:line="94" w:lineRule="exact"/>
        <w:rPr>
          <w:rFonts w:ascii="Times New Roman" w:cs="Times New Roman" w:eastAsia="Times New Roman" w:hAnsi="Times New Roman"/>
          <w:sz w:val="18"/>
          <w:szCs w:val="18"/>
          <w:b w:val="1"/>
          <w:bCs w:val="1"/>
          <w:color w:val="auto"/>
        </w:rPr>
      </w:pPr>
    </w:p>
    <w:p>
      <w:pPr>
        <w:ind w:left="920" w:hanging="403"/>
        <w:spacing w:after="0"/>
        <w:tabs>
          <w:tab w:leader="none" w:pos="92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Plan</w:t>
      </w:r>
      <w:r>
        <w:rPr>
          <w:rFonts w:ascii="Times New Roman" w:cs="Times New Roman" w:eastAsia="Times New Roman" w:hAnsi="Times New Roman"/>
          <w:sz w:val="18"/>
          <w:szCs w:val="18"/>
          <w:color w:val="auto"/>
        </w:rPr>
        <w:t>” means the Invivyd, Inc. 2020 Equity Incentive Plan.</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RSA</w:t>
      </w:r>
      <w:r>
        <w:rPr>
          <w:rFonts w:ascii="Times New Roman" w:cs="Times New Roman" w:eastAsia="Times New Roman" w:hAnsi="Times New Roman"/>
          <w:sz w:val="18"/>
          <w:szCs w:val="18"/>
          <w:color w:val="auto"/>
        </w:rPr>
        <w:t>” means an Award of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w:t>
      </w:r>
    </w:p>
    <w:p>
      <w:pPr>
        <w:spacing w:after="0" w:line="94" w:lineRule="exact"/>
        <w:rPr>
          <w:rFonts w:ascii="Times New Roman" w:cs="Times New Roman" w:eastAsia="Times New Roman" w:hAnsi="Times New Roman"/>
          <w:sz w:val="18"/>
          <w:szCs w:val="18"/>
          <w:b w:val="1"/>
          <w:bCs w:val="1"/>
          <w:color w:val="auto"/>
        </w:rPr>
      </w:pPr>
    </w:p>
    <w:p>
      <w:pPr>
        <w:ind w:right="200" w:firstLine="517"/>
        <w:spacing w:after="0" w:line="259" w:lineRule="auto"/>
        <w:tabs>
          <w:tab w:leader="none" w:pos="913"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or electronic agreement between the Company and a holder of a Restricted Stock Award evidencing the terms and conditions of a 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71" w:lineRule="exact"/>
        <w:rPr>
          <w:rFonts w:ascii="Times New Roman" w:cs="Times New Roman" w:eastAsia="Times New Roman" w:hAnsi="Times New Roman"/>
          <w:sz w:val="18"/>
          <w:szCs w:val="18"/>
          <w:b w:val="1"/>
          <w:bCs w:val="1"/>
          <w:color w:val="auto"/>
        </w:rPr>
      </w:pPr>
    </w:p>
    <w:p>
      <w:pPr>
        <w:ind w:right="140" w:firstLine="517"/>
        <w:spacing w:after="0" w:line="259" w:lineRule="auto"/>
        <w:tabs>
          <w:tab w:leader="none" w:pos="853"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means shares subject to outstanding stock awards granted under the Prior Plan and that following the Effective Date: (A) are not issued because such stock award or any portion thereof expires or otherwise terminates without all of the shares covered by such stock award having been issued; (B) are not issued because such stock award or any portion thereof is settled in cash; (C) are forfeited back to or repurchased by the Company because of the failure to meet a contingency or condition required for the vesting of such shares; (D) are withheld or reacquired to satisfy the exercise, strike or purchase price; or (E) are withheld or reacquired to satisfy a tax withholding obligation.</w:t>
      </w:r>
    </w:p>
    <w:p>
      <w:pPr>
        <w:spacing w:after="0" w:line="111" w:lineRule="exact"/>
        <w:rPr>
          <w:rFonts w:ascii="Times New Roman" w:cs="Times New Roman" w:eastAsia="Times New Roman" w:hAnsi="Times New Roman"/>
          <w:sz w:val="18"/>
          <w:szCs w:val="18"/>
          <w:b w:val="1"/>
          <w:bCs w:val="1"/>
          <w:color w:val="auto"/>
        </w:rPr>
      </w:pPr>
    </w:p>
    <w:p>
      <w:pPr>
        <w:ind w:right="240" w:firstLine="517"/>
        <w:spacing w:after="0" w:line="286" w:lineRule="auto"/>
        <w:tabs>
          <w:tab w:leader="none" w:pos="94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RSU</w:t>
      </w:r>
      <w:r>
        <w:rPr>
          <w:rFonts w:ascii="Times New Roman" w:cs="Times New Roman" w:eastAsia="Times New Roman" w:hAnsi="Times New Roman"/>
          <w:sz w:val="18"/>
          <w:szCs w:val="18"/>
          <w:color w:val="auto"/>
        </w:rPr>
        <w:t>” means an Award of restricted stock units representing the right to receive an issuance of shares of Common Stock which is granted pursuant to the terms and conditions of Section 5(a).</w:t>
      </w:r>
    </w:p>
    <w:p>
      <w:pPr>
        <w:spacing w:after="0" w:line="46" w:lineRule="exact"/>
        <w:rPr>
          <w:rFonts w:ascii="Times New Roman" w:cs="Times New Roman" w:eastAsia="Times New Roman" w:hAnsi="Times New Roman"/>
          <w:sz w:val="18"/>
          <w:szCs w:val="18"/>
          <w:b w:val="1"/>
          <w:bCs w:val="1"/>
          <w:color w:val="auto"/>
        </w:rPr>
      </w:pPr>
    </w:p>
    <w:p>
      <w:pPr>
        <w:ind w:right="40" w:firstLine="517"/>
        <w:spacing w:after="0" w:line="268" w:lineRule="auto"/>
        <w:tabs>
          <w:tab w:leader="none" w:pos="974" w:val="left"/>
        </w:tabs>
        <w:numPr>
          <w:ilvl w:val="0"/>
          <w:numId w:val="1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means a written or electronic agreement between the Company and a holder of an RSU Award evidencing the terms and conditions of an RSU Award grant. The RSU Award Agreement includes the Grant Notice for the RSU Award and the agreement containing the written summary of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5" w:name="page196"/>
    <w:bookmarkEnd w:id="195"/>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and conditions applicable to the RSU Award and which is provided, including by electronic means, to a Participant along with the Grant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RSU Award Agreement will be subject to the terms and conditions of the Plan.</w:t>
      </w:r>
    </w:p>
    <w:p>
      <w:pPr>
        <w:spacing w:after="0" w:line="95" w:lineRule="exact"/>
        <w:rPr>
          <w:sz w:val="20"/>
          <w:szCs w:val="20"/>
          <w:color w:val="auto"/>
        </w:rPr>
      </w:pPr>
    </w:p>
    <w:p>
      <w:pPr>
        <w:ind w:left="840" w:hanging="323"/>
        <w:spacing w:after="0"/>
        <w:tabs>
          <w:tab w:leader="none" w:pos="8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117" w:lineRule="exact"/>
        <w:rPr>
          <w:rFonts w:ascii="Times New Roman" w:cs="Times New Roman" w:eastAsia="Times New Roman" w:hAnsi="Times New Roman"/>
          <w:sz w:val="18"/>
          <w:szCs w:val="18"/>
          <w:b w:val="1"/>
          <w:bCs w:val="1"/>
          <w:color w:val="auto"/>
        </w:rPr>
      </w:pPr>
    </w:p>
    <w:p>
      <w:pPr>
        <w:ind w:left="860" w:hanging="343"/>
        <w:spacing w:after="0"/>
        <w:tabs>
          <w:tab w:leader="none" w:pos="86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the regulations and other guidance thereunder.</w:t>
      </w:r>
    </w:p>
    <w:p>
      <w:pPr>
        <w:spacing w:after="0" w:line="117"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82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means a change in the ownership or effective control of the Company, or in the ownership of a substantial portion of the Company’s assets, as provided in Section 409A(a)(2)(A)(v) of the Code and Treasury Regulations Section 1.409A- 3(i)(5) (without regard to any alternative definition thereunder).</w:t>
      </w:r>
    </w:p>
    <w:p>
      <w:pPr>
        <w:spacing w:after="0" w:line="62" w:lineRule="exact"/>
        <w:rPr>
          <w:rFonts w:ascii="Times New Roman" w:cs="Times New Roman" w:eastAsia="Times New Roman" w:hAnsi="Times New Roman"/>
          <w:sz w:val="18"/>
          <w:szCs w:val="18"/>
          <w:b w:val="1"/>
          <w:bCs w:val="1"/>
          <w:color w:val="auto"/>
        </w:rPr>
      </w:pPr>
    </w:p>
    <w:p>
      <w:pPr>
        <w:ind w:left="1140" w:hanging="623"/>
        <w:spacing w:after="0"/>
        <w:tabs>
          <w:tab w:leader="none" w:pos="114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117" w:lineRule="exact"/>
        <w:rPr>
          <w:rFonts w:ascii="Times New Roman" w:cs="Times New Roman" w:eastAsia="Times New Roman" w:hAnsi="Times New Roman"/>
          <w:sz w:val="18"/>
          <w:szCs w:val="18"/>
          <w:b w:val="1"/>
          <w:bCs w:val="1"/>
          <w:color w:val="auto"/>
        </w:rPr>
      </w:pPr>
    </w:p>
    <w:p>
      <w:pPr>
        <w:ind w:left="980" w:hanging="463"/>
        <w:spacing w:after="0"/>
        <w:tabs>
          <w:tab w:leader="none" w:pos="980"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 means the number of shares available for issuance under the Plan as set forth in Section 2(a).</w:t>
      </w:r>
    </w:p>
    <w:p>
      <w:pPr>
        <w:spacing w:after="0" w:line="117" w:lineRule="exact"/>
        <w:rPr>
          <w:rFonts w:ascii="Times New Roman" w:cs="Times New Roman" w:eastAsia="Times New Roman" w:hAnsi="Times New Roman"/>
          <w:sz w:val="18"/>
          <w:szCs w:val="18"/>
          <w:b w:val="1"/>
          <w:bCs w:val="1"/>
          <w:color w:val="auto"/>
        </w:rPr>
      </w:pPr>
    </w:p>
    <w:p>
      <w:pPr>
        <w:ind w:right="220" w:firstLine="517"/>
        <w:spacing w:after="0" w:line="286" w:lineRule="auto"/>
        <w:tabs>
          <w:tab w:leader="none" w:pos="94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4.</w:t>
      </w:r>
    </w:p>
    <w:p>
      <w:pPr>
        <w:spacing w:after="0" w:line="46" w:lineRule="exact"/>
        <w:rPr>
          <w:rFonts w:ascii="Times New Roman" w:cs="Times New Roman" w:eastAsia="Times New Roman" w:hAnsi="Times New Roman"/>
          <w:sz w:val="18"/>
          <w:szCs w:val="18"/>
          <w:b w:val="1"/>
          <w:bCs w:val="1"/>
          <w:color w:val="auto"/>
        </w:rPr>
      </w:pPr>
    </w:p>
    <w:p>
      <w:pPr>
        <w:ind w:right="20" w:firstLine="517"/>
        <w:spacing w:after="0" w:line="262" w:lineRule="auto"/>
        <w:tabs>
          <w:tab w:leader="none" w:pos="97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SAR Agreement</w:t>
      </w:r>
      <w:r>
        <w:rPr>
          <w:rFonts w:ascii="Times New Roman" w:cs="Times New Roman" w:eastAsia="Times New Roman" w:hAnsi="Times New Roman"/>
          <w:sz w:val="18"/>
          <w:szCs w:val="18"/>
          <w:color w:val="auto"/>
        </w:rPr>
        <w:t>” means a written or electronic agreement between the Company and a holder of a SAR evidencing the terms 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68" w:lineRule="exact"/>
        <w:rPr>
          <w:rFonts w:ascii="Times New Roman" w:cs="Times New Roman" w:eastAsia="Times New Roman" w:hAnsi="Times New Roman"/>
          <w:sz w:val="18"/>
          <w:szCs w:val="18"/>
          <w:b w:val="1"/>
          <w:bCs w:val="1"/>
          <w:color w:val="auto"/>
        </w:rPr>
      </w:pPr>
    </w:p>
    <w:p>
      <w:pPr>
        <w:ind w:right="120" w:firstLine="517"/>
        <w:spacing w:after="0" w:line="259" w:lineRule="auto"/>
        <w:tabs>
          <w:tab w:leader="none" w:pos="97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11" w:lineRule="exact"/>
        <w:rPr>
          <w:rFonts w:ascii="Times New Roman" w:cs="Times New Roman" w:eastAsia="Times New Roman" w:hAnsi="Times New Roman"/>
          <w:sz w:val="18"/>
          <w:szCs w:val="18"/>
          <w:b w:val="1"/>
          <w:bCs w:val="1"/>
          <w:color w:val="auto"/>
        </w:rPr>
      </w:pPr>
    </w:p>
    <w:p>
      <w:pPr>
        <w:ind w:right="160" w:firstLine="517"/>
        <w:spacing w:after="0" w:line="286" w:lineRule="auto"/>
        <w:tabs>
          <w:tab w:leader="none" w:pos="913"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46" w:lineRule="exact"/>
        <w:rPr>
          <w:rFonts w:ascii="Times New Roman" w:cs="Times New Roman" w:eastAsia="Times New Roman" w:hAnsi="Times New Roman"/>
          <w:sz w:val="18"/>
          <w:szCs w:val="18"/>
          <w:b w:val="1"/>
          <w:bCs w:val="1"/>
          <w:color w:val="auto"/>
        </w:rPr>
      </w:pPr>
    </w:p>
    <w:p>
      <w:pPr>
        <w:ind w:right="260" w:firstLine="517"/>
        <w:spacing w:after="0" w:line="286" w:lineRule="auto"/>
        <w:tabs>
          <w:tab w:leader="none" w:pos="88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Trading Policy</w:t>
      </w:r>
      <w:r>
        <w:rPr>
          <w:rFonts w:ascii="Times New Roman" w:cs="Times New Roman" w:eastAsia="Times New Roman" w:hAnsi="Times New Roman"/>
          <w:sz w:val="18"/>
          <w:szCs w:val="18"/>
          <w:color w:val="auto"/>
        </w:rPr>
        <w:t>” means the Company’s policy permitting certain individuals to sell Company shares only during certain “window” periods and/or otherwise restricts the ability of certain individuals to transfer or encumber Company shares, as in effect from time to time.</w:t>
      </w:r>
    </w:p>
    <w:p>
      <w:pPr>
        <w:spacing w:after="0" w:line="46" w:lineRule="exact"/>
        <w:rPr>
          <w:rFonts w:ascii="Times New Roman" w:cs="Times New Roman" w:eastAsia="Times New Roman" w:hAnsi="Times New Roman"/>
          <w:sz w:val="18"/>
          <w:szCs w:val="18"/>
          <w:b w:val="1"/>
          <w:bCs w:val="1"/>
          <w:color w:val="auto"/>
        </w:rPr>
      </w:pPr>
    </w:p>
    <w:p>
      <w:pPr>
        <w:ind w:firstLine="517"/>
        <w:spacing w:after="0" w:line="286" w:lineRule="auto"/>
        <w:tabs>
          <w:tab w:leader="none" w:pos="853"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Unvested Non-Exempt Award</w:t>
      </w:r>
      <w:r>
        <w:rPr>
          <w:rFonts w:ascii="Times New Roman" w:cs="Times New Roman" w:eastAsia="Times New Roman" w:hAnsi="Times New Roman"/>
          <w:sz w:val="18"/>
          <w:szCs w:val="18"/>
          <w:color w:val="auto"/>
        </w:rPr>
        <w:t>” means the portion of any Non-Exempt Award that had not vested in accordance with its terms upon or prior to the date of any Corporate Transaction.</w:t>
      </w:r>
    </w:p>
    <w:p>
      <w:pPr>
        <w:spacing w:after="0" w:line="46" w:lineRule="exact"/>
        <w:rPr>
          <w:rFonts w:ascii="Times New Roman" w:cs="Times New Roman" w:eastAsia="Times New Roman" w:hAnsi="Times New Roman"/>
          <w:sz w:val="18"/>
          <w:szCs w:val="18"/>
          <w:b w:val="1"/>
          <w:bCs w:val="1"/>
          <w:color w:val="auto"/>
        </w:rPr>
      </w:pPr>
    </w:p>
    <w:p>
      <w:pPr>
        <w:ind w:right="80" w:firstLine="517"/>
        <w:spacing w:after="0" w:line="286" w:lineRule="auto"/>
        <w:tabs>
          <w:tab w:leader="none" w:pos="974" w:val="left"/>
        </w:tabs>
        <w:numPr>
          <w:ilvl w:val="0"/>
          <w:numId w:val="1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Vested Non-Exempt Award</w:t>
      </w:r>
      <w:r>
        <w:rPr>
          <w:rFonts w:ascii="Times New Roman" w:cs="Times New Roman" w:eastAsia="Times New Roman" w:hAnsi="Times New Roman"/>
          <w:sz w:val="18"/>
          <w:szCs w:val="18"/>
          <w:color w:val="auto"/>
        </w:rPr>
        <w:t>” means the portion of any Non-Exempt Award that had vested in accordance with its terms 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6" w:name="page197"/>
    <w:bookmarkEnd w:id="19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2"/>
          <w:szCs w:val="12"/>
          <w:b w:val="1"/>
          <w:bCs w:val="1"/>
          <w:color w:val="auto"/>
        </w:rPr>
        <w:t>o</w:t>
      </w:r>
      <w:r>
        <w:rPr>
          <w:rFonts w:ascii="Times New Roman" w:cs="Times New Roman" w:eastAsia="Times New Roman" w:hAnsi="Times New Roman"/>
          <w:sz w:val="18"/>
          <w:szCs w:val="18"/>
          <w:b w:val="1"/>
          <w:bCs w:val="1"/>
          <w:color w:val="auto"/>
        </w:rPr>
        <w:t xml:space="preserve">. 1 </w:t>
      </w:r>
      <w:r>
        <w:rPr>
          <w:rFonts w:ascii="Times New Roman" w:cs="Times New Roman" w:eastAsia="Times New Roman" w:hAnsi="Times New Roman"/>
          <w:sz w:val="12"/>
          <w:szCs w:val="12"/>
          <w:b w:val="1"/>
          <w:bCs w:val="1"/>
          <w:color w:val="auto"/>
        </w:rPr>
        <w:t>to</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ompensation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ommittee</w:t>
      </w:r>
      <w:r>
        <w:rPr>
          <w:rFonts w:ascii="Times New Roman" w:cs="Times New Roman" w:eastAsia="Times New Roman" w:hAnsi="Times New Roman"/>
          <w:sz w:val="18"/>
          <w:szCs w:val="18"/>
          <w:b w:val="1"/>
          <w:bCs w:val="1"/>
          <w:color w:val="auto"/>
        </w:rPr>
        <w:t>: D</w:t>
      </w:r>
      <w:r>
        <w:rPr>
          <w:rFonts w:ascii="Times New Roman" w:cs="Times New Roman" w:eastAsia="Times New Roman" w:hAnsi="Times New Roman"/>
          <w:sz w:val="12"/>
          <w:szCs w:val="12"/>
          <w:b w:val="1"/>
          <w:bCs w:val="1"/>
          <w:color w:val="auto"/>
        </w:rPr>
        <w:t>ecember</w:t>
      </w:r>
      <w:r>
        <w:rPr>
          <w:rFonts w:ascii="Times New Roman" w:cs="Times New Roman" w:eastAsia="Times New Roman" w:hAnsi="Times New Roman"/>
          <w:sz w:val="18"/>
          <w:szCs w:val="18"/>
          <w:b w:val="1"/>
          <w:bCs w:val="1"/>
          <w:color w:val="auto"/>
        </w:rPr>
        <w:t xml:space="preserve"> 12, 2024</w:t>
      </w:r>
    </w:p>
    <w:p>
      <w:pPr>
        <w:spacing w:after="0" w:line="200" w:lineRule="exact"/>
        <w:rPr>
          <w:sz w:val="20"/>
          <w:szCs w:val="20"/>
          <w:color w:val="auto"/>
        </w:rPr>
      </w:pPr>
    </w:p>
    <w:p>
      <w:pPr>
        <w:spacing w:after="0" w:line="241" w:lineRule="exact"/>
        <w:rPr>
          <w:sz w:val="20"/>
          <w:szCs w:val="20"/>
          <w:color w:val="auto"/>
        </w:rPr>
      </w:pPr>
    </w:p>
    <w:p>
      <w:pPr>
        <w:ind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FIRST AMENDMENT </w:t>
      </w:r>
      <w:r>
        <w:rPr>
          <w:rFonts w:ascii="Times New Roman" w:cs="Times New Roman" w:eastAsia="Times New Roman" w:hAnsi="Times New Roman"/>
          <w:sz w:val="18"/>
          <w:szCs w:val="18"/>
          <w:color w:val="auto"/>
        </w:rPr>
        <w:t>(this “</w:t>
      </w:r>
      <w:r>
        <w:rPr>
          <w:rFonts w:ascii="Times New Roman" w:cs="Times New Roman" w:eastAsia="Times New Roman" w:hAnsi="Times New Roman"/>
          <w:sz w:val="18"/>
          <w:szCs w:val="18"/>
          <w:b w:val="1"/>
          <w:bCs w:val="1"/>
          <w:i w:val="1"/>
          <w:iCs w:val="1"/>
          <w:color w:val="auto"/>
        </w:rPr>
        <w:t>First Amendment</w:t>
      </w:r>
      <w:r>
        <w:rPr>
          <w:rFonts w:ascii="Times New Roman" w:cs="Times New Roman" w:eastAsia="Times New Roman" w:hAnsi="Times New Roman"/>
          <w:sz w:val="18"/>
          <w:szCs w:val="18"/>
          <w:color w:val="auto"/>
        </w:rPr>
        <w:t>”) to the Invivyd, Inc.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is dated as of December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2024 (the “</w:t>
      </w:r>
      <w:r>
        <w:rPr>
          <w:rFonts w:ascii="Times New Roman" w:cs="Times New Roman" w:eastAsia="Times New Roman" w:hAnsi="Times New Roman"/>
          <w:sz w:val="18"/>
          <w:szCs w:val="18"/>
          <w:b w:val="1"/>
          <w:bCs w:val="1"/>
          <w:i w:val="1"/>
          <w:iCs w:val="1"/>
          <w:color w:val="auto"/>
        </w:rPr>
        <w:t>Amendment Effective Date</w:t>
      </w:r>
      <w:r>
        <w:rPr>
          <w:rFonts w:ascii="Times New Roman" w:cs="Times New Roman" w:eastAsia="Times New Roman" w:hAnsi="Times New Roman"/>
          <w:sz w:val="18"/>
          <w:szCs w:val="18"/>
          <w:color w:val="auto"/>
        </w:rPr>
        <w:t>”).</w:t>
      </w:r>
    </w:p>
    <w:p>
      <w:pPr>
        <w:spacing w:after="0" w:line="371" w:lineRule="exact"/>
        <w:rPr>
          <w:sz w:val="20"/>
          <w:szCs w:val="20"/>
          <w:color w:val="auto"/>
        </w:rPr>
      </w:pPr>
    </w:p>
    <w:p>
      <w:pPr>
        <w:ind w:left="900" w:right="380" w:hanging="383"/>
        <w:spacing w:after="0" w:line="286"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Shares Subject to the Plan</w:t>
      </w:r>
      <w:r>
        <w:rPr>
          <w:rFonts w:ascii="Times New Roman" w:cs="Times New Roman" w:eastAsia="Times New Roman" w:hAnsi="Times New Roman"/>
          <w:sz w:val="18"/>
          <w:szCs w:val="18"/>
          <w:color w:val="auto"/>
        </w:rPr>
        <w:t>. The aggregate number of shares of Common Stock that may be issued pursuant to Awards under the Plan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decreased by eight million (8,000,000) shares of Common Stock.</w:t>
      </w:r>
    </w:p>
    <w:p>
      <w:pPr>
        <w:spacing w:after="0" w:line="154" w:lineRule="exact"/>
        <w:rPr>
          <w:rFonts w:ascii="Times New Roman" w:cs="Times New Roman" w:eastAsia="Times New Roman" w:hAnsi="Times New Roman"/>
          <w:sz w:val="18"/>
          <w:szCs w:val="18"/>
          <w:color w:val="auto"/>
        </w:rPr>
      </w:pPr>
    </w:p>
    <w:p>
      <w:pPr>
        <w:ind w:left="900" w:right="160" w:hanging="383"/>
        <w:spacing w:after="0" w:line="286"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Effective Date</w:t>
      </w:r>
      <w:r>
        <w:rPr>
          <w:rFonts w:ascii="Times New Roman" w:cs="Times New Roman" w:eastAsia="Times New Roman" w:hAnsi="Times New Roman"/>
          <w:sz w:val="18"/>
          <w:szCs w:val="18"/>
          <w:color w:val="auto"/>
        </w:rPr>
        <w:t>. This First Amendment shall become effective as of the Amendment Effective Date. Except as expressly set forth herein,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remain in full force and effect in accordance with its terms.</w:t>
      </w:r>
    </w:p>
    <w:p>
      <w:pPr>
        <w:spacing w:after="0" w:line="200" w:lineRule="exact"/>
        <w:rPr>
          <w:sz w:val="20"/>
          <w:szCs w:val="20"/>
          <w:color w:val="auto"/>
        </w:rPr>
      </w:pPr>
    </w:p>
    <w:p>
      <w:pPr>
        <w:spacing w:after="0" w:line="38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End of Document</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1034415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18"/>
          <w:szCs w:val="18"/>
          <w:b w:val="1"/>
          <w:bCs w:val="1"/>
          <w:color w:val="auto"/>
        </w:rPr>
        <w:t>.</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 xml:space="preserve">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53"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137160</wp:posOffset>
            </wp:positionV>
            <wp:extent cx="17056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10">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137160</wp:posOffset>
            </wp:positionV>
            <wp:extent cx="170561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1">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137160</wp:posOffset>
            </wp:positionV>
            <wp:extent cx="170561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2">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Number of Shares of Common Stock</w:t>
      </w:r>
    </w:p>
    <w:p>
      <w:pPr>
        <w:spacing w:after="0" w:line="27"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color w:val="auto"/>
        </w:rPr>
        <w:t>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125730</wp:posOffset>
            </wp:positionV>
            <wp:extent cx="170561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3">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18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137160</wp:posOffset>
            </wp:positionV>
            <wp:extent cx="170561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4">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137160</wp:posOffset>
            </wp:positionV>
            <wp:extent cx="170561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20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137160</wp:posOffset>
            </wp:positionV>
            <wp:extent cx="170561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6">
                      <a:extLst>
                        <a:ext uri="{28A0092B-C50C-407E-A947-70E740481C1C}"/>
                      </a:extLst>
                    </a:blip>
                    <a:srcRect/>
                    <a:stretch>
                      <a:fillRect/>
                    </a:stretch>
                  </pic:blipFill>
                  <pic:spPr bwMode="auto">
                    <a:xfrm>
                      <a:off x="0" y="0"/>
                      <a:ext cx="1705610"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 of Grant: [</w:t>
      </w:r>
      <w:r>
        <w:rPr>
          <w:rFonts w:ascii="Times New Roman" w:cs="Times New Roman" w:eastAsia="Times New Roman" w:hAnsi="Times New Roman"/>
          <w:sz w:val="18"/>
          <w:szCs w:val="18"/>
          <w:color w:val="auto"/>
        </w:rPr>
        <w:t>Incentive Stock Option]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[Nonstatutory Stock Option]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Vesting Schedule</w:t>
      </w:r>
      <w:r>
        <w:rPr>
          <w:rFonts w:ascii="Times New Roman" w:cs="Times New Roman" w:eastAsia="Times New Roman" w:hAnsi="Times New Roman"/>
          <w:sz w:val="18"/>
          <w:szCs w:val="18"/>
          <w:color w:val="auto"/>
        </w:rPr>
        <w:t>: Subject to the Optionholder’s Continuous Service through each applicable vesting date, the Option will vest as follows:</w:t>
      </w:r>
    </w:p>
    <w:p>
      <w:pPr>
        <w:spacing w:after="0" w:line="95" w:lineRule="exact"/>
        <w:rPr>
          <w:sz w:val="20"/>
          <w:szCs w:val="20"/>
          <w:color w:val="auto"/>
        </w:rPr>
      </w:pPr>
    </w:p>
    <w:p>
      <w:pPr>
        <w:ind w:left="2120"/>
        <w:spacing w:after="0"/>
        <w:tabs>
          <w:tab w:leader="none" w:pos="90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1386205</wp:posOffset>
            </wp:positionH>
            <wp:positionV relativeFrom="paragraph">
              <wp:posOffset>-5080</wp:posOffset>
            </wp:positionV>
            <wp:extent cx="437007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7">
                      <a:extLst>
                        <a:ext uri="{28A0092B-C50C-407E-A947-70E740481C1C}"/>
                      </a:extLst>
                    </a:blip>
                    <a:srcRect/>
                    <a:stretch>
                      <a:fillRect/>
                    </a:stretch>
                  </pic:blipFill>
                  <pic:spPr bwMode="auto">
                    <a:xfrm>
                      <a:off x="0" y="0"/>
                      <a:ext cx="4370070" cy="8255"/>
                    </a:xfrm>
                    <a:prstGeom prst="rect">
                      <a:avLst/>
                    </a:prstGeom>
                    <a:noFill/>
                  </pic:spPr>
                </pic:pic>
              </a:graphicData>
            </a:graphic>
          </wp:anchor>
        </w:drawing>
      </w:r>
    </w:p>
    <w:p>
      <w:pPr>
        <w:spacing w:after="0" w:line="9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1020" w:right="140" w:hanging="445"/>
        <w:spacing w:after="0" w:line="262"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(this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Company’s Incentive Compensation Recovery Policy,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3" w:lineRule="exact"/>
        <w:rPr>
          <w:rFonts w:ascii="Times New Roman" w:cs="Times New Roman" w:eastAsia="Times New Roman" w:hAnsi="Times New Roman"/>
          <w:sz w:val="18"/>
          <w:szCs w:val="18"/>
          <w:color w:val="auto"/>
        </w:rPr>
      </w:pPr>
    </w:p>
    <w:p>
      <w:pPr>
        <w:jc w:val="both"/>
        <w:ind w:left="1020" w:right="180" w:hanging="445"/>
        <w:spacing w:after="0" w:line="315" w:lineRule="auto"/>
        <w:tabs>
          <w:tab w:leader="none" w:pos="1020" w:val="left"/>
        </w:tabs>
        <w:numPr>
          <w:ilvl w:val="0"/>
          <w:numId w:val="1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Option is an Incentive Stock Option, it (plus other outstanding Incentive Stock Options granted to you) cannot be first </w:t>
      </w:r>
      <w:r>
        <w:rPr>
          <w:rFonts w:ascii="Times New Roman" w:cs="Times New Roman" w:eastAsia="Times New Roman" w:hAnsi="Times New Roman"/>
          <w:sz w:val="17"/>
          <w:szCs w:val="17"/>
          <w:i w:val="1"/>
          <w:iCs w:val="1"/>
          <w:color w:val="auto"/>
        </w:rPr>
        <w:t>exercisable</w:t>
      </w:r>
      <w:r>
        <w:rPr>
          <w:rFonts w:ascii="Times New Roman" w:cs="Times New Roman" w:eastAsia="Times New Roman" w:hAnsi="Times New Roman"/>
          <w:sz w:val="17"/>
          <w:szCs w:val="17"/>
          <w:color w:val="auto"/>
        </w:rPr>
        <w:t xml:space="preserve"> for more than $100,000 in value (measured by exercise price) in any calendar year. Any excess over $100,000 is a Nonstatutory Stock Option.</w:t>
      </w:r>
    </w:p>
    <w:p>
      <w:pPr>
        <w:spacing w:after="0" w:line="69" w:lineRule="exact"/>
        <w:rPr>
          <w:rFonts w:ascii="Times New Roman" w:cs="Times New Roman" w:eastAsia="Times New Roman" w:hAnsi="Times New Roman"/>
          <w:sz w:val="17"/>
          <w:szCs w:val="17"/>
          <w:color w:val="auto"/>
        </w:rPr>
      </w:pPr>
    </w:p>
    <w:p>
      <w:pPr>
        <w:ind w:left="1020" w:right="340" w:hanging="445"/>
        <w:spacing w:after="0" w:line="266" w:lineRule="auto"/>
        <w:tabs>
          <w:tab w:leader="none" w:pos="102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1002030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198" w:name="page199"/>
    <w:bookmarkEnd w:id="198"/>
    <w:p>
      <w:pPr>
        <w:spacing w:after="0" w:line="99" w:lineRule="exact"/>
        <w:rPr>
          <w:sz w:val="20"/>
          <w:szCs w:val="20"/>
          <w:color w:val="auto"/>
        </w:rPr>
      </w:pPr>
    </w:p>
    <w:p>
      <w:pPr>
        <w:ind w:left="1020" w:hanging="445"/>
        <w:spacing w:after="0" w:line="266"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1" w:lineRule="exact"/>
        <w:rPr>
          <w:rFonts w:ascii="Times New Roman" w:cs="Times New Roman" w:eastAsia="Times New Roman" w:hAnsi="Times New Roman"/>
          <w:sz w:val="18"/>
          <w:szCs w:val="18"/>
          <w:color w:val="auto"/>
        </w:rPr>
      </w:pPr>
    </w:p>
    <w:p>
      <w:pPr>
        <w:ind w:left="1020" w:right="260" w:hanging="445"/>
        <w:spacing w:after="0" w:line="261"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85" w:lineRule="exact"/>
        <w:rPr>
          <w:rFonts w:ascii="Times New Roman" w:cs="Times New Roman" w:eastAsia="Times New Roman" w:hAnsi="Times New Roman"/>
          <w:sz w:val="18"/>
          <w:szCs w:val="18"/>
          <w:color w:val="auto"/>
        </w:rPr>
      </w:pPr>
    </w:p>
    <w:p>
      <w:pPr>
        <w:jc w:val="both"/>
        <w:ind w:left="1020" w:right="440" w:hanging="445"/>
        <w:spacing w:after="0" w:line="266" w:lineRule="auto"/>
        <w:tabs>
          <w:tab w:leader="none" w:pos="102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6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28"/>
        </w:trPr>
        <w:tc>
          <w:tcPr>
            <w:tcW w:w="620" w:type="dxa"/>
            <w:vAlign w:val="bottom"/>
          </w:tcPr>
          <w:p>
            <w:pPr>
              <w:spacing w:after="0"/>
              <w:rPr>
                <w:sz w:val="19"/>
                <w:szCs w:val="19"/>
                <w:color w:val="auto"/>
              </w:rPr>
            </w:pPr>
          </w:p>
        </w:tc>
        <w:tc>
          <w:tcPr>
            <w:tcW w:w="470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c>
          <w:tcPr>
            <w:tcW w:w="6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tcBorders>
              <w:bottom w:val="single" w:sz="8" w:color="auto"/>
            </w:tcBorders>
          </w:tcPr>
          <w:p>
            <w:pPr>
              <w:spacing w:after="0"/>
              <w:rPr>
                <w:sz w:val="24"/>
                <w:szCs w:val="24"/>
                <w:color w:val="auto"/>
              </w:rPr>
            </w:pPr>
          </w:p>
        </w:tc>
      </w:tr>
      <w:tr>
        <w:trPr>
          <w:trHeight w:val="44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the Company’s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Notice or Plan, as applicable. The terms of your Option as specified in the Grant Notice and this Stock Option Agreement constitute your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 grant of the Option; and</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158" w:lineRule="exact"/>
        <w:rPr>
          <w:sz w:val="20"/>
          <w:szCs w:val="20"/>
          <w:color w:val="auto"/>
        </w:rPr>
      </w:pPr>
    </w:p>
    <w:p>
      <w:pPr>
        <w:ind w:left="700" w:hanging="183"/>
        <w:spacing w:after="0"/>
        <w:tabs>
          <w:tab w:leader="none" w:pos="70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right="40" w:firstLine="517"/>
        <w:spacing w:after="0" w:line="261" w:lineRule="auto"/>
        <w:tabs>
          <w:tab w:leader="none" w:pos="76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1"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360" w:hanging="206"/>
        <w:spacing w:after="0"/>
        <w:tabs>
          <w:tab w:leader="none" w:pos="136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225" w:lineRule="exact"/>
        <w:rPr>
          <w:rFonts w:ascii="Times New Roman" w:cs="Times New Roman" w:eastAsia="Times New Roman" w:hAnsi="Times New Roman"/>
          <w:sz w:val="18"/>
          <w:szCs w:val="18"/>
          <w:b w:val="1"/>
          <w:bCs w:val="1"/>
          <w:color w:val="auto"/>
        </w:rPr>
      </w:pPr>
    </w:p>
    <w:p>
      <w:pPr>
        <w:ind w:right="60" w:firstLine="1154"/>
        <w:spacing w:after="0" w:line="282" w:lineRule="auto"/>
        <w:tabs>
          <w:tab w:leader="none" w:pos="141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3" w:lineRule="exact"/>
        <w:rPr>
          <w:rFonts w:ascii="Times New Roman" w:cs="Times New Roman" w:eastAsia="Times New Roman" w:hAnsi="Times New Roman"/>
          <w:sz w:val="18"/>
          <w:szCs w:val="18"/>
          <w:b w:val="1"/>
          <w:bCs w:val="1"/>
          <w:color w:val="auto"/>
        </w:rPr>
      </w:pPr>
    </w:p>
    <w:p>
      <w:pPr>
        <w:ind w:right="280" w:firstLine="1154"/>
        <w:spacing w:after="0" w:line="282" w:lineRule="auto"/>
        <w:tabs>
          <w:tab w:leader="none" w:pos="146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3" w:lineRule="exact"/>
        <w:rPr>
          <w:rFonts w:ascii="Times New Roman" w:cs="Times New Roman" w:eastAsia="Times New Roman" w:hAnsi="Times New Roman"/>
          <w:sz w:val="18"/>
          <w:szCs w:val="18"/>
          <w:b w:val="1"/>
          <w:bCs w:val="1"/>
          <w:color w:val="auto"/>
        </w:rPr>
      </w:pPr>
    </w:p>
    <w:p>
      <w:pPr>
        <w:ind w:right="20" w:firstLine="1154"/>
        <w:spacing w:after="0" w:line="282" w:lineRule="auto"/>
        <w:tabs>
          <w:tab w:leader="none" w:pos="1450" w:val="left"/>
        </w:tabs>
        <w:numPr>
          <w:ilvl w:val="1"/>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53" w:lineRule="exact"/>
        <w:rPr>
          <w:rFonts w:ascii="Times New Roman" w:cs="Times New Roman" w:eastAsia="Times New Roman" w:hAnsi="Times New Roman"/>
          <w:sz w:val="18"/>
          <w:szCs w:val="18"/>
          <w:b w:val="1"/>
          <w:bCs w:val="1"/>
          <w:color w:val="auto"/>
        </w:rPr>
      </w:pPr>
    </w:p>
    <w:p>
      <w:pPr>
        <w:ind w:right="20" w:firstLine="517"/>
        <w:spacing w:after="0" w:line="258" w:lineRule="auto"/>
        <w:tabs>
          <w:tab w:leader="none" w:pos="754" w:val="left"/>
        </w:tabs>
        <w:numPr>
          <w:ilvl w:val="0"/>
          <w:numId w:val="1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accepting your Option, you agree that you will not sell, dispose of, transfer, make any short sale of, grant any option for the purchase of, or enter into any hedging or similar transaction with the same economic effect as a sale with respect to any shares of Common Stock or other securities of the Company held by you, for a period of one hundred eighty (180) days following the effective date of a registration statement of the Company filed under the Securities Act or such longer period as the underwriters or the Company will request to facilitate compliance with FINRA Rule 2241 or any successor or similar rules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00" w:name="page201"/>
    <w:bookmarkEnd w:id="200"/>
    <w:p>
      <w:pPr>
        <w:spacing w:after="0" w:line="8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that nothing contained in this section will prevent the exercise of a repurchase option, if any, in favor of the Company during the Lock-Up Period. You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your shares of Common Stock until the end of such period. You also agree that any transferee of any shares of Common Stock (or other securities) of the Company held by you will be bound by this Section 2(c). The underwriters of the Company’s stock are intended third party beneficiaries of this Section 2(c) and will have the right, power and authority to enforce the provisions hereof as though they were a party hereto.</w:t>
      </w:r>
    </w:p>
    <w:p>
      <w:pPr>
        <w:spacing w:after="0" w:line="183" w:lineRule="exact"/>
        <w:rPr>
          <w:sz w:val="20"/>
          <w:szCs w:val="20"/>
          <w:color w:val="auto"/>
        </w:rPr>
      </w:pPr>
    </w:p>
    <w:p>
      <w:pPr>
        <w:ind w:right="60" w:firstLine="517"/>
        <w:spacing w:after="0" w:line="286" w:lineRule="auto"/>
        <w:tabs>
          <w:tab w:leader="none" w:pos="689" w:val="left"/>
        </w:tabs>
        <w:numPr>
          <w:ilvl w:val="0"/>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not exercise your Option before the commencement of its term or after its term expires. The term of your Option commences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of Grant and expires upon the earliest of the following:</w:t>
      </w:r>
    </w:p>
    <w:p>
      <w:pPr>
        <w:spacing w:after="0" w:line="50"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for any reason other than Cause, Disability or death;</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 due to your Disability;</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18 months after your death if you die during your Continuous Service;</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Transaction,</w:t>
      </w:r>
    </w:p>
    <w:p>
      <w:pPr>
        <w:spacing w:after="0" w:line="98" w:lineRule="exact"/>
        <w:rPr>
          <w:rFonts w:ascii="Times New Roman" w:cs="Times New Roman" w:eastAsia="Times New Roman" w:hAnsi="Times New Roman"/>
          <w:sz w:val="18"/>
          <w:szCs w:val="18"/>
          <w:b w:val="1"/>
          <w:bCs w:val="1"/>
          <w:color w:val="auto"/>
        </w:rPr>
      </w:pPr>
    </w:p>
    <w:p>
      <w:pPr>
        <w:ind w:left="1380" w:hanging="226"/>
        <w:spacing w:after="0"/>
        <w:tabs>
          <w:tab w:leader="none" w:pos="138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25"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7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To obtain the federal income tax advantages associated with an Incentive Stock Option, the Code requires that at all times beginning on the date of grant of your Option and ending on the day three months before the date of your Option’s exercise, you must be an employee of the Company or an Affiliate, except in the event of your death or Disability. If the Company provides for the extended exercisability of your Option under certain circumstances for your benefit, your Option will not necessarily be treated as an Incentive Stock Option if you exercise your Option more than three months after the date your employment terminates.</w:t>
      </w:r>
    </w:p>
    <w:p>
      <w:pPr>
        <w:spacing w:after="0" w:line="71" w:lineRule="exact"/>
        <w:rPr>
          <w:sz w:val="20"/>
          <w:szCs w:val="20"/>
          <w:color w:val="auto"/>
        </w:rPr>
      </w:pPr>
    </w:p>
    <w:p>
      <w:pPr>
        <w:ind w:firstLine="517"/>
        <w:spacing w:after="0" w:line="254" w:lineRule="auto"/>
        <w:tabs>
          <w:tab w:leader="none" w:pos="68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77"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0"/>
          <w:numId w:val="1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ISPOSITION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EQUIREMENT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your Option is an Incentive Stock Option, you must notify the Company in writing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 15 days after the date of any disposition of any of the shares of the Common Stock issued upon exercise of your Option that occurs within two years after the date of your Option grant or within one year after such shares of Common Stock are transferred upon exercise of your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1" w:name="page202"/>
    <w:bookmarkEnd w:id="201"/>
    <w:p>
      <w:pPr>
        <w:spacing w:after="0" w:line="82" w:lineRule="exact"/>
        <w:rPr>
          <w:sz w:val="20"/>
          <w:szCs w:val="20"/>
          <w:color w:val="auto"/>
        </w:rPr>
      </w:pPr>
    </w:p>
    <w:p>
      <w:pPr>
        <w:ind w:left="-8" w:right="200" w:firstLine="517"/>
        <w:spacing w:after="0" w:line="286" w:lineRule="auto"/>
        <w:tabs>
          <w:tab w:leader="none" w:pos="681"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Section 4(e) of the Plan, your Option is not transferable, except by will or by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laws of descent and distribution, and is exercisable during your life only by you.</w:t>
      </w:r>
    </w:p>
    <w:p>
      <w:pPr>
        <w:spacing w:after="0" w:line="46" w:lineRule="exact"/>
        <w:rPr>
          <w:rFonts w:ascii="Times New Roman" w:cs="Times New Roman" w:eastAsia="Times New Roman" w:hAnsi="Times New Roman"/>
          <w:sz w:val="18"/>
          <w:szCs w:val="18"/>
          <w:b w:val="1"/>
          <w:bCs w:val="1"/>
          <w:color w:val="auto"/>
        </w:rPr>
      </w:pPr>
    </w:p>
    <w:p>
      <w:pPr>
        <w:jc w:val="both"/>
        <w:ind w:left="-8" w:right="320" w:firstLine="517"/>
        <w:spacing w:after="0" w:line="268" w:lineRule="auto"/>
        <w:tabs>
          <w:tab w:leader="none" w:pos="681"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Option is subject to the terms of any agreement governing a Corporate Transaction involving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left="-8" w:firstLine="517"/>
        <w:spacing w:after="0" w:line="255" w:lineRule="auto"/>
        <w:tabs>
          <w:tab w:leader="none" w:pos="681"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76" w:lineRule="exact"/>
        <w:rPr>
          <w:rFonts w:ascii="Times New Roman" w:cs="Times New Roman" w:eastAsia="Times New Roman" w:hAnsi="Times New Roman"/>
          <w:sz w:val="18"/>
          <w:szCs w:val="18"/>
          <w:b w:val="1"/>
          <w:bCs w:val="1"/>
          <w:color w:val="auto"/>
        </w:rPr>
      </w:pPr>
    </w:p>
    <w:p>
      <w:pPr>
        <w:ind w:left="-8" w:right="20" w:firstLine="517"/>
        <w:spacing w:after="0" w:line="262" w:lineRule="auto"/>
        <w:tabs>
          <w:tab w:leader="none" w:pos="681"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68" w:lineRule="exact"/>
        <w:rPr>
          <w:rFonts w:ascii="Times New Roman" w:cs="Times New Roman" w:eastAsia="Times New Roman" w:hAnsi="Times New Roman"/>
          <w:sz w:val="18"/>
          <w:szCs w:val="18"/>
          <w:b w:val="1"/>
          <w:bCs w:val="1"/>
          <w:color w:val="auto"/>
        </w:rPr>
      </w:pPr>
    </w:p>
    <w:p>
      <w:pPr>
        <w:ind w:left="772" w:hanging="263"/>
        <w:spacing w:after="0"/>
        <w:tabs>
          <w:tab w:leader="none" w:pos="772" w:val="left"/>
        </w:tabs>
        <w:numPr>
          <w:ilvl w:val="1"/>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52" w:hanging="252"/>
        <w:spacing w:after="0"/>
        <w:tabs>
          <w:tab w:leader="none" w:pos="252"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94" w:lineRule="exact"/>
        <w:rPr>
          <w:rFonts w:ascii="Times New Roman" w:cs="Times New Roman" w:eastAsia="Times New Roman" w:hAnsi="Times New Roman"/>
          <w:sz w:val="18"/>
          <w:szCs w:val="18"/>
          <w:color w:val="auto"/>
        </w:rPr>
      </w:pPr>
    </w:p>
    <w:p>
      <w:pPr>
        <w:ind w:left="-8" w:right="440" w:firstLine="517"/>
        <w:spacing w:after="0" w:line="286" w:lineRule="auto"/>
        <w:tabs>
          <w:tab w:leader="none" w:pos="771" w:val="left"/>
        </w:tabs>
        <w:numPr>
          <w:ilvl w:val="1"/>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154" w:lineRule="exact"/>
        <w:rPr>
          <w:rFonts w:ascii="Times New Roman" w:cs="Times New Roman" w:eastAsia="Times New Roman" w:hAnsi="Times New Roman"/>
          <w:sz w:val="18"/>
          <w:szCs w:val="18"/>
          <w:b w:val="1"/>
          <w:bCs w:val="1"/>
          <w:color w:val="auto"/>
        </w:rPr>
      </w:pPr>
    </w:p>
    <w:p>
      <w:pPr>
        <w:ind w:left="537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898525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5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5" w:right="33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 OF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209 CHURCH STREET</w:t>
      </w:r>
    </w:p>
    <w:p>
      <w:pPr>
        <w:spacing w:after="0" w:line="207" w:lineRule="exact"/>
        <w:rPr>
          <w:sz w:val="20"/>
          <w:szCs w:val="20"/>
          <w:color w:val="auto"/>
        </w:rPr>
      </w:pPr>
    </w:p>
    <w:p>
      <w:pPr>
        <w:spacing w:after="0"/>
        <w:tabs>
          <w:tab w:leader="none" w:pos="8480" w:val="left"/>
        </w:tabs>
        <w:rPr>
          <w:sz w:val="20"/>
          <w:szCs w:val="20"/>
          <w:color w:val="auto"/>
        </w:rPr>
      </w:pPr>
      <w:r>
        <w:rPr>
          <w:rFonts w:ascii="Times New Roman" w:cs="Times New Roman" w:eastAsia="Times New Roman" w:hAnsi="Times New Roman"/>
          <w:sz w:val="18"/>
          <w:szCs w:val="18"/>
          <w:color w:val="auto"/>
        </w:rPr>
        <w:t>NEW HAVEN, CT 06510</w:t>
      </w:r>
      <w:r>
        <w:rPr>
          <w:sz w:val="20"/>
          <w:szCs w:val="20"/>
          <w:color w:val="auto"/>
        </w:rPr>
        <w:tab/>
      </w:r>
      <w:r>
        <w:rPr>
          <w:rFonts w:ascii="Times New Roman" w:cs="Times New Roman" w:eastAsia="Times New Roman" w:hAnsi="Times New Roman"/>
          <w:sz w:val="18"/>
          <w:szCs w:val="18"/>
          <w:color w:val="auto"/>
        </w:rPr>
        <w:t>Date of Exercise:</w:t>
      </w:r>
    </w:p>
    <w:p>
      <w:pPr>
        <w:spacing w:after="0" w:line="221"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31" w:lineRule="exact"/>
        <w:rPr>
          <w:sz w:val="20"/>
          <w:szCs w:val="20"/>
          <w:color w:val="auto"/>
        </w:rPr>
      </w:pPr>
    </w:p>
    <w:p>
      <w:pPr>
        <w:spacing w:after="0" w:line="161" w:lineRule="exact"/>
        <w:tabs>
          <w:tab w:leader="none" w:pos="8060" w:val="left"/>
          <w:tab w:leader="none" w:pos="10080" w:val="left"/>
        </w:tabs>
        <w:rPr>
          <w:sz w:val="20"/>
          <w:szCs w:val="20"/>
          <w:color w:val="auto"/>
        </w:rPr>
      </w:pPr>
      <w:r>
        <w:rPr>
          <w:rFonts w:ascii="Times New Roman" w:cs="Times New Roman" w:eastAsia="Times New Roman" w:hAnsi="Times New Roman"/>
          <w:sz w:val="14"/>
          <w:szCs w:val="14"/>
          <w:color w:val="auto"/>
        </w:rPr>
        <w:t>Type of option (check one):</w:t>
      </w:r>
      <w:r>
        <w:rPr>
          <w:sz w:val="20"/>
          <w:szCs w:val="20"/>
          <w:color w:val="auto"/>
        </w:rPr>
        <w:tab/>
      </w:r>
      <w:r>
        <w:rPr>
          <w:rFonts w:ascii="Times New Roman" w:cs="Times New Roman" w:eastAsia="Times New Roman" w:hAnsi="Times New Roman"/>
          <w:sz w:val="14"/>
          <w:szCs w:val="14"/>
          <w:color w:val="auto"/>
        </w:rPr>
        <w:t xml:space="preserve">Incentive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Nonstatutory </w:t>
      </w:r>
      <w:r>
        <w:rPr>
          <w:rFonts w:ascii="MS PGothic" w:cs="MS PGothic" w:eastAsia="MS PGothic" w:hAnsi="MS PGothic"/>
          <w:sz w:val="14"/>
          <w:szCs w:val="14"/>
          <w:color w:val="auto"/>
        </w:rPr>
        <w:t>☐</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137160</wp:posOffset>
            </wp:positionV>
            <wp:extent cx="113982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137160</wp:posOffset>
            </wp:positionV>
            <wp:extent cx="113982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6">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Certificates to be issued in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2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 exercise price:</w:t>
            </w:r>
          </w:p>
        </w:tc>
        <w:tc>
          <w:tcPr>
            <w:tcW w:w="5320" w:type="dxa"/>
            <w:vAlign w:val="bottom"/>
          </w:tcPr>
          <w:p>
            <w:pPr>
              <w:spacing w:after="0"/>
              <w:rPr>
                <w:sz w:val="21"/>
                <w:szCs w:val="21"/>
                <w:color w:val="auto"/>
              </w:rPr>
            </w:pPr>
          </w:p>
        </w:tc>
        <w:tc>
          <w:tcPr>
            <w:tcW w:w="1800" w:type="dxa"/>
            <w:vAlign w:val="bottom"/>
            <w:tcBorders>
              <w:top w:val="single" w:sz="8" w:color="auto"/>
            </w:tcBorders>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spacing w:after="0"/>
              <w:rPr>
                <w:sz w:val="21"/>
                <w:szCs w:val="21"/>
                <w:color w:val="auto"/>
              </w:rPr>
            </w:pPr>
          </w:p>
        </w:tc>
      </w:tr>
      <w:tr>
        <w:trPr>
          <w:trHeight w:val="216"/>
        </w:trPr>
        <w:tc>
          <w:tcPr>
            <w:tcW w:w="75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spacing w:after="0"/>
              <w:rPr>
                <w:sz w:val="18"/>
                <w:szCs w:val="18"/>
                <w:color w:val="auto"/>
              </w:rPr>
            </w:pPr>
          </w:p>
        </w:tc>
      </w:tr>
      <w:tr>
        <w:trPr>
          <w:trHeight w:val="175"/>
        </w:trPr>
        <w:tc>
          <w:tcPr>
            <w:tcW w:w="2200" w:type="dxa"/>
            <w:vAlign w:val="bottom"/>
            <w:gridSpan w:val="2"/>
          </w:tcPr>
          <w:p>
            <w:pPr>
              <w:ind w:left="620"/>
              <w:spacing w:after="0" w:line="176" w:lineRule="exact"/>
              <w:rPr>
                <w:sz w:val="20"/>
                <w:szCs w:val="20"/>
                <w:color w:val="auto"/>
              </w:rPr>
            </w:pPr>
            <w:r>
              <w:rPr>
                <w:rFonts w:ascii="Times New Roman" w:cs="Times New Roman" w:eastAsia="Times New Roman" w:hAnsi="Times New Roman"/>
                <w:sz w:val="18"/>
                <w:szCs w:val="18"/>
                <w:color w:val="auto"/>
              </w:rPr>
              <w:t>Value of</w:t>
            </w:r>
          </w:p>
        </w:tc>
        <w:tc>
          <w:tcPr>
            <w:tcW w:w="53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Shares delivered herewith:</w:t>
            </w:r>
          </w:p>
        </w:tc>
        <w:tc>
          <w:tcPr>
            <w:tcW w:w="1800" w:type="dxa"/>
            <w:vAlign w:val="bottom"/>
          </w:tcPr>
          <w:p>
            <w:pPr>
              <w:jc w:val="right"/>
              <w:ind w:right="16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spacing w:after="0"/>
              <w:rPr>
                <w:sz w:val="15"/>
                <w:szCs w:val="15"/>
                <w:color w:val="auto"/>
              </w:rPr>
            </w:pPr>
          </w:p>
        </w:tc>
      </w:tr>
      <w:tr>
        <w:trPr>
          <w:trHeight w:val="20"/>
        </w:trPr>
        <w:tc>
          <w:tcPr>
            <w:tcW w:w="13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r>
        <w:trPr>
          <w:trHeight w:val="216"/>
        </w:trPr>
        <w:tc>
          <w:tcPr>
            <w:tcW w:w="752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1800" w:type="dxa"/>
            <w:vAlign w:val="bottom"/>
            <w:shd w:val="clear" w:color="auto" w:fill="CCEEFF"/>
          </w:tcPr>
          <w:p>
            <w:pPr>
              <w:jc w:val="right"/>
              <w:ind w:right="1610"/>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spacing w:after="0"/>
              <w:rPr>
                <w:sz w:val="18"/>
                <w:szCs w:val="18"/>
                <w:color w:val="auto"/>
              </w:rPr>
            </w:pPr>
          </w:p>
        </w:tc>
      </w:tr>
      <w:tr>
        <w:trPr>
          <w:trHeight w:val="176"/>
        </w:trPr>
        <w:tc>
          <w:tcPr>
            <w:tcW w:w="2200" w:type="dxa"/>
            <w:vAlign w:val="bottom"/>
            <w:gridSpan w:val="2"/>
          </w:tcPr>
          <w:p>
            <w:pPr>
              <w:ind w:left="620"/>
              <w:spacing w:after="0" w:line="176" w:lineRule="exact"/>
              <w:rPr>
                <w:sz w:val="20"/>
                <w:szCs w:val="20"/>
                <w:color w:val="auto"/>
              </w:rPr>
            </w:pPr>
            <w:r>
              <w:rPr>
                <w:rFonts w:ascii="Times New Roman" w:cs="Times New Roman" w:eastAsia="Times New Roman" w:hAnsi="Times New Roman"/>
                <w:sz w:val="18"/>
                <w:szCs w:val="18"/>
                <w:color w:val="auto"/>
              </w:rPr>
              <w:t>Value of</w:t>
            </w:r>
          </w:p>
        </w:tc>
        <w:tc>
          <w:tcPr>
            <w:tcW w:w="532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Shares pursuant to net exercise:</w:t>
            </w:r>
          </w:p>
        </w:tc>
        <w:tc>
          <w:tcPr>
            <w:tcW w:w="1800" w:type="dxa"/>
            <w:vAlign w:val="bottom"/>
          </w:tcPr>
          <w:p>
            <w:pPr>
              <w:jc w:val="right"/>
              <w:ind w:right="16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spacing w:after="0"/>
              <w:rPr>
                <w:sz w:val="15"/>
                <w:szCs w:val="15"/>
                <w:color w:val="auto"/>
              </w:rPr>
            </w:pPr>
          </w:p>
        </w:tc>
      </w:tr>
      <w:tr>
        <w:trPr>
          <w:trHeight w:val="236"/>
        </w:trPr>
        <w:tc>
          <w:tcPr>
            <w:tcW w:w="1300" w:type="dxa"/>
            <w:vAlign w:val="bottom"/>
            <w:tcBorders>
              <w:bottom w:val="single" w:sz="8" w:color="999999"/>
            </w:tcBorders>
          </w:tcPr>
          <w:p>
            <w:pPr>
              <w:spacing w:after="0"/>
              <w:rPr>
                <w:sz w:val="20"/>
                <w:szCs w:val="20"/>
                <w:color w:val="auto"/>
              </w:rPr>
            </w:pPr>
          </w:p>
        </w:tc>
        <w:tc>
          <w:tcPr>
            <w:tcW w:w="900" w:type="dxa"/>
            <w:vAlign w:val="bottom"/>
            <w:tcBorders>
              <w:top w:val="single" w:sz="8" w:color="auto"/>
              <w:bottom w:val="single" w:sz="8" w:color="999999"/>
            </w:tcBorders>
          </w:tcPr>
          <w:p>
            <w:pPr>
              <w:spacing w:after="0"/>
              <w:rPr>
                <w:sz w:val="20"/>
                <w:szCs w:val="20"/>
                <w:color w:val="auto"/>
              </w:rPr>
            </w:pPr>
          </w:p>
        </w:tc>
        <w:tc>
          <w:tcPr>
            <w:tcW w:w="5320" w:type="dxa"/>
            <w:vAlign w:val="bottom"/>
            <w:tcBorders>
              <w:bottom w:val="single" w:sz="8" w:color="999999"/>
            </w:tcBorders>
          </w:tcPr>
          <w:p>
            <w:pPr>
              <w:spacing w:after="0"/>
              <w:rPr>
                <w:sz w:val="20"/>
                <w:szCs w:val="20"/>
                <w:color w:val="auto"/>
              </w:rPr>
            </w:pPr>
          </w:p>
        </w:tc>
        <w:tc>
          <w:tcPr>
            <w:tcW w:w="1800" w:type="dxa"/>
            <w:vAlign w:val="bottom"/>
            <w:tcBorders>
              <w:bottom w:val="single" w:sz="8" w:color="999999"/>
            </w:tcBorders>
          </w:tcPr>
          <w:p>
            <w:pPr>
              <w:spacing w:after="0"/>
              <w:rPr>
                <w:sz w:val="20"/>
                <w:szCs w:val="20"/>
                <w:color w:val="auto"/>
              </w:rPr>
            </w:pPr>
          </w:p>
        </w:tc>
        <w:tc>
          <w:tcPr>
            <w:tcW w:w="1920" w:type="dxa"/>
            <w:vAlign w:val="bottom"/>
            <w:tcBorders>
              <w:bottom w:val="single" w:sz="8" w:color="999999"/>
            </w:tcBorders>
          </w:tcPr>
          <w:p>
            <w:pPr>
              <w:spacing w:after="0"/>
              <w:rPr>
                <w:sz w:val="20"/>
                <w:szCs w:val="20"/>
                <w:color w:val="auto"/>
              </w:rPr>
            </w:pPr>
          </w:p>
        </w:tc>
      </w:tr>
    </w:tbl>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(ii) to satisfy the tax withholding obligations, if any, relating to the exercise of this Option as set forth in the Stock Option Agreement, and (iii) if this exercise relates to an incentive stock option, to notify you in writing within 15 days after the date of any disposition of any of the Shares issued upon exercise of this Option that occurs within two years after the Date of Grant or within one year after such Shares are issued upon exercise of this Option.</w:t>
      </w:r>
    </w:p>
    <w:p>
      <w:pPr>
        <w:spacing w:after="0" w:line="180"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 further agree that, if required by the Company (or a representative of the underwriters) in connection with the first underwritten registration of the offering of any securities of the Company under the Securities Act, I will not sell, dispose of, transfer, make any short sale of, grant any option for the purchase of, or enter into any hedging or similar transaction with the same economic effect as a sale with respect to any shares of Common Stock or other securities of the Company for a period of one hundred eighty (180) days following the effective date of a registration statement of the Company filed under the Securities Act (or such longer period as the underwriters or the Company shall request to facilitate compliance with FINRA Rule 2241 or any successor or similar rule or regulation) (the “</w:t>
      </w:r>
      <w:r>
        <w:rPr>
          <w:rFonts w:ascii="Times New Roman" w:cs="Times New Roman" w:eastAsia="Times New Roman" w:hAnsi="Times New Roman"/>
          <w:sz w:val="18"/>
          <w:szCs w:val="18"/>
          <w:b w:val="1"/>
          <w:bCs w:val="1"/>
          <w:i w:val="1"/>
          <w:iCs w:val="1"/>
          <w:color w:val="auto"/>
        </w:rPr>
        <w:t>Lock-Up Period</w:t>
      </w:r>
      <w:r>
        <w:rPr>
          <w:rFonts w:ascii="Times New Roman" w:cs="Times New Roman" w:eastAsia="Times New Roman" w:hAnsi="Times New Roman"/>
          <w:sz w:val="18"/>
          <w:szCs w:val="18"/>
          <w:color w:val="auto"/>
        </w:rPr>
        <w:t>”). I further agree to execute and deliver such other agreements as may be reasonably requested by the Company or the underwriters that are consistent with the foregoing or that are necessary to give further effect thereto. In order to enforce the foregoing covenant, the Company may impose stop-transfer instructions with respect to securities subject to the foregoing restrictions until the end of such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1183640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04" w:name="page205"/>
    <w:bookmarkEnd w:id="204"/>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1324610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3580130</wp:posOffset>
            </wp:positionH>
            <wp:positionV relativeFrom="paragraph">
              <wp:posOffset>291465</wp:posOffset>
            </wp:positionV>
            <wp:extent cx="28460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3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9019"/>
          </w:cols>
          <w:pgMar w:left="1440" w:top="1417" w:right="1440"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pursuant to the Company’s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has granted to you (“</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an option to purchase the number of shares of the Common Stock set forth below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00" w:lineRule="exact"/>
        <w:rPr>
          <w:sz w:val="20"/>
          <w:szCs w:val="20"/>
          <w:color w:val="auto"/>
        </w:rPr>
      </w:pPr>
    </w:p>
    <w:p>
      <w:pPr>
        <w:spacing w:after="0" w:line="25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1">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5">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17145</wp:posOffset>
            </wp:positionV>
            <wp:extent cx="348869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Type of Grant: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Nonstatutory Stock Option</w:t>
      </w:r>
    </w:p>
    <w:p>
      <w:pPr>
        <w:spacing w:after="0" w:line="200" w:lineRule="exact"/>
        <w:rPr>
          <w:sz w:val="20"/>
          <w:szCs w:val="20"/>
          <w:color w:val="auto"/>
        </w:rPr>
      </w:pPr>
    </w:p>
    <w:p>
      <w:pPr>
        <w:sectPr>
          <w:pgSz w:w="11900" w:h="16838" w:orient="portrait"/>
          <w:cols w:equalWidth="0" w:num="2">
            <w:col w:w="3000" w:space="720"/>
            <w:col w:w="7520"/>
          </w:cols>
          <w:pgMar w:left="320" w:top="1415"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Exercise and Vesting Schedule: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Subject to the Optionholder’s Continuous Service through each applicable vesting date, the Option will vest as follows, subject to the potential vesting acceleration described in Section 2 of the Stock Option Agreement:</w:t>
      </w:r>
    </w:p>
    <w:p>
      <w:pPr>
        <w:spacing w:after="0" w:line="79" w:lineRule="exact"/>
        <w:rPr>
          <w:sz w:val="20"/>
          <w:szCs w:val="20"/>
          <w:color w:val="auto"/>
        </w:rPr>
      </w:pPr>
    </w:p>
    <w:p>
      <w:pPr>
        <w:sectPr>
          <w:pgSz w:w="11900" w:h="16838" w:orient="portrait"/>
          <w:cols w:equalWidth="0" w:num="2">
            <w:col w:w="3000" w:space="720"/>
            <w:col w:w="7520"/>
          </w:cols>
          <w:pgMar w:left="320" w:top="1415" w:right="339" w:bottom="1440" w:gutter="0" w:footer="0" w:header="0"/>
          <w:type w:val="continuous"/>
        </w:sectPr>
      </w:pPr>
    </w:p>
    <w:p>
      <w:pPr>
        <w:ind w:left="3720" w:right="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Initial Grant</w:t>
      </w:r>
      <w:r>
        <w:rPr>
          <w:rFonts w:ascii="Times New Roman" w:cs="Times New Roman" w:eastAsia="Times New Roman" w:hAnsi="Times New Roman"/>
          <w:sz w:val="18"/>
          <w:szCs w:val="18"/>
          <w:color w:val="auto"/>
        </w:rPr>
        <w:t>][One-third (1/3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of the shares subject to the Option shall vest and become exercisable on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one thirty-sixth (1/36</w:t>
      </w:r>
      <w:r>
        <w:rPr>
          <w:rFonts w:ascii="Times New Roman" w:cs="Times New Roman" w:eastAsia="Times New Roman" w:hAnsi="Times New Roman"/>
          <w:sz w:val="10"/>
          <w:szCs w:val="10"/>
          <w:color w:val="auto"/>
        </w:rPr>
        <w:t>th</w:t>
      </w:r>
      <w:r>
        <w:rPr>
          <w:rFonts w:ascii="Times New Roman" w:cs="Times New Roman" w:eastAsia="Times New Roman" w:hAnsi="Times New Roman"/>
          <w:sz w:val="18"/>
          <w:szCs w:val="18"/>
          <w:color w:val="auto"/>
        </w:rPr>
        <w:t>) of the shares subject to the Option shall vest and become exercisable each month thereafter on the same day of the month as the Date of Grant (and if there is no corresponding day, on the last day of the month), such that the Option shall be fully vested and exercisable on the third (3</w:t>
      </w:r>
      <w:r>
        <w:rPr>
          <w:rFonts w:ascii="Times New Roman" w:cs="Times New Roman" w:eastAsia="Times New Roman" w:hAnsi="Times New Roman"/>
          <w:sz w:val="10"/>
          <w:szCs w:val="10"/>
          <w:color w:val="auto"/>
        </w:rPr>
        <w:t>rd</w:t>
      </w:r>
      <w:r>
        <w:rPr>
          <w:rFonts w:ascii="Times New Roman" w:cs="Times New Roman" w:eastAsia="Times New Roman" w:hAnsi="Times New Roman"/>
          <w:sz w:val="18"/>
          <w:szCs w:val="18"/>
          <w:color w:val="auto"/>
        </w:rPr>
        <w:t>) anniversary of the Date of Grant.]</w:t>
      </w:r>
    </w:p>
    <w:p>
      <w:pPr>
        <w:spacing w:after="0" w:line="89" w:lineRule="exact"/>
        <w:rPr>
          <w:sz w:val="20"/>
          <w:szCs w:val="20"/>
          <w:color w:val="auto"/>
        </w:rPr>
      </w:pPr>
    </w:p>
    <w:p>
      <w:pPr>
        <w:ind w:left="3720" w:right="80"/>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Annual Grant</w:t>
      </w:r>
      <w:r>
        <w:rPr>
          <w:rFonts w:ascii="Times New Roman" w:cs="Times New Roman" w:eastAsia="Times New Roman" w:hAnsi="Times New Roman"/>
          <w:sz w:val="18"/>
          <w:szCs w:val="18"/>
          <w:color w:val="auto"/>
        </w:rPr>
        <w:t>][The shares subject to the Option shall vest and become exercisable upon the earlier to occur of (i) the first (1</w:t>
      </w:r>
      <w:r>
        <w:rPr>
          <w:rFonts w:ascii="Times New Roman" w:cs="Times New Roman" w:eastAsia="Times New Roman" w:hAnsi="Times New Roman"/>
          <w:sz w:val="10"/>
          <w:szCs w:val="10"/>
          <w:color w:val="auto"/>
        </w:rPr>
        <w:t>st</w:t>
      </w:r>
      <w:r>
        <w:rPr>
          <w:rFonts w:ascii="Times New Roman" w:cs="Times New Roman" w:eastAsia="Times New Roman" w:hAnsi="Times New Roman"/>
          <w:sz w:val="18"/>
          <w:szCs w:val="18"/>
          <w:color w:val="auto"/>
        </w:rPr>
        <w:t>) anniversary of the Date of Grant and (ii) the date of the next annual meeting of the stockholders of the Company.]</w:t>
      </w:r>
    </w:p>
    <w:p>
      <w:pPr>
        <w:sectPr>
          <w:pgSz w:w="11900" w:h="16838" w:orient="portrait"/>
          <w:cols w:equalWidth="0" w:num="1">
            <w:col w:w="11240"/>
          </w:cols>
          <w:pgMar w:left="320" w:top="1415" w:right="339" w:bottom="1440" w:gutter="0" w:footer="0" w:header="0"/>
          <w:type w:val="continuous"/>
        </w:sectPr>
      </w:pPr>
    </w:p>
    <w:p>
      <w:pPr>
        <w:spacing w:after="0" w:line="11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Optionholder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4" w:lineRule="exact"/>
        <w:rPr>
          <w:sz w:val="20"/>
          <w:szCs w:val="20"/>
          <w:color w:val="auto"/>
        </w:rPr>
      </w:pPr>
    </w:p>
    <w:p>
      <w:pPr>
        <w:ind w:left="1480" w:right="160" w:hanging="338"/>
        <w:spacing w:after="0" w:line="261" w:lineRule="auto"/>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is governed by this Stock Option Grant Notice,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1480" w:right="100" w:hanging="338"/>
        <w:spacing w:after="0" w:line="266" w:lineRule="auto"/>
        <w:tabs>
          <w:tab w:leader="none" w:pos="148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942340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type w:val="continuous"/>
        </w:sectPr>
      </w:pPr>
    </w:p>
    <w:bookmarkStart w:id="206" w:name="page207"/>
    <w:bookmarkEnd w:id="206"/>
    <w:p>
      <w:pPr>
        <w:ind w:left="1480" w:right="140" w:hanging="338"/>
        <w:spacing w:after="0" w:line="266" w:lineRule="auto"/>
        <w:tabs>
          <w:tab w:leader="none" w:pos="14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81" w:lineRule="exact"/>
        <w:rPr>
          <w:rFonts w:ascii="Times New Roman" w:cs="Times New Roman" w:eastAsia="Times New Roman" w:hAnsi="Times New Roman"/>
          <w:sz w:val="18"/>
          <w:szCs w:val="18"/>
          <w:color w:val="auto"/>
        </w:rPr>
      </w:pPr>
    </w:p>
    <w:p>
      <w:pPr>
        <w:ind w:left="1480" w:right="60" w:hanging="338"/>
        <w:spacing w:after="0" w:line="281" w:lineRule="auto"/>
        <w:tabs>
          <w:tab w:leader="none" w:pos="148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69" w:lineRule="exact"/>
        <w:rPr>
          <w:rFonts w:ascii="Times New Roman" w:cs="Times New Roman" w:eastAsia="Times New Roman" w:hAnsi="Times New Roman"/>
          <w:sz w:val="17"/>
          <w:szCs w:val="17"/>
          <w:color w:val="auto"/>
        </w:rPr>
      </w:pPr>
    </w:p>
    <w:p>
      <w:pPr>
        <w:ind w:left="1480" w:right="40" w:hanging="338"/>
        <w:spacing w:after="0" w:line="266" w:lineRule="auto"/>
        <w:tabs>
          <w:tab w:leader="none" w:pos="148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INVIVYD, INC.</w:t>
            </w:r>
          </w:p>
        </w:tc>
        <w:tc>
          <w:tcPr>
            <w:tcW w:w="592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PTIONHOLDER</w:t>
            </w:r>
            <w:r>
              <w:rPr>
                <w:rFonts w:ascii="Times New Roman" w:cs="Times New Roman" w:eastAsia="Times New Roman" w:hAnsi="Times New Roman"/>
                <w:sz w:val="18"/>
                <w:szCs w:val="18"/>
                <w:b w:val="1"/>
                <w:bCs w:val="1"/>
                <w:color w:val="auto"/>
              </w:rPr>
              <w:t>:</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59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By:</w:t>
            </w:r>
          </w:p>
        </w:tc>
      </w:tr>
      <w:tr>
        <w:trPr>
          <w:trHeight w:val="228"/>
        </w:trPr>
        <w:tc>
          <w:tcPr>
            <w:tcW w:w="620" w:type="dxa"/>
            <w:vAlign w:val="bottom"/>
          </w:tcPr>
          <w:p>
            <w:pPr>
              <w:spacing w:after="0"/>
              <w:rPr>
                <w:sz w:val="19"/>
                <w:szCs w:val="19"/>
                <w:color w:val="auto"/>
              </w:rPr>
            </w:pPr>
          </w:p>
        </w:tc>
        <w:tc>
          <w:tcPr>
            <w:tcW w:w="470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c>
          <w:tcPr>
            <w:tcW w:w="1240" w:type="dxa"/>
            <w:vAlign w:val="bottom"/>
          </w:tcPr>
          <w:p>
            <w:pPr>
              <w:spacing w:after="0"/>
              <w:rPr>
                <w:sz w:val="19"/>
                <w:szCs w:val="19"/>
                <w:color w:val="auto"/>
              </w:rPr>
            </w:pPr>
          </w:p>
        </w:tc>
        <w:tc>
          <w:tcPr>
            <w:tcW w:w="468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Borders>
              <w:bottom w:val="single" w:sz="8" w:color="auto"/>
            </w:tcBorders>
          </w:tcPr>
          <w:p>
            <w:pPr>
              <w:spacing w:after="0"/>
              <w:rPr>
                <w:sz w:val="24"/>
                <w:szCs w:val="24"/>
                <w:color w:val="auto"/>
              </w:rPr>
            </w:pPr>
          </w:p>
        </w:tc>
        <w:tc>
          <w:tcPr>
            <w:tcW w:w="124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tcBorders>
              <w:bottom w:val="single" w:sz="8" w:color="auto"/>
            </w:tcBorders>
          </w:tcPr>
          <w:p>
            <w:pPr>
              <w:spacing w:after="0"/>
              <w:rPr>
                <w:sz w:val="24"/>
                <w:szCs w:val="24"/>
                <w:color w:val="auto"/>
              </w:rPr>
            </w:pPr>
          </w:p>
        </w:tc>
      </w:tr>
      <w:tr>
        <w:trPr>
          <w:trHeight w:val="439"/>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700" w:type="dxa"/>
            <w:vAlign w:val="bottom"/>
            <w:tcBorders>
              <w:bottom w:val="single" w:sz="8" w:color="auto"/>
            </w:tcBorders>
          </w:tcPr>
          <w:p>
            <w:pPr>
              <w:spacing w:after="0"/>
              <w:rPr>
                <w:sz w:val="24"/>
                <w:szCs w:val="24"/>
                <w:color w:val="auto"/>
              </w:rPr>
            </w:pPr>
          </w:p>
        </w:tc>
        <w:tc>
          <w:tcPr>
            <w:tcW w:w="124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Stock Option Agreement, 2021 Equity Incentive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993140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7" w:name="page208"/>
    <w:bookmarkEnd w:id="207"/>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TOCK</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PTION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GREEMENT</w:t>
      </w:r>
    </w:p>
    <w:p>
      <w:pPr>
        <w:spacing w:after="0" w:line="225" w:lineRule="exact"/>
        <w:rPr>
          <w:sz w:val="20"/>
          <w:szCs w:val="20"/>
          <w:color w:val="auto"/>
        </w:rPr>
      </w:pPr>
    </w:p>
    <w:p>
      <w:pPr>
        <w:ind w:right="100" w:firstLine="509"/>
        <w:spacing w:after="0" w:line="262" w:lineRule="auto"/>
        <w:rPr>
          <w:sz w:val="20"/>
          <w:szCs w:val="20"/>
          <w:color w:val="auto"/>
        </w:rPr>
      </w:pPr>
      <w:r>
        <w:rPr>
          <w:rFonts w:ascii="Times New Roman" w:cs="Times New Roman" w:eastAsia="Times New Roman" w:hAnsi="Times New Roman"/>
          <w:sz w:val="18"/>
          <w:szCs w:val="18"/>
          <w:color w:val="auto"/>
        </w:rPr>
        <w:t>As reflected by your Stock Option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an option under its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to purchase a number of shares of Common Stock at the exercise price indicated in your Grant Notice (the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and conditions applicable to your Option are as follows:</w:t>
      </w:r>
    </w:p>
    <w:p>
      <w:pPr>
        <w:spacing w:after="0" w:line="113" w:lineRule="exact"/>
        <w:rPr>
          <w:sz w:val="20"/>
          <w:szCs w:val="20"/>
          <w:color w:val="auto"/>
        </w:rPr>
      </w:pPr>
    </w:p>
    <w:p>
      <w:pPr>
        <w:ind w:left="700" w:hanging="183"/>
        <w:spacing w:after="0"/>
        <w:tabs>
          <w:tab w:leader="none" w:pos="70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color w:val="auto"/>
        </w:rPr>
        <w:t>. Your Option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regarding the impact of a Capitalization Adjustment, dissolution, liquidation, or Corporate Transaction on your Option;</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regarding the Company’s retained rights to terminate your Continuous Service notwithstanding the grant of the Option; and</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regarding the tax consequences of your Option.</w:t>
      </w:r>
    </w:p>
    <w:p>
      <w:pPr>
        <w:spacing w:after="0" w:line="22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50" w:lineRule="exact"/>
        <w:rPr>
          <w:sz w:val="20"/>
          <w:szCs w:val="20"/>
          <w:color w:val="auto"/>
        </w:rPr>
      </w:pPr>
    </w:p>
    <w:p>
      <w:pPr>
        <w:ind w:left="700" w:hanging="183"/>
        <w:spacing w:after="0"/>
        <w:tabs>
          <w:tab w:leader="none" w:pos="70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w:t>
      </w:r>
      <w:r>
        <w:rPr>
          <w:rFonts w:ascii="Times New Roman" w:cs="Times New Roman" w:eastAsia="Times New Roman" w:hAnsi="Times New Roman"/>
          <w:sz w:val="13"/>
          <w:szCs w:val="13"/>
          <w:b w:val="1"/>
          <w:bCs w:val="1"/>
          <w:color w:val="auto"/>
        </w:rPr>
        <w:t>ESTING</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firstLine="1154"/>
        <w:spacing w:after="0" w:line="261" w:lineRule="auto"/>
        <w:tabs>
          <w:tab w:leader="none" w:pos="140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Your Option will vest as provided in your Grant Notice, subject to the provisions contained herein and the terms of the Plan. Vesting will cease upon the termination of your Continuous Service. Notwithstanding the foregoing, if a Change in Control occurs and your Continuous Service has not terminated as of immediately prior to such Change in Control, then the vesting and exercisability of your Option will be accelerated in full upon such Change in Control.</w:t>
      </w:r>
    </w:p>
    <w:p>
      <w:pPr>
        <w:spacing w:after="0" w:line="71" w:lineRule="exact"/>
        <w:rPr>
          <w:rFonts w:ascii="Times New Roman" w:cs="Times New Roman" w:eastAsia="Times New Roman" w:hAnsi="Times New Roman"/>
          <w:sz w:val="18"/>
          <w:szCs w:val="18"/>
          <w:b w:val="1"/>
          <w:bCs w:val="1"/>
          <w:color w:val="auto"/>
        </w:rPr>
      </w:pPr>
    </w:p>
    <w:p>
      <w:pPr>
        <w:ind w:right="20" w:firstLine="1154"/>
        <w:spacing w:after="0" w:line="253" w:lineRule="auto"/>
        <w:tabs>
          <w:tab w:leader="none" w:pos="1410" w:val="left"/>
        </w:tabs>
        <w:numPr>
          <w:ilvl w:val="1"/>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payment or benefit you would receive from the Company or otherwise in connection with a Change in Control or other similar transaction (a “</w:t>
      </w:r>
      <w:r>
        <w:rPr>
          <w:rFonts w:ascii="Times New Roman" w:cs="Times New Roman" w:eastAsia="Times New Roman" w:hAnsi="Times New Roman"/>
          <w:sz w:val="18"/>
          <w:szCs w:val="18"/>
          <w:b w:val="1"/>
          <w:bCs w:val="1"/>
          <w:i w:val="1"/>
          <w:iCs w:val="1"/>
          <w:color w:val="auto"/>
        </w:rPr>
        <w:t>280G Payment</w:t>
      </w:r>
      <w:r>
        <w:rPr>
          <w:rFonts w:ascii="Times New Roman" w:cs="Times New Roman" w:eastAsia="Times New Roman" w:hAnsi="Times New Roman"/>
          <w:sz w:val="18"/>
          <w:szCs w:val="18"/>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then any such 280G Payment (a “</w:t>
      </w:r>
      <w:r>
        <w:rPr>
          <w:rFonts w:ascii="Times New Roman" w:cs="Times New Roman" w:eastAsia="Times New Roman" w:hAnsi="Times New Roman"/>
          <w:sz w:val="18"/>
          <w:szCs w:val="18"/>
          <w:b w:val="1"/>
          <w:bCs w:val="1"/>
          <w:i w:val="1"/>
          <w:iCs w:val="1"/>
          <w:color w:val="auto"/>
        </w:rPr>
        <w:t>Payment</w:t>
      </w:r>
      <w:r>
        <w:rPr>
          <w:rFonts w:ascii="Times New Roman" w:cs="Times New Roman" w:eastAsia="Times New Roman" w:hAnsi="Times New Roman"/>
          <w:sz w:val="18"/>
          <w:szCs w:val="18"/>
          <w:color w:val="auto"/>
        </w:rPr>
        <w:t>”) shall be equal to the Reduced Amount. The “</w:t>
      </w:r>
      <w:r>
        <w:rPr>
          <w:rFonts w:ascii="Times New Roman" w:cs="Times New Roman" w:eastAsia="Times New Roman" w:hAnsi="Times New Roman"/>
          <w:sz w:val="18"/>
          <w:szCs w:val="18"/>
          <w:b w:val="1"/>
          <w:bCs w:val="1"/>
          <w:i w:val="1"/>
          <w:iCs w:val="1"/>
          <w:color w:val="auto"/>
        </w:rPr>
        <w:t>Reduced Amount</w:t>
      </w:r>
      <w:r>
        <w:rPr>
          <w:rFonts w:ascii="Times New Roman" w:cs="Times New Roman" w:eastAsia="Times New Roman" w:hAnsi="Times New Roman"/>
          <w:sz w:val="18"/>
          <w:szCs w:val="18"/>
          <w:color w:val="auto"/>
        </w:rPr>
        <w: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18"/>
          <w:szCs w:val="18"/>
          <w:b w:val="1"/>
          <w:bCs w:val="1"/>
          <w:i w:val="1"/>
          <w:iCs w:val="1"/>
          <w:color w:val="auto"/>
        </w:rPr>
        <w:t>Reduction Method</w:t>
      </w:r>
      <w:r>
        <w:rPr>
          <w:rFonts w:ascii="Times New Roman" w:cs="Times New Roman" w:eastAsia="Times New Roman" w:hAnsi="Times New Roman"/>
          <w:sz w:val="18"/>
          <w:szCs w:val="18"/>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18"/>
          <w:szCs w:val="18"/>
          <w:b w:val="1"/>
          <w:bCs w:val="1"/>
          <w:i w:val="1"/>
          <w:iCs w:val="1"/>
          <w:color w:val="auto"/>
        </w:rPr>
        <w:t>Pro Rata Reduction Method</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Notwithstanding the foregoing, if the Reduction Method or the Pro Rata Reduction Method would result in any portion of the Payment being subject to taxes pursuant to Section 409A of the Code that would not otherwise be subject to taxes pursuant to Section 409A of the Code, then the Reduction Method and/or the Pro Rata Reduction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864870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208" w:name="page209"/>
    <w:bookmarkEnd w:id="208"/>
    <w:p>
      <w:pPr>
        <w:spacing w:after="0" w:line="19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Method, as the case may be, shall be modified so as to avoid the imposition of taxes pursuant to Section 409A of the Code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of the Code shall be reduced (or eliminated) before Payments that are not deferred compensation within the meaning of Section 409A of the Code.</w:t>
      </w:r>
    </w:p>
    <w:p>
      <w:pPr>
        <w:spacing w:after="0" w:line="183"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Unless you and the Company agree on an alternative accounting firm, the accounting firm engaged by the Company for general tax compliance purposes as of the day prior to the effective date of the change of control transaction triggering the Payment shall perform the foregoing calculations. If the accounting firm so engaged by the Company is serving as accountant or auditor for the individual, entity or group effecting the change of control transaction, the Company shall appoint a nationally recognized accounting firm to make the determinations required hereunder. The Company shall bear all expenses with respect to the determinations by such accounting firm required to be made hereunder. The Company shall use commercially reasonable efforts to cause the accounting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92"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If you receive a Payment for which the Reduced Amount was determined pursuant to clause (x) of the first paragraph of this Section 2(b) and the Internal Revenue Service determines thereafter that some portion of the Payment is subject to the Excise Tax, you shall promptly return to the Company a sufficient amount of the Payment (after reduction pursuant to clause (x) of the first paragraph of this Section 2(b) so that no portion of the remaining Payment is subject to the Excise Tax. For the avoidance of doubt, if the Reduced Amount was determined pursuant to clause (y) in the first paragraph of this Section 2(b), you shall have no obligation to return any portion of the Payment pursuant to the preceding sentence.</w:t>
      </w:r>
    </w:p>
    <w:p>
      <w:pPr>
        <w:spacing w:after="0" w:line="112" w:lineRule="exact"/>
        <w:rPr>
          <w:sz w:val="20"/>
          <w:szCs w:val="20"/>
          <w:color w:val="auto"/>
        </w:rPr>
      </w:pPr>
    </w:p>
    <w:p>
      <w:pPr>
        <w:ind w:left="700" w:hanging="183"/>
        <w:spacing w:after="0"/>
        <w:tabs>
          <w:tab w:leader="none" w:pos="7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3"/>
          <w:szCs w:val="13"/>
          <w:b w:val="1"/>
          <w:bCs w:val="1"/>
          <w:color w:val="auto"/>
        </w:rPr>
        <w:t>XERCISE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40" w:firstLine="1154"/>
        <w:spacing w:after="0" w:line="261" w:lineRule="auto"/>
        <w:tabs>
          <w:tab w:leader="none" w:pos="140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71"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permitted by Applicable Law, you may pay your Option exercise price as follows:</w:t>
      </w:r>
    </w:p>
    <w:p>
      <w:pPr>
        <w:spacing w:after="0" w:line="117" w:lineRule="exact"/>
        <w:rPr>
          <w:rFonts w:ascii="Times New Roman" w:cs="Times New Roman" w:eastAsia="Times New Roman" w:hAnsi="Times New Roman"/>
          <w:sz w:val="18"/>
          <w:szCs w:val="18"/>
          <w:b w:val="1"/>
          <w:bCs w:val="1"/>
          <w:color w:val="auto"/>
        </w:rPr>
      </w:pPr>
    </w:p>
    <w:p>
      <w:pPr>
        <w:ind w:left="1880" w:hanging="217"/>
        <w:spacing w:after="0"/>
        <w:tabs>
          <w:tab w:leader="none" w:pos="1880" w:val="left"/>
        </w:tabs>
        <w:numPr>
          <w:ilvl w:val="2"/>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cash, check, bank draft or money order;</w:t>
      </w:r>
    </w:p>
    <w:p>
      <w:pPr>
        <w:spacing w:after="0" w:line="117" w:lineRule="exact"/>
        <w:rPr>
          <w:rFonts w:ascii="Times New Roman" w:cs="Times New Roman" w:eastAsia="Times New Roman" w:hAnsi="Times New Roman"/>
          <w:sz w:val="18"/>
          <w:szCs w:val="18"/>
          <w:b w:val="1"/>
          <w:bCs w:val="1"/>
          <w:color w:val="auto"/>
        </w:rPr>
      </w:pPr>
    </w:p>
    <w:p>
      <w:pPr>
        <w:ind w:right="440" w:firstLine="1663"/>
        <w:spacing w:after="0" w:line="282" w:lineRule="auto"/>
        <w:tabs>
          <w:tab w:leader="none" w:pos="1920" w:val="left"/>
        </w:tabs>
        <w:numPr>
          <w:ilvl w:val="2"/>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53" w:lineRule="exact"/>
        <w:rPr>
          <w:rFonts w:ascii="Times New Roman" w:cs="Times New Roman" w:eastAsia="Times New Roman" w:hAnsi="Times New Roman"/>
          <w:sz w:val="18"/>
          <w:szCs w:val="18"/>
          <w:b w:val="1"/>
          <w:bCs w:val="1"/>
          <w:color w:val="auto"/>
        </w:rPr>
      </w:pPr>
    </w:p>
    <w:p>
      <w:pPr>
        <w:ind w:right="400" w:firstLine="1663"/>
        <w:spacing w:after="0" w:line="282" w:lineRule="auto"/>
        <w:tabs>
          <w:tab w:leader="none" w:pos="1970" w:val="left"/>
        </w:tabs>
        <w:numPr>
          <w:ilvl w:val="2"/>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by delivery of previously owned shares of Common Stock as further described in Section 4(c)(iii) of the Plan; or</w:t>
      </w:r>
    </w:p>
    <w:p>
      <w:pPr>
        <w:spacing w:after="0" w:line="53" w:lineRule="exact"/>
        <w:rPr>
          <w:rFonts w:ascii="Times New Roman" w:cs="Times New Roman" w:eastAsia="Times New Roman" w:hAnsi="Times New Roman"/>
          <w:sz w:val="18"/>
          <w:szCs w:val="18"/>
          <w:b w:val="1"/>
          <w:bCs w:val="1"/>
          <w:color w:val="auto"/>
        </w:rPr>
      </w:pPr>
    </w:p>
    <w:p>
      <w:pPr>
        <w:ind w:right="220" w:firstLine="1663"/>
        <w:spacing w:after="0" w:line="282" w:lineRule="auto"/>
        <w:tabs>
          <w:tab w:leader="none" w:pos="1959" w:val="left"/>
        </w:tabs>
        <w:numPr>
          <w:ilvl w:val="2"/>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Company and/or Committee consent at the time of exercise, if the Option is a Nonstatutory Stock Option, by a “net exercise” arrangement as further described in Section 4(c)(iv) of the Plan.</w:t>
      </w:r>
    </w:p>
    <w:p>
      <w:pPr>
        <w:spacing w:after="0" w:line="49"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ERM</w:t>
      </w:r>
      <w:r>
        <w:rPr>
          <w:rFonts w:ascii="Times New Roman" w:cs="Times New Roman" w:eastAsia="Times New Roman" w:hAnsi="Times New Roman"/>
          <w:sz w:val="18"/>
          <w:szCs w:val="18"/>
          <w:color w:val="auto"/>
        </w:rPr>
        <w:t>. You may not exercise your Option before the commencement of its term or after its term expires. The term of your Option commences 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Grant and expires upon the earliest of the following:</w:t>
      </w:r>
    </w:p>
    <w:p>
      <w:pPr>
        <w:spacing w:after="0" w:line="99" w:lineRule="exact"/>
        <w:rPr>
          <w:sz w:val="20"/>
          <w:szCs w:val="20"/>
          <w:color w:val="auto"/>
        </w:rPr>
      </w:pPr>
    </w:p>
    <w:p>
      <w:pPr>
        <w:ind w:left="1400" w:hanging="246"/>
        <w:spacing w:after="0"/>
        <w:tabs>
          <w:tab w:leader="none" w:pos="140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the termination of your Continuous Service for Cause;</w:t>
      </w:r>
    </w:p>
    <w:p>
      <w:pPr>
        <w:spacing w:after="0" w:line="117"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12 months after the termination of your Continuous Service;</w:t>
      </w:r>
    </w:p>
    <w:p>
      <w:pPr>
        <w:spacing w:after="0" w:line="117"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0"/>
          <w:numId w:val="1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immediately upon a Corporate Transaction if the Board has determined that the Option will terminate in connection with a Corporate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w:t>
      </w:r>
    </w:p>
    <w:p>
      <w:pPr>
        <w:spacing w:after="0" w:line="99" w:lineRule="exact"/>
        <w:rPr>
          <w:sz w:val="20"/>
          <w:szCs w:val="20"/>
          <w:color w:val="auto"/>
        </w:rPr>
      </w:pPr>
    </w:p>
    <w:p>
      <w:pPr>
        <w:ind w:left="1420" w:hanging="266"/>
        <w:spacing w:after="0"/>
        <w:tabs>
          <w:tab w:leader="none" w:pos="1420" w:val="left"/>
        </w:tabs>
        <w:numPr>
          <w:ilvl w:val="0"/>
          <w:numId w:val="1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Expiration Date indicated in your Grant Notice;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09" w:name="page210"/>
    <w:bookmarkEnd w:id="209"/>
    <w:p>
      <w:pPr>
        <w:spacing w:after="0" w:line="86" w:lineRule="exact"/>
        <w:rPr>
          <w:sz w:val="20"/>
          <w:szCs w:val="20"/>
          <w:color w:val="auto"/>
        </w:rPr>
      </w:pPr>
    </w:p>
    <w:p>
      <w:pPr>
        <w:ind w:left="1400" w:hanging="246"/>
        <w:spacing w:after="0"/>
        <w:tabs>
          <w:tab w:leader="none" w:pos="1400" w:val="left"/>
        </w:tabs>
        <w:numPr>
          <w:ilvl w:val="0"/>
          <w:numId w:val="1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day before the 10th anniversary of the Date of Grant.</w:t>
      </w:r>
    </w:p>
    <w:p>
      <w:pPr>
        <w:spacing w:after="0" w:line="225"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Notwithstanding the foregoing, if you die during the period provided in Section 4(b) above, the term of your Option shall not expire until the earlier of (i) 12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08" w:lineRule="exact"/>
        <w:rPr>
          <w:sz w:val="20"/>
          <w:szCs w:val="20"/>
          <w:color w:val="auto"/>
        </w:rPr>
      </w:pPr>
    </w:p>
    <w:p>
      <w:pPr>
        <w:ind w:right="20" w:firstLine="517"/>
        <w:spacing w:after="0" w:line="254" w:lineRule="auto"/>
        <w:tabs>
          <w:tab w:leader="none" w:pos="68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color w:val="auto"/>
        </w:rPr>
        <w:t>. As further provided in Section 8 of the Plan: (a) you may not exercise your Option unless the applicable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85" w:lineRule="exact"/>
        <w:rPr>
          <w:rFonts w:ascii="Times New Roman" w:cs="Times New Roman" w:eastAsia="Times New Roman" w:hAnsi="Times New Roman"/>
          <w:sz w:val="18"/>
          <w:szCs w:val="18"/>
          <w:b w:val="1"/>
          <w:bCs w:val="1"/>
          <w:color w:val="auto"/>
        </w:rPr>
      </w:pPr>
    </w:p>
    <w:p>
      <w:pPr>
        <w:ind w:right="580" w:firstLine="517"/>
        <w:spacing w:after="0" w:line="286" w:lineRule="auto"/>
        <w:tabs>
          <w:tab w:leader="none" w:pos="68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Except as otherwise provided in Section 4(e) of the Plan, your Option is not transferable, except by will or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laws of descent and distribution, and is exercisable during your life only by you.</w:t>
      </w:r>
    </w:p>
    <w:p>
      <w:pPr>
        <w:spacing w:after="0" w:line="154" w:lineRule="exact"/>
        <w:rPr>
          <w:rFonts w:ascii="Times New Roman" w:cs="Times New Roman" w:eastAsia="Times New Roman" w:hAnsi="Times New Roman"/>
          <w:sz w:val="18"/>
          <w:szCs w:val="18"/>
          <w:b w:val="1"/>
          <w:bCs w:val="1"/>
          <w:color w:val="auto"/>
        </w:rPr>
      </w:pPr>
    </w:p>
    <w:p>
      <w:pPr>
        <w:ind w:right="20" w:firstLine="517"/>
        <w:spacing w:after="0" w:line="268" w:lineRule="auto"/>
        <w:tabs>
          <w:tab w:leader="none" w:pos="68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Your Option is subject to the terms of any agreement governing a Corporate Transaction involving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0" w:lineRule="exact"/>
        <w:rPr>
          <w:rFonts w:ascii="Times New Roman" w:cs="Times New Roman" w:eastAsia="Times New Roman" w:hAnsi="Times New Roman"/>
          <w:sz w:val="18"/>
          <w:szCs w:val="18"/>
          <w:b w:val="1"/>
          <w:bCs w:val="1"/>
          <w:color w:val="auto"/>
        </w:rPr>
      </w:pPr>
    </w:p>
    <w:p>
      <w:pPr>
        <w:ind w:firstLine="517"/>
        <w:spacing w:after="0" w:line="255" w:lineRule="auto"/>
        <w:tabs>
          <w:tab w:leader="none" w:pos="68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3"/>
          <w:szCs w:val="13"/>
          <w:b w:val="1"/>
          <w:bCs w:val="1"/>
          <w:color w:val="auto"/>
        </w:rPr>
        <w:t>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Option, you hereby (a) agree to not make any claim against the Company, 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84" w:lineRule="exact"/>
        <w:rPr>
          <w:rFonts w:ascii="Times New Roman" w:cs="Times New Roman" w:eastAsia="Times New Roman" w:hAnsi="Times New Roman"/>
          <w:sz w:val="18"/>
          <w:szCs w:val="18"/>
          <w:b w:val="1"/>
          <w:bCs w:val="1"/>
          <w:color w:val="auto"/>
        </w:rPr>
      </w:pPr>
    </w:p>
    <w:p>
      <w:pPr>
        <w:ind w:right="20" w:firstLine="517"/>
        <w:spacing w:after="0" w:line="262" w:lineRule="auto"/>
        <w:tabs>
          <w:tab w:leader="none" w:pos="689"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Option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08" w:lineRule="exact"/>
        <w:rPr>
          <w:rFonts w:ascii="Times New Roman" w:cs="Times New Roman" w:eastAsia="Times New Roman" w:hAnsi="Times New Roman"/>
          <w:sz w:val="18"/>
          <w:szCs w:val="18"/>
          <w:b w:val="1"/>
          <w:bCs w:val="1"/>
          <w:color w:val="auto"/>
        </w:rPr>
      </w:pPr>
    </w:p>
    <w:p>
      <w:pPr>
        <w:ind w:left="780" w:hanging="263"/>
        <w:spacing w:after="0"/>
        <w:tabs>
          <w:tab w:leader="none" w:pos="780" w:val="left"/>
        </w:tabs>
        <w:numPr>
          <w:ilvl w:val="1"/>
          <w:numId w:val="1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color w:val="auto"/>
        </w:rPr>
        <w:t>. 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18"/>
          <w:szCs w:val="18"/>
          <w:color w:val="auto"/>
        </w:rPr>
      </w:pPr>
    </w:p>
    <w:p>
      <w:pPr>
        <w:ind w:right="440" w:firstLine="517"/>
        <w:spacing w:after="0" w:line="286" w:lineRule="auto"/>
        <w:tabs>
          <w:tab w:leader="none" w:pos="779" w:val="left"/>
        </w:tabs>
        <w:numPr>
          <w:ilvl w:val="1"/>
          <w:numId w:val="1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color w:val="auto"/>
        </w:rPr>
        <w:t>. If you have questions regarding these or any other terms and conditions applicable to your Option,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990600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1" w:name="page212"/>
    <w:bookmarkEnd w:id="211"/>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w:t>
      </w:r>
    </w:p>
    <w:p>
      <w:pPr>
        <w:spacing w:after="0" w:line="22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898525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5" w:right="339" w:bottom="1440" w:gutter="0" w:footer="0" w:header="0"/>
        </w:sectPr>
      </w:pPr>
    </w:p>
    <w:bookmarkStart w:id="212" w:name="page213"/>
    <w:bookmarkEnd w:id="212"/>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Non-Employee Director</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00" w:type="dxa"/>
            <w:vAlign w:val="bottom"/>
          </w:tcPr>
          <w:p>
            <w:pPr>
              <w:spacing w:after="0"/>
              <w:rPr>
                <w:sz w:val="20"/>
                <w:szCs w:val="20"/>
                <w:color w:val="auto"/>
              </w:rPr>
            </w:pPr>
          </w:p>
        </w:tc>
        <w:tc>
          <w:tcPr>
            <w:tcW w:w="65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III</w:t>
            </w:r>
          </w:p>
        </w:tc>
      </w:tr>
      <w:tr>
        <w:trPr>
          <w:trHeight w:val="410"/>
        </w:trPr>
        <w:tc>
          <w:tcPr>
            <w:tcW w:w="3200" w:type="dxa"/>
            <w:vAlign w:val="bottom"/>
          </w:tcPr>
          <w:p>
            <w:pPr>
              <w:spacing w:after="0"/>
              <w:rPr>
                <w:sz w:val="24"/>
                <w:szCs w:val="24"/>
                <w:color w:val="auto"/>
              </w:rPr>
            </w:pPr>
          </w:p>
        </w:tc>
        <w:tc>
          <w:tcPr>
            <w:tcW w:w="656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238"/>
        </w:trPr>
        <w:tc>
          <w:tcPr>
            <w:tcW w:w="3200" w:type="dxa"/>
            <w:vAlign w:val="bottom"/>
          </w:tcPr>
          <w:p>
            <w:pPr>
              <w:spacing w:after="0"/>
              <w:rPr>
                <w:sz w:val="20"/>
                <w:szCs w:val="20"/>
                <w:color w:val="auto"/>
              </w:rPr>
            </w:pPr>
          </w:p>
        </w:tc>
        <w:tc>
          <w:tcPr>
            <w:tcW w:w="65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tc>
      </w:tr>
      <w:tr>
        <w:trPr>
          <w:trHeight w:val="432"/>
        </w:trPr>
        <w:tc>
          <w:tcPr>
            <w:tcW w:w="3200" w:type="dxa"/>
            <w:vAlign w:val="bottom"/>
          </w:tcPr>
          <w:p>
            <w:pPr>
              <w:spacing w:after="0"/>
              <w:rPr>
                <w:sz w:val="24"/>
                <w:szCs w:val="24"/>
                <w:color w:val="auto"/>
              </w:rPr>
            </w:pPr>
          </w:p>
        </w:tc>
        <w:tc>
          <w:tcPr>
            <w:tcW w:w="656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OTICE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3"/>
                <w:szCs w:val="13"/>
                <w:b w:val="1"/>
                <w:bCs w:val="1"/>
                <w:color w:val="auto"/>
              </w:rPr>
              <w:t>XERCISE</w:t>
            </w:r>
          </w:p>
        </w:tc>
      </w:tr>
      <w:tr>
        <w:trPr>
          <w:trHeight w:val="684"/>
        </w:trPr>
        <w:tc>
          <w:tcPr>
            <w:tcW w:w="3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6560" w:type="dxa"/>
            <w:vAlign w:val="bottom"/>
          </w:tcPr>
          <w:p>
            <w:pPr>
              <w:spacing w:after="0"/>
              <w:rPr>
                <w:sz w:val="24"/>
                <w:szCs w:val="24"/>
                <w:color w:val="auto"/>
              </w:rPr>
            </w:pPr>
          </w:p>
        </w:tc>
      </w:tr>
      <w:tr>
        <w:trPr>
          <w:trHeight w:val="216"/>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209 CHURCH STREET</w:t>
            </w:r>
          </w:p>
        </w:tc>
        <w:tc>
          <w:tcPr>
            <w:tcW w:w="6560" w:type="dxa"/>
            <w:vAlign w:val="bottom"/>
          </w:tcPr>
          <w:p>
            <w:pPr>
              <w:spacing w:after="0"/>
              <w:rPr>
                <w:sz w:val="18"/>
                <w:szCs w:val="18"/>
                <w:color w:val="auto"/>
              </w:rPr>
            </w:pPr>
          </w:p>
        </w:tc>
      </w:tr>
      <w:tr>
        <w:trPr>
          <w:trHeight w:val="248"/>
        </w:trPr>
        <w:tc>
          <w:tcPr>
            <w:tcW w:w="3200" w:type="dxa"/>
            <w:vAlign w:val="bottom"/>
          </w:tcPr>
          <w:p>
            <w:pPr>
              <w:spacing w:after="0"/>
              <w:rPr>
                <w:sz w:val="20"/>
                <w:szCs w:val="20"/>
                <w:color w:val="auto"/>
              </w:rPr>
            </w:pPr>
            <w:r>
              <w:rPr>
                <w:rFonts w:ascii="Times New Roman" w:cs="Times New Roman" w:eastAsia="Times New Roman" w:hAnsi="Times New Roman"/>
                <w:sz w:val="18"/>
                <w:szCs w:val="18"/>
                <w:color w:val="auto"/>
              </w:rPr>
              <w:t>NEW HAVEN, CT 06510</w:t>
            </w:r>
          </w:p>
        </w:tc>
        <w:tc>
          <w:tcPr>
            <w:tcW w:w="6560" w:type="dxa"/>
            <w:vAlign w:val="bottom"/>
          </w:tcPr>
          <w:p>
            <w:pPr>
              <w:ind w:left="5300"/>
              <w:spacing w:after="0"/>
              <w:rPr>
                <w:sz w:val="20"/>
                <w:szCs w:val="20"/>
                <w:color w:val="auto"/>
              </w:rPr>
            </w:pPr>
            <w:r>
              <w:rPr>
                <w:rFonts w:ascii="Times New Roman" w:cs="Times New Roman" w:eastAsia="Times New Roman" w:hAnsi="Times New Roman"/>
                <w:sz w:val="18"/>
                <w:szCs w:val="18"/>
                <w:color w:val="auto"/>
                <w:w w:val="99"/>
              </w:rPr>
              <w:t>Date of Exercise:</w:t>
            </w:r>
          </w:p>
        </w:tc>
      </w:tr>
    </w:tbl>
    <w:p>
      <w:pPr>
        <w:spacing w:after="0" w:line="194" w:lineRule="exact"/>
        <w:rPr>
          <w:sz w:val="20"/>
          <w:szCs w:val="20"/>
          <w:color w:val="auto"/>
        </w:rPr>
      </w:pPr>
    </w:p>
    <w:p>
      <w:pPr>
        <w:ind w:right="40" w:firstLine="509"/>
        <w:spacing w:after="0" w:line="259" w:lineRule="auto"/>
        <w:rPr>
          <w:sz w:val="20"/>
          <w:szCs w:val="20"/>
          <w:color w:val="auto"/>
        </w:rPr>
      </w:pPr>
      <w:r>
        <w:rPr>
          <w:rFonts w:ascii="Times New Roman" w:cs="Times New Roman" w:eastAsia="Times New Roman" w:hAnsi="Times New Roman"/>
          <w:sz w:val="18"/>
          <w:szCs w:val="18"/>
          <w:color w:val="auto"/>
        </w:rPr>
        <w:t>This constitutes notice to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that I elect to purchase the below number of shares of Common Stock of the Company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by exercising my Option for the price set forth below. Capitalized terms not explicitly defined in this Notice of Exercise but defined in the Stock Option Grant Notice, Stock Option Agreement or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Type of option:</w:t>
            </w:r>
          </w:p>
        </w:tc>
        <w:tc>
          <w:tcPr>
            <w:tcW w:w="38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Nonstatutory</w:t>
            </w:r>
          </w:p>
        </w:tc>
      </w:tr>
      <w:tr>
        <w:trPr>
          <w:trHeight w:val="216"/>
        </w:trPr>
        <w:tc>
          <w:tcPr>
            <w:tcW w:w="7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Date of Grant:</w:t>
            </w:r>
          </w:p>
        </w:tc>
        <w:tc>
          <w:tcPr>
            <w:tcW w:w="3820" w:type="dxa"/>
            <w:vAlign w:val="bottom"/>
          </w:tcPr>
          <w:p>
            <w:pPr>
              <w:spacing w:after="0"/>
              <w:rPr>
                <w:sz w:val="18"/>
                <w:szCs w:val="18"/>
                <w:color w:val="auto"/>
              </w:rPr>
            </w:pPr>
          </w:p>
        </w:tc>
      </w:tr>
      <w:tr>
        <w:trPr>
          <w:trHeight w:val="216"/>
        </w:trPr>
        <w:tc>
          <w:tcPr>
            <w:tcW w:w="7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Number of Shares as to which Option is exercised:</w:t>
            </w:r>
          </w:p>
        </w:tc>
        <w:tc>
          <w:tcPr>
            <w:tcW w:w="3820" w:type="dxa"/>
            <w:vAlign w:val="bottom"/>
            <w:shd w:val="clear" w:color="auto" w:fill="CCEEFF"/>
          </w:tcPr>
          <w:p>
            <w:pPr>
              <w:spacing w:after="0"/>
              <w:rPr>
                <w:sz w:val="18"/>
                <w:szCs w:val="18"/>
                <w:color w:val="auto"/>
              </w:rPr>
            </w:pPr>
          </w:p>
        </w:tc>
      </w:tr>
      <w:tr>
        <w:trPr>
          <w:trHeight w:val="216"/>
        </w:trPr>
        <w:tc>
          <w:tcPr>
            <w:tcW w:w="74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Certificates to be issued in name of:</w:t>
            </w:r>
          </w:p>
        </w:tc>
        <w:tc>
          <w:tcPr>
            <w:tcW w:w="3820" w:type="dxa"/>
            <w:vAlign w:val="bottom"/>
          </w:tcPr>
          <w:p>
            <w:pPr>
              <w:spacing w:after="0"/>
              <w:rPr>
                <w:sz w:val="18"/>
                <w:szCs w:val="18"/>
                <w:color w:val="auto"/>
              </w:rPr>
            </w:pPr>
          </w:p>
        </w:tc>
      </w:tr>
      <w:tr>
        <w:trPr>
          <w:trHeight w:val="216"/>
        </w:trPr>
        <w:tc>
          <w:tcPr>
            <w:tcW w:w="74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exercise price:</w:t>
            </w:r>
          </w:p>
        </w:tc>
        <w:tc>
          <w:tcPr>
            <w:tcW w:w="38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Cash, check, bank draft or money order delivered herewith:</w:t>
            </w:r>
          </w:p>
        </w:tc>
        <w:tc>
          <w:tcPr>
            <w:tcW w:w="3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Value of</w:t>
            </w:r>
          </w:p>
        </w:tc>
        <w:tc>
          <w:tcPr>
            <w:tcW w:w="3820" w:type="dxa"/>
            <w:vAlign w:val="bottom"/>
            <w:shd w:val="clear" w:color="auto" w:fill="CCEEFF"/>
          </w:tcPr>
          <w:p>
            <w:pPr>
              <w:spacing w:after="0"/>
              <w:rPr>
                <w:sz w:val="17"/>
                <w:szCs w:val="17"/>
                <w:color w:val="auto"/>
              </w:rPr>
            </w:pPr>
          </w:p>
        </w:tc>
      </w:tr>
      <w:tr>
        <w:trPr>
          <w:trHeight w:val="248"/>
        </w:trPr>
        <w:tc>
          <w:tcPr>
            <w:tcW w:w="7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Shares delivered herewith:</w:t>
            </w:r>
          </w:p>
        </w:tc>
        <w:tc>
          <w:tcPr>
            <w:tcW w:w="38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Regulation T Program (cashless exercise)</w:t>
            </w:r>
          </w:p>
        </w:tc>
        <w:tc>
          <w:tcPr>
            <w:tcW w:w="3820" w:type="dxa"/>
            <w:vAlign w:val="bottom"/>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CEEFF"/>
          </w:tcPr>
          <w:p>
            <w:pPr>
              <w:ind w:left="860"/>
              <w:spacing w:after="0" w:line="198" w:lineRule="exact"/>
              <w:rPr>
                <w:sz w:val="20"/>
                <w:szCs w:val="20"/>
                <w:color w:val="auto"/>
              </w:rPr>
            </w:pPr>
            <w:r>
              <w:rPr>
                <w:rFonts w:ascii="Times New Roman" w:cs="Times New Roman" w:eastAsia="Times New Roman" w:hAnsi="Times New Roman"/>
                <w:sz w:val="18"/>
                <w:szCs w:val="18"/>
                <w:color w:val="auto"/>
              </w:rPr>
              <w:t>Value of</w:t>
            </w:r>
          </w:p>
        </w:tc>
        <w:tc>
          <w:tcPr>
            <w:tcW w:w="3820" w:type="dxa"/>
            <w:vAlign w:val="bottom"/>
            <w:shd w:val="clear" w:color="auto" w:fill="CCEEFF"/>
          </w:tcPr>
          <w:p>
            <w:pPr>
              <w:spacing w:after="0"/>
              <w:rPr>
                <w:sz w:val="17"/>
                <w:szCs w:val="17"/>
                <w:color w:val="auto"/>
              </w:rPr>
            </w:pPr>
          </w:p>
        </w:tc>
      </w:tr>
      <w:tr>
        <w:trPr>
          <w:trHeight w:val="248"/>
        </w:trPr>
        <w:tc>
          <w:tcPr>
            <w:tcW w:w="742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Shares pursuant to net exercise:</w:t>
            </w:r>
          </w:p>
        </w:tc>
        <w:tc>
          <w:tcPr>
            <w:tcW w:w="3820" w:type="dxa"/>
            <w:vAlign w:val="bottom"/>
            <w:shd w:val="clear" w:color="auto" w:fill="CCEEFF"/>
          </w:tcPr>
          <w:p>
            <w:pPr>
              <w:jc w:val="right"/>
              <w:ind w:right="13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20" w:type="dxa"/>
            <w:vAlign w:val="bottom"/>
            <w:tcBorders>
              <w:bottom w:val="single" w:sz="8" w:color="999999"/>
            </w:tcBorders>
          </w:tcPr>
          <w:p>
            <w:pPr>
              <w:spacing w:after="0"/>
              <w:rPr>
                <w:sz w:val="18"/>
                <w:szCs w:val="18"/>
                <w:color w:val="auto"/>
              </w:rPr>
            </w:pPr>
          </w:p>
        </w:tc>
        <w:tc>
          <w:tcPr>
            <w:tcW w:w="3820" w:type="dxa"/>
            <w:vAlign w:val="bottom"/>
            <w:tcBorders>
              <w:bottom w:val="single" w:sz="8" w:color="999999"/>
            </w:tcBorders>
          </w:tcPr>
          <w:p>
            <w:pPr>
              <w:spacing w:after="0"/>
              <w:rPr>
                <w:sz w:val="18"/>
                <w:szCs w:val="18"/>
                <w:color w:val="auto"/>
              </w:rPr>
            </w:pPr>
          </w:p>
        </w:tc>
      </w:tr>
    </w:tbl>
    <w:p>
      <w:pPr>
        <w:spacing w:after="0" w:line="198"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200" w:lineRule="exact"/>
        <w:rPr>
          <w:sz w:val="20"/>
          <w:szCs w:val="20"/>
          <w:color w:val="auto"/>
        </w:rPr>
      </w:pP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1324610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291465</wp:posOffset>
            </wp:positionV>
            <wp:extent cx="284607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N</w:t>
      </w:r>
      <w:r>
        <w:rPr>
          <w:rFonts w:ascii="Times New Roman" w:cs="Times New Roman" w:eastAsia="Times New Roman" w:hAnsi="Times New Roman"/>
          <w:sz w:val="13"/>
          <w:szCs w:val="13"/>
          <w:b w:val="1"/>
          <w:bCs w:val="1"/>
          <w:color w:val="auto"/>
        </w:rPr>
        <w:t>OTICE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w:t>
      </w:r>
    </w:p>
    <w:p>
      <w:pPr>
        <w:spacing w:after="0" w:line="203"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color w:val="auto"/>
        </w:rPr>
        <w:t>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awarded to you (the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the number of restricted stock units specified and on the terms set forth below in consideration of your services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Your RSU Award is subject to all of the terms and conditions as set forth herein and in the Invivyd,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and the Award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17145</wp:posOffset>
            </wp:positionV>
            <wp:extent cx="2348865"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6">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 (“</w:t>
      </w:r>
      <w:r>
        <w:rPr>
          <w:rFonts w:ascii="Times New Roman" w:cs="Times New Roman" w:eastAsia="Times New Roman" w:hAnsi="Times New Roman"/>
          <w:sz w:val="18"/>
          <w:szCs w:val="18"/>
          <w:b w:val="1"/>
          <w:bCs w:val="1"/>
          <w:i w:val="1"/>
          <w:iCs w:val="1"/>
          <w:color w:val="auto"/>
        </w:rPr>
        <w:t>Grant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19685</wp:posOffset>
            </wp:positionV>
            <wp:extent cx="234886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7">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17145</wp:posOffset>
            </wp:positionV>
            <wp:extent cx="234886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8">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17145</wp:posOffset>
            </wp:positionV>
            <wp:extent cx="234886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9">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50" w:lineRule="exact"/>
        <w:rPr>
          <w:sz w:val="20"/>
          <w:szCs w:val="20"/>
          <w:color w:val="auto"/>
        </w:rPr>
      </w:pPr>
    </w:p>
    <w:p>
      <w:pPr>
        <w:spacing w:after="0"/>
        <w:tabs>
          <w:tab w:leader="none" w:pos="1800" w:val="left"/>
          <w:tab w:leader="none" w:pos="6320" w:val="left"/>
        </w:tabs>
        <w:rPr>
          <w:sz w:val="20"/>
          <w:szCs w:val="20"/>
          <w:color w:val="auto"/>
        </w:rPr>
      </w:pPr>
      <w:r>
        <w:rPr>
          <w:rFonts w:ascii="Times New Roman" w:cs="Times New Roman" w:eastAsia="Times New Roman" w:hAnsi="Times New Roman"/>
          <w:sz w:val="18"/>
          <w:szCs w:val="18"/>
          <w:b w:val="1"/>
          <w:bCs w:val="1"/>
          <w:color w:val="auto"/>
        </w:rPr>
        <w:t>Vesting Schedule: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1191895</wp:posOffset>
            </wp:positionH>
            <wp:positionV relativeFrom="paragraph">
              <wp:posOffset>-5080</wp:posOffset>
            </wp:positionV>
            <wp:extent cx="282765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50">
                      <a:extLst>
                        <a:ext uri="{28A0092B-C50C-407E-A947-70E740481C1C}"/>
                      </a:extLst>
                    </a:blip>
                    <a:srcRect/>
                    <a:stretch>
                      <a:fillRect/>
                    </a:stretch>
                  </pic:blipFill>
                  <pic:spPr bwMode="auto">
                    <a:xfrm>
                      <a:off x="0" y="0"/>
                      <a:ext cx="2827655" cy="8255"/>
                    </a:xfrm>
                    <a:prstGeom prst="rect">
                      <a:avLst/>
                    </a:prstGeom>
                    <a:noFill/>
                  </pic:spPr>
                </pic:pic>
              </a:graphicData>
            </a:graphic>
          </wp:anchor>
        </w:drawing>
      </w:r>
    </w:p>
    <w:p>
      <w:pPr>
        <w:spacing w:after="0" w:line="1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Notwithstanding the foregoing, vesting shall terminate upon the Participant’s termination of Continuous Service.</w:t>
      </w:r>
    </w:p>
    <w:p>
      <w:pPr>
        <w:spacing w:after="0" w:line="203" w:lineRule="exact"/>
        <w:rPr>
          <w:sz w:val="20"/>
          <w:szCs w:val="20"/>
          <w:color w:val="auto"/>
        </w:rPr>
      </w:pPr>
    </w:p>
    <w:p>
      <w:pPr>
        <w:ind w:left="1820" w:right="60" w:hanging="1808"/>
        <w:spacing w:after="0" w:line="282" w:lineRule="auto"/>
        <w:tabs>
          <w:tab w:leader="none" w:pos="1800" w:val="left"/>
        </w:tabs>
        <w:rPr>
          <w:sz w:val="20"/>
          <w:szCs w:val="20"/>
          <w:color w:val="auto"/>
        </w:rPr>
      </w:pPr>
      <w:r>
        <w:rPr>
          <w:rFonts w:ascii="Times New Roman" w:cs="Times New Roman" w:eastAsia="Times New Roman" w:hAnsi="Times New Roman"/>
          <w:sz w:val="18"/>
          <w:szCs w:val="18"/>
          <w:b w:val="1"/>
          <w:bCs w:val="1"/>
          <w:color w:val="auto"/>
        </w:rPr>
        <w:t>Issuance Schedule:</w:t>
      </w:r>
      <w:r>
        <w:rPr>
          <w:sz w:val="20"/>
          <w:szCs w:val="20"/>
          <w:color w:val="auto"/>
        </w:rPr>
        <w:tab/>
      </w:r>
      <w:r>
        <w:rPr>
          <w:rFonts w:ascii="Times New Roman" w:cs="Times New Roman" w:eastAsia="Times New Roman" w:hAnsi="Times New Roman"/>
          <w:sz w:val="18"/>
          <w:szCs w:val="18"/>
          <w:color w:val="auto"/>
        </w:rPr>
        <w:t>One share of Common Stock will be issued at the time set forth in Section 5 of the Agreement for each restricted stock unit which vests.</w:t>
      </w:r>
    </w:p>
    <w:p>
      <w:pPr>
        <w:spacing w:after="0" w:line="162"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Participant Acknowledgements: </w:t>
      </w:r>
      <w:r>
        <w:rPr>
          <w:rFonts w:ascii="Times New Roman" w:cs="Times New Roman" w:eastAsia="Times New Roman" w:hAnsi="Times New Roman"/>
          <w:sz w:val="18"/>
          <w:szCs w:val="18"/>
          <w:color w:val="auto"/>
        </w:rPr>
        <w:t>By your signature below or by electronic acceptance or authentication in a form authorized by the Company,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understand and agree that:</w:t>
      </w:r>
    </w:p>
    <w:p>
      <w:pPr>
        <w:spacing w:after="0" w:line="60" w:lineRule="exact"/>
        <w:rPr>
          <w:sz w:val="20"/>
          <w:szCs w:val="20"/>
          <w:color w:val="auto"/>
        </w:rPr>
      </w:pPr>
    </w:p>
    <w:p>
      <w:pPr>
        <w:ind w:left="1020" w:right="280" w:hanging="445"/>
        <w:spacing w:after="0" w:line="26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 Award is governed by this RSU Award Grant Notice (the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the Company’s Incentive Compensation Recovery Policy,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18"/>
          <w:szCs w:val="18"/>
          <w:b w:val="1"/>
          <w:bCs w:val="1"/>
          <w:i w:val="1"/>
          <w:iCs w:val="1"/>
          <w:color w:val="auto"/>
        </w:rPr>
        <w:t>RSU Award Agreement</w:t>
      </w:r>
      <w:r>
        <w:rPr>
          <w:rFonts w:ascii="Times New Roman" w:cs="Times New Roman" w:eastAsia="Times New Roman" w:hAnsi="Times New Roman"/>
          <w:sz w:val="18"/>
          <w:szCs w:val="18"/>
          <w:color w:val="auto"/>
        </w:rPr>
        <w:t>”) may not be modified, amended or revised except in a writing signed by you and a duly authorized officer of the Company.</w:t>
      </w:r>
    </w:p>
    <w:p>
      <w:pPr>
        <w:spacing w:after="0" w:line="85" w:lineRule="exact"/>
        <w:rPr>
          <w:rFonts w:ascii="Times New Roman" w:cs="Times New Roman" w:eastAsia="Times New Roman" w:hAnsi="Times New Roman"/>
          <w:sz w:val="18"/>
          <w:szCs w:val="18"/>
          <w:color w:val="auto"/>
        </w:rPr>
      </w:pPr>
    </w:p>
    <w:p>
      <w:pPr>
        <w:ind w:left="1020" w:right="220" w:hanging="445"/>
        <w:spacing w:after="0" w:line="282" w:lineRule="auto"/>
        <w:tabs>
          <w:tab w:leader="none" w:pos="102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67" w:lineRule="exact"/>
        <w:rPr>
          <w:rFonts w:ascii="Times New Roman" w:cs="Times New Roman" w:eastAsia="Times New Roman" w:hAnsi="Times New Roman"/>
          <w:sz w:val="18"/>
          <w:szCs w:val="18"/>
          <w:color w:val="auto"/>
        </w:rPr>
      </w:pPr>
    </w:p>
    <w:p>
      <w:pPr>
        <w:jc w:val="both"/>
        <w:ind w:left="1020" w:right="200" w:hanging="445"/>
        <w:spacing w:after="0" w:line="281" w:lineRule="auto"/>
        <w:tabs>
          <w:tab w:leader="none" w:pos="102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INVIVYD, INC.</w:t>
            </w:r>
          </w:p>
        </w:tc>
        <w:tc>
          <w:tcPr>
            <w:tcW w:w="6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3"/>
                <w:szCs w:val="13"/>
                <w:b w:val="1"/>
                <w:bCs w:val="1"/>
                <w:color w:val="auto"/>
              </w:rPr>
              <w:t>ARTICIPANT</w:t>
            </w:r>
            <w:r>
              <w:rPr>
                <w:rFonts w:ascii="Times New Roman" w:cs="Times New Roman" w:eastAsia="Times New Roman" w:hAnsi="Times New Roman"/>
                <w:sz w:val="18"/>
                <w:szCs w:val="18"/>
                <w:b w:val="1"/>
                <w:bCs w:val="1"/>
                <w:color w:val="auto"/>
              </w:rPr>
              <w:t>:</w:t>
            </w:r>
          </w:p>
        </w:tc>
      </w:tr>
      <w:tr>
        <w:trPr>
          <w:trHeight w:val="432"/>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28"/>
        </w:trPr>
        <w:tc>
          <w:tcPr>
            <w:tcW w:w="620" w:type="dxa"/>
            <w:vAlign w:val="bottom"/>
          </w:tcPr>
          <w:p>
            <w:pPr>
              <w:spacing w:after="0"/>
              <w:rPr>
                <w:sz w:val="19"/>
                <w:szCs w:val="19"/>
                <w:color w:val="auto"/>
              </w:rPr>
            </w:pPr>
          </w:p>
        </w:tc>
        <w:tc>
          <w:tcPr>
            <w:tcW w:w="470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c>
          <w:tcPr>
            <w:tcW w:w="6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680" w:type="dxa"/>
            <w:vAlign w:val="bottom"/>
            <w:tcBorders>
              <w:top w:val="single" w:sz="8" w:color="auto"/>
            </w:tcBorders>
          </w:tcPr>
          <w:p>
            <w:pPr>
              <w:ind w:left="2000"/>
              <w:spacing w:after="0"/>
              <w:rPr>
                <w:sz w:val="20"/>
                <w:szCs w:val="20"/>
                <w:color w:val="auto"/>
              </w:rPr>
            </w:pPr>
            <w:r>
              <w:rPr>
                <w:rFonts w:ascii="Times New Roman" w:cs="Times New Roman" w:eastAsia="Times New Roman" w:hAnsi="Times New Roman"/>
                <w:sz w:val="18"/>
                <w:szCs w:val="18"/>
                <w:color w:val="auto"/>
              </w:rPr>
              <w:t>Signature</w:t>
            </w:r>
          </w:p>
        </w:tc>
      </w:tr>
      <w:tr>
        <w:trPr>
          <w:trHeight w:val="427"/>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680" w:type="dxa"/>
            <w:vAlign w:val="bottom"/>
            <w:tcBorders>
              <w:bottom w:val="single" w:sz="8" w:color="auto"/>
            </w:tcBorders>
          </w:tcPr>
          <w:p>
            <w:pPr>
              <w:spacing w:after="0"/>
              <w:rPr>
                <w:sz w:val="24"/>
                <w:szCs w:val="24"/>
                <w:color w:val="auto"/>
              </w:rPr>
            </w:pPr>
          </w:p>
        </w:tc>
      </w:tr>
      <w:tr>
        <w:trPr>
          <w:trHeight w:val="439"/>
        </w:trPr>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1634"/>
        </w:trPr>
        <w:tc>
          <w:tcPr>
            <w:tcW w:w="620" w:type="dxa"/>
            <w:vAlign w:val="bottom"/>
            <w:tcBorders>
              <w:bottom w:val="single" w:sz="8" w:color="9A9A9A"/>
            </w:tcBorders>
          </w:tcPr>
          <w:p>
            <w:pPr>
              <w:spacing w:after="0"/>
              <w:rPr>
                <w:sz w:val="24"/>
                <w:szCs w:val="24"/>
                <w:color w:val="auto"/>
              </w:rPr>
            </w:pPr>
          </w:p>
        </w:tc>
        <w:tc>
          <w:tcPr>
            <w:tcW w:w="4700" w:type="dxa"/>
            <w:vAlign w:val="bottom"/>
            <w:tcBorders>
              <w:top w:val="single" w:sz="8" w:color="auto"/>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14" w:name="page215"/>
    <w:bookmarkEnd w:id="21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TTACHMENTS</w:t>
      </w:r>
      <w:r>
        <w:rPr>
          <w:rFonts w:ascii="Times New Roman" w:cs="Times New Roman" w:eastAsia="Times New Roman" w:hAnsi="Times New Roman"/>
          <w:sz w:val="18"/>
          <w:szCs w:val="18"/>
          <w:color w:val="auto"/>
        </w:rPr>
        <w:t>: Award Agreement, 2021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215" w:name="page216"/>
    <w:bookmarkEnd w:id="215"/>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3"/>
          <w:szCs w:val="13"/>
          <w:b w:val="1"/>
          <w:bCs w:val="1"/>
          <w:color w:val="auto"/>
        </w:rPr>
        <w:t>TTACHMENT</w:t>
      </w:r>
      <w:r>
        <w:rPr>
          <w:rFonts w:ascii="Times New Roman" w:cs="Times New Roman" w:eastAsia="Times New Roman" w:hAnsi="Times New Roman"/>
          <w:sz w:val="18"/>
          <w:szCs w:val="18"/>
          <w:b w:val="1"/>
          <w:bCs w:val="1"/>
          <w:color w:val="auto"/>
        </w:rPr>
        <w:t xml:space="preserve"> I</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INVIVYD,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AWARD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03" w:lineRule="exact"/>
        <w:rPr>
          <w:sz w:val="20"/>
          <w:szCs w:val="20"/>
          <w:color w:val="auto"/>
        </w:rPr>
      </w:pPr>
    </w:p>
    <w:p>
      <w:pPr>
        <w:ind w:right="140" w:firstLine="509"/>
        <w:spacing w:after="0" w:line="259" w:lineRule="auto"/>
        <w:rPr>
          <w:sz w:val="20"/>
          <w:szCs w:val="20"/>
          <w:color w:val="auto"/>
        </w:rPr>
      </w:pPr>
      <w:r>
        <w:rPr>
          <w:rFonts w:ascii="Times New Roman" w:cs="Times New Roman" w:eastAsia="Times New Roman" w:hAnsi="Times New Roman"/>
          <w:sz w:val="18"/>
          <w:szCs w:val="18"/>
          <w:color w:val="auto"/>
        </w:rPr>
        <w:t>As reflected by your RSU Award Grant Notice (“</w:t>
      </w:r>
      <w:r>
        <w:rPr>
          <w:rFonts w:ascii="Times New Roman" w:cs="Times New Roman" w:eastAsia="Times New Roman" w:hAnsi="Times New Roman"/>
          <w:sz w:val="18"/>
          <w:szCs w:val="18"/>
          <w:b w:val="1"/>
          <w:bCs w:val="1"/>
          <w:i w:val="1"/>
          <w:iCs w:val="1"/>
          <w:color w:val="auto"/>
        </w:rPr>
        <w:t>Grant Notice</w:t>
      </w:r>
      <w:r>
        <w:rPr>
          <w:rFonts w:ascii="Times New Roman" w:cs="Times New Roman" w:eastAsia="Times New Roman" w:hAnsi="Times New Roman"/>
          <w:sz w:val="18"/>
          <w:szCs w:val="18"/>
          <w:color w:val="auto"/>
        </w:rPr>
        <w:t>”), Invivyd,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granted you a RSU Award under the Invivyd,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for the number of restricted stock units as indicated in your Grant Notice (the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The terms of your RSU Award as specified in this Award Agreement for your RSU Award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and the Grant Notice constitute your “</w:t>
      </w:r>
      <w:r>
        <w:rPr>
          <w:rFonts w:ascii="Times New Roman" w:cs="Times New Roman" w:eastAsia="Times New Roman" w:hAnsi="Times New Roman"/>
          <w:sz w:val="18"/>
          <w:szCs w:val="18"/>
          <w:b w:val="1"/>
          <w:bCs w:val="1"/>
          <w:i w:val="1"/>
          <w:iCs w:val="1"/>
          <w:color w:val="auto"/>
        </w:rPr>
        <w:t>RSU 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Defined terms not explicitly defined in this Agreement but defined in the Grant Notice or the Plan shall have the same definitions as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Grant Notice or Plan, as applicable.</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general terms applicable to your RSU Award are as follows:</w:t>
      </w:r>
    </w:p>
    <w:p>
      <w:pPr>
        <w:spacing w:after="0" w:line="113" w:lineRule="exact"/>
        <w:rPr>
          <w:sz w:val="20"/>
          <w:szCs w:val="20"/>
          <w:color w:val="auto"/>
        </w:rPr>
      </w:pPr>
    </w:p>
    <w:p>
      <w:pPr>
        <w:ind w:left="700" w:hanging="183"/>
        <w:spacing w:after="0"/>
        <w:tabs>
          <w:tab w:leader="none" w:pos="700" w:val="left"/>
        </w:tabs>
        <w:numPr>
          <w:ilvl w:val="0"/>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OVERNING</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all the provisions of the Plan, including but not limited to the provisions in:</w:t>
      </w:r>
    </w:p>
    <w:p>
      <w:pPr>
        <w:spacing w:after="0" w:line="121"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 of the Plan regarding the impact of a Capitalization Adjustment, dissolution, liquidation, or Corporate Transaction on your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w:t>
      </w:r>
    </w:p>
    <w:p>
      <w:pPr>
        <w:spacing w:after="0" w:line="98"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9(e) of the Plan regarding the Company’s retained rights to terminate your Continuous Service notwithstanding the grant of the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RSU Award; and</w:t>
      </w:r>
    </w:p>
    <w:p>
      <w:pPr>
        <w:spacing w:after="0" w:line="98" w:lineRule="exact"/>
        <w:rPr>
          <w:rFonts w:ascii="Times New Roman" w:cs="Times New Roman" w:eastAsia="Times New Roman" w:hAnsi="Times New Roman"/>
          <w:sz w:val="18"/>
          <w:szCs w:val="18"/>
          <w:b w:val="1"/>
          <w:bCs w:val="1"/>
          <w:color w:val="auto"/>
        </w:rPr>
      </w:pPr>
    </w:p>
    <w:p>
      <w:pPr>
        <w:ind w:left="1400" w:hanging="246"/>
        <w:spacing w:after="0"/>
        <w:tabs>
          <w:tab w:leader="none" w:pos="1400" w:val="left"/>
        </w:tabs>
        <w:numPr>
          <w:ilvl w:val="1"/>
          <w:numId w:val="1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8 of the Plan regarding the tax consequences of your RSU Award.</w:t>
      </w:r>
    </w:p>
    <w:p>
      <w:pPr>
        <w:spacing w:after="0" w:line="22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72" w:lineRule="exact"/>
        <w:rPr>
          <w:sz w:val="20"/>
          <w:szCs w:val="20"/>
          <w:color w:val="auto"/>
        </w:rPr>
      </w:pPr>
    </w:p>
    <w:p>
      <w:pPr>
        <w:ind w:right="20" w:firstLine="517"/>
        <w:spacing w:after="0" w:line="257" w:lineRule="auto"/>
        <w:tabs>
          <w:tab w:leader="none" w:pos="68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3"/>
          <w:szCs w:val="13"/>
          <w:b w:val="1"/>
          <w:bCs w:val="1"/>
          <w:color w:val="auto"/>
        </w:rPr>
        <w:t>RANT</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HE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3"/>
          <w:szCs w:val="13"/>
          <w:b w:val="1"/>
          <w:bCs w:val="1"/>
          <w:color w:val="auto"/>
        </w:rPr>
        <w:t>SU</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3"/>
          <w:szCs w:val="13"/>
          <w:b w:val="1"/>
          <w:bCs w:val="1"/>
          <w:color w:val="auto"/>
        </w:rPr>
        <w:t>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RSU Award represents your right to be issued on a future date the number of shares of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182" w:lineRule="exact"/>
        <w:rPr>
          <w:rFonts w:ascii="Times New Roman" w:cs="Times New Roman" w:eastAsia="Times New Roman" w:hAnsi="Times New Roman"/>
          <w:sz w:val="18"/>
          <w:szCs w:val="18"/>
          <w:b w:val="1"/>
          <w:bCs w:val="1"/>
          <w:color w:val="auto"/>
        </w:rPr>
      </w:pPr>
    </w:p>
    <w:p>
      <w:pPr>
        <w:ind w:firstLine="517"/>
        <w:spacing w:after="0" w:line="268" w:lineRule="auto"/>
        <w:tabs>
          <w:tab w:leader="none" w:pos="68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shall receive no benefit or adjustment to this RSU Award with respect to any cash dividend, stock dividend or other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170" w:lineRule="exact"/>
        <w:rPr>
          <w:rFonts w:ascii="Times New Roman" w:cs="Times New Roman" w:eastAsia="Times New Roman" w:hAnsi="Times New Roman"/>
          <w:sz w:val="18"/>
          <w:szCs w:val="18"/>
          <w:b w:val="1"/>
          <w:bCs w:val="1"/>
          <w:color w:val="auto"/>
        </w:rPr>
      </w:pPr>
    </w:p>
    <w:p>
      <w:pPr>
        <w:ind w:right="40" w:firstLine="517"/>
        <w:spacing w:after="0" w:line="254" w:lineRule="auto"/>
        <w:tabs>
          <w:tab w:leader="none" w:pos="689" w:val="left"/>
        </w:tabs>
        <w:numPr>
          <w:ilvl w:val="0"/>
          <w:numId w:val="1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w:t>
      </w:r>
      <w:r>
        <w:rPr>
          <w:rFonts w:ascii="Times New Roman" w:cs="Times New Roman" w:eastAsia="Times New Roman" w:hAnsi="Times New Roman"/>
          <w:sz w:val="13"/>
          <w:szCs w:val="13"/>
          <w:b w:val="1"/>
          <w:bCs w:val="1"/>
          <w:color w:val="auto"/>
        </w:rPr>
        <w:t>ITHHOLDING</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BLIGATIONS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further provided in Section 8 of the Plan, you hereby authorize withholding from payroll and any other amounts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18"/>
          <w:szCs w:val="18"/>
          <w:b w:val="1"/>
          <w:bCs w:val="1"/>
          <w:i w:val="1"/>
          <w:iCs w:val="1"/>
          <w:color w:val="auto"/>
        </w:rPr>
        <w:t>Withholding Obligation</w:t>
      </w:r>
      <w:r>
        <w:rPr>
          <w:rFonts w:ascii="Times New Roman" w:cs="Times New Roman" w:eastAsia="Times New Roman" w:hAnsi="Times New Roman"/>
          <w:sz w:val="18"/>
          <w:szCs w:val="18"/>
          <w:color w:val="auto"/>
        </w:rPr>
        <w:t>”) in accordance with the withholding procedures established by the Company, including those described in Section 8(b) of the Plan. In furtherance of the Withholding Obligation, if you are an employee of the Company as of the Grant Date, then you hereby agree as a condition of this Agreement that, if directed by the Company, you will enter into a side letter agreement with the Company prior to or as soon as practicable following the Grant Date (or at such other time as directed by the Company), in a form that is acceptable to the Company, pursuant to which you will make an election to satisfy all tax withholding obligations that arise hereunder pursuant to the “sell to cover” tax withholding method in compliance with Rule 10b5-1(c) of the Securities Exchange Act of 1934, as amended. Unless the Withholding Obligation is satisfied, the Company shall have no obligation to deliver to you any Common Stock in respect of the RSU Award. In the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04" w:lineRule="exact"/>
        <w:rPr>
          <w:sz w:val="20"/>
          <w:szCs w:val="20"/>
          <w:color w:val="auto"/>
        </w:rPr>
      </w:pPr>
    </w:p>
    <w:p>
      <w:pPr>
        <w:ind w:left="700" w:hanging="183"/>
        <w:spacing w:after="0"/>
        <w:tabs>
          <w:tab w:leader="none" w:pos="700" w:val="left"/>
        </w:tabs>
        <w:numPr>
          <w:ilvl w:val="0"/>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3"/>
          <w:szCs w:val="13"/>
          <w:b w:val="1"/>
          <w:bCs w:val="1"/>
          <w:color w:val="auto"/>
        </w:rPr>
        <w:t>ATE</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3"/>
          <w:szCs w:val="13"/>
          <w:b w:val="1"/>
          <w:bCs w:val="1"/>
          <w:color w:val="auto"/>
        </w:rPr>
        <w:t>F</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SSUANCE</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b w:val="1"/>
          <w:bCs w:val="1"/>
          <w:color w:val="auto"/>
        </w:rPr>
      </w:pPr>
    </w:p>
    <w:p>
      <w:pPr>
        <w:ind w:right="60" w:firstLine="1154"/>
        <w:spacing w:after="0" w:line="258" w:lineRule="auto"/>
        <w:tabs>
          <w:tab w:leader="none" w:pos="1400" w:val="left"/>
        </w:tabs>
        <w:numPr>
          <w:ilvl w:val="1"/>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18"/>
          <w:szCs w:val="18"/>
          <w:b w:val="1"/>
          <w:bCs w:val="1"/>
          <w:i w:val="1"/>
          <w:iCs w:val="1"/>
          <w:color w:val="auto"/>
        </w:rPr>
        <w:t>Original Issuance Date</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b w:val="1"/>
          <w:bCs w:val="1"/>
          <w:color w:val="auto"/>
        </w:rPr>
      </w:pPr>
    </w:p>
    <w:p>
      <w:pPr>
        <w:ind w:left="1420" w:hanging="266"/>
        <w:spacing w:after="0"/>
        <w:tabs>
          <w:tab w:leader="none" w:pos="1420" w:val="left"/>
        </w:tabs>
        <w:numPr>
          <w:ilvl w:val="1"/>
          <w:numId w:val="1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the Original Issuance Date falls on a date that is not a business day, delivery shall instead occur on the next following business day. In</w:t>
      </w:r>
    </w:p>
    <w:p>
      <w:pPr>
        <w:spacing w:after="0" w:line="38" w:lineRule="exact"/>
        <w:rPr>
          <w:rFonts w:ascii="Times New Roman" w:cs="Times New Roman" w:eastAsia="Times New Roman" w:hAnsi="Times New Roman"/>
          <w:sz w:val="17"/>
          <w:szCs w:val="17"/>
          <w:b w:val="1"/>
          <w:bCs w:val="1"/>
          <w:color w:val="auto"/>
        </w:rPr>
      </w:pPr>
    </w:p>
    <w:p>
      <w:pPr>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 xml:space="preserve">addition, </w:t>
      </w:r>
      <w:r>
        <w:rPr>
          <w:rFonts w:ascii="Times New Roman" w:cs="Times New Roman" w:eastAsia="Times New Roman" w:hAnsi="Times New Roman"/>
          <w:sz w:val="18"/>
          <w:szCs w:val="18"/>
          <w:u w:val="single" w:color="auto"/>
          <w:color w:val="auto"/>
        </w:rPr>
        <w:t>if</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7"/>
          <w:szCs w:val="17"/>
          <w:b w:val="1"/>
          <w:bCs w:val="1"/>
          <w:color w:val="auto"/>
        </w:rPr>
      </w:pPr>
    </w:p>
    <w:p>
      <w:pPr>
        <w:ind w:right="80" w:firstLine="1663"/>
        <w:spacing w:after="0" w:line="258" w:lineRule="auto"/>
        <w:tabs>
          <w:tab w:leader="none" w:pos="1870" w:val="left"/>
        </w:tabs>
        <w:numPr>
          <w:ilvl w:val="2"/>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18"/>
          <w:szCs w:val="18"/>
          <w:b w:val="1"/>
          <w:bCs w:val="1"/>
          <w:i w:val="1"/>
          <w:iCs w:val="1"/>
          <w:color w:val="auto"/>
        </w:rPr>
        <w:t>10b5-1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Arrangement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and</w:t>
      </w:r>
    </w:p>
    <w:p>
      <w:pPr>
        <w:spacing w:after="0" w:line="75" w:lineRule="exact"/>
        <w:rPr>
          <w:rFonts w:ascii="Times New Roman" w:cs="Times New Roman" w:eastAsia="Times New Roman" w:hAnsi="Times New Roman"/>
          <w:sz w:val="18"/>
          <w:szCs w:val="18"/>
          <w:b w:val="1"/>
          <w:bCs w:val="1"/>
          <w:color w:val="auto"/>
        </w:rPr>
      </w:pPr>
    </w:p>
    <w:p>
      <w:pPr>
        <w:ind w:right="80" w:firstLine="1663"/>
        <w:spacing w:after="0" w:line="261" w:lineRule="auto"/>
        <w:tabs>
          <w:tab w:leader="none" w:pos="1920" w:val="left"/>
        </w:tabs>
        <w:numPr>
          <w:ilvl w:val="2"/>
          <w:numId w:val="1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80"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u w:val="single" w:color="auto"/>
          <w:color w:val="auto"/>
        </w:rPr>
        <w:t>then</w:t>
      </w:r>
      <w:r>
        <w:rPr>
          <w:rFonts w:ascii="Times New Roman" w:cs="Times New Roman" w:eastAsia="Times New Roman" w:hAnsi="Times New Roman"/>
          <w:sz w:val="18"/>
          <w:szCs w:val="18"/>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18"/>
          <w:szCs w:val="18"/>
          <w:u w:val="single" w:color="auto"/>
          <w:color w:val="auto"/>
        </w:rPr>
        <w:t>if and only if</w:t>
      </w:r>
      <w:r>
        <w:rPr>
          <w:rFonts w:ascii="Times New Roman" w:cs="Times New Roman" w:eastAsia="Times New Roman" w:hAnsi="Times New Roman"/>
          <w:sz w:val="18"/>
          <w:szCs w:val="18"/>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79" w:lineRule="exact"/>
        <w:rPr>
          <w:sz w:val="20"/>
          <w:szCs w:val="20"/>
          <w:color w:val="auto"/>
        </w:rPr>
      </w:pPr>
    </w:p>
    <w:p>
      <w:pPr>
        <w:ind w:left="1400" w:hanging="246"/>
        <w:spacing w:after="0"/>
        <w:tabs>
          <w:tab w:leader="none" w:pos="1400" w:val="left"/>
        </w:tabs>
        <w:numPr>
          <w:ilvl w:val="1"/>
          <w:numId w:val="1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the RSU Award is a Non-Exempt RSU Award, the provisions of Section 11 of the Plan shall apply.</w:t>
      </w:r>
    </w:p>
    <w:p>
      <w:pPr>
        <w:spacing w:after="0" w:line="221" w:lineRule="exact"/>
        <w:rPr>
          <w:rFonts w:ascii="Times New Roman" w:cs="Times New Roman" w:eastAsia="Times New Roman" w:hAnsi="Times New Roman"/>
          <w:sz w:val="18"/>
          <w:szCs w:val="18"/>
          <w:b w:val="1"/>
          <w:bCs w:val="1"/>
          <w:color w:val="auto"/>
        </w:rPr>
      </w:pPr>
    </w:p>
    <w:p>
      <w:pPr>
        <w:ind w:right="360" w:firstLine="517"/>
        <w:spacing w:after="0" w:line="286" w:lineRule="auto"/>
        <w:tabs>
          <w:tab w:leader="none" w:pos="689"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3"/>
          <w:szCs w:val="13"/>
          <w:b w:val="1"/>
          <w:bCs w:val="1"/>
          <w:color w:val="auto"/>
        </w:rPr>
        <w:t>RANSFERABILITY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Except as otherwise provided in the Plan, your RSU Award is not transferable, except by will or by the applicable laws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descent and distribution.</w:t>
      </w:r>
    </w:p>
    <w:p>
      <w:pPr>
        <w:spacing w:after="0" w:line="154" w:lineRule="exact"/>
        <w:rPr>
          <w:rFonts w:ascii="Times New Roman" w:cs="Times New Roman" w:eastAsia="Times New Roman" w:hAnsi="Times New Roman"/>
          <w:sz w:val="18"/>
          <w:szCs w:val="18"/>
          <w:b w:val="1"/>
          <w:bCs w:val="1"/>
          <w:color w:val="auto"/>
        </w:rPr>
      </w:pPr>
    </w:p>
    <w:p>
      <w:pPr>
        <w:ind w:left="700" w:hanging="183"/>
        <w:spacing w:after="0"/>
        <w:tabs>
          <w:tab w:leader="none" w:pos="700"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3"/>
          <w:szCs w:val="13"/>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Your RSU Award is subject to the terms of any agreement governing a Corporate Transaction involving the</w:t>
      </w:r>
    </w:p>
    <w:p>
      <w:pPr>
        <w:spacing w:after="0" w:line="31" w:lineRule="exact"/>
        <w:rPr>
          <w:rFonts w:ascii="Times New Roman" w:cs="Times New Roman" w:eastAsia="Times New Roman" w:hAnsi="Times New Roman"/>
          <w:sz w:val="18"/>
          <w:szCs w:val="18"/>
          <w:b w:val="1"/>
          <w:bCs w:val="1"/>
          <w:color w:val="auto"/>
        </w:rPr>
      </w:pPr>
    </w:p>
    <w:p>
      <w:pPr>
        <w:ind w:right="2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including, without limitation, a provision for the appointment of a stockholder representative that is authorized to act on your behalf with respect to any escrow, indemnities and any contingent consideration.</w:t>
      </w:r>
    </w:p>
    <w:p>
      <w:pPr>
        <w:spacing w:after="0" w:line="177" w:lineRule="exact"/>
        <w:rPr>
          <w:rFonts w:ascii="Times New Roman" w:cs="Times New Roman" w:eastAsia="Times New Roman" w:hAnsi="Times New Roman"/>
          <w:sz w:val="18"/>
          <w:szCs w:val="18"/>
          <w:b w:val="1"/>
          <w:bCs w:val="1"/>
          <w:color w:val="auto"/>
        </w:rPr>
      </w:pPr>
    </w:p>
    <w:p>
      <w:pPr>
        <w:ind w:right="80" w:firstLine="517"/>
        <w:spacing w:after="0" w:line="262" w:lineRule="auto"/>
        <w:tabs>
          <w:tab w:leader="none" w:pos="689"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w:t>
      </w:r>
      <w:r>
        <w:rPr>
          <w:rFonts w:ascii="Times New Roman" w:cs="Times New Roman" w:eastAsia="Times New Roman" w:hAnsi="Times New Roman"/>
          <w:sz w:val="13"/>
          <w:szCs w:val="13"/>
          <w:b w:val="1"/>
          <w:bCs w:val="1"/>
          <w:color w:val="auto"/>
        </w:rPr>
        <w:t>O</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3"/>
          <w:szCs w:val="13"/>
          <w:b w:val="1"/>
          <w:bCs w:val="1"/>
          <w:color w:val="auto"/>
        </w:rPr>
        <w:t>IABILITY FOR</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3"/>
          <w:szCs w:val="13"/>
          <w:b w:val="1"/>
          <w:bCs w:val="1"/>
          <w:color w:val="auto"/>
        </w:rPr>
        <w:t>AXES</w:t>
      </w:r>
      <w:r>
        <w:rPr>
          <w:rFonts w:ascii="Times New Roman" w:cs="Times New Roman" w:eastAsia="Times New Roman" w:hAnsi="Times New Roman"/>
          <w:sz w:val="18"/>
          <w:szCs w:val="18"/>
          <w:color w:val="auto"/>
        </w:rPr>
        <w:t>. As a condition to accepting the RSU Award, you hereby (a) agree to not make any claim against the Company,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108" w:lineRule="exact"/>
        <w:rPr>
          <w:rFonts w:ascii="Times New Roman" w:cs="Times New Roman" w:eastAsia="Times New Roman" w:hAnsi="Times New Roman"/>
          <w:sz w:val="18"/>
          <w:szCs w:val="18"/>
          <w:b w:val="1"/>
          <w:bCs w:val="1"/>
          <w:color w:val="auto"/>
        </w:rPr>
      </w:pPr>
    </w:p>
    <w:p>
      <w:pPr>
        <w:ind w:right="560" w:firstLine="517"/>
        <w:spacing w:after="0" w:line="286" w:lineRule="auto"/>
        <w:tabs>
          <w:tab w:leader="none" w:pos="689" w:val="left"/>
        </w:tabs>
        <w:numPr>
          <w:ilvl w:val="0"/>
          <w:numId w:val="1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3"/>
          <w:szCs w:val="13"/>
          <w:b w:val="1"/>
          <w:bCs w:val="1"/>
          <w:color w:val="auto"/>
        </w:rPr>
        <w:t>EVERABILITY</w:t>
      </w:r>
      <w:r>
        <w:rPr>
          <w:rFonts w:ascii="Times New Roman" w:cs="Times New Roman" w:eastAsia="Times New Roman" w:hAnsi="Times New Roman"/>
          <w:sz w:val="18"/>
          <w:szCs w:val="18"/>
          <w:color w:val="auto"/>
        </w:rPr>
        <w:t>. If any part of this Agreement or the Plan is declared by any court or governmental authority to be unlawful or invalid,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unlawfulness or invalidity will not invalidate any portion of this Agreement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266" w:lineRule="auto"/>
        <w:rPr>
          <w:sz w:val="20"/>
          <w:szCs w:val="20"/>
          <w:color w:val="auto"/>
        </w:rPr>
      </w:pPr>
      <w:r>
        <w:rPr>
          <w:rFonts w:ascii="Times New Roman" w:cs="Times New Roman" w:eastAsia="Times New Roman" w:hAnsi="Times New Roman"/>
          <w:sz w:val="18"/>
          <w:szCs w:val="18"/>
          <w:color w:val="auto"/>
        </w:rPr>
        <w:t>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72" w:lineRule="exact"/>
        <w:rPr>
          <w:sz w:val="20"/>
          <w:szCs w:val="20"/>
          <w:color w:val="auto"/>
        </w:rPr>
      </w:pPr>
    </w:p>
    <w:p>
      <w:pPr>
        <w:ind w:left="780" w:hanging="263"/>
        <w:spacing w:after="0"/>
        <w:tabs>
          <w:tab w:leader="none" w:pos="780" w:val="left"/>
        </w:tabs>
        <w:numPr>
          <w:ilvl w:val="1"/>
          <w:numId w:val="1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w:t>
      </w:r>
      <w:r>
        <w:rPr>
          <w:rFonts w:ascii="Times New Roman" w:cs="Times New Roman" w:eastAsia="Times New Roman" w:hAnsi="Times New Roman"/>
          <w:sz w:val="13"/>
          <w:szCs w:val="13"/>
          <w:b w:val="1"/>
          <w:bCs w:val="1"/>
          <w:color w:val="auto"/>
        </w:rPr>
        <w:t>THER</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3"/>
          <w:szCs w:val="13"/>
          <w:b w:val="1"/>
          <w:bCs w:val="1"/>
          <w:color w:val="auto"/>
        </w:rPr>
        <w:t>OCUMENTS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hereby acknowledge receipt of or the right to receive a document providing the information required by Rule 428(b)</w:t>
      </w:r>
    </w:p>
    <w:p>
      <w:pPr>
        <w:spacing w:after="0" w:line="31" w:lineRule="exact"/>
        <w:rPr>
          <w:rFonts w:ascii="Times New Roman" w:cs="Times New Roman" w:eastAsia="Times New Roman" w:hAnsi="Times New Roman"/>
          <w:sz w:val="18"/>
          <w:szCs w:val="18"/>
          <w:b w:val="1"/>
          <w:bCs w:val="1"/>
          <w:color w:val="auto"/>
        </w:rPr>
      </w:pPr>
    </w:p>
    <w:p>
      <w:pPr>
        <w:ind w:left="260" w:hanging="252"/>
        <w:spacing w:after="0"/>
        <w:tabs>
          <w:tab w:leader="none" w:pos="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promulgated under the Securities Act, which includes the Prospectus. In addition, you acknowledge receipt of the Company’s Trading Policy.</w:t>
      </w:r>
    </w:p>
    <w:p>
      <w:pPr>
        <w:spacing w:after="0" w:line="202" w:lineRule="exact"/>
        <w:rPr>
          <w:rFonts w:ascii="Times New Roman" w:cs="Times New Roman" w:eastAsia="Times New Roman" w:hAnsi="Times New Roman"/>
          <w:sz w:val="18"/>
          <w:szCs w:val="18"/>
          <w:color w:val="auto"/>
        </w:rPr>
      </w:pPr>
    </w:p>
    <w:p>
      <w:pPr>
        <w:ind w:right="20" w:firstLine="517"/>
        <w:spacing w:after="0" w:line="286" w:lineRule="auto"/>
        <w:tabs>
          <w:tab w:leader="none" w:pos="779" w:val="left"/>
        </w:tabs>
        <w:numPr>
          <w:ilvl w:val="1"/>
          <w:numId w:val="1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Q</w:t>
      </w:r>
      <w:r>
        <w:rPr>
          <w:rFonts w:ascii="Times New Roman" w:cs="Times New Roman" w:eastAsia="Times New Roman" w:hAnsi="Times New Roman"/>
          <w:sz w:val="13"/>
          <w:szCs w:val="13"/>
          <w:b w:val="1"/>
          <w:bCs w:val="1"/>
          <w:color w:val="auto"/>
        </w:rPr>
        <w:t>UESTIONS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you have questions regarding these or any other terms and conditions applicable to your RSU Award, including a summary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948690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218" w:name="page219"/>
    <w:bookmarkEnd w:id="218"/>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Attachment 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2021 E</w:t>
      </w:r>
      <w:r>
        <w:rPr>
          <w:rFonts w:ascii="Times New Roman" w:cs="Times New Roman" w:eastAsia="Times New Roman" w:hAnsi="Times New Roman"/>
          <w:sz w:val="13"/>
          <w:szCs w:val="13"/>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3"/>
          <w:szCs w:val="13"/>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3"/>
          <w:szCs w:val="1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1130300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219" w:name="page220"/>
    <w:bookmarkEnd w:id="219"/>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INDUCEMENT PLAN</w:t>
      </w:r>
    </w:p>
    <w:p>
      <w:pPr>
        <w:spacing w:after="0" w:line="122" w:lineRule="exact"/>
        <w:rPr>
          <w:sz w:val="20"/>
          <w:szCs w:val="20"/>
          <w:color w:val="auto"/>
        </w:rPr>
      </w:pPr>
    </w:p>
    <w:p>
      <w:pPr>
        <w:ind w:left="380" w:hanging="372"/>
        <w:spacing w:after="0"/>
        <w:tabs>
          <w:tab w:leader="none" w:pos="380"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GENERAL.</w:t>
      </w:r>
    </w:p>
    <w:p>
      <w:pPr>
        <w:spacing w:after="0" w:line="134" w:lineRule="exact"/>
        <w:rPr>
          <w:rFonts w:ascii="Times New Roman" w:cs="Times New Roman" w:eastAsia="Times New Roman" w:hAnsi="Times New Roman"/>
          <w:sz w:val="20"/>
          <w:szCs w:val="20"/>
          <w:b w:val="1"/>
          <w:bCs w:val="1"/>
          <w:color w:val="auto"/>
        </w:rPr>
      </w:pPr>
    </w:p>
    <w:p>
      <w:pPr>
        <w:ind w:right="140" w:firstLine="757"/>
        <w:spacing w:after="0" w:line="247" w:lineRule="auto"/>
        <w:tabs>
          <w:tab w:leader="none" w:pos="1018" w:val="left"/>
        </w:tabs>
        <w:numPr>
          <w:ilvl w:val="1"/>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Plan Purpose. </w:t>
      </w:r>
      <w:r>
        <w:rPr>
          <w:rFonts w:ascii="Times New Roman" w:cs="Times New Roman" w:eastAsia="Times New Roman" w:hAnsi="Times New Roman"/>
          <w:sz w:val="20"/>
          <w:szCs w:val="20"/>
          <w:color w:val="auto"/>
        </w:rPr>
        <w:t>The Plan, through the granting of Awards, is intended to provide (i) an inducement material for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individuals to enter into employment with the Company or its Affiliates within the meaning of Rule 5635(c)(4) of the Nasdaq Listing Rules, as applicable, and the related guidance under Nasdaq IM 5635-1 (and any analogous rules or guidance effective after the date hereof), (ii) incentives to induce such persons to work for the benefit of the Company or of an Affiliate, and (iii) incentives for such persons to promote the success of the Company or of an Affiliate.</w:t>
      </w:r>
    </w:p>
    <w:p>
      <w:pPr>
        <w:spacing w:after="0" w:line="328" w:lineRule="exact"/>
        <w:rPr>
          <w:rFonts w:ascii="Times New Roman" w:cs="Times New Roman" w:eastAsia="Times New Roman" w:hAnsi="Times New Roman"/>
          <w:sz w:val="20"/>
          <w:szCs w:val="20"/>
          <w:b w:val="1"/>
          <w:bCs w:val="1"/>
          <w:color w:val="auto"/>
        </w:rPr>
      </w:pPr>
    </w:p>
    <w:p>
      <w:pPr>
        <w:ind w:right="340" w:firstLine="757"/>
        <w:spacing w:after="0" w:line="273" w:lineRule="auto"/>
        <w:tabs>
          <w:tab w:leader="none" w:pos="1018" w:val="left"/>
        </w:tabs>
        <w:numPr>
          <w:ilvl w:val="1"/>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Available Awards. </w:t>
      </w:r>
      <w:r>
        <w:rPr>
          <w:rFonts w:ascii="Times New Roman" w:cs="Times New Roman" w:eastAsia="Times New Roman" w:hAnsi="Times New Roman"/>
          <w:sz w:val="20"/>
          <w:szCs w:val="20"/>
          <w:color w:val="auto"/>
        </w:rPr>
        <w:t>The Plan provides for the grant of the following Awards: (i) Nonstatutory Stock Options; (ii) SARs; (iii)</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Awards; (iv) RSU Awards; (v) Performance Awards; and (vi) Other Awards.</w:t>
      </w:r>
    </w:p>
    <w:p>
      <w:pPr>
        <w:spacing w:after="0" w:line="8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Effective Date. </w:t>
      </w:r>
      <w:r>
        <w:rPr>
          <w:rFonts w:ascii="Times New Roman" w:cs="Times New Roman" w:eastAsia="Times New Roman" w:hAnsi="Times New Roman"/>
          <w:sz w:val="20"/>
          <w:szCs w:val="20"/>
          <w:color w:val="auto"/>
        </w:rPr>
        <w:t>The Plan will come into existence on the Effective Date.</w:t>
      </w:r>
    </w:p>
    <w:p>
      <w:pPr>
        <w:spacing w:after="0" w:line="13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SHARES SUBJECT TO THE PLAN.</w:t>
      </w:r>
    </w:p>
    <w:p>
      <w:pPr>
        <w:spacing w:after="0" w:line="148" w:lineRule="exact"/>
        <w:rPr>
          <w:rFonts w:ascii="Times New Roman" w:cs="Times New Roman" w:eastAsia="Times New Roman" w:hAnsi="Times New Roman"/>
          <w:sz w:val="20"/>
          <w:szCs w:val="20"/>
          <w:b w:val="1"/>
          <w:bCs w:val="1"/>
          <w:color w:val="auto"/>
        </w:rPr>
      </w:pPr>
    </w:p>
    <w:p>
      <w:pPr>
        <w:ind w:right="40" w:firstLine="757"/>
        <w:spacing w:after="0" w:line="246" w:lineRule="auto"/>
        <w:tabs>
          <w:tab w:leader="none" w:pos="1018" w:val="left"/>
        </w:tabs>
        <w:numPr>
          <w:ilvl w:val="1"/>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Share Limit. </w:t>
      </w:r>
      <w:r>
        <w:rPr>
          <w:rFonts w:ascii="Times New Roman" w:cs="Times New Roman" w:eastAsia="Times New Roman" w:hAnsi="Times New Roman"/>
          <w:sz w:val="20"/>
          <w:szCs w:val="20"/>
          <w:color w:val="auto"/>
        </w:rPr>
        <w:t>Subject to adjustment in accordance with Section 2(b) and any adjustments as necessary to implement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Capitalization Adjustments, the aggregate number of shares of Common Stock that may be issued pursuant to Awards will not exceed 8,000,000 shares (the “</w:t>
      </w:r>
      <w:r>
        <w:rPr>
          <w:rFonts w:ascii="Times New Roman" w:cs="Times New Roman" w:eastAsia="Times New Roman" w:hAnsi="Times New Roman"/>
          <w:sz w:val="20"/>
          <w:szCs w:val="20"/>
          <w:b w:val="1"/>
          <w:bCs w:val="1"/>
          <w:i w:val="1"/>
          <w:iCs w:val="1"/>
          <w:color w:val="auto"/>
        </w:rPr>
        <w:t>Share Limit</w:t>
      </w:r>
      <w:r>
        <w:rPr>
          <w:rFonts w:ascii="Times New Roman" w:cs="Times New Roman" w:eastAsia="Times New Roman" w:hAnsi="Times New Roman"/>
          <w:sz w:val="20"/>
          <w:szCs w:val="20"/>
          <w:color w:val="auto"/>
        </w:rPr>
        <w:t>”). Any of the shares of Common Stock reserved and available for issuance under the Plan may be used for any type of Award under the Plan. Shares of Common Stock to be issued under the Plan shall be authorized but unissued shares, or, to the extent permitted by Applicable Laws, shares of treasury stock and issued shares that have been reacquired by the Company. The Plan does not provide for the awarding of Incentive Stock Options.</w:t>
      </w:r>
    </w:p>
    <w:p>
      <w:pPr>
        <w:spacing w:after="0" w:line="11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 Limit Operation.</w:t>
      </w:r>
    </w:p>
    <w:p>
      <w:pPr>
        <w:spacing w:after="0" w:line="134" w:lineRule="exact"/>
        <w:rPr>
          <w:rFonts w:ascii="Times New Roman" w:cs="Times New Roman" w:eastAsia="Times New Roman" w:hAnsi="Times New Roman"/>
          <w:sz w:val="20"/>
          <w:szCs w:val="20"/>
          <w:b w:val="1"/>
          <w:bCs w:val="1"/>
          <w:color w:val="auto"/>
        </w:rPr>
      </w:pPr>
    </w:p>
    <w:p>
      <w:pPr>
        <w:ind w:right="60" w:firstLine="1505"/>
        <w:spacing w:after="0" w:line="246" w:lineRule="auto"/>
        <w:tabs>
          <w:tab w:leader="none" w:pos="2036" w:val="left"/>
        </w:tabs>
        <w:numPr>
          <w:ilvl w:val="2"/>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Limit Applies to Common Stock Issued Pursuant to Awards. </w:t>
      </w:r>
      <w:r>
        <w:rPr>
          <w:rFonts w:ascii="Times New Roman" w:cs="Times New Roman" w:eastAsia="Times New Roman" w:hAnsi="Times New Roman"/>
          <w:sz w:val="20"/>
          <w:szCs w:val="20"/>
          <w:color w:val="auto"/>
        </w:rPr>
        <w:t>For clarity, the Share Limit is a limit on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number of shares of Common Stock that may be issued pursuant to Awards and does not limit the granting of Awards, except that the Company will keep available at all times the number of shares of Common Stock reasonably required to satisfy its obligations to issue shares pursuant to such Awards. Shares may be issued in connection with a merger or acquisition as permitted by, as applicable, Nasdaq Listing Rule 5635(c), NYSE Listed Company Manual Section 303A.08, NYSE American Company Guide Section 711 or other applicable rule, and such issuance will not reduce the number of shares available for issuance under the Plan.</w:t>
      </w:r>
    </w:p>
    <w:p>
      <w:pPr>
        <w:spacing w:after="0" w:line="111" w:lineRule="exact"/>
        <w:rPr>
          <w:rFonts w:ascii="Times New Roman" w:cs="Times New Roman" w:eastAsia="Times New Roman" w:hAnsi="Times New Roman"/>
          <w:sz w:val="20"/>
          <w:szCs w:val="20"/>
          <w:b w:val="1"/>
          <w:bCs w:val="1"/>
          <w:color w:val="auto"/>
        </w:rPr>
      </w:pPr>
    </w:p>
    <w:p>
      <w:pPr>
        <w:ind w:right="80" w:firstLine="1505"/>
        <w:spacing w:after="0" w:line="245" w:lineRule="auto"/>
        <w:tabs>
          <w:tab w:leader="none" w:pos="2036" w:val="left"/>
        </w:tabs>
        <w:numPr>
          <w:ilvl w:val="2"/>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Actions that Do Not Constitute Issuance of Common Stock and Do Not Reduce Share Limit. </w:t>
      </w:r>
      <w:r>
        <w:rPr>
          <w:rFonts w:ascii="Times New Roman" w:cs="Times New Roman" w:eastAsia="Times New Roman" w:hAnsi="Times New Roman"/>
          <w:sz w:val="20"/>
          <w:szCs w:val="20"/>
          <w:color w:val="auto"/>
        </w:rPr>
        <w:t>The following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actions do not result in an issuance of shares under the Plan and accordingly do not reduce the number of shares subject to the Share Limit and available for issuance under the Plan: (1) the expiration or termination of any portion of an Award without the shares covered by such portion of the Award having been issued; (2) the settlement of any portion of an Award in cash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the Participant receives cash rather than Common Stock); (3) the withholding of shares that would otherwise be issued by the Company to satisfy the exercise, strike or purchase price of an Award; or (4) the withholding of shares that would otherwise be issued by the Company to satisfy a tax withholding obligation in connection with an Award.</w:t>
      </w:r>
    </w:p>
    <w:p>
      <w:pPr>
        <w:spacing w:after="0" w:line="111" w:lineRule="exact"/>
        <w:rPr>
          <w:rFonts w:ascii="Times New Roman" w:cs="Times New Roman" w:eastAsia="Times New Roman" w:hAnsi="Times New Roman"/>
          <w:sz w:val="20"/>
          <w:szCs w:val="20"/>
          <w:b w:val="1"/>
          <w:bCs w:val="1"/>
          <w:color w:val="auto"/>
        </w:rPr>
      </w:pPr>
    </w:p>
    <w:p>
      <w:pPr>
        <w:ind w:right="120" w:firstLine="1505"/>
        <w:spacing w:after="0" w:line="256" w:lineRule="auto"/>
        <w:tabs>
          <w:tab w:leader="none" w:pos="2036" w:val="left"/>
        </w:tabs>
        <w:numPr>
          <w:ilvl w:val="2"/>
          <w:numId w:val="1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Reversion of Previously Issued Shares of Common Stock to Share Limit. </w:t>
      </w:r>
      <w:r>
        <w:rPr>
          <w:rFonts w:ascii="Times New Roman" w:cs="Times New Roman" w:eastAsia="Times New Roman" w:hAnsi="Times New Roman"/>
          <w:sz w:val="20"/>
          <w:szCs w:val="20"/>
          <w:color w:val="auto"/>
        </w:rPr>
        <w:t>The following shares of Common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Stock previously issued pursuant to an Award and accordingly initially deducted from the Share Limit will be added back to the Share Limit and again become available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951230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20" w:name="page221"/>
    <w:bookmarkEnd w:id="220"/>
    <w:p>
      <w:pPr>
        <w:spacing w:after="0" w:line="249" w:lineRule="auto"/>
        <w:rPr>
          <w:sz w:val="20"/>
          <w:szCs w:val="20"/>
          <w:color w:val="auto"/>
        </w:rPr>
      </w:pPr>
      <w:r>
        <w:rPr>
          <w:rFonts w:ascii="Times New Roman" w:cs="Times New Roman" w:eastAsia="Times New Roman" w:hAnsi="Times New Roman"/>
          <w:sz w:val="20"/>
          <w:szCs w:val="20"/>
          <w:color w:val="auto"/>
        </w:rPr>
        <w:t>issuance under the Plan: (1) any shares that are forfeited back to or repurchased by the Company because of a failure to meet a contingency or condition required for the vesting of such shares; (2) any shares that are reacquired by the Company to satisfy the exercise, strike or purchase price of an Award; and (3) any shares that are reacquired by the Company to satisfy a tax withholding obligation in connection with an Award.</w:t>
      </w:r>
    </w:p>
    <w:p>
      <w:pPr>
        <w:spacing w:after="0" w:line="108" w:lineRule="exact"/>
        <w:rPr>
          <w:sz w:val="20"/>
          <w:szCs w:val="20"/>
          <w:color w:val="auto"/>
        </w:rPr>
      </w:pPr>
    </w:p>
    <w:p>
      <w:pPr>
        <w:ind w:left="380" w:hanging="372"/>
        <w:spacing w:after="0"/>
        <w:tabs>
          <w:tab w:leader="none" w:pos="380" w:val="left"/>
        </w:tabs>
        <w:numPr>
          <w:ilvl w:val="0"/>
          <w:numId w:val="1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ELIGIBILITY.</w:t>
      </w:r>
    </w:p>
    <w:p>
      <w:pPr>
        <w:spacing w:after="0" w:line="139"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The Administrator will, in its sole discretion, name the Participants in the Plan; provided, however, that (i) the only persons eligible to receive Awards under this Plan are individuals who satisfy the standards for inducement grants under Rule 5635(c)(4) of the Nasdaq Listing Rules, as applicable, and the related guidance under Nasdaq IM 5635-1 (and any analogous rules or guidance effective after the date hereof), and (ii) an individual who previously served as an Employee, Consultant or Director will not be eligible to receive an Award under the Plan, other than following a bona fide period of non-employment.</w:t>
      </w:r>
    </w:p>
    <w:p>
      <w:pPr>
        <w:spacing w:after="0" w:line="113" w:lineRule="exact"/>
        <w:rPr>
          <w:sz w:val="20"/>
          <w:szCs w:val="20"/>
          <w:color w:val="auto"/>
        </w:rPr>
      </w:pPr>
    </w:p>
    <w:p>
      <w:pPr>
        <w:ind w:left="380" w:hanging="372"/>
        <w:spacing w:after="0"/>
        <w:tabs>
          <w:tab w:leader="none" w:pos="380" w:val="left"/>
        </w:tabs>
        <w:numPr>
          <w:ilvl w:val="0"/>
          <w:numId w:val="1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OPTIONS AND STOCK APPRECIATION RIGHTS.</w:t>
      </w:r>
    </w:p>
    <w:p>
      <w:pPr>
        <w:spacing w:after="0" w:line="152"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Each Option and SAR will have such terms and conditions as determined by the Board. Each Option will be designated in writing as a Nonstatutory Stock Option at the time of grant; provided, however, that if an Option is not so designated, then such Option will be a Nonstatutory Stock Option, and the shares purchased upon exercise of each type of Option will be separately accounted for. Each SAR will be denominated in shares of Common Stock equivalents. The terms and conditions of separate Options and SARs need not be identical; provided, however, that each Option Agreement and SAR Agreement will conform (through incorporation of provisions hereof by reference in the Award Agreement or otherwise) to the substance of each of the following provisions:</w:t>
      </w:r>
    </w:p>
    <w:p>
      <w:pPr>
        <w:spacing w:after="0" w:line="99" w:lineRule="exact"/>
        <w:rPr>
          <w:sz w:val="20"/>
          <w:szCs w:val="20"/>
          <w:color w:val="auto"/>
        </w:rPr>
      </w:pPr>
    </w:p>
    <w:p>
      <w:pPr>
        <w:ind w:right="440" w:firstLine="757"/>
        <w:spacing w:after="0" w:line="273" w:lineRule="auto"/>
        <w:tabs>
          <w:tab w:leader="none" w:pos="1018"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No Option or SAR will be exercisable after the expiration of ten years from the date of grant of such Award or such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shorter period specified in the Award Agreement.</w:t>
      </w:r>
    </w:p>
    <w:p>
      <w:pPr>
        <w:spacing w:after="0" w:line="84" w:lineRule="exact"/>
        <w:rPr>
          <w:rFonts w:ascii="Times New Roman" w:cs="Times New Roman" w:eastAsia="Times New Roman" w:hAnsi="Times New Roman"/>
          <w:sz w:val="20"/>
          <w:szCs w:val="20"/>
          <w:b w:val="1"/>
          <w:bCs w:val="1"/>
          <w:color w:val="auto"/>
        </w:rPr>
      </w:pPr>
    </w:p>
    <w:p>
      <w:pPr>
        <w:ind w:right="40" w:firstLine="757"/>
        <w:spacing w:after="0" w:line="247" w:lineRule="auto"/>
        <w:tabs>
          <w:tab w:leader="none" w:pos="1018" w:val="left"/>
        </w:tabs>
        <w:numPr>
          <w:ilvl w:val="0"/>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or Strike Price. </w:t>
      </w:r>
      <w:r>
        <w:rPr>
          <w:rFonts w:ascii="Times New Roman" w:cs="Times New Roman" w:eastAsia="Times New Roman" w:hAnsi="Times New Roman"/>
          <w:sz w:val="20"/>
          <w:szCs w:val="20"/>
          <w:color w:val="auto"/>
        </w:rPr>
        <w:t>The exercise or strike price of each Option or SAR will not be less than 100% of the Fair Market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Value on the date of grant of such Award. Notwithstanding the foregoing, an Option or SAR may be granted with an exercise or strike price lower than 100% of the Fair Market Value on the date of grant of such Award if such Award is granted pursuant to an assumption of or substitution for another option or stock appreciation right pursuant to a Corporate Transaction and in a manner consistent with the provisions of Sections 409A and, if applicable, 424(a) of the Code.</w:t>
      </w:r>
    </w:p>
    <w:p>
      <w:pPr>
        <w:spacing w:after="0" w:line="112" w:lineRule="exact"/>
        <w:rPr>
          <w:rFonts w:ascii="Times New Roman" w:cs="Times New Roman" w:eastAsia="Times New Roman" w:hAnsi="Times New Roman"/>
          <w:sz w:val="20"/>
          <w:szCs w:val="20"/>
          <w:b w:val="1"/>
          <w:bCs w:val="1"/>
          <w:color w:val="auto"/>
        </w:rPr>
      </w:pPr>
    </w:p>
    <w:p>
      <w:pPr>
        <w:ind w:right="80" w:firstLine="757"/>
        <w:spacing w:after="0" w:line="259" w:lineRule="auto"/>
        <w:tabs>
          <w:tab w:leader="none" w:pos="1018" w:val="left"/>
        </w:tabs>
        <w:numPr>
          <w:ilvl w:val="0"/>
          <w:numId w:val="1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Exercise Procedure and Payment of Exercise Price for Options. </w:t>
      </w:r>
      <w:r>
        <w:rPr>
          <w:rFonts w:ascii="Times New Roman" w:cs="Times New Roman" w:eastAsia="Times New Roman" w:hAnsi="Times New Roman"/>
          <w:sz w:val="19"/>
          <w:szCs w:val="19"/>
          <w:color w:val="auto"/>
        </w:rPr>
        <w:t>In order to exercise an Option, the Participant must provide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notice of exercise to the Plan Administrator in accordance with the procedures specified in the Option Agreement or otherwise provided by the Company. The Board has the authority to grant Options that do not permit all of the following methods of payment (or otherwise restrict the ability to use certain methods) and to grant Options that require the consent of the Company to utilize a particular method of payment.</w:t>
      </w:r>
    </w:p>
    <w:p>
      <w:pPr>
        <w:ind w:right="140"/>
        <w:spacing w:after="0" w:line="246"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20"/>
          <w:szCs w:val="20"/>
          <w:color w:val="auto"/>
        </w:rPr>
        <w:t>The exercise price of an Option may be paid, to the extent permitted by Applicable Law and as determined by the Board, by one or more of the following methods of payment to the extent set forth in the Option Agreement:</w:t>
      </w:r>
    </w:p>
    <w:p>
      <w:pPr>
        <w:spacing w:after="0" w:line="100" w:lineRule="exact"/>
        <w:rPr>
          <w:rFonts w:ascii="Times New Roman" w:cs="Times New Roman" w:eastAsia="Times New Roman" w:hAnsi="Times New Roman"/>
          <w:sz w:val="19"/>
          <w:szCs w:val="19"/>
          <w:b w:val="1"/>
          <w:bCs w:val="1"/>
          <w:color w:val="auto"/>
        </w:rPr>
      </w:pPr>
    </w:p>
    <w:p>
      <w:pPr>
        <w:ind w:left="2040" w:hanging="535"/>
        <w:spacing w:after="0"/>
        <w:tabs>
          <w:tab w:leader="none" w:pos="2040"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cash or check, bank draft or money order payable to the Company;</w:t>
      </w:r>
    </w:p>
    <w:p>
      <w:pPr>
        <w:spacing w:after="0" w:line="148" w:lineRule="exact"/>
        <w:rPr>
          <w:rFonts w:ascii="Times New Roman" w:cs="Times New Roman" w:eastAsia="Times New Roman" w:hAnsi="Times New Roman"/>
          <w:sz w:val="20"/>
          <w:szCs w:val="20"/>
          <w:b w:val="1"/>
          <w:bCs w:val="1"/>
          <w:color w:val="auto"/>
        </w:rPr>
      </w:pPr>
    </w:p>
    <w:p>
      <w:pPr>
        <w:ind w:right="140" w:firstLine="1505"/>
        <w:spacing w:after="0" w:line="254" w:lineRule="auto"/>
        <w:tabs>
          <w:tab w:leader="none" w:pos="2036"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pursuant to a “cashless exercise” program developed under Regulation T as promulgated by the Federal Reserve Board that, prior to the issuance of the Common Stock subject to the Option, results in either the receipt of cash (or check) by the Company or the receipt of irrevocable instructions to pay the exercise price to the Company from the sales proceeds;</w:t>
      </w:r>
    </w:p>
    <w:p>
      <w:pPr>
        <w:spacing w:after="0" w:line="106" w:lineRule="exact"/>
        <w:rPr>
          <w:rFonts w:ascii="Times New Roman" w:cs="Times New Roman" w:eastAsia="Times New Roman" w:hAnsi="Times New Roman"/>
          <w:sz w:val="20"/>
          <w:szCs w:val="20"/>
          <w:b w:val="1"/>
          <w:bCs w:val="1"/>
          <w:color w:val="auto"/>
        </w:rPr>
      </w:pPr>
    </w:p>
    <w:p>
      <w:pPr>
        <w:ind w:right="240" w:firstLine="1505"/>
        <w:spacing w:after="0" w:line="269" w:lineRule="auto"/>
        <w:tabs>
          <w:tab w:leader="none" w:pos="2036" w:val="left"/>
        </w:tabs>
        <w:numPr>
          <w:ilvl w:val="1"/>
          <w:numId w:val="1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by delivery to the Company (either by actual delivery or attestation) of shares of Common Stock that are already owned by the Participant free and clear of any liens,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21" w:name="page222"/>
    <w:bookmarkEnd w:id="221"/>
    <w:p>
      <w:pPr>
        <w:spacing w:after="0" w:line="245" w:lineRule="auto"/>
        <w:rPr>
          <w:sz w:val="20"/>
          <w:szCs w:val="20"/>
          <w:color w:val="auto"/>
        </w:rPr>
      </w:pPr>
      <w:r>
        <w:rPr>
          <w:rFonts w:ascii="Times New Roman" w:cs="Times New Roman" w:eastAsia="Times New Roman" w:hAnsi="Times New Roman"/>
          <w:sz w:val="20"/>
          <w:szCs w:val="20"/>
          <w:color w:val="auto"/>
        </w:rPr>
        <w:t>encumbrances or security interests, with a Fair Market Value on the date of exercise that does not exceed the exercise price, provided that (1) at the time of exercise the Common Stock is publicly traded, (2) any remaining balance of the exercise price not satisfied by such delivery is paid by the Participant in cash or other permitted form of payment, (3) such delivery would not violate any Applicable Law or agreement restricting the redemption of the Common Stock, (4) any certificated shares are endorsed or accompanied by an executed assignment separate from certificate, and (5) such shares have been held by the Participant for any minimum period necessary to avoid adverse accounting treatment as a result of such delivery;</w:t>
      </w:r>
    </w:p>
    <w:p>
      <w:pPr>
        <w:spacing w:after="0" w:line="117" w:lineRule="exact"/>
        <w:rPr>
          <w:sz w:val="20"/>
          <w:szCs w:val="20"/>
          <w:color w:val="auto"/>
        </w:rPr>
      </w:pPr>
    </w:p>
    <w:p>
      <w:pPr>
        <w:jc w:val="both"/>
        <w:ind w:right="20" w:firstLine="1505"/>
        <w:spacing w:after="0" w:line="266" w:lineRule="auto"/>
        <w:tabs>
          <w:tab w:leader="none" w:pos="2036" w:val="left"/>
        </w:tabs>
        <w:numPr>
          <w:ilvl w:val="1"/>
          <w:numId w:val="17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for Options, by a “net exercise” arrangement pursuant to which the Company will reduce the number of shares of Common Stock issuable upon exercise by the largest whole number of shares with a Fair Market Value on the date of exercise that does not exceed the exercise price, provided that (1) such shares used to pay the exercise price will not be exercisable thereafter and (2) any remaining balance of the exercise price not satisfied by such net exercise is paid by the Participant in cash or other permitted form of payment; or</w:t>
      </w:r>
    </w:p>
    <w:p>
      <w:pPr>
        <w:spacing w:after="0" w:line="84" w:lineRule="exact"/>
        <w:rPr>
          <w:rFonts w:ascii="Times New Roman" w:cs="Times New Roman" w:eastAsia="Times New Roman" w:hAnsi="Times New Roman"/>
          <w:sz w:val="19"/>
          <w:szCs w:val="19"/>
          <w:b w:val="1"/>
          <w:bCs w:val="1"/>
          <w:color w:val="auto"/>
        </w:rPr>
      </w:pPr>
    </w:p>
    <w:p>
      <w:pPr>
        <w:ind w:left="2040" w:hanging="535"/>
        <w:spacing w:after="0"/>
        <w:tabs>
          <w:tab w:leader="none" w:pos="2040" w:val="left"/>
        </w:tabs>
        <w:numPr>
          <w:ilvl w:val="1"/>
          <w:numId w:val="1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any other form of consideration that may be acceptable to the Board and permissible under Applicable Law.</w:t>
      </w:r>
    </w:p>
    <w:p>
      <w:pPr>
        <w:spacing w:after="0" w:line="144" w:lineRule="exact"/>
        <w:rPr>
          <w:rFonts w:ascii="Times New Roman" w:cs="Times New Roman" w:eastAsia="Times New Roman" w:hAnsi="Times New Roman"/>
          <w:sz w:val="20"/>
          <w:szCs w:val="20"/>
          <w:b w:val="1"/>
          <w:bCs w:val="1"/>
          <w:color w:val="auto"/>
        </w:rPr>
      </w:pPr>
    </w:p>
    <w:p>
      <w:pPr>
        <w:ind w:right="20" w:firstLine="757"/>
        <w:spacing w:after="0" w:line="245" w:lineRule="auto"/>
        <w:tabs>
          <w:tab w:leader="none" w:pos="1018"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Exercise Procedure and Payment of Appreciation Distribution for SARs. </w:t>
      </w:r>
      <w:r>
        <w:rPr>
          <w:rFonts w:ascii="Times New Roman" w:cs="Times New Roman" w:eastAsia="Times New Roman" w:hAnsi="Times New Roman"/>
          <w:sz w:val="20"/>
          <w:szCs w:val="20"/>
          <w:color w:val="auto"/>
        </w:rPr>
        <w:t>In order to exercise any SAR, the Participant must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 notice of exercise to the Plan Administrator in accordance with the SAR Agreement. The appreciation distribution payable to a Participant upon the exercise of a SAR will not be greater than an amount equal to the excess of (i) the aggregate Fair Market Value on the date of exercise of a number of shares of Common Stock equal to the number of Common Stock equivalents that are vested and being exercised under such SAR, over (ii) the strike price of such SAR. Such appreciation distribution may be paid to the Participant in the form of Common Stock or cash (or any combination of Common Stock and cash) or in any other form of payment, as determined by the Board and specified in the SAR Agreement.</w:t>
      </w:r>
    </w:p>
    <w:p>
      <w:pPr>
        <w:spacing w:after="0" w:line="111" w:lineRule="exact"/>
        <w:rPr>
          <w:rFonts w:ascii="Times New Roman" w:cs="Times New Roman" w:eastAsia="Times New Roman" w:hAnsi="Times New Roman"/>
          <w:sz w:val="20"/>
          <w:szCs w:val="20"/>
          <w:b w:val="1"/>
          <w:bCs w:val="1"/>
          <w:color w:val="auto"/>
        </w:rPr>
      </w:pPr>
    </w:p>
    <w:p>
      <w:pPr>
        <w:ind w:right="40" w:firstLine="757"/>
        <w:spacing w:after="0" w:line="250" w:lineRule="auto"/>
        <w:tabs>
          <w:tab w:leader="none" w:pos="1018"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Options and SARs may not be transferred to third party financial institutions for value. The Board may impose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additional limitations on the transferability of an Option or SAR as it determines. In the absence of any such determination by the Board, the following restrictions on the transferability of Options and SARs will apply, provided that except as explicitly provided herein, neither an Option nor a SAR may be transferred for consideration:</w:t>
      </w:r>
    </w:p>
    <w:p>
      <w:pPr>
        <w:spacing w:after="0" w:line="94" w:lineRule="exact"/>
        <w:rPr>
          <w:rFonts w:ascii="Times New Roman" w:cs="Times New Roman" w:eastAsia="Times New Roman" w:hAnsi="Times New Roman"/>
          <w:sz w:val="20"/>
          <w:szCs w:val="20"/>
          <w:b w:val="1"/>
          <w:bCs w:val="1"/>
          <w:color w:val="auto"/>
        </w:rPr>
      </w:pPr>
    </w:p>
    <w:p>
      <w:pPr>
        <w:ind w:right="40" w:firstLine="1505"/>
        <w:spacing w:after="0" w:line="246" w:lineRule="auto"/>
        <w:tabs>
          <w:tab w:leader="none" w:pos="2036"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Restrictions on Transfer. </w:t>
      </w:r>
      <w:r>
        <w:rPr>
          <w:rFonts w:ascii="Times New Roman" w:cs="Times New Roman" w:eastAsia="Times New Roman" w:hAnsi="Times New Roman"/>
          <w:sz w:val="20"/>
          <w:szCs w:val="20"/>
          <w:color w:val="auto"/>
        </w:rPr>
        <w:t>An Option or SAR will not be transferable, except by will or by the laws of descent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distribution, and will be exercisable during the lifetime of the Participant only by the Participant; provided, however, that the Board may permit transfer of an Option or SAR in a manner that is not prohibited by applicable tax and securities laws upon the Participant’s request, including to a trust if the Participant is considered to be the sole beneficial owner of such trust (as determined under Section 671 of the Code and applicable state law) while such Option or SAR is held in such trust, provided that the Participant and the trustee enter into a transfer and other agreements required by the Company.</w:t>
      </w:r>
    </w:p>
    <w:p>
      <w:pPr>
        <w:spacing w:after="0" w:line="111" w:lineRule="exact"/>
        <w:rPr>
          <w:rFonts w:ascii="Times New Roman" w:cs="Times New Roman" w:eastAsia="Times New Roman" w:hAnsi="Times New Roman"/>
          <w:sz w:val="20"/>
          <w:szCs w:val="20"/>
          <w:b w:val="1"/>
          <w:bCs w:val="1"/>
          <w:color w:val="auto"/>
        </w:rPr>
      </w:pPr>
    </w:p>
    <w:p>
      <w:pPr>
        <w:ind w:right="100" w:firstLine="1505"/>
        <w:spacing w:after="0" w:line="256" w:lineRule="auto"/>
        <w:tabs>
          <w:tab w:leader="none" w:pos="2036" w:val="left"/>
        </w:tabs>
        <w:numPr>
          <w:ilvl w:val="1"/>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Domestic Relations Orders. </w:t>
      </w:r>
      <w:r>
        <w:rPr>
          <w:rFonts w:ascii="Times New Roman" w:cs="Times New Roman" w:eastAsia="Times New Roman" w:hAnsi="Times New Roman"/>
          <w:sz w:val="20"/>
          <w:szCs w:val="20"/>
          <w:color w:val="auto"/>
        </w:rPr>
        <w:t>Notwithstanding the foregoing, subject to the execution of transfer documentation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format acceptable to the Company and subject to the approval of the Board or a duly authorized Officer, an Option or SAR may be transferred pursuant to a domestic relations order.</w:t>
      </w:r>
    </w:p>
    <w:p>
      <w:pPr>
        <w:spacing w:after="0" w:line="101" w:lineRule="exact"/>
        <w:rPr>
          <w:rFonts w:ascii="Times New Roman" w:cs="Times New Roman" w:eastAsia="Times New Roman" w:hAnsi="Times New Roman"/>
          <w:sz w:val="20"/>
          <w:szCs w:val="20"/>
          <w:b w:val="1"/>
          <w:bCs w:val="1"/>
          <w:color w:val="auto"/>
        </w:rPr>
      </w:pPr>
    </w:p>
    <w:p>
      <w:pPr>
        <w:jc w:val="both"/>
        <w:ind w:right="240" w:firstLine="757"/>
        <w:spacing w:after="0" w:line="256" w:lineRule="auto"/>
        <w:tabs>
          <w:tab w:leader="none" w:pos="1018" w:val="left"/>
        </w:tabs>
        <w:numPr>
          <w:ilvl w:val="0"/>
          <w:numId w:val="1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 and/or exercisability of an Option or SAR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by the Board. Except as otherwise provided in the Award Agreement or other written agreement between a Participant and the Company or an Affiliate, vesting of Options and SARs will cease upon termination of the Participant’s Continuous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951230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2" w:name="page223"/>
    <w:bookmarkEnd w:id="222"/>
    <w:p>
      <w:pPr>
        <w:ind w:right="160" w:firstLine="757"/>
        <w:spacing w:after="0" w:line="246" w:lineRule="auto"/>
        <w:tabs>
          <w:tab w:leader="none" w:pos="1018"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Termination of Continuous Service for Cause. </w:t>
      </w:r>
      <w:r>
        <w:rPr>
          <w:rFonts w:ascii="Times New Roman" w:cs="Times New Roman" w:eastAsia="Times New Roman" w:hAnsi="Times New Roman"/>
          <w:sz w:val="20"/>
          <w:szCs w:val="20"/>
          <w:color w:val="auto"/>
        </w:rPr>
        <w:t>Except as explicitly otherwise provided in the Award Agreement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written agreement between a Participant and the Company or an Affiliate, if a Participant’s Continuous Service is terminated for Cause, the Participant’s Options and SARs will terminate and be forfeited immediately upon such termination of Continuous Service, and the Participant will be prohibited from exercising any portion (including any vested portion) of such Awards on and after the date of such termination of Continuous Service and the Participant will have no further right, title or interest in such forfeited Award, the shares of Common Stock subject to the forfeited Award, or any consideration in respect of the forfeited Award.</w:t>
      </w:r>
    </w:p>
    <w:p>
      <w:pPr>
        <w:spacing w:after="0" w:line="111" w:lineRule="exact"/>
        <w:rPr>
          <w:rFonts w:ascii="Times New Roman" w:cs="Times New Roman" w:eastAsia="Times New Roman" w:hAnsi="Times New Roman"/>
          <w:sz w:val="20"/>
          <w:szCs w:val="20"/>
          <w:b w:val="1"/>
          <w:bCs w:val="1"/>
          <w:color w:val="auto"/>
        </w:rPr>
      </w:pPr>
    </w:p>
    <w:p>
      <w:pPr>
        <w:ind w:right="120" w:firstLine="757"/>
        <w:spacing w:after="0" w:line="247" w:lineRule="auto"/>
        <w:tabs>
          <w:tab w:leader="none" w:pos="1018" w:val="left"/>
        </w:tabs>
        <w:numPr>
          <w:ilvl w:val="0"/>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Post-Termination Exercise Period Following Termination of Continuous Service for Reasons Other than Cause. </w:t>
      </w:r>
      <w:r>
        <w:rPr>
          <w:rFonts w:ascii="Times New Roman" w:cs="Times New Roman" w:eastAsia="Times New Roman" w:hAnsi="Times New Roman"/>
          <w:sz w:val="20"/>
          <w:szCs w:val="20"/>
          <w:color w:val="auto"/>
        </w:rPr>
        <w:t>Subject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Section 4(i), if a Participant’s Continuous Service terminates for any reason other than for Cause, the Participant may exercise his or her Option or SAR to the extent vested, but only within the following period of time or, if applicable, such other period of time provided in the Award Agreement or other written agreement between a Participant and the Company or an Affiliate; provided, however, that in no event may such Award be exercised after the expiration of its maximum term (as set forth in Section 4(a)):</w:t>
      </w:r>
    </w:p>
    <w:p>
      <w:pPr>
        <w:spacing w:after="0" w:line="103" w:lineRule="exact"/>
        <w:rPr>
          <w:rFonts w:ascii="Times New Roman" w:cs="Times New Roman" w:eastAsia="Times New Roman" w:hAnsi="Times New Roman"/>
          <w:sz w:val="20"/>
          <w:szCs w:val="20"/>
          <w:b w:val="1"/>
          <w:bCs w:val="1"/>
          <w:color w:val="auto"/>
        </w:rPr>
      </w:pPr>
    </w:p>
    <w:p>
      <w:pPr>
        <w:ind w:right="140" w:firstLine="1505"/>
        <w:spacing w:after="0" w:line="269" w:lineRule="auto"/>
        <w:tabs>
          <w:tab w:leader="none" w:pos="2036"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three months following the date of such termination if such termination is a termination without Cause (other than any termination due to the Participant’s Disability or death);</w:t>
      </w:r>
    </w:p>
    <w:p>
      <w:pPr>
        <w:spacing w:after="0" w:line="91"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following the date of such termination if such termination is due to the Participant’s Disability;</w:t>
      </w:r>
    </w:p>
    <w:p>
      <w:pPr>
        <w:spacing w:after="0" w:line="148"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such termination if such termination is due to the Participant’s death; or</w:t>
      </w:r>
    </w:p>
    <w:p>
      <w:pPr>
        <w:spacing w:after="0" w:line="134" w:lineRule="exact"/>
        <w:rPr>
          <w:rFonts w:ascii="Times New Roman" w:cs="Times New Roman" w:eastAsia="Times New Roman" w:hAnsi="Times New Roman"/>
          <w:sz w:val="20"/>
          <w:szCs w:val="20"/>
          <w:b w:val="1"/>
          <w:bCs w:val="1"/>
          <w:color w:val="auto"/>
        </w:rPr>
      </w:pPr>
    </w:p>
    <w:p>
      <w:pPr>
        <w:ind w:right="120" w:firstLine="1505"/>
        <w:spacing w:after="0" w:line="269" w:lineRule="auto"/>
        <w:tabs>
          <w:tab w:leader="none" w:pos="2036" w:val="left"/>
        </w:tabs>
        <w:numPr>
          <w:ilvl w:val="1"/>
          <w:numId w:val="1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following the date of the Participant’s death if such death occurs following the date of such termination but during the period such Award is otherwise exercisable (as provided in (i) or (ii) above).</w:t>
      </w:r>
    </w:p>
    <w:p>
      <w:pPr>
        <w:spacing w:after="0" w:line="92" w:lineRule="exact"/>
        <w:rPr>
          <w:sz w:val="20"/>
          <w:szCs w:val="20"/>
          <w:color w:val="auto"/>
        </w:rPr>
      </w:pPr>
    </w:p>
    <w:p>
      <w:pPr>
        <w:ind w:right="280" w:firstLine="749"/>
        <w:spacing w:after="0" w:line="249" w:lineRule="auto"/>
        <w:rPr>
          <w:sz w:val="20"/>
          <w:szCs w:val="20"/>
          <w:color w:val="auto"/>
        </w:rPr>
      </w:pPr>
      <w:r>
        <w:rPr>
          <w:rFonts w:ascii="Times New Roman" w:cs="Times New Roman" w:eastAsia="Times New Roman" w:hAnsi="Times New Roman"/>
          <w:sz w:val="20"/>
          <w:szCs w:val="20"/>
          <w:color w:val="auto"/>
        </w:rPr>
        <w:t>Following the date of such termination, to the extent the Participant does not exercise such Award within the applicable Post-Termination Exercise Period (or, if earlier, prior to the expiration of the maximum term of such Award), such unexercised portion of the Award will terminate, and the Participant will have no further right, title or interest in the terminated Award, the shares of Common Stock subject to the terminated Award, or any consideration in respect of the terminated Award.</w:t>
      </w:r>
    </w:p>
    <w:p>
      <w:pPr>
        <w:spacing w:after="0" w:line="108" w:lineRule="exact"/>
        <w:rPr>
          <w:sz w:val="20"/>
          <w:szCs w:val="20"/>
          <w:color w:val="auto"/>
        </w:rPr>
      </w:pPr>
    </w:p>
    <w:p>
      <w:pPr>
        <w:ind w:firstLine="757"/>
        <w:spacing w:after="0" w:line="259" w:lineRule="auto"/>
        <w:tabs>
          <w:tab w:leader="none" w:pos="1018" w:val="left"/>
        </w:tabs>
        <w:numPr>
          <w:ilvl w:val="1"/>
          <w:numId w:val="1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Restrictions on Exercise; Extension of Exercisability. </w:t>
      </w:r>
      <w:r>
        <w:rPr>
          <w:rFonts w:ascii="Times New Roman" w:cs="Times New Roman" w:eastAsia="Times New Roman" w:hAnsi="Times New Roman"/>
          <w:sz w:val="19"/>
          <w:szCs w:val="19"/>
          <w:color w:val="auto"/>
        </w:rPr>
        <w:t>A Participant may not exercise an Option or SAR at any time that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issuance of shares of Common Stock upon such exercise would violate Applicable Law. Except as otherwise provided in the Award Agreement or other written agreement between a Participant and the Company or an Affiliate, if a Participant’s Continuous Service terminates for any reason other than for Cause and, at any time during the last thirty days of the applicable Post-Termination Exercise Period:</w:t>
      </w:r>
    </w:p>
    <w:p>
      <w:pPr>
        <w:ind w:right="160" w:firstLine="8"/>
        <w:spacing w:after="0"/>
        <w:tabs>
          <w:tab w:leader="none" w:pos="236"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exercise of the Participant’s Option or SAR would be prohibited solely because the issuance of shares of Common Stock upon such exercise would violate Applicable Law, or (ii) the immediate sale of any shares of Common Stock issued upon such exercise would violate the Company’s Trading Policy, then the applicable Post-Termination Exercise Period will be extended to the last day of the calendar month that commences following the date the Award would otherwise expire, with an additional extension of the exercise period to the last day of the next calendar month to apply if any of the foregoing restrictions apply at any time during such extended exercise period, generally without limitation as to the maximum permitted number of extensions); provided, however, that in no event may such Award be exercised after the expiration of its maximum term (as set forth in Section 4(a)).</w:t>
      </w:r>
    </w:p>
    <w:p>
      <w:pPr>
        <w:spacing w:after="0" w:line="105" w:lineRule="exact"/>
        <w:rPr>
          <w:rFonts w:ascii="Times New Roman" w:cs="Times New Roman" w:eastAsia="Times New Roman" w:hAnsi="Times New Roman"/>
          <w:sz w:val="20"/>
          <w:szCs w:val="20"/>
          <w:color w:val="auto"/>
        </w:rPr>
      </w:pPr>
    </w:p>
    <w:p>
      <w:pPr>
        <w:ind w:right="260" w:firstLine="757"/>
        <w:spacing w:after="0" w:line="273" w:lineRule="auto"/>
        <w:tabs>
          <w:tab w:leader="none" w:pos="1018" w:val="left"/>
        </w:tabs>
        <w:numPr>
          <w:ilvl w:val="1"/>
          <w:numId w:val="1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Employees. </w:t>
      </w:r>
      <w:r>
        <w:rPr>
          <w:rFonts w:ascii="Times New Roman" w:cs="Times New Roman" w:eastAsia="Times New Roman" w:hAnsi="Times New Roman"/>
          <w:sz w:val="20"/>
          <w:szCs w:val="20"/>
          <w:color w:val="auto"/>
        </w:rPr>
        <w:t>No Option or SAR, whether or not vested, granted to an Employee who is a non-exempt employee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 purposes of the Fair Labor Standards Act of 1938,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23" w:name="page224"/>
    <w:bookmarkEnd w:id="223"/>
    <w:p>
      <w:pPr>
        <w:ind w:right="60"/>
        <w:spacing w:after="0" w:line="243" w:lineRule="auto"/>
        <w:rPr>
          <w:sz w:val="20"/>
          <w:szCs w:val="20"/>
          <w:color w:val="auto"/>
        </w:rPr>
      </w:pPr>
      <w:r>
        <w:rPr>
          <w:rFonts w:ascii="Times New Roman" w:cs="Times New Roman" w:eastAsia="Times New Roman" w:hAnsi="Times New Roman"/>
          <w:sz w:val="20"/>
          <w:szCs w:val="20"/>
          <w:color w:val="auto"/>
        </w:rPr>
        <w:t>amended, will be first exercisable for any shares of Common Stock until at least six months following the date of grant of such Award. Notwithstanding the foregoing, in accordance with the provisions of the Worker Economic Opportunity Act, any vested portion of such Award may be exercised earlier than six months following the date of grant of such Award in the event of (i) such Participant’s death or Disability, (ii) a Corporate Transaction in which such Award is not assumed, continued or substituted, (iii) a Change in Control, or (iv) such Participant’s retirement (as such term may be defined in the Award Agreement or another applicable agreement or, in the absence of any such definition, in accordance with the Company’s then current employment policies and guidelines). This Section 4(j) is intended to operate so that any income derived by a non-exempt employee in connection with the exercise or vesting of an Option or SAR will be exempt from his or her regular rate of pay.</w:t>
      </w:r>
    </w:p>
    <w:p>
      <w:pPr>
        <w:spacing w:after="0" w:line="118" w:lineRule="exact"/>
        <w:rPr>
          <w:sz w:val="20"/>
          <w:szCs w:val="20"/>
          <w:color w:val="auto"/>
        </w:rPr>
      </w:pPr>
    </w:p>
    <w:p>
      <w:pPr>
        <w:ind w:left="1020" w:hanging="263"/>
        <w:spacing w:after="0"/>
        <w:tabs>
          <w:tab w:leader="none" w:pos="1020" w:val="left"/>
        </w:tabs>
        <w:numPr>
          <w:ilvl w:val="1"/>
          <w:numId w:val="1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Whole Shares. </w:t>
      </w:r>
      <w:r>
        <w:rPr>
          <w:rFonts w:ascii="Times New Roman" w:cs="Times New Roman" w:eastAsia="Times New Roman" w:hAnsi="Times New Roman"/>
          <w:sz w:val="20"/>
          <w:szCs w:val="20"/>
          <w:color w:val="auto"/>
        </w:rPr>
        <w:t>Options and SARs may be exercised only with respect to whole shares of Common Stock or their equivalents.</w:t>
      </w:r>
    </w:p>
    <w:p>
      <w:pPr>
        <w:spacing w:after="0" w:line="13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AWARDS OTHER THAN OPTIONS AND STOCK APPRECIATION RIGHTS.</w:t>
      </w:r>
    </w:p>
    <w:p>
      <w:pPr>
        <w:spacing w:after="0" w:line="148" w:lineRule="exact"/>
        <w:rPr>
          <w:rFonts w:ascii="Times New Roman" w:cs="Times New Roman" w:eastAsia="Times New Roman" w:hAnsi="Times New Roman"/>
          <w:sz w:val="20"/>
          <w:szCs w:val="20"/>
          <w:b w:val="1"/>
          <w:bCs w:val="1"/>
          <w:color w:val="auto"/>
        </w:rPr>
      </w:pPr>
    </w:p>
    <w:p>
      <w:pPr>
        <w:ind w:right="200" w:firstLine="757"/>
        <w:spacing w:after="0" w:line="250" w:lineRule="auto"/>
        <w:tabs>
          <w:tab w:leader="none" w:pos="1018" w:val="left"/>
        </w:tabs>
        <w:numPr>
          <w:ilvl w:val="1"/>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Restricted Stock Awards and RSU Awards. </w:t>
      </w:r>
      <w:r>
        <w:rPr>
          <w:rFonts w:ascii="Times New Roman" w:cs="Times New Roman" w:eastAsia="Times New Roman" w:hAnsi="Times New Roman"/>
          <w:sz w:val="20"/>
          <w:szCs w:val="20"/>
          <w:color w:val="auto"/>
        </w:rPr>
        <w:t>Each Restricted Stock Award and RSU Award will have such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as determined by the Board; provided, however, that each Restricted Stock Award Agreement and RSU Award Agreement will conform (through incorporation of the provisions hereof by reference in the Award Agreement or otherwise) to the substance of each of the following provisions:</w:t>
      </w:r>
    </w:p>
    <w:p>
      <w:pPr>
        <w:spacing w:after="0" w:line="108"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Form of Award.</w:t>
      </w:r>
    </w:p>
    <w:p>
      <w:pPr>
        <w:spacing w:after="0" w:line="138" w:lineRule="exact"/>
        <w:rPr>
          <w:rFonts w:ascii="Times New Roman" w:cs="Times New Roman" w:eastAsia="Times New Roman" w:hAnsi="Times New Roman"/>
          <w:sz w:val="20"/>
          <w:szCs w:val="20"/>
          <w:b w:val="1"/>
          <w:bCs w:val="1"/>
          <w:color w:val="auto"/>
        </w:rPr>
      </w:pPr>
    </w:p>
    <w:p>
      <w:pPr>
        <w:ind w:right="20" w:firstLine="2254"/>
        <w:spacing w:after="0" w:line="246" w:lineRule="auto"/>
        <w:tabs>
          <w:tab w:leader="none" w:pos="2546" w:val="left"/>
        </w:tabs>
        <w:numPr>
          <w:ilvl w:val="3"/>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Restricted Stock Awards: To the extent consistent with the Company’s Bylaws, at the Board’s election, shares of Common Stock subject to a Restricted Stock Award may be (A) held in book entry form subject to the Company’s instructions until such shares become vested or any other restrictions lapse, or (B) evidenced by a certificate, which certificate will be held in such form and manner as determined by the Board. Unless otherwise determined by the Board, a Participant will have voting and other rights as a stockholder of the Company with respect to any shares subject to a Restricted Stock Award.</w:t>
      </w:r>
    </w:p>
    <w:p>
      <w:pPr>
        <w:spacing w:after="0" w:line="117" w:lineRule="exact"/>
        <w:rPr>
          <w:rFonts w:ascii="Times New Roman" w:cs="Times New Roman" w:eastAsia="Times New Roman" w:hAnsi="Times New Roman"/>
          <w:sz w:val="20"/>
          <w:szCs w:val="20"/>
          <w:b w:val="1"/>
          <w:bCs w:val="1"/>
          <w:color w:val="auto"/>
        </w:rPr>
      </w:pPr>
    </w:p>
    <w:p>
      <w:pPr>
        <w:ind w:right="140" w:firstLine="2254"/>
        <w:spacing w:after="0" w:line="244" w:lineRule="auto"/>
        <w:tabs>
          <w:tab w:leader="none" w:pos="2546" w:val="left"/>
        </w:tabs>
        <w:numPr>
          <w:ilvl w:val="3"/>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RSU Awards: An RSU Award represents a Participant’s right to be issued on a future date the number of shares of Common Stock that is equal to the number of restricted stock units subject to the RSU Award. As a holder of an RSU Award, a Participant is an unsecured creditor of the Company with respect to the Company’s unfunded obligation, if any, to issue shares of Common Stock in settlement of such Award and nothing contained in the Plan or any RSU Agreement, and no action taken pursuant to its provisions, will create or be construed to create a trust of any kind or a fiduciary relationship between a Participant and the Company or an Affiliate or any other person. A Participant will not have voting or any other rights as a stockholder of the Company with respect to any RSU Award (unless and until shares are actually issued in settlement of a vested RSU Award).</w:t>
      </w:r>
    </w:p>
    <w:p>
      <w:pPr>
        <w:spacing w:after="0" w:line="114"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Consideration.</w:t>
      </w:r>
    </w:p>
    <w:p>
      <w:pPr>
        <w:spacing w:after="0" w:line="134" w:lineRule="exact"/>
        <w:rPr>
          <w:rFonts w:ascii="Times New Roman" w:cs="Times New Roman" w:eastAsia="Times New Roman" w:hAnsi="Times New Roman"/>
          <w:sz w:val="20"/>
          <w:szCs w:val="20"/>
          <w:b w:val="1"/>
          <w:bCs w:val="1"/>
          <w:color w:val="auto"/>
        </w:rPr>
      </w:pPr>
    </w:p>
    <w:p>
      <w:pPr>
        <w:jc w:val="both"/>
        <w:ind w:firstLine="2254"/>
        <w:spacing w:after="0" w:line="256" w:lineRule="auto"/>
        <w:tabs>
          <w:tab w:leader="none" w:pos="2546" w:val="left"/>
        </w:tabs>
        <w:numPr>
          <w:ilvl w:val="3"/>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Restricted Stock Awards: </w:t>
      </w:r>
      <w:r>
        <w:rPr>
          <w:rFonts w:ascii="Times New Roman" w:cs="Times New Roman" w:eastAsia="Times New Roman" w:hAnsi="Times New Roman"/>
          <w:sz w:val="20"/>
          <w:szCs w:val="20"/>
          <w:color w:val="auto"/>
        </w:rPr>
        <w:t>A Restricted Stock Award may be granted in consideration for (A) cash or check,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bank draft or money order payable to the Company, (B) services to the Company or an Affiliate, or (C) any other form of consideration as the Board may determine and permissible under Applicable Law.</w:t>
      </w:r>
    </w:p>
    <w:p>
      <w:pPr>
        <w:spacing w:after="0" w:line="101" w:lineRule="exact"/>
        <w:rPr>
          <w:rFonts w:ascii="Times New Roman" w:cs="Times New Roman" w:eastAsia="Times New Roman" w:hAnsi="Times New Roman"/>
          <w:sz w:val="20"/>
          <w:szCs w:val="20"/>
          <w:b w:val="1"/>
          <w:bCs w:val="1"/>
          <w:color w:val="auto"/>
        </w:rPr>
      </w:pPr>
    </w:p>
    <w:p>
      <w:pPr>
        <w:ind w:right="140" w:firstLine="2254"/>
        <w:spacing w:after="0" w:line="250" w:lineRule="auto"/>
        <w:tabs>
          <w:tab w:leader="none" w:pos="2546" w:val="left"/>
        </w:tabs>
        <w:numPr>
          <w:ilvl w:val="3"/>
          <w:numId w:val="1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RSU Awards: </w:t>
      </w:r>
      <w:r>
        <w:rPr>
          <w:rFonts w:ascii="Times New Roman" w:cs="Times New Roman" w:eastAsia="Times New Roman" w:hAnsi="Times New Roman"/>
          <w:sz w:val="20"/>
          <w:szCs w:val="20"/>
          <w:color w:val="auto"/>
        </w:rPr>
        <w:t>Unless otherwise determined by the Board at the time of grant, an RSU Award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in consideration for the Participant’s services to the Company or an Affiliate, such that the Participant will not be required to make any payment to the Company (other than such services) with respect to the grant or vesting of the RSU Award, or the issuance of any shares of Common Stock pursuant to the RSU Award. If, at the time of grant, the Board determines that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4" w:name="page225"/>
    <w:bookmarkEnd w:id="224"/>
    <w:p>
      <w:pPr>
        <w:ind w:right="200"/>
        <w:spacing w:after="0" w:line="254" w:lineRule="auto"/>
        <w:rPr>
          <w:sz w:val="20"/>
          <w:szCs w:val="20"/>
          <w:color w:val="auto"/>
        </w:rPr>
      </w:pPr>
      <w:r>
        <w:rPr>
          <w:rFonts w:ascii="Times New Roman" w:cs="Times New Roman" w:eastAsia="Times New Roman" w:hAnsi="Times New Roman"/>
          <w:sz w:val="20"/>
          <w:szCs w:val="20"/>
          <w:color w:val="auto"/>
        </w:rPr>
        <w:t>consideration must be paid by the Participant (in a form other than the Participant’s services to the Company or an Affiliate) upon the issuance of any shares of Common Stock in settlement of the RSU Award, such consideration may be paid in any form of consideration as the Board may determine and permissible under Applicable Law.</w:t>
      </w:r>
    </w:p>
    <w:p>
      <w:pPr>
        <w:spacing w:after="0" w:line="103" w:lineRule="exact"/>
        <w:rPr>
          <w:sz w:val="20"/>
          <w:szCs w:val="20"/>
          <w:color w:val="auto"/>
        </w:rPr>
      </w:pPr>
    </w:p>
    <w:p>
      <w:pPr>
        <w:ind w:right="260" w:firstLine="1505"/>
        <w:spacing w:after="0" w:line="250" w:lineRule="auto"/>
        <w:tabs>
          <w:tab w:leader="none" w:pos="2036" w:val="left"/>
        </w:tabs>
        <w:numPr>
          <w:ilvl w:val="2"/>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Vesting. </w:t>
      </w:r>
      <w:r>
        <w:rPr>
          <w:rFonts w:ascii="Times New Roman" w:cs="Times New Roman" w:eastAsia="Times New Roman" w:hAnsi="Times New Roman"/>
          <w:sz w:val="20"/>
          <w:szCs w:val="20"/>
          <w:color w:val="auto"/>
        </w:rPr>
        <w:t>The Board may impose such restrictions on or conditions to the vesting of a Restricted Stock Award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RSU Award as determined by the Board. Except as otherwise provided in the Award Agreement or other written agreement between a Participant and the Company or an Affiliate, vesting of Restricted Stock Awards and RSU Awards will cease upon termination of the Participant’s Continuous Service.</w:t>
      </w:r>
    </w:p>
    <w:p>
      <w:pPr>
        <w:spacing w:after="0" w:line="94" w:lineRule="exact"/>
        <w:rPr>
          <w:rFonts w:ascii="Times New Roman" w:cs="Times New Roman" w:eastAsia="Times New Roman" w:hAnsi="Times New Roman"/>
          <w:sz w:val="20"/>
          <w:szCs w:val="20"/>
          <w:b w:val="1"/>
          <w:bCs w:val="1"/>
          <w:color w:val="auto"/>
        </w:rPr>
      </w:pPr>
    </w:p>
    <w:p>
      <w:pPr>
        <w:ind w:right="40" w:firstLine="1505"/>
        <w:spacing w:after="0" w:line="258" w:lineRule="auto"/>
        <w:tabs>
          <w:tab w:leader="none" w:pos="2036" w:val="left"/>
        </w:tabs>
        <w:numPr>
          <w:ilvl w:val="2"/>
          <w:numId w:val="18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Termination of Continuous Service. </w:t>
      </w:r>
      <w:r>
        <w:rPr>
          <w:rFonts w:ascii="Times New Roman" w:cs="Times New Roman" w:eastAsia="Times New Roman" w:hAnsi="Times New Roman"/>
          <w:sz w:val="19"/>
          <w:szCs w:val="19"/>
          <w:color w:val="auto"/>
        </w:rPr>
        <w:t>Except as otherwise provided in the Award Agreement or other written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between a Participant and the Company or an Affiliate, if a Participant’s Continuous Service terminates for any reason, (1) the Company may receive through a forfeiture condition or a repurchase right any or all of the shares of Common Stock held by the Participant under his or her Restricted Stock Award that have not vested as of the date of such termination as set forth in the Restricted Stock Award Agreement and the Participant will have no further right, title or interest in the Restricted Stock Award, the shares of Common Stock subject to the Restricted Stock Award, or any consideration in respect of the Restricted Stock Award and (2) any portion of his or her RSU Award that has not vested will be forfeited upon such termination and the Participant will have no further right, title or interest in the RSU Award, the shares of Common Stock issuable pursuant to the RSU Award, or any consideration in respect of the RSU Award.</w:t>
      </w:r>
    </w:p>
    <w:p>
      <w:pPr>
        <w:spacing w:after="0" w:line="105" w:lineRule="exact"/>
        <w:rPr>
          <w:rFonts w:ascii="Times New Roman" w:cs="Times New Roman" w:eastAsia="Times New Roman" w:hAnsi="Times New Roman"/>
          <w:sz w:val="19"/>
          <w:szCs w:val="19"/>
          <w:b w:val="1"/>
          <w:bCs w:val="1"/>
          <w:color w:val="auto"/>
        </w:rPr>
      </w:pPr>
    </w:p>
    <w:p>
      <w:pPr>
        <w:jc w:val="both"/>
        <w:ind w:right="120" w:firstLine="1505"/>
        <w:spacing w:after="0" w:line="256" w:lineRule="auto"/>
        <w:tabs>
          <w:tab w:leader="none" w:pos="2036" w:val="left"/>
        </w:tabs>
        <w:numPr>
          <w:ilvl w:val="2"/>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Dividends and Dividend Equivalents. </w:t>
      </w:r>
      <w:r>
        <w:rPr>
          <w:rFonts w:ascii="Times New Roman" w:cs="Times New Roman" w:eastAsia="Times New Roman" w:hAnsi="Times New Roman"/>
          <w:sz w:val="20"/>
          <w:szCs w:val="20"/>
          <w:color w:val="auto"/>
        </w:rPr>
        <w:t>Dividends or dividend equivalents may be paid or credited, as applicable,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any shares of Common Stock subject to a Restricted Stock Award or RSU Award, as determined by the Board and specified in the Award Agreement.</w:t>
      </w:r>
    </w:p>
    <w:p>
      <w:pPr>
        <w:spacing w:after="0" w:line="101" w:lineRule="exact"/>
        <w:rPr>
          <w:rFonts w:ascii="Times New Roman" w:cs="Times New Roman" w:eastAsia="Times New Roman" w:hAnsi="Times New Roman"/>
          <w:sz w:val="20"/>
          <w:szCs w:val="20"/>
          <w:b w:val="1"/>
          <w:bCs w:val="1"/>
          <w:color w:val="auto"/>
        </w:rPr>
      </w:pPr>
    </w:p>
    <w:p>
      <w:pPr>
        <w:jc w:val="both"/>
        <w:ind w:right="120" w:firstLine="1505"/>
        <w:spacing w:after="0" w:line="250" w:lineRule="auto"/>
        <w:tabs>
          <w:tab w:leader="none" w:pos="2036" w:val="left"/>
        </w:tabs>
        <w:numPr>
          <w:ilvl w:val="2"/>
          <w:numId w:val="1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Settlement of RSU Awards</w:t>
      </w:r>
      <w:r>
        <w:rPr>
          <w:rFonts w:ascii="Times New Roman" w:cs="Times New Roman" w:eastAsia="Times New Roman" w:hAnsi="Times New Roman"/>
          <w:sz w:val="20"/>
          <w:szCs w:val="20"/>
          <w:color w:val="auto"/>
        </w:rPr>
        <w:t>. An RSU Award may be settled by the issuance of shares of Common Stock or cash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any combination thereof) or in any other form of payment, as determined by the Board and specified in the RSU Award Agreement. At the time of grant, the Board may determine to impose such restrictions or conditions that delay such delivery to a date following the vesting of the RSU Award.</w:t>
      </w:r>
    </w:p>
    <w:p>
      <w:pPr>
        <w:spacing w:after="0" w:line="94" w:lineRule="exact"/>
        <w:rPr>
          <w:rFonts w:ascii="Times New Roman" w:cs="Times New Roman" w:eastAsia="Times New Roman" w:hAnsi="Times New Roman"/>
          <w:sz w:val="20"/>
          <w:szCs w:val="20"/>
          <w:b w:val="1"/>
          <w:bCs w:val="1"/>
          <w:color w:val="auto"/>
        </w:rPr>
      </w:pPr>
    </w:p>
    <w:p>
      <w:pPr>
        <w:ind w:firstLine="757"/>
        <w:spacing w:after="0" w:line="256" w:lineRule="auto"/>
        <w:tabs>
          <w:tab w:leader="none" w:pos="1018" w:val="left"/>
        </w:tabs>
        <w:numPr>
          <w:ilvl w:val="1"/>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Performance Awards</w:t>
      </w:r>
      <w:r>
        <w:rPr>
          <w:rFonts w:ascii="Times New Roman" w:cs="Times New Roman" w:eastAsia="Times New Roman" w:hAnsi="Times New Roman"/>
          <w:sz w:val="20"/>
          <w:szCs w:val="20"/>
          <w:color w:val="auto"/>
        </w:rPr>
        <w:t>. With respect to any Performance Award, the length of any Performance Period, the Performance Goals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be achieved during the Performance Period, the other terms and conditions of such Award, and the measure of whether and to what degree such Performance Goals have been attained will be determined by the Board.</w:t>
      </w:r>
    </w:p>
    <w:p>
      <w:pPr>
        <w:spacing w:after="0" w:line="101" w:lineRule="exact"/>
        <w:rPr>
          <w:rFonts w:ascii="Times New Roman" w:cs="Times New Roman" w:eastAsia="Times New Roman" w:hAnsi="Times New Roman"/>
          <w:sz w:val="20"/>
          <w:szCs w:val="20"/>
          <w:b w:val="1"/>
          <w:bCs w:val="1"/>
          <w:color w:val="auto"/>
        </w:rPr>
      </w:pPr>
    </w:p>
    <w:p>
      <w:pPr>
        <w:ind w:right="40" w:firstLine="757"/>
        <w:spacing w:after="0" w:line="247" w:lineRule="auto"/>
        <w:tabs>
          <w:tab w:leader="none" w:pos="1018" w:val="left"/>
        </w:tabs>
        <w:numPr>
          <w:ilvl w:val="1"/>
          <w:numId w:val="1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Other Awards</w:t>
      </w:r>
      <w:r>
        <w:rPr>
          <w:rFonts w:ascii="Times New Roman" w:cs="Times New Roman" w:eastAsia="Times New Roman" w:hAnsi="Times New Roman"/>
          <w:sz w:val="20"/>
          <w:szCs w:val="20"/>
          <w:color w:val="auto"/>
        </w:rPr>
        <w:t>. Other forms of Awards valued in whole or in part by reference to, or otherwise based on,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the appreciation in value thereof, may be granted either alone or in addition to Awards provided for under Section 4 and the preceding provisions of this Section 5. Subject to the provisions of the Plan, the Board will have sole and complete discretion to determine the persons to whom and the time or times at which such Other Awards will be granted, the number of shares of Common Stock (or the cash equivalent thereof) to be granted pursuant to such Other Awards and all other terms and conditions of such Other Awards.</w:t>
      </w:r>
    </w:p>
    <w:p>
      <w:pPr>
        <w:spacing w:after="0" w:line="112"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ADJUSTMENTS UPON CHANGES IN COMMON STOCK; OTHER CORPORATE EVENTS.</w:t>
      </w:r>
    </w:p>
    <w:p>
      <w:pPr>
        <w:spacing w:after="0" w:line="13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Capitalization Adjustments</w:t>
      </w:r>
      <w:r>
        <w:rPr>
          <w:rFonts w:ascii="Times New Roman" w:cs="Times New Roman" w:eastAsia="Times New Roman" w:hAnsi="Times New Roman"/>
          <w:sz w:val="20"/>
          <w:szCs w:val="20"/>
          <w:color w:val="auto"/>
        </w:rPr>
        <w:t>. In the event of a Capitalization Adjustment, the Board shall appropriately and proportionately</w:t>
      </w:r>
    </w:p>
    <w:p>
      <w:pPr>
        <w:spacing w:after="0" w:line="25" w:lineRule="exact"/>
        <w:rPr>
          <w:rFonts w:ascii="Times New Roman" w:cs="Times New Roman" w:eastAsia="Times New Roman" w:hAnsi="Times New Roman"/>
          <w:sz w:val="20"/>
          <w:szCs w:val="20"/>
          <w:b w:val="1"/>
          <w:bCs w:val="1"/>
          <w:color w:val="auto"/>
        </w:rPr>
      </w:pPr>
    </w:p>
    <w:p>
      <w:pPr>
        <w:jc w:val="both"/>
        <w:ind w:right="80"/>
        <w:spacing w:after="0" w:line="24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adjust: (i) the class(es) and maximum number of shares of Common Stock subject to the Plan; and (ii) the class(es) and number of securities and exercise price, strike price or purchase price of Common Stock subject to outstanding Awards. The Board shall make such adjustments, and its determination shall be final, binding and conclusive. Notwithstanding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969010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3" w:right="399" w:bottom="1440" w:gutter="0" w:footer="0" w:header="0"/>
        </w:sectPr>
      </w:pPr>
    </w:p>
    <w:bookmarkStart w:id="225" w:name="page226"/>
    <w:bookmarkEnd w:id="225"/>
    <w:p>
      <w:pPr>
        <w:ind w:right="260"/>
        <w:spacing w:after="0" w:line="254" w:lineRule="auto"/>
        <w:rPr>
          <w:sz w:val="20"/>
          <w:szCs w:val="20"/>
          <w:color w:val="auto"/>
        </w:rPr>
      </w:pPr>
      <w:r>
        <w:rPr>
          <w:rFonts w:ascii="Times New Roman" w:cs="Times New Roman" w:eastAsia="Times New Roman" w:hAnsi="Times New Roman"/>
          <w:sz w:val="20"/>
          <w:szCs w:val="20"/>
          <w:color w:val="auto"/>
        </w:rPr>
        <w:t>foregoing, no fractional shares or rights for fractional shares of Common Stock shall be created in order to implement any Capitalization Adjustment. The Board shall determine an appropriate equivalent benefit, if any, for any fractional shares or rights to fractional shares that might be created by the adjustments referred to in the preceding provisions of this Section.</w:t>
      </w:r>
    </w:p>
    <w:p>
      <w:pPr>
        <w:spacing w:after="0" w:line="103" w:lineRule="exact"/>
        <w:rPr>
          <w:sz w:val="20"/>
          <w:szCs w:val="20"/>
          <w:color w:val="auto"/>
        </w:rPr>
      </w:pPr>
    </w:p>
    <w:p>
      <w:pPr>
        <w:ind w:firstLine="757"/>
        <w:spacing w:after="0" w:line="244" w:lineRule="auto"/>
        <w:tabs>
          <w:tab w:leader="none" w:pos="1018"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Dissolution or Liquidation. </w:t>
      </w:r>
      <w:r>
        <w:rPr>
          <w:rFonts w:ascii="Times New Roman" w:cs="Times New Roman" w:eastAsia="Times New Roman" w:hAnsi="Times New Roman"/>
          <w:sz w:val="20"/>
          <w:szCs w:val="20"/>
          <w:color w:val="auto"/>
        </w:rPr>
        <w:t>Except as otherwise provided in the Award Agreement, in the event of a dissolution or liquidation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Company, all outstanding Awards (other than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Award is providing Continuous Service, provided, however, that the Board may determine to cause some or all Awards to become fully vested, exercisable and/or no longer subject to repurchase or forfeiture (to the extent such Awards have not previously expired or terminated) before the dissolution or liquidation is completed but contingent on its completion.</w:t>
      </w:r>
    </w:p>
    <w:p>
      <w:pPr>
        <w:spacing w:after="0" w:line="100" w:lineRule="exact"/>
        <w:rPr>
          <w:rFonts w:ascii="Times New Roman" w:cs="Times New Roman" w:eastAsia="Times New Roman" w:hAnsi="Times New Roman"/>
          <w:sz w:val="20"/>
          <w:szCs w:val="20"/>
          <w:b w:val="1"/>
          <w:bCs w:val="1"/>
          <w:color w:val="auto"/>
        </w:rPr>
      </w:pPr>
    </w:p>
    <w:p>
      <w:pPr>
        <w:ind w:right="100" w:firstLine="757"/>
        <w:spacing w:after="0" w:line="256" w:lineRule="auto"/>
        <w:tabs>
          <w:tab w:leader="none" w:pos="1018" w:val="left"/>
        </w:tabs>
        <w:numPr>
          <w:ilvl w:val="0"/>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The following provisions will apply to Awards in the event of a Corporate Transaction, except as set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forth in Section 11, unless otherwise provided in the instrument evidencing the Award or any other written agreement between the Company or any Affiliate and the Participant or unless otherwise expressly provided by the Board at the time of grant of an Award.</w:t>
      </w:r>
    </w:p>
    <w:p>
      <w:pPr>
        <w:spacing w:after="0" w:line="101" w:lineRule="exact"/>
        <w:rPr>
          <w:rFonts w:ascii="Times New Roman" w:cs="Times New Roman" w:eastAsia="Times New Roman" w:hAnsi="Times New Roman"/>
          <w:sz w:val="20"/>
          <w:szCs w:val="20"/>
          <w:b w:val="1"/>
          <w:bCs w:val="1"/>
          <w:color w:val="auto"/>
        </w:rPr>
      </w:pPr>
    </w:p>
    <w:p>
      <w:pPr>
        <w:ind w:right="20" w:firstLine="1505"/>
        <w:spacing w:after="0" w:line="243" w:lineRule="auto"/>
        <w:tabs>
          <w:tab w:leader="none" w:pos="2036" w:val="left"/>
        </w:tabs>
        <w:numPr>
          <w:ilvl w:val="1"/>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May Be Assumed. </w:t>
      </w:r>
      <w:r>
        <w:rPr>
          <w:rFonts w:ascii="Times New Roman" w:cs="Times New Roman" w:eastAsia="Times New Roman" w:hAnsi="Times New Roman"/>
          <w:sz w:val="20"/>
          <w:szCs w:val="20"/>
          <w:color w:val="auto"/>
        </w:rPr>
        <w:t>In the event of a Corporate Transaction, any surviving corporation or acquiring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(or the surviving or acquiring corporation’s parent company) may assume or continue any or all Awards outstanding under the Plan or may substitute similar awards for Awards outstanding under the Plan (including but not limited to, awards to acquire the same consideration paid to the stockholders of the Company pursuant to the Corporate Transaction), and any reacquisition or repurchase rights held by the Company in respect of Common Stock issued pursuant to Awards may be assigned by the Company to the successor of the Company (or the successor’s parent company, if any), in connection with such Corporate Transaction. A surviving corporation or acquiring corporation (or its parent) may choose to assume or continue only a portion of an Award or substitute a similar award for only a portion of an Award, or may choose to assume or continue the Awards held by some, but not all Participants. The terms of any assumption, continuation or substitution will be set by the Board.</w:t>
      </w:r>
    </w:p>
    <w:p>
      <w:pPr>
        <w:spacing w:after="0" w:line="118" w:lineRule="exact"/>
        <w:rPr>
          <w:rFonts w:ascii="Times New Roman" w:cs="Times New Roman" w:eastAsia="Times New Roman" w:hAnsi="Times New Roman"/>
          <w:sz w:val="20"/>
          <w:szCs w:val="20"/>
          <w:b w:val="1"/>
          <w:bCs w:val="1"/>
          <w:color w:val="auto"/>
        </w:rPr>
      </w:pPr>
    </w:p>
    <w:p>
      <w:pPr>
        <w:ind w:firstLine="1505"/>
        <w:spacing w:after="0" w:line="242" w:lineRule="auto"/>
        <w:tabs>
          <w:tab w:leader="none" w:pos="2036" w:val="left"/>
        </w:tabs>
        <w:numPr>
          <w:ilvl w:val="1"/>
          <w:numId w:val="1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Current Participants. </w:t>
      </w:r>
      <w:r>
        <w:rPr>
          <w:rFonts w:ascii="Times New Roman" w:cs="Times New Roman" w:eastAsia="Times New Roman" w:hAnsi="Times New Roman"/>
          <w:sz w:val="20"/>
          <w:szCs w:val="20"/>
          <w:color w:val="auto"/>
        </w:rPr>
        <w:t>In the event of a Corporate Transaction in which the surviving 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acquiring corporation (or its parent company) does not assume or continue such outstanding Awards or substitute similar awards for such outstanding Awards, then with respect to Awards that have not been assumed, continued or substituted and that are held by Participants whose Continuous Service has not terminated prior to the effective time of the Corporate Transaction (referred to as the “</w:t>
      </w:r>
      <w:r>
        <w:rPr>
          <w:rFonts w:ascii="Times New Roman" w:cs="Times New Roman" w:eastAsia="Times New Roman" w:hAnsi="Times New Roman"/>
          <w:sz w:val="20"/>
          <w:szCs w:val="20"/>
          <w:b w:val="1"/>
          <w:bCs w:val="1"/>
          <w:i w:val="1"/>
          <w:iCs w:val="1"/>
          <w:color w:val="auto"/>
        </w:rPr>
        <w:t>Current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Participants</w:t>
      </w:r>
      <w:r>
        <w:rPr>
          <w:rFonts w:ascii="Times New Roman" w:cs="Times New Roman" w:eastAsia="Times New Roman" w:hAnsi="Times New Roman"/>
          <w:sz w:val="20"/>
          <w:szCs w:val="20"/>
          <w:color w:val="auto"/>
        </w:rPr>
        <w:t>”), the vesting of such Awards (and, with respect to Options and Stock Appreciation Rights, the time when such Awards may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exercised) will be accelerated in full to a date prior to the effective time of such Corporate Transaction (contingent upon the effectiveness of the Corporate Transaction) as the Board determines (or, if the Board does not determine such a date, to the date that is five days prior to the effective time of the Corporate Transaction), and such Awards will terminate if not exercised (if applicable) at or prior to the effective time of the Corporate Transaction, and any reacquisition or repurchase rights held by the Company with respect to such Awards will lapse (contingent upon the effectiveness of the Corporate Transaction). With respect to the vesting of Performance Awards that will accelerate upon the occurrence of a Corporate Transaction pursuant to this subsection (ii) and that have multiple vesting levels depending on the level of performance, unless otherwise provided in the Award Agreement, the vesting of such Performance Awards will accelerate at 100% of the target level upon the occurrence of the Corporate Transaction in which the Awards are not assumed, continued or substituted in accordance with Section 6(c)(i). With respect to the vesting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6" w:name="page227"/>
    <w:bookmarkEnd w:id="226"/>
    <w:p>
      <w:pPr>
        <w:ind w:right="20"/>
        <w:spacing w:after="0" w:line="254" w:lineRule="auto"/>
        <w:rPr>
          <w:sz w:val="20"/>
          <w:szCs w:val="20"/>
          <w:color w:val="auto"/>
        </w:rPr>
      </w:pPr>
      <w:r>
        <w:rPr>
          <w:rFonts w:ascii="Times New Roman" w:cs="Times New Roman" w:eastAsia="Times New Roman" w:hAnsi="Times New Roman"/>
          <w:sz w:val="20"/>
          <w:szCs w:val="20"/>
          <w:color w:val="auto"/>
        </w:rPr>
        <w:t>Awards that will accelerate upon the occurrence of a Corporate Transaction pursuant to this subsection (ii) and are settled in the form of a cash payment, such cash payment will be made no later than 30 days following the occurrence of the Corporate Transaction or such later date as required to comply with Section 409A of the Code.</w:t>
      </w:r>
    </w:p>
    <w:p>
      <w:pPr>
        <w:spacing w:after="0" w:line="103" w:lineRule="exact"/>
        <w:rPr>
          <w:sz w:val="20"/>
          <w:szCs w:val="20"/>
          <w:color w:val="auto"/>
        </w:rPr>
      </w:pPr>
    </w:p>
    <w:p>
      <w:pPr>
        <w:ind w:right="60" w:firstLine="1505"/>
        <w:spacing w:after="0" w:line="246" w:lineRule="auto"/>
        <w:tabs>
          <w:tab w:leader="none" w:pos="2036" w:val="left"/>
        </w:tabs>
        <w:numPr>
          <w:ilvl w:val="2"/>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Awards Held by Persons other than Current Participants. </w:t>
      </w:r>
      <w:r>
        <w:rPr>
          <w:rFonts w:ascii="Times New Roman" w:cs="Times New Roman" w:eastAsia="Times New Roman" w:hAnsi="Times New Roman"/>
          <w:sz w:val="20"/>
          <w:szCs w:val="20"/>
          <w:color w:val="auto"/>
        </w:rPr>
        <w:t>In the event of a Corporate Transaction in which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surviving corporation or acquiring corporation (or its parent company) does not assume or continue such outstanding Awards or substitute similar awards for such outstanding Awards, then with respect to Awards that have not been assumed, continued or substituted and that are held by persons other than Current Participants, such Awards will terminate if not exercised (if applicable) prior to the occurrence of the Corporate Transaction; provided, however, that any reacquisition or repurchase rights held by the Company with respect to such Awards will not terminate and may continue to be exercised notwithstanding the Corporate Transaction.</w:t>
      </w:r>
    </w:p>
    <w:p>
      <w:pPr>
        <w:spacing w:after="0" w:line="97" w:lineRule="exact"/>
        <w:rPr>
          <w:rFonts w:ascii="Times New Roman" w:cs="Times New Roman" w:eastAsia="Times New Roman" w:hAnsi="Times New Roman"/>
          <w:sz w:val="20"/>
          <w:szCs w:val="20"/>
          <w:b w:val="1"/>
          <w:bCs w:val="1"/>
          <w:color w:val="auto"/>
        </w:rPr>
      </w:pPr>
    </w:p>
    <w:p>
      <w:pPr>
        <w:ind w:right="120" w:firstLine="1505"/>
        <w:spacing w:after="0" w:line="246" w:lineRule="auto"/>
        <w:tabs>
          <w:tab w:leader="none" w:pos="2036" w:val="left"/>
        </w:tabs>
        <w:numPr>
          <w:ilvl w:val="2"/>
          <w:numId w:val="1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Payment for Awards in Lieu of Exercise. </w:t>
      </w:r>
      <w:r>
        <w:rPr>
          <w:rFonts w:ascii="Times New Roman" w:cs="Times New Roman" w:eastAsia="Times New Roman" w:hAnsi="Times New Roman"/>
          <w:sz w:val="20"/>
          <w:szCs w:val="20"/>
          <w:color w:val="auto"/>
        </w:rPr>
        <w:t>Notwithstanding the foregoing, in the event an Award will terminate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 exercised prior to the effective time of a Corporate Transaction, the Board may provide, in its sole discretion, that the holder of such Award may not exercise such Award but will receive a payment, in such form as may be determined by the Board, equal in value, at the effective time, to the excess, if any, of (1) the value of the property the Participant would have received upon the exercise of the Award (including, at the discretion of the Board, any unvested portion of such Award), over (2) any exercise price payable by such holder in connection with such exercise.</w:t>
      </w:r>
    </w:p>
    <w:p>
      <w:pPr>
        <w:spacing w:after="0" w:line="111" w:lineRule="exact"/>
        <w:rPr>
          <w:rFonts w:ascii="Times New Roman" w:cs="Times New Roman" w:eastAsia="Times New Roman" w:hAnsi="Times New Roman"/>
          <w:sz w:val="20"/>
          <w:szCs w:val="20"/>
          <w:b w:val="1"/>
          <w:bCs w:val="1"/>
          <w:color w:val="auto"/>
        </w:rPr>
      </w:pPr>
    </w:p>
    <w:p>
      <w:pPr>
        <w:ind w:right="200" w:firstLine="757"/>
        <w:spacing w:after="0" w:line="250" w:lineRule="auto"/>
        <w:tabs>
          <w:tab w:leader="none" w:pos="1018" w:val="left"/>
        </w:tabs>
        <w:numPr>
          <w:ilvl w:val="1"/>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Appointment of Stockholder Representative. </w:t>
      </w:r>
      <w:r>
        <w:rPr>
          <w:rFonts w:ascii="Times New Roman" w:cs="Times New Roman" w:eastAsia="Times New Roman" w:hAnsi="Times New Roman"/>
          <w:sz w:val="20"/>
          <w:szCs w:val="20"/>
          <w:color w:val="auto"/>
        </w:rPr>
        <w:t>As a condition to the receipt of an Award under this Plan, a Participant will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deemed to have agreed that the Award will be subject to the terms of any agreement governing a Corporate Transaction involving the Company, including, without limitation, a provision for the appointment of a stockholder representative that is authorized to act on the Participant’s behalf with respect to any escrow, indemnities and any contingent consideration.</w:t>
      </w:r>
    </w:p>
    <w:p>
      <w:pPr>
        <w:spacing w:after="0" w:line="108" w:lineRule="exact"/>
        <w:rPr>
          <w:rFonts w:ascii="Times New Roman" w:cs="Times New Roman" w:eastAsia="Times New Roman" w:hAnsi="Times New Roman"/>
          <w:sz w:val="20"/>
          <w:szCs w:val="20"/>
          <w:b w:val="1"/>
          <w:bCs w:val="1"/>
          <w:color w:val="auto"/>
        </w:rPr>
      </w:pPr>
    </w:p>
    <w:p>
      <w:pPr>
        <w:ind w:right="20" w:firstLine="757"/>
        <w:spacing w:after="0" w:line="245" w:lineRule="auto"/>
        <w:tabs>
          <w:tab w:leader="none" w:pos="1018" w:val="left"/>
        </w:tabs>
        <w:numPr>
          <w:ilvl w:val="1"/>
          <w:numId w:val="1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Restriction on Right to Undertake Transactions. </w:t>
      </w:r>
      <w:r>
        <w:rPr>
          <w:rFonts w:ascii="Times New Roman" w:cs="Times New Roman" w:eastAsia="Times New Roman" w:hAnsi="Times New Roman"/>
          <w:sz w:val="20"/>
          <w:szCs w:val="20"/>
          <w:color w:val="auto"/>
        </w:rPr>
        <w:t>The grant of any Award under the Plan and the issuance of shares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pursuant to any Award does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rights or options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98"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ADMINISTRATION.</w:t>
      </w:r>
    </w:p>
    <w:p>
      <w:pPr>
        <w:spacing w:after="0" w:line="148"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1"/>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Administration by Board. </w:t>
      </w:r>
      <w:r>
        <w:rPr>
          <w:rFonts w:ascii="Times New Roman" w:cs="Times New Roman" w:eastAsia="Times New Roman" w:hAnsi="Times New Roman"/>
          <w:sz w:val="20"/>
          <w:szCs w:val="20"/>
          <w:color w:val="auto"/>
        </w:rPr>
        <w:t>The Board will administer the Plan unless and until the Board delegates administration of the Plan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Committee or Committees, as provided in subsection (c) below.</w:t>
      </w:r>
    </w:p>
    <w:p>
      <w:pPr>
        <w:spacing w:after="0" w:line="8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Powers of Board. </w:t>
      </w:r>
      <w:r>
        <w:rPr>
          <w:rFonts w:ascii="Times New Roman" w:cs="Times New Roman" w:eastAsia="Times New Roman" w:hAnsi="Times New Roman"/>
          <w:sz w:val="20"/>
          <w:szCs w:val="20"/>
          <w:color w:val="auto"/>
        </w:rPr>
        <w:t>The Board will have the power, subject to, and within the limitations of, the express provisions of the Plan:</w:t>
      </w:r>
    </w:p>
    <w:p>
      <w:pPr>
        <w:spacing w:after="0" w:line="138" w:lineRule="exact"/>
        <w:rPr>
          <w:rFonts w:ascii="Times New Roman" w:cs="Times New Roman" w:eastAsia="Times New Roman" w:hAnsi="Times New Roman"/>
          <w:sz w:val="20"/>
          <w:szCs w:val="20"/>
          <w:b w:val="1"/>
          <w:bCs w:val="1"/>
          <w:color w:val="auto"/>
        </w:rPr>
      </w:pPr>
    </w:p>
    <w:p>
      <w:pPr>
        <w:ind w:right="160" w:firstLine="1505"/>
        <w:spacing w:after="0" w:line="245" w:lineRule="auto"/>
        <w:tabs>
          <w:tab w:leader="none" w:pos="2036" w:val="left"/>
        </w:tabs>
        <w:numPr>
          <w:ilvl w:val="2"/>
          <w:numId w:val="18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determine from time to time (1) which of the persons eligible under the Plan will be granted Awards; (2) when and how each Award will be granted; (3) what type or combination of types of Award will be granted; (4) the provisions of each Award granted (which need not be identical), including the time or times when a person will be permitted to receive an issuance of Common Stock or other payment pursuant to an Award; (5) the number of shares of Common Stock or cash equivalent with respect to which an Award will be granted to each such person; (6) the Fair Market Value applicable to an Award; and (7) the terms of any Performance Award that is not valued in whole or in part by reference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7" w:name="page228"/>
    <w:bookmarkEnd w:id="227"/>
    <w:p>
      <w:pPr>
        <w:ind w:right="380"/>
        <w:spacing w:after="0" w:line="269" w:lineRule="auto"/>
        <w:rPr>
          <w:sz w:val="20"/>
          <w:szCs w:val="20"/>
          <w:color w:val="auto"/>
        </w:rPr>
      </w:pPr>
      <w:r>
        <w:rPr>
          <w:rFonts w:ascii="Times New Roman" w:cs="Times New Roman" w:eastAsia="Times New Roman" w:hAnsi="Times New Roman"/>
          <w:sz w:val="20"/>
          <w:szCs w:val="20"/>
          <w:color w:val="auto"/>
        </w:rPr>
        <w:t>or otherwise based on, the Common Stock, including the amount of cash payment or other property that may be earned and the timing of payment.</w:t>
      </w:r>
    </w:p>
    <w:p>
      <w:pPr>
        <w:spacing w:after="0" w:line="92" w:lineRule="exact"/>
        <w:rPr>
          <w:sz w:val="20"/>
          <w:szCs w:val="20"/>
          <w:color w:val="auto"/>
        </w:rPr>
      </w:pPr>
    </w:p>
    <w:p>
      <w:pPr>
        <w:ind w:right="180" w:firstLine="1505"/>
        <w:spacing w:after="0" w:line="254"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construe and interpret the Plan and Awards granted under it, and to establish, amend and revoke rules and regulations for its administration. The Board, in the exercise of this power, may correct any defect, omission or inconsistency in the Plan or in any Award Agreement, in a manner and to the extent it deems necessary or expedient to make the Plan or Award fully effective.</w:t>
      </w:r>
    </w:p>
    <w:p>
      <w:pPr>
        <w:spacing w:after="0" w:line="93"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settle all controversies regarding the Plan and Awards granted under it.</w:t>
      </w:r>
    </w:p>
    <w:p>
      <w:pPr>
        <w:spacing w:after="0" w:line="148" w:lineRule="exact"/>
        <w:rPr>
          <w:rFonts w:ascii="Times New Roman" w:cs="Times New Roman" w:eastAsia="Times New Roman" w:hAnsi="Times New Roman"/>
          <w:sz w:val="20"/>
          <w:szCs w:val="20"/>
          <w:b w:val="1"/>
          <w:bCs w:val="1"/>
          <w:color w:val="auto"/>
        </w:rPr>
      </w:pPr>
    </w:p>
    <w:p>
      <w:pPr>
        <w:ind w:right="340" w:firstLine="1505"/>
        <w:spacing w:after="0" w:line="254"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accelerate the time at which an Award may first be exercised or the time during which an Award or any part thereof will vest, notwithstanding the provisions in the Award Agreement stating the time at which it may first be exercised or the time during which it will vest.</w:t>
      </w:r>
    </w:p>
    <w:p>
      <w:pPr>
        <w:spacing w:after="0" w:line="106" w:lineRule="exact"/>
        <w:rPr>
          <w:rFonts w:ascii="Times New Roman" w:cs="Times New Roman" w:eastAsia="Times New Roman" w:hAnsi="Times New Roman"/>
          <w:sz w:val="20"/>
          <w:szCs w:val="20"/>
          <w:b w:val="1"/>
          <w:bCs w:val="1"/>
          <w:color w:val="auto"/>
        </w:rPr>
      </w:pPr>
    </w:p>
    <w:p>
      <w:pPr>
        <w:ind w:right="100" w:firstLine="1505"/>
        <w:spacing w:after="0" w:line="249"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prohibit the exercise of any Option, SAR or other exercisable Award during a period of up to 30 days prior to the consummation of any pending stock dividend, stock split, combination or exchange of shares, merger, consolidation or other distribution (other than normal cash dividends) of Company assets to stockholders, or any other change affecting the shares of Common Stock or the share price of the Common Stock including any Corporate Transaction, for reasons of administrative convenience.</w:t>
      </w:r>
    </w:p>
    <w:p>
      <w:pPr>
        <w:spacing w:after="0" w:line="98" w:lineRule="exact"/>
        <w:rPr>
          <w:rFonts w:ascii="Times New Roman" w:cs="Times New Roman" w:eastAsia="Times New Roman" w:hAnsi="Times New Roman"/>
          <w:sz w:val="20"/>
          <w:szCs w:val="20"/>
          <w:b w:val="1"/>
          <w:bCs w:val="1"/>
          <w:color w:val="auto"/>
        </w:rPr>
      </w:pPr>
    </w:p>
    <w:p>
      <w:pPr>
        <w:ind w:right="440" w:firstLine="1505"/>
        <w:spacing w:after="0" w:line="295" w:lineRule="auto"/>
        <w:tabs>
          <w:tab w:leader="none" w:pos="2036" w:val="left"/>
        </w:tabs>
        <w:numPr>
          <w:ilvl w:val="0"/>
          <w:numId w:val="18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To suspend or terminate the Plan at any time. Suspension or termination of the Plan will not Materially Impair rights and obligations under any Award granted while the Plan is in effect except with the written consent of the affected Participant.</w:t>
      </w:r>
    </w:p>
    <w:p>
      <w:pPr>
        <w:spacing w:after="0" w:line="70" w:lineRule="exact"/>
        <w:rPr>
          <w:rFonts w:ascii="Times New Roman" w:cs="Times New Roman" w:eastAsia="Times New Roman" w:hAnsi="Times New Roman"/>
          <w:sz w:val="19"/>
          <w:szCs w:val="19"/>
          <w:b w:val="1"/>
          <w:bCs w:val="1"/>
          <w:color w:val="auto"/>
        </w:rPr>
      </w:pPr>
    </w:p>
    <w:p>
      <w:pPr>
        <w:ind w:right="140" w:firstLine="1505"/>
        <w:spacing w:after="0" w:line="254"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amend the Plan in any respect the Board deems necessary or advisable. Except as provided above, rights under any Award granted before amendment of the Plan will not be Materially Impaired by any amendment of the Plan unless (1) the Company requests the consent of the affected Participant, and (2) such Participant consents in writing.</w:t>
      </w:r>
    </w:p>
    <w:p>
      <w:pPr>
        <w:spacing w:after="0" w:line="106" w:lineRule="exact"/>
        <w:rPr>
          <w:rFonts w:ascii="Times New Roman" w:cs="Times New Roman" w:eastAsia="Times New Roman" w:hAnsi="Times New Roman"/>
          <w:sz w:val="20"/>
          <w:szCs w:val="20"/>
          <w:b w:val="1"/>
          <w:bCs w:val="1"/>
          <w:color w:val="auto"/>
        </w:rPr>
      </w:pPr>
    </w:p>
    <w:p>
      <w:pPr>
        <w:ind w:firstLine="1505"/>
        <w:spacing w:after="0" w:line="246"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Participant’s rights under any Award will not be Materially Impaired by any such amendment unless (1) the Company requests the consent of the affected Participant, and (2) such Participant consents in writing.</w:t>
      </w:r>
    </w:p>
    <w:p>
      <w:pPr>
        <w:spacing w:after="0" w:line="103" w:lineRule="exact"/>
        <w:rPr>
          <w:rFonts w:ascii="Times New Roman" w:cs="Times New Roman" w:eastAsia="Times New Roman" w:hAnsi="Times New Roman"/>
          <w:sz w:val="20"/>
          <w:szCs w:val="20"/>
          <w:b w:val="1"/>
          <w:bCs w:val="1"/>
          <w:color w:val="auto"/>
        </w:rPr>
      </w:pPr>
    </w:p>
    <w:p>
      <w:pPr>
        <w:ind w:right="60" w:firstLine="1505"/>
        <w:spacing w:after="0" w:line="269"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Generally, to exercise such powers and to perform such acts as the Board deems necessary or expedient to promote the best interests of the Company and that are not in conflict with the provisions of the Plan or Awards.</w:t>
      </w:r>
    </w:p>
    <w:p>
      <w:pPr>
        <w:spacing w:after="0" w:line="91" w:lineRule="exact"/>
        <w:rPr>
          <w:rFonts w:ascii="Times New Roman" w:cs="Times New Roman" w:eastAsia="Times New Roman" w:hAnsi="Times New Roman"/>
          <w:sz w:val="20"/>
          <w:szCs w:val="20"/>
          <w:b w:val="1"/>
          <w:bCs w:val="1"/>
          <w:color w:val="auto"/>
        </w:rPr>
      </w:pPr>
    </w:p>
    <w:p>
      <w:pPr>
        <w:ind w:right="120" w:firstLine="1505"/>
        <w:spacing w:after="0" w:line="249"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adopt such procedures and sub-plans as are necessary or appropriate to permit and facilitate participation in the Plan by, or take advantage of specific tax treatment for Awards granted to Employees who are foreign nationals or employed outside the United States (provided that Board approval will not be necessary for immaterial modifications to the Plan or any Award Agreement to ensure or facilitate compliance with the laws of the relevant foreign jurisdiction).</w:t>
      </w:r>
    </w:p>
    <w:p>
      <w:pPr>
        <w:spacing w:after="0" w:line="112" w:lineRule="exact"/>
        <w:rPr>
          <w:rFonts w:ascii="Times New Roman" w:cs="Times New Roman" w:eastAsia="Times New Roman" w:hAnsi="Times New Roman"/>
          <w:sz w:val="20"/>
          <w:szCs w:val="20"/>
          <w:b w:val="1"/>
          <w:bCs w:val="1"/>
          <w:color w:val="auto"/>
        </w:rPr>
      </w:pPr>
    </w:p>
    <w:p>
      <w:pPr>
        <w:ind w:firstLine="1505"/>
        <w:spacing w:after="0" w:line="246" w:lineRule="auto"/>
        <w:tabs>
          <w:tab w:leader="none" w:pos="2036" w:val="left"/>
        </w:tabs>
        <w:numPr>
          <w:ilvl w:val="0"/>
          <w:numId w:val="1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effect, at any time and from time to time, subject to the consent of any Participant whose Award is Materially Impaired by such action, (1) the reduction of the exercise price (or strike price) of any outstanding Option or SAR; (2) the cancellation of any outstanding Option or SAR and the grant in substitution therefor of (A) a new Option, SAR, Restricted Stock Award, RSU Award or Other Award, under the Plan or another equity plan of the Company, covering the same or a different number of shares of Common Stock, (B) cash and/or (C) other valuable consideration (as determined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the Board); or (3) any other action that is treated as a repricing under generally accepted accounting principles.</w:t>
      </w:r>
    </w:p>
    <w:p>
      <w:pPr>
        <w:spacing w:after="0" w:line="144" w:lineRule="exact"/>
        <w:rPr>
          <w:sz w:val="20"/>
          <w:szCs w:val="20"/>
          <w:color w:val="auto"/>
        </w:rPr>
      </w:pPr>
    </w:p>
    <w:p>
      <w:pPr>
        <w:ind w:left="1020" w:hanging="263"/>
        <w:spacing w:after="0"/>
        <w:tabs>
          <w:tab w:leader="none" w:pos="1020" w:val="left"/>
        </w:tabs>
        <w:numPr>
          <w:ilvl w:val="1"/>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Delegation to Committee.</w:t>
      </w:r>
    </w:p>
    <w:p>
      <w:pPr>
        <w:spacing w:after="0" w:line="134" w:lineRule="exact"/>
        <w:rPr>
          <w:rFonts w:ascii="Times New Roman" w:cs="Times New Roman" w:eastAsia="Times New Roman" w:hAnsi="Times New Roman"/>
          <w:sz w:val="20"/>
          <w:szCs w:val="20"/>
          <w:b w:val="1"/>
          <w:bCs w:val="1"/>
          <w:color w:val="auto"/>
        </w:rPr>
      </w:pPr>
    </w:p>
    <w:p>
      <w:pPr>
        <w:ind w:right="40" w:firstLine="1505"/>
        <w:spacing w:after="0" w:line="243" w:lineRule="auto"/>
        <w:tabs>
          <w:tab w:leader="none" w:pos="2036" w:val="left"/>
        </w:tabs>
        <w:numPr>
          <w:ilvl w:val="2"/>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General. </w:t>
      </w:r>
      <w:r>
        <w:rPr>
          <w:rFonts w:ascii="Times New Roman" w:cs="Times New Roman" w:eastAsia="Times New Roman" w:hAnsi="Times New Roman"/>
          <w:sz w:val="20"/>
          <w:szCs w:val="20"/>
          <w:color w:val="auto"/>
        </w:rPr>
        <w:t>The Board may delegate some or all of the administration of the Plan to a Committee or Committees. If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administration of the Plan is delegated to a Committee, the Committee will have, in connection with the administration of the Plan, the powers theretofore possessed by the Board that have been delegated to the Committee, including the power to delegate to another Committee or a subcommittee of the 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Each Committee may retain the authority to concurrently administer the Plan with Committee or subcommittee to which it has delegated its authority hereunder and may, at any time, revest in such Committee some or all of the powers previously delegated. The Board may retain the authority to concurrently administer the Plan with any Committee and may, at any time, revest in the Board some or all of the powers previously delegated.</w:t>
      </w:r>
    </w:p>
    <w:p>
      <w:pPr>
        <w:spacing w:after="0" w:line="118" w:lineRule="exact"/>
        <w:rPr>
          <w:rFonts w:ascii="Times New Roman" w:cs="Times New Roman" w:eastAsia="Times New Roman" w:hAnsi="Times New Roman"/>
          <w:sz w:val="20"/>
          <w:szCs w:val="20"/>
          <w:b w:val="1"/>
          <w:bCs w:val="1"/>
          <w:color w:val="auto"/>
        </w:rPr>
      </w:pPr>
    </w:p>
    <w:p>
      <w:pPr>
        <w:ind w:firstLine="1505"/>
        <w:spacing w:after="0" w:line="247" w:lineRule="auto"/>
        <w:tabs>
          <w:tab w:leader="none" w:pos="2036" w:val="left"/>
        </w:tabs>
        <w:numPr>
          <w:ilvl w:val="2"/>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Rule 16b-3 Compliance. </w:t>
      </w:r>
      <w:r>
        <w:rPr>
          <w:rFonts w:ascii="Times New Roman" w:cs="Times New Roman" w:eastAsia="Times New Roman" w:hAnsi="Times New Roman"/>
          <w:sz w:val="20"/>
          <w:szCs w:val="20"/>
          <w:color w:val="auto"/>
        </w:rPr>
        <w:t>To the extent an Award is intended to qualify for the exemption from Section 16(b)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Exchange Act 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12" w:lineRule="exact"/>
        <w:rPr>
          <w:rFonts w:ascii="Times New Roman" w:cs="Times New Roman" w:eastAsia="Times New Roman" w:hAnsi="Times New Roman"/>
          <w:sz w:val="20"/>
          <w:szCs w:val="20"/>
          <w:b w:val="1"/>
          <w:bCs w:val="1"/>
          <w:color w:val="auto"/>
        </w:rPr>
      </w:pPr>
    </w:p>
    <w:p>
      <w:pPr>
        <w:ind w:right="80" w:firstLine="757"/>
        <w:spacing w:after="0" w:line="273" w:lineRule="auto"/>
        <w:tabs>
          <w:tab w:leader="none" w:pos="1018" w:val="left"/>
        </w:tabs>
        <w:numPr>
          <w:ilvl w:val="1"/>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of Board’s Decision. </w:t>
      </w:r>
      <w:r>
        <w:rPr>
          <w:rFonts w:ascii="Times New Roman" w:cs="Times New Roman" w:eastAsia="Times New Roman" w:hAnsi="Times New Roman"/>
          <w:sz w:val="20"/>
          <w:szCs w:val="20"/>
          <w:color w:val="auto"/>
        </w:rPr>
        <w:t>All determinations, interpretations and constructions made by the Board or any Committee in good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faith will not be subject to review by any person and will be final, binding and conclusive on all persons.</w:t>
      </w:r>
    </w:p>
    <w:p>
      <w:pPr>
        <w:spacing w:after="0" w:line="70" w:lineRule="exact"/>
        <w:rPr>
          <w:rFonts w:ascii="Times New Roman" w:cs="Times New Roman" w:eastAsia="Times New Roman" w:hAnsi="Times New Roman"/>
          <w:sz w:val="20"/>
          <w:szCs w:val="20"/>
          <w:b w:val="1"/>
          <w:bCs w:val="1"/>
          <w:color w:val="auto"/>
        </w:rPr>
      </w:pPr>
    </w:p>
    <w:p>
      <w:pPr>
        <w:ind w:right="20" w:firstLine="757"/>
        <w:spacing w:after="0" w:line="243" w:lineRule="auto"/>
        <w:tabs>
          <w:tab w:leader="none" w:pos="1018" w:val="left"/>
        </w:tabs>
        <w:numPr>
          <w:ilvl w:val="1"/>
          <w:numId w:val="1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Delegation to an Officer. </w:t>
      </w:r>
      <w:r>
        <w:rPr>
          <w:rFonts w:ascii="Times New Roman" w:cs="Times New Roman" w:eastAsia="Times New Roman" w:hAnsi="Times New Roman"/>
          <w:sz w:val="20"/>
          <w:szCs w:val="20"/>
          <w:color w:val="auto"/>
        </w:rPr>
        <w:t>The Board or any Committee may delegate to one or more Officers the authority to do one or both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following (i) designate Employees meeting the criteria specified in Nasdaq Listing Rule 5635(c)(4) who are not Officers to be recipients of Options and SARs (and, to the extent permitted by Applicable Law, other types of Awards) and, to the extent permitted by Applicable Law, the terms thereof, and (ii) determine the number of shares of Common Stock to be subject to such Awards granted to such Employees; provided, however, that the resolutions or charter adopted by the Board or any Committee evidencing such delegation will specify the total number of shares of Common Stock that may be subject to the Awards granted by such Officer and that such Officer may not grant an Award to himself or herself. Any such Awards will be granted on the applicable form of Award Agreement most recently approved for use by the Board or the Committee, unless otherwise provided in the resolutions approving the delegation authority. Notwithstanding anything to the contrary herein, neither the Board nor any Committee may delegate to an Officer who is acting solely in the capacity of an Officer (and not also as a Director) the authority to determine the Fair Market Value.</w:t>
      </w:r>
    </w:p>
    <w:p>
      <w:pPr>
        <w:spacing w:after="0" w:line="114"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TAX WITHHOLDING</w:t>
      </w:r>
    </w:p>
    <w:p>
      <w:pPr>
        <w:spacing w:after="0" w:line="148" w:lineRule="exact"/>
        <w:rPr>
          <w:rFonts w:ascii="Times New Roman" w:cs="Times New Roman" w:eastAsia="Times New Roman" w:hAnsi="Times New Roman"/>
          <w:sz w:val="20"/>
          <w:szCs w:val="20"/>
          <w:b w:val="1"/>
          <w:bCs w:val="1"/>
          <w:color w:val="auto"/>
        </w:rPr>
      </w:pPr>
    </w:p>
    <w:p>
      <w:pPr>
        <w:ind w:right="40" w:firstLine="757"/>
        <w:spacing w:after="0" w:line="246" w:lineRule="auto"/>
        <w:tabs>
          <w:tab w:leader="none" w:pos="1018" w:val="left"/>
        </w:tabs>
        <w:numPr>
          <w:ilvl w:val="1"/>
          <w:numId w:val="1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Authorization. </w:t>
      </w:r>
      <w:r>
        <w:rPr>
          <w:rFonts w:ascii="Times New Roman" w:cs="Times New Roman" w:eastAsia="Times New Roman" w:hAnsi="Times New Roman"/>
          <w:sz w:val="20"/>
          <w:szCs w:val="20"/>
          <w:color w:val="auto"/>
        </w:rPr>
        <w:t>As a condition to acceptance of any Award under the Plan, a Participant authorizes withholding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from payroll and any other amounts payable to such Participant, and otherwise agrees to make adequate provision for (including), any sums required to satisfy any U.S. federal, state, local and/or foreign tax or social insurance contribution withholding obligations of the Company or an Affiliate, if any, which arise in connection with the exercise, vesting or settlement of such Award, as applicable. Accordingly, a Participant may not be able to exercise an Award even though the Award is vested, and the Company shall have no obligation to issue shares of Common Stock subject to an Award, unless and until such obligations are satisfied.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957580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29" w:name="page230"/>
    <w:bookmarkEnd w:id="229"/>
    <w:p>
      <w:pPr>
        <w:ind w:left="-8" w:right="60" w:firstLine="757"/>
        <w:spacing w:after="0" w:line="245" w:lineRule="auto"/>
        <w:tabs>
          <w:tab w:leader="none" w:pos="1010"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Satisfaction of Withholding Obligation. </w:t>
      </w:r>
      <w:r>
        <w:rPr>
          <w:rFonts w:ascii="Times New Roman" w:cs="Times New Roman" w:eastAsia="Times New Roman" w:hAnsi="Times New Roman"/>
          <w:sz w:val="20"/>
          <w:szCs w:val="20"/>
          <w:color w:val="auto"/>
        </w:rPr>
        <w:t>To the extent permitted by the terms of an Award Agreement, the Company may,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its sole discretion, satisfy any U.S. federal, state, local and/or foreign tax or social insurance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(iii) withholding cash from an Award settled in cash; (iv) withholding payment from any amounts otherwise payable to the Participant; (v) by allowing a Participant to effectuate a “cashless exercise” pursuant to a program developed under Regulation T as promulgated by the Federal Reserve Board; or (vi) by such other method as may be set forth in the Award Agreement.</w:t>
      </w:r>
    </w:p>
    <w:p>
      <w:pPr>
        <w:spacing w:after="0" w:line="111" w:lineRule="exact"/>
        <w:rPr>
          <w:rFonts w:ascii="Times New Roman" w:cs="Times New Roman" w:eastAsia="Times New Roman" w:hAnsi="Times New Roman"/>
          <w:sz w:val="20"/>
          <w:szCs w:val="20"/>
          <w:b w:val="1"/>
          <w:bCs w:val="1"/>
          <w:color w:val="auto"/>
        </w:rPr>
      </w:pPr>
    </w:p>
    <w:p>
      <w:pPr>
        <w:ind w:left="-8" w:firstLine="757"/>
        <w:spacing w:after="0" w:line="241" w:lineRule="auto"/>
        <w:tabs>
          <w:tab w:leader="none" w:pos="1010"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Obligation to Notify or Minimize Taxes; No Liability to Claims. </w:t>
      </w:r>
      <w:r>
        <w:rPr>
          <w:rFonts w:ascii="Times New Roman" w:cs="Times New Roman" w:eastAsia="Times New Roman" w:hAnsi="Times New Roman"/>
          <w:sz w:val="20"/>
          <w:szCs w:val="20"/>
          <w:color w:val="auto"/>
        </w:rPr>
        <w:t>Except as required by Applicable Law the Company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 duty or obligation to any Participant to advise such holder as to the time or manner of exercising such Award. Furthermore, the Company has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 and will not be liable to any holder of an Award for any adverse tax consequences to such holder in connection with an Award. As a condition to accepting an Award under the Plan, each Participant (i) agrees to not make any claim against the Company, or any of its Officers, Directors, Employees or Affiliates related to tax liabilities arising from such Award or other Company compensation and (ii) acknowledges that such Participant was advised to consult with his or her own personal tax, financial and other legal advisors regarding the tax consequences of the Award and has either done so or knowingly and voluntarily declined to do so. Additionally, each Participant acknowledges any Option or SAR granted under the Plan is exempt from Section 409A only if the exercise or strike price is at least equal to the “fair market value” of the Common Stock on the date of grant as determined by the Internal Revenue Service and there is no other impermissible deferral of compensation associated with the Award. Additionally, as a condition to accepting an Option or SAR granted under the Plan, each Participant agrees not make any claim against the Company, or any of its Officers, Directors, Employees or Affiliates in the event that the Internal Revenue Service asserts that such exercise price or strike price is less than the “fair market value” of the Common Stock on the date of grant as subsequently determined by the Internal Revenue Service.</w:t>
      </w:r>
    </w:p>
    <w:p>
      <w:pPr>
        <w:spacing w:after="0" w:line="113" w:lineRule="exact"/>
        <w:rPr>
          <w:rFonts w:ascii="Times New Roman" w:cs="Times New Roman" w:eastAsia="Times New Roman" w:hAnsi="Times New Roman"/>
          <w:sz w:val="20"/>
          <w:szCs w:val="20"/>
          <w:b w:val="1"/>
          <w:bCs w:val="1"/>
          <w:color w:val="auto"/>
        </w:rPr>
      </w:pPr>
    </w:p>
    <w:p>
      <w:pPr>
        <w:ind w:left="-8" w:right="40" w:firstLine="757"/>
        <w:spacing w:after="0" w:line="250" w:lineRule="auto"/>
        <w:tabs>
          <w:tab w:leader="none" w:pos="1010" w:val="left"/>
        </w:tabs>
        <w:numPr>
          <w:ilvl w:val="1"/>
          <w:numId w:val="19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Indemnification. </w:t>
      </w:r>
      <w:r>
        <w:rPr>
          <w:rFonts w:ascii="Times New Roman" w:cs="Times New Roman" w:eastAsia="Times New Roman" w:hAnsi="Times New Roman"/>
          <w:sz w:val="20"/>
          <w:szCs w:val="20"/>
          <w:color w:val="auto"/>
        </w:rPr>
        <w:t>As a condition to accepting an Award under the Plan, in the event that the amount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and/or its Affiliate’s withholding obligation in connection with such Award was greater than the amount actually withheld by the Company and/or its Affiliates, each Participant agrees to indemnify and hold the Company and/or its Affiliates harmless from any failure by the Company and/or its Affiliates to withhold the proper amount.</w:t>
      </w:r>
    </w:p>
    <w:p>
      <w:pPr>
        <w:spacing w:after="0" w:line="108" w:lineRule="exact"/>
        <w:rPr>
          <w:rFonts w:ascii="Times New Roman" w:cs="Times New Roman" w:eastAsia="Times New Roman" w:hAnsi="Times New Roman"/>
          <w:sz w:val="20"/>
          <w:szCs w:val="20"/>
          <w:b w:val="1"/>
          <w:bCs w:val="1"/>
          <w:color w:val="auto"/>
        </w:rPr>
      </w:pPr>
    </w:p>
    <w:p>
      <w:pPr>
        <w:ind w:left="372" w:hanging="372"/>
        <w:spacing w:after="0"/>
        <w:tabs>
          <w:tab w:leader="none" w:pos="372" w:val="left"/>
        </w:tabs>
        <w:numPr>
          <w:ilvl w:val="0"/>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148" w:lineRule="exact"/>
        <w:rPr>
          <w:rFonts w:ascii="Times New Roman" w:cs="Times New Roman" w:eastAsia="Times New Roman" w:hAnsi="Times New Roman"/>
          <w:sz w:val="20"/>
          <w:szCs w:val="20"/>
          <w:b w:val="1"/>
          <w:bCs w:val="1"/>
          <w:color w:val="auto"/>
        </w:rPr>
      </w:pPr>
    </w:p>
    <w:p>
      <w:pPr>
        <w:ind w:left="-8" w:right="320" w:firstLine="757"/>
        <w:spacing w:after="0" w:line="273" w:lineRule="auto"/>
        <w:tabs>
          <w:tab w:leader="none" w:pos="1010"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Source of Shares. </w:t>
      </w:r>
      <w:r>
        <w:rPr>
          <w:rFonts w:ascii="Times New Roman" w:cs="Times New Roman" w:eastAsia="Times New Roman" w:hAnsi="Times New Roman"/>
          <w:sz w:val="20"/>
          <w:szCs w:val="20"/>
          <w:color w:val="auto"/>
        </w:rPr>
        <w:t>The stock issuable under the Plan will be shares of authorized but unissued or reacquired Common Stock,</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including shares repurchased by the Company on the open market or otherwise.</w:t>
      </w:r>
    </w:p>
    <w:p>
      <w:pPr>
        <w:spacing w:after="0" w:line="70" w:lineRule="exact"/>
        <w:rPr>
          <w:rFonts w:ascii="Times New Roman" w:cs="Times New Roman" w:eastAsia="Times New Roman" w:hAnsi="Times New Roman"/>
          <w:sz w:val="20"/>
          <w:szCs w:val="20"/>
          <w:b w:val="1"/>
          <w:bCs w:val="1"/>
          <w:color w:val="auto"/>
        </w:rPr>
      </w:pPr>
    </w:p>
    <w:p>
      <w:pPr>
        <w:ind w:left="-8" w:right="260" w:firstLine="757"/>
        <w:spacing w:after="0" w:line="273" w:lineRule="auto"/>
        <w:tabs>
          <w:tab w:leader="none" w:pos="1010"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Use of Proceeds from Sales of Common Stock. </w:t>
      </w:r>
      <w:r>
        <w:rPr>
          <w:rFonts w:ascii="Times New Roman" w:cs="Times New Roman" w:eastAsia="Times New Roman" w:hAnsi="Times New Roman"/>
          <w:sz w:val="20"/>
          <w:szCs w:val="20"/>
          <w:color w:val="auto"/>
        </w:rPr>
        <w:t>Proceeds from the sale of shares of Common Stock pursuant to Awards will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general funds of the Company.</w:t>
      </w:r>
    </w:p>
    <w:p>
      <w:pPr>
        <w:spacing w:after="0" w:line="84" w:lineRule="exact"/>
        <w:rPr>
          <w:rFonts w:ascii="Times New Roman" w:cs="Times New Roman" w:eastAsia="Times New Roman" w:hAnsi="Times New Roman"/>
          <w:sz w:val="20"/>
          <w:szCs w:val="20"/>
          <w:b w:val="1"/>
          <w:bCs w:val="1"/>
          <w:color w:val="auto"/>
        </w:rPr>
      </w:pPr>
    </w:p>
    <w:p>
      <w:pPr>
        <w:ind w:left="-8" w:right="160" w:firstLine="757"/>
        <w:spacing w:after="0" w:line="247" w:lineRule="auto"/>
        <w:tabs>
          <w:tab w:leader="none" w:pos="1010" w:val="left"/>
        </w:tabs>
        <w:numPr>
          <w:ilvl w:val="1"/>
          <w:numId w:val="1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Action Constituting Grant of Awards. </w:t>
      </w:r>
      <w:r>
        <w:rPr>
          <w:rFonts w:ascii="Times New Roman" w:cs="Times New Roman" w:eastAsia="Times New Roman" w:hAnsi="Times New Roman"/>
          <w:sz w:val="20"/>
          <w:szCs w:val="20"/>
          <w:color w:val="auto"/>
        </w:rPr>
        <w:t>Corporate action constituting a grant by the Company of an Award to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will 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approving the grant contain terms (e.g., exercise price,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967105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230" w:name="page231"/>
    <w:bookmarkEnd w:id="230"/>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or number of shares) that are inconsistent with those in the Award Agreement or related grant documents as a result of a clerical error in the Award Agreement or related grant documents, the corporate records will control and the Participant will have no legally binding right to the incorrect term in the Award Agreement or related grant documents.</w:t>
      </w:r>
    </w:p>
    <w:p>
      <w:pPr>
        <w:spacing w:after="0" w:line="103" w:lineRule="exact"/>
        <w:rPr>
          <w:sz w:val="20"/>
          <w:szCs w:val="20"/>
          <w:color w:val="auto"/>
        </w:rPr>
      </w:pPr>
    </w:p>
    <w:p>
      <w:pPr>
        <w:ind w:right="20" w:firstLine="757"/>
        <w:spacing w:after="0" w:line="250" w:lineRule="auto"/>
        <w:tabs>
          <w:tab w:leader="none" w:pos="1018"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Stockholder Rights. </w:t>
      </w:r>
      <w:r>
        <w:rPr>
          <w:rFonts w:ascii="Times New Roman" w:cs="Times New Roman" w:eastAsia="Times New Roman" w:hAnsi="Times New Roman"/>
          <w:sz w:val="20"/>
          <w:szCs w:val="20"/>
          <w:color w:val="auto"/>
        </w:rPr>
        <w:t>No Participant will be deemed to be the holder of, or to have any of the rights of a 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shares of Common Stock subject to such Award unless and until (i) such Participant has satisfied all requirements for exercise of the Award pursuant to its terms, if applicable, and (ii) the issuance of the Common Stock subject to such Award is reflected in the records of the Company.</w:t>
      </w:r>
    </w:p>
    <w:p>
      <w:pPr>
        <w:spacing w:after="0" w:line="94" w:lineRule="exact"/>
        <w:rPr>
          <w:rFonts w:ascii="Times New Roman" w:cs="Times New Roman" w:eastAsia="Times New Roman" w:hAnsi="Times New Roman"/>
          <w:sz w:val="20"/>
          <w:szCs w:val="20"/>
          <w:b w:val="1"/>
          <w:bCs w:val="1"/>
          <w:color w:val="auto"/>
        </w:rPr>
      </w:pPr>
    </w:p>
    <w:p>
      <w:pPr>
        <w:ind w:right="40" w:firstLine="757"/>
        <w:spacing w:after="0" w:line="242" w:lineRule="auto"/>
        <w:tabs>
          <w:tab w:leader="none" w:pos="1018"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Employment or Other Service Rights. </w:t>
      </w:r>
      <w:r>
        <w:rPr>
          <w:rFonts w:ascii="Times New Roman" w:cs="Times New Roman" w:eastAsia="Times New Roman" w:hAnsi="Times New Roman"/>
          <w:sz w:val="20"/>
          <w:szCs w:val="20"/>
          <w:color w:val="auto"/>
        </w:rPr>
        <w:t>Nothing in the Plan, any Award Agreement or any other instrument executed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thereunder or in connection with any Award granted pursuant thereto will confer upon any Participant any right to continue to serve the Company or an Affiliate in the capacity in effect at the time the Award was granted or affect the right of the Company or an Affiliate to terminate at will and without regard to any future vesting opportunity that a Participant may have with respect to any Award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or foreign jurisdiction in which the Company or the Affiliate is incorporated, as the case may be. Further, nothing in the Plan, any Award Agreement or any other instrument executed thereunder or in connection with any Award will constitute any promise or commitment by the Company or an Affiliate regarding the fact or nature of future positions, future work assignments, future compensation or any other term or condition of employment or service or confer any right or benefit under the Award or the Plan unless such right or benefit has specifically accrued under the terms of the Award Agreement and/or Plan.</w:t>
      </w:r>
    </w:p>
    <w:p>
      <w:pPr>
        <w:spacing w:after="0" w:line="119" w:lineRule="exact"/>
        <w:rPr>
          <w:rFonts w:ascii="Times New Roman" w:cs="Times New Roman" w:eastAsia="Times New Roman" w:hAnsi="Times New Roman"/>
          <w:sz w:val="20"/>
          <w:szCs w:val="20"/>
          <w:b w:val="1"/>
          <w:bCs w:val="1"/>
          <w:color w:val="auto"/>
        </w:rPr>
      </w:pPr>
    </w:p>
    <w:p>
      <w:pPr>
        <w:ind w:right="60" w:firstLine="757"/>
        <w:spacing w:after="0" w:line="260" w:lineRule="auto"/>
        <w:tabs>
          <w:tab w:leader="none" w:pos="1018"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Change in Time Commitment. </w:t>
      </w:r>
      <w:r>
        <w:rPr>
          <w:rFonts w:ascii="Times New Roman" w:cs="Times New Roman" w:eastAsia="Times New Roman" w:hAnsi="Times New Roman"/>
          <w:sz w:val="19"/>
          <w:szCs w:val="19"/>
          <w:color w:val="auto"/>
        </w:rPr>
        <w:t>In the event a Participant’s regular level of time commitment in the performance of his or 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services for the Company and any Affiliates is reduced (for example, and without limitation, if the Participant has a change in status from a full-time Employee to a part-time Employee or takes an extended leave of absence) after the date of grant of any Award to the Participant, the Board may determine, to the extent permitted by Applicable Law, to (i) make a corresponding reduction in the number of shares or cash amount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98" w:lineRule="exact"/>
        <w:rPr>
          <w:rFonts w:ascii="Times New Roman" w:cs="Times New Roman" w:eastAsia="Times New Roman" w:hAnsi="Times New Roman"/>
          <w:sz w:val="19"/>
          <w:szCs w:val="19"/>
          <w:b w:val="1"/>
          <w:bCs w:val="1"/>
          <w:color w:val="auto"/>
        </w:rPr>
      </w:pPr>
    </w:p>
    <w:p>
      <w:pPr>
        <w:jc w:val="both"/>
        <w:ind w:right="180" w:firstLine="757"/>
        <w:spacing w:after="0" w:line="250" w:lineRule="auto"/>
        <w:tabs>
          <w:tab w:leader="none" w:pos="1018" w:val="left"/>
        </w:tabs>
        <w:numPr>
          <w:ilvl w:val="0"/>
          <w:numId w:val="1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Execution of Additional Documents. </w:t>
      </w:r>
      <w:r>
        <w:rPr>
          <w:rFonts w:ascii="Times New Roman" w:cs="Times New Roman" w:eastAsia="Times New Roman" w:hAnsi="Times New Roman"/>
          <w:sz w:val="20"/>
          <w:szCs w:val="20"/>
          <w:color w:val="auto"/>
        </w:rPr>
        <w:t>As a condition to accepting an Award under the Plan, the Participant agrees to execute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additional documents or instruments necessary or desirable, as determined in the Plan Administrator’s sole discretion, to carry out the purposes or intent of the Award, or facilitate compliance with securities and/or other regulatory requirements, in each case at the Plan Administrator’s request.</w:t>
      </w:r>
    </w:p>
    <w:p>
      <w:pPr>
        <w:spacing w:after="0" w:line="94" w:lineRule="exact"/>
        <w:rPr>
          <w:rFonts w:ascii="Times New Roman" w:cs="Times New Roman" w:eastAsia="Times New Roman" w:hAnsi="Times New Roman"/>
          <w:sz w:val="20"/>
          <w:szCs w:val="20"/>
          <w:b w:val="1"/>
          <w:bCs w:val="1"/>
          <w:color w:val="auto"/>
        </w:rPr>
      </w:pPr>
    </w:p>
    <w:p>
      <w:pPr>
        <w:ind w:firstLine="757"/>
        <w:spacing w:after="0" w:line="261" w:lineRule="auto"/>
        <w:tabs>
          <w:tab w:leader="none" w:pos="1018" w:val="left"/>
        </w:tabs>
        <w:numPr>
          <w:ilvl w:val="0"/>
          <w:numId w:val="19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Electronic Delivery and Participation. </w:t>
      </w:r>
      <w:r>
        <w:rPr>
          <w:rFonts w:ascii="Times New Roman" w:cs="Times New Roman" w:eastAsia="Times New Roman" w:hAnsi="Times New Roman"/>
          <w:sz w:val="19"/>
          <w:szCs w:val="19"/>
          <w:color w:val="auto"/>
        </w:rPr>
        <w:t>Any reference herein or in an Award Agreement to a “written” agreement or document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will include any agreement or document delivered electronically, filed publicly at www.sec.gov (or any successor website thereto) or posted on the Company’s intranet (or other shared electronic medium controlled by the Company to which the Participant has access). By accepting any Award the Participant consents to receive documents by electronic delivery and to participate in the Plan through any on-line electronic system established and maintained by the Plan Administrator or another third party selected by the Plan Administrator. The form of delivery of any Common Stock (e.g., a stock certificate or electronic entry evidencing such shares) shall be determined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13" w:right="419" w:bottom="1440" w:gutter="0" w:footer="0" w:header="0"/>
        </w:sectPr>
      </w:pPr>
    </w:p>
    <w:bookmarkStart w:id="231" w:name="page232"/>
    <w:bookmarkEnd w:id="231"/>
    <w:p>
      <w:pPr>
        <w:ind w:firstLine="757"/>
        <w:spacing w:after="0" w:line="243" w:lineRule="auto"/>
        <w:tabs>
          <w:tab w:leader="none" w:pos="1018"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Clawback/Recovery. </w:t>
      </w:r>
      <w:r>
        <w:rPr>
          <w:rFonts w:ascii="Times New Roman" w:cs="Times New Roman" w:eastAsia="Times New Roman" w:hAnsi="Times New Roman"/>
          <w:sz w:val="20"/>
          <w:szCs w:val="20"/>
          <w:color w:val="auto"/>
        </w:rPr>
        <w:t>All Awards granted under the Plan will be subject to recoupment in accordance with any clawback policy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 and any clawback policy that the Company otherwise adopts, to the extent applicable and permissible under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Participant’s right to voluntarily terminate employment upon a “resignation for good reason,” or for a “constructive termination” or any similar term under any plan of or agreement with the Company.</w:t>
      </w:r>
    </w:p>
    <w:p>
      <w:pPr>
        <w:spacing w:after="0" w:line="118" w:lineRule="exact"/>
        <w:rPr>
          <w:rFonts w:ascii="Times New Roman" w:cs="Times New Roman" w:eastAsia="Times New Roman" w:hAnsi="Times New Roman"/>
          <w:sz w:val="20"/>
          <w:szCs w:val="20"/>
          <w:b w:val="1"/>
          <w:bCs w:val="1"/>
          <w:color w:val="auto"/>
        </w:rPr>
      </w:pPr>
    </w:p>
    <w:p>
      <w:pPr>
        <w:ind w:firstLine="757"/>
        <w:spacing w:after="0" w:line="250" w:lineRule="auto"/>
        <w:tabs>
          <w:tab w:leader="none" w:pos="1018"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Securities Law Compliance. </w:t>
      </w:r>
      <w:r>
        <w:rPr>
          <w:rFonts w:ascii="Times New Roman" w:cs="Times New Roman" w:eastAsia="Times New Roman" w:hAnsi="Times New Roman"/>
          <w:sz w:val="20"/>
          <w:szCs w:val="20"/>
          <w:color w:val="auto"/>
        </w:rPr>
        <w:t>A Participant will not be issued any shares in respect of an Award unless either (i) the shares 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registered under the Securities Act; or (ii) the Company has determined that such issuance would be exempt from the registration requirements of the Securities Act. Each Award also must comply with other Applicable Law governing the Award, and a Participant will not receive such shares if the Company determines that such receipt would not be in material compliance with Applicable Law.</w:t>
      </w:r>
    </w:p>
    <w:p>
      <w:pPr>
        <w:spacing w:after="0" w:line="94" w:lineRule="exact"/>
        <w:rPr>
          <w:rFonts w:ascii="Times New Roman" w:cs="Times New Roman" w:eastAsia="Times New Roman" w:hAnsi="Times New Roman"/>
          <w:sz w:val="20"/>
          <w:szCs w:val="20"/>
          <w:b w:val="1"/>
          <w:bCs w:val="1"/>
          <w:color w:val="auto"/>
        </w:rPr>
      </w:pPr>
    </w:p>
    <w:p>
      <w:pPr>
        <w:ind w:firstLine="757"/>
        <w:spacing w:after="0" w:line="247" w:lineRule="auto"/>
        <w:tabs>
          <w:tab w:leader="none" w:pos="1018"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 or Assignment of Awards; Issued Shares. </w:t>
      </w:r>
      <w:r>
        <w:rPr>
          <w:rFonts w:ascii="Times New Roman" w:cs="Times New Roman" w:eastAsia="Times New Roman" w:hAnsi="Times New Roman"/>
          <w:sz w:val="20"/>
          <w:szCs w:val="20"/>
          <w:color w:val="auto"/>
        </w:rPr>
        <w:t>Except as expressly provided in the Plan or the form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Awards granted under the Plan may not be transferred or assigned by the Participant. After the vested shares subject to an Award have been issued, or in the case of Restricted Stock and similar awards, after the issued shares have vested, the holder of such shares is free to assign, hypothecate, donate, encumber or otherwise dispose of any interest in such shares provided that any such actions are in compliance with the provisions herein, the terms of the Trading Policy and Applicable Law.</w:t>
      </w:r>
    </w:p>
    <w:p>
      <w:pPr>
        <w:spacing w:after="0" w:line="112" w:lineRule="exact"/>
        <w:rPr>
          <w:rFonts w:ascii="Times New Roman" w:cs="Times New Roman" w:eastAsia="Times New Roman" w:hAnsi="Times New Roman"/>
          <w:sz w:val="20"/>
          <w:szCs w:val="20"/>
          <w:b w:val="1"/>
          <w:bCs w:val="1"/>
          <w:color w:val="auto"/>
        </w:rPr>
      </w:pPr>
    </w:p>
    <w:p>
      <w:pPr>
        <w:ind w:right="100" w:firstLine="757"/>
        <w:spacing w:after="0" w:line="250" w:lineRule="auto"/>
        <w:tabs>
          <w:tab w:leader="none" w:pos="1018" w:val="left"/>
        </w:tabs>
        <w:numPr>
          <w:ilvl w:val="0"/>
          <w:numId w:val="19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Effect on Other Employee Benefit Plans. </w:t>
      </w:r>
      <w:r>
        <w:rPr>
          <w:rFonts w:ascii="Times New Roman" w:cs="Times New Roman" w:eastAsia="Times New Roman" w:hAnsi="Times New Roman"/>
          <w:sz w:val="20"/>
          <w:szCs w:val="20"/>
          <w:color w:val="auto"/>
        </w:rPr>
        <w:t>The value of any Award granted under the Plan, as determined upon grant, vesting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settlement, shall not be included as compensation, earnings, salaries, or other similar terms used when calculating any Participant’s benefits under any employee benefit plan sponsored by the Company or any Affiliate, except as such plan otherwise expressly provides. The Company expressly reserves its rights to amend, modify, or terminate any of the Company’s or any Affiliate’s employee benefit plans.</w:t>
      </w:r>
    </w:p>
    <w:p>
      <w:pPr>
        <w:spacing w:after="0" w:line="108" w:lineRule="exact"/>
        <w:rPr>
          <w:sz w:val="20"/>
          <w:szCs w:val="20"/>
          <w:color w:val="auto"/>
        </w:rPr>
      </w:pPr>
    </w:p>
    <w:p>
      <w:pPr>
        <w:ind w:right="28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(m)Deferrals. </w:t>
      </w:r>
      <w:r>
        <w:rPr>
          <w:rFonts w:ascii="Times New Roman" w:cs="Times New Roman" w:eastAsia="Times New Roman" w:hAnsi="Times New Roman"/>
          <w:sz w:val="20"/>
          <w:szCs w:val="20"/>
          <w:color w:val="auto"/>
        </w:rPr>
        <w:t>To the extent permitted by Applicable Law, the Board, in its sole discretion, may determine that the delivery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or the payment of cash, upon the exercise, vesting or settlement of all or a portion of any Award may be deferred and may also establish programs and procedures for deferral elections to be made by Participants. Deferrals will be made in accordance with the requirements of Section 409A.</w:t>
      </w:r>
    </w:p>
    <w:p>
      <w:pPr>
        <w:spacing w:after="0" w:line="95" w:lineRule="exact"/>
        <w:rPr>
          <w:sz w:val="20"/>
          <w:szCs w:val="20"/>
          <w:color w:val="auto"/>
        </w:rPr>
      </w:pPr>
    </w:p>
    <w:p>
      <w:pPr>
        <w:ind w:firstLine="757"/>
        <w:spacing w:after="0" w:line="258" w:lineRule="auto"/>
        <w:tabs>
          <w:tab w:leader="none" w:pos="1018" w:val="left"/>
        </w:tabs>
        <w:numPr>
          <w:ilvl w:val="0"/>
          <w:numId w:val="19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Section 409A. </w:t>
      </w:r>
      <w:r>
        <w:rPr>
          <w:rFonts w:ascii="Times New Roman" w:cs="Times New Roman" w:eastAsia="Times New Roman" w:hAnsi="Times New Roman"/>
          <w:sz w:val="19"/>
          <w:szCs w:val="19"/>
          <w:color w:val="auto"/>
        </w:rPr>
        <w:t>Unless otherwise expressly provided for in an Award Agreement, the Plan and Award Agreements will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interpreted to the greatest extent possible in a manner that makes the Plan and the Awards granted hereunder exempt from Section 409A, and, to the extent not so exempt, in compliance with the requirements of Section 409A. If the Board determines that any Award granted hereunder is not exempt from and is therefore subject to Section 409A,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is a “specified employee” for purposes of Section 409A, no distribution or payment of any amount that is due because of a “separation from service” (as defined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959485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32" w:name="page233"/>
    <w:bookmarkEnd w:id="232"/>
    <w:p>
      <w:pPr>
        <w:ind w:right="60"/>
        <w:spacing w:after="0" w:line="249" w:lineRule="auto"/>
        <w:rPr>
          <w:sz w:val="20"/>
          <w:szCs w:val="20"/>
          <w:color w:val="auto"/>
        </w:rPr>
      </w:pPr>
      <w:r>
        <w:rPr>
          <w:rFonts w:ascii="Times New Roman" w:cs="Times New Roman" w:eastAsia="Times New Roman" w:hAnsi="Times New Roman"/>
          <w:sz w:val="20"/>
          <w:szCs w:val="20"/>
          <w:color w:val="auto"/>
        </w:rPr>
        <w:t>Section 409A without regard to alternative definitions thereunder) will be issued or paid before the date that is six months and one day following the date of such Participant’s “separation from service” or, if earlier, the date of the Participant’s death, unless such distribution or payment can be made in a manner that complies with Section 409A, and any amounts so deferred will be paid in a lump sum on the day after such six month period elapses, with the balance paid thereafter on the original schedule.</w:t>
      </w:r>
    </w:p>
    <w:p>
      <w:pPr>
        <w:spacing w:after="0" w:line="108" w:lineRule="exact"/>
        <w:rPr>
          <w:sz w:val="20"/>
          <w:szCs w:val="20"/>
          <w:color w:val="auto"/>
        </w:rPr>
      </w:pPr>
    </w:p>
    <w:p>
      <w:pPr>
        <w:jc w:val="both"/>
        <w:ind w:firstLine="757"/>
        <w:spacing w:after="0" w:line="256" w:lineRule="auto"/>
        <w:tabs>
          <w:tab w:leader="none" w:pos="1018" w:val="left"/>
        </w:tabs>
        <w:numPr>
          <w:ilvl w:val="1"/>
          <w:numId w:val="19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CHOICE OF LAW. </w:t>
      </w:r>
      <w:r>
        <w:rPr>
          <w:rFonts w:ascii="Times New Roman" w:cs="Times New Roman" w:eastAsia="Times New Roman" w:hAnsi="Times New Roman"/>
          <w:sz w:val="20"/>
          <w:szCs w:val="20"/>
          <w:color w:val="auto"/>
        </w:rPr>
        <w:t>This Plan and any controversy arising out of or relating to this Plan shall be governed by, and construed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internal laws of the State of Delaware, without regard to conflict of law principles that would result in any application of any law other than the law of the State of Delaware.</w:t>
      </w:r>
    </w:p>
    <w:p>
      <w:pPr>
        <w:spacing w:after="0" w:line="87" w:lineRule="exact"/>
        <w:rPr>
          <w:rFonts w:ascii="Times New Roman" w:cs="Times New Roman" w:eastAsia="Times New Roman" w:hAnsi="Times New Roman"/>
          <w:sz w:val="20"/>
          <w:szCs w:val="20"/>
          <w:b w:val="1"/>
          <w:bCs w:val="1"/>
          <w:color w:val="auto"/>
        </w:rPr>
      </w:pPr>
    </w:p>
    <w:p>
      <w:pPr>
        <w:ind w:left="380" w:hanging="372"/>
        <w:spacing w:after="0"/>
        <w:tabs>
          <w:tab w:leader="none" w:pos="380" w:val="left"/>
        </w:tabs>
        <w:numPr>
          <w:ilvl w:val="0"/>
          <w:numId w:val="19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COVENANTS OF THE COMPANY.</w:t>
      </w:r>
    </w:p>
    <w:p>
      <w:pPr>
        <w:spacing w:after="0" w:line="152"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The Company will seek to obtain from each regulatory commission or agency, as may be deemed to be necessary, having jurisdiction over the Plan such authority as may be required to grant Awards and to issue and sell shares of Common Stock upon exercise or vesting of the Awards; provided, however, that this undertaking will not require the Company to register under the Securities Act the Plan, any Award or any Common Stock issued or issuable pursuant to any such Award. If, after reasonable efforts and at a reasonable cost, the Company is unable to obtain from any such regulatory commission or agency the authority that counsel for the Company deems necessary or advisable for the lawful issuance and sale of Common Stock under the Plan, the Company will be relieved from any liability for failure to issue and sell Common Stock upon exercise or vesting of such Awards unless and until such authority is obtained. A Participant is not eligible for the grant of an Award or the subsequent issuance of Common Stock pursuant to the Award if such grant or issuance would be in violation of any Applicable Law.</w:t>
      </w:r>
    </w:p>
    <w:p>
      <w:pPr>
        <w:spacing w:after="0" w:line="114" w:lineRule="exact"/>
        <w:rPr>
          <w:sz w:val="20"/>
          <w:szCs w:val="20"/>
          <w:color w:val="auto"/>
        </w:rPr>
      </w:pPr>
    </w:p>
    <w:p>
      <w:pPr>
        <w:ind w:left="380" w:hanging="372"/>
        <w:spacing w:after="0"/>
        <w:tabs>
          <w:tab w:leader="none" w:pos="380" w:val="left"/>
        </w:tabs>
        <w:numPr>
          <w:ilvl w:val="0"/>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RULES FOR AWARDS SUBJECT TO SECTION 409A.</w:t>
      </w:r>
    </w:p>
    <w:p>
      <w:pPr>
        <w:spacing w:after="0" w:line="134" w:lineRule="exact"/>
        <w:rPr>
          <w:rFonts w:ascii="Times New Roman" w:cs="Times New Roman" w:eastAsia="Times New Roman" w:hAnsi="Times New Roman"/>
          <w:sz w:val="20"/>
          <w:szCs w:val="20"/>
          <w:b w:val="1"/>
          <w:bCs w:val="1"/>
          <w:color w:val="auto"/>
        </w:rPr>
      </w:pPr>
    </w:p>
    <w:p>
      <w:pPr>
        <w:ind w:right="160" w:firstLine="757"/>
        <w:spacing w:after="0" w:line="256" w:lineRule="auto"/>
        <w:tabs>
          <w:tab w:leader="none" w:pos="1018" w:val="left"/>
        </w:tabs>
        <w:numPr>
          <w:ilvl w:val="1"/>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Application. </w:t>
      </w:r>
      <w:r>
        <w:rPr>
          <w:rFonts w:ascii="Times New Roman" w:cs="Times New Roman" w:eastAsia="Times New Roman" w:hAnsi="Times New Roman"/>
          <w:sz w:val="20"/>
          <w:szCs w:val="20"/>
          <w:color w:val="auto"/>
        </w:rPr>
        <w:t>Unless the provisions of this Section of the Plan are expressly superseded by the provisions in the form of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Agreement, the provisions of this Section shall apply and shall supersede anything to the contrary set forth in the Award Agreement for a Non- Exempt Award.</w:t>
      </w:r>
    </w:p>
    <w:p>
      <w:pPr>
        <w:spacing w:after="0" w:line="101" w:lineRule="exact"/>
        <w:rPr>
          <w:rFonts w:ascii="Times New Roman" w:cs="Times New Roman" w:eastAsia="Times New Roman" w:hAnsi="Times New Roman"/>
          <w:sz w:val="20"/>
          <w:szCs w:val="20"/>
          <w:b w:val="1"/>
          <w:bCs w:val="1"/>
          <w:color w:val="auto"/>
        </w:rPr>
      </w:pPr>
    </w:p>
    <w:p>
      <w:pPr>
        <w:ind w:right="280" w:firstLine="757"/>
        <w:spacing w:after="0" w:line="273" w:lineRule="auto"/>
        <w:tabs>
          <w:tab w:leader="none" w:pos="1018" w:val="left"/>
        </w:tabs>
        <w:numPr>
          <w:ilvl w:val="1"/>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Non-Exempt Awards Subject to Non-Exempt Severance Arrangements. </w:t>
      </w:r>
      <w:r>
        <w:rPr>
          <w:rFonts w:ascii="Times New Roman" w:cs="Times New Roman" w:eastAsia="Times New Roman" w:hAnsi="Times New Roman"/>
          <w:sz w:val="20"/>
          <w:szCs w:val="20"/>
          <w:color w:val="auto"/>
        </w:rPr>
        <w:t>To the extent a Non-Exempt Award is subject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due to application of a Non-Exempt Severance Arrangement, the following provisions of this subsection (b) apply.</w:t>
      </w:r>
    </w:p>
    <w:p>
      <w:pPr>
        <w:spacing w:after="0" w:line="88" w:lineRule="exact"/>
        <w:rPr>
          <w:rFonts w:ascii="Times New Roman" w:cs="Times New Roman" w:eastAsia="Times New Roman" w:hAnsi="Times New Roman"/>
          <w:sz w:val="20"/>
          <w:szCs w:val="20"/>
          <w:b w:val="1"/>
          <w:bCs w:val="1"/>
          <w:color w:val="auto"/>
        </w:rPr>
      </w:pPr>
    </w:p>
    <w:p>
      <w:pPr>
        <w:ind w:right="120" w:firstLine="1505"/>
        <w:spacing w:after="0" w:line="249" w:lineRule="auto"/>
        <w:tabs>
          <w:tab w:leader="none" w:pos="2036" w:val="left"/>
        </w:tabs>
        <w:numPr>
          <w:ilvl w:val="2"/>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Non-Exempt Award vests in the ordinary course during the Participant’s Continuous Service in accordance with the vesting schedule set forth in the Award Agreement, and does not accelerate vesting under the terms of a Non-Exempt Severance Arrangement, in no event will the shares be issued in respect of such Non-Exempt Award any later than the later of: (i) December 31</w:t>
      </w:r>
      <w:r>
        <w:rPr>
          <w:rFonts w:ascii="Times New Roman" w:cs="Times New Roman" w:eastAsia="Times New Roman" w:hAnsi="Times New Roman"/>
          <w:sz w:val="13"/>
          <w:szCs w:val="13"/>
          <w:color w:val="auto"/>
        </w:rPr>
        <w:t>st</w:t>
      </w:r>
      <w:r>
        <w:rPr>
          <w:rFonts w:ascii="Times New Roman" w:cs="Times New Roman" w:eastAsia="Times New Roman" w:hAnsi="Times New Roman"/>
          <w:sz w:val="20"/>
          <w:szCs w:val="20"/>
          <w:color w:val="auto"/>
        </w:rPr>
        <w:t xml:space="preserve"> of the calendar year that includes the applicable vesting date, or (ii)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that follows the applicable vesting date.</w:t>
      </w:r>
    </w:p>
    <w:p>
      <w:pPr>
        <w:spacing w:after="0" w:line="98" w:lineRule="exact"/>
        <w:rPr>
          <w:rFonts w:ascii="Times New Roman" w:cs="Times New Roman" w:eastAsia="Times New Roman" w:hAnsi="Times New Roman"/>
          <w:sz w:val="20"/>
          <w:szCs w:val="20"/>
          <w:b w:val="1"/>
          <w:bCs w:val="1"/>
          <w:color w:val="auto"/>
        </w:rPr>
      </w:pPr>
    </w:p>
    <w:p>
      <w:pPr>
        <w:ind w:firstLine="1505"/>
        <w:spacing w:after="0" w:line="243" w:lineRule="auto"/>
        <w:tabs>
          <w:tab w:leader="none" w:pos="2036" w:val="left"/>
        </w:tabs>
        <w:numPr>
          <w:ilvl w:val="2"/>
          <w:numId w:val="19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vesting of the Non-Exempt Award accelerates under the terms of a Non- Exempt Severance Arrangement in connection with the Participant’s Separation from Service, and such vesting acceleration provisions were in effect as of the date of grant of the Non-Exempt Award and, therefore, are part of the terms of such Non-Exempt Award as of the date of grant, then the shares will be earlier issued in settlement of such Non-Exempt Award upon the Participant’s Separation from Service in accordance with the terms of the Non-Exempt Severance Arrangement, but in no event later than the 60</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day that follows the date of the Participant’s Separation from Service. However, if at the time the shares would otherwise be issued the Participant is subject to the distribution limitations contained in Section 409A applicable to “specified employees,” as defined in Section 409A(a)(2)(B)(i) of the Code, such shares shall not be issued before the date that is six months following the date of such Participant’s Separation from Service, or, if earlier, the date of the Participant’s death that occurs within such six month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968375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3" w:name="page234"/>
    <w:bookmarkEnd w:id="233"/>
    <w:p>
      <w:pPr>
        <w:ind w:left="-757" w:right="80" w:firstLine="1505"/>
        <w:spacing w:after="0" w:line="259" w:lineRule="auto"/>
        <w:tabs>
          <w:tab w:leader="none" w:pos="1280" w:val="left"/>
        </w:tabs>
        <w:numPr>
          <w:ilvl w:val="1"/>
          <w:numId w:val="19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vesting of a Non-Exempt Award accelerates under the terms of a Non-Exempt Severance Arrangement in connection with a Participant’s Separation from Service, and such vesting acceleration provisions were not in effect as of the date of grant of the Non-Exempt Award and, therefore, are not a part of the terms of such Non-Exempt Award on the date of grant, then such acceleration of vesting of the Non-Exempt Award shall not accelerate the issuance date of the shares, but the shares shall instead be issued on the same schedule as set forth in the Grant Notice as if they had vested in the ordinary course during the Participant’s Continuous Service, notwithstanding the vesting acceleration of the Non-Exempt Award. Such issuance schedule is intended to satisfy the requirements of payment on a specified date or pursuant to a fixed schedule, as provided under Treasury Regulations Section 1.409A-3(a)(4).</w:t>
      </w:r>
    </w:p>
    <w:p>
      <w:pPr>
        <w:spacing w:after="0" w:line="100" w:lineRule="exact"/>
        <w:rPr>
          <w:rFonts w:ascii="Times New Roman" w:cs="Times New Roman" w:eastAsia="Times New Roman" w:hAnsi="Times New Roman"/>
          <w:sz w:val="19"/>
          <w:szCs w:val="19"/>
          <w:b w:val="1"/>
          <w:bCs w:val="1"/>
          <w:color w:val="auto"/>
        </w:rPr>
      </w:pPr>
    </w:p>
    <w:p>
      <w:pPr>
        <w:ind w:left="-757" w:right="180" w:firstLine="757"/>
        <w:spacing w:after="0" w:line="250" w:lineRule="auto"/>
        <w:tabs>
          <w:tab w:leader="none" w:pos="261" w:val="left"/>
        </w:tabs>
        <w:numPr>
          <w:ilvl w:val="0"/>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Treatment of Non-Exempt Awards Upon a Corporate Transaction for Employees. </w:t>
      </w:r>
      <w:r>
        <w:rPr>
          <w:rFonts w:ascii="Times New Roman" w:cs="Times New Roman" w:eastAsia="Times New Roman" w:hAnsi="Times New Roman"/>
          <w:sz w:val="20"/>
          <w:szCs w:val="20"/>
          <w:color w:val="auto"/>
        </w:rPr>
        <w:t>The provisions of this subsection (c)</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 apply and shall supersede anything to the contrary set forth in the Plan with respect to the permitted treatment of any Non-Exempt Award in connection with a Corporate Transaction if the Participant was an Employee upon the applicable date of grant of the Non-Exempt Award.</w:t>
      </w:r>
    </w:p>
    <w:p>
      <w:pPr>
        <w:spacing w:after="0" w:line="94" w:lineRule="exact"/>
        <w:rPr>
          <w:rFonts w:ascii="Times New Roman" w:cs="Times New Roman" w:eastAsia="Times New Roman" w:hAnsi="Times New Roman"/>
          <w:sz w:val="20"/>
          <w:szCs w:val="20"/>
          <w:b w:val="1"/>
          <w:bCs w:val="1"/>
          <w:color w:val="auto"/>
        </w:rPr>
      </w:pPr>
    </w:p>
    <w:p>
      <w:pPr>
        <w:ind w:left="-757" w:right="780" w:firstLine="1505"/>
        <w:spacing w:after="0" w:line="273" w:lineRule="auto"/>
        <w:tabs>
          <w:tab w:leader="none" w:pos="1280" w:val="left"/>
        </w:tabs>
        <w:numPr>
          <w:ilvl w:val="1"/>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Vested Non-Exempt Awards. </w:t>
      </w:r>
      <w:r>
        <w:rPr>
          <w:rFonts w:ascii="Times New Roman" w:cs="Times New Roman" w:eastAsia="Times New Roman" w:hAnsi="Times New Roman"/>
          <w:sz w:val="20"/>
          <w:szCs w:val="20"/>
          <w:color w:val="auto"/>
        </w:rPr>
        <w:t>The following provisions shall apply to any Vested Non-Exempt Award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connection with a Corporate Transaction:</w:t>
      </w:r>
    </w:p>
    <w:p>
      <w:pPr>
        <w:spacing w:after="0" w:line="88" w:lineRule="exact"/>
        <w:rPr>
          <w:rFonts w:ascii="Times New Roman" w:cs="Times New Roman" w:eastAsia="Times New Roman" w:hAnsi="Times New Roman"/>
          <w:sz w:val="20"/>
          <w:szCs w:val="20"/>
          <w:b w:val="1"/>
          <w:bCs w:val="1"/>
          <w:color w:val="auto"/>
        </w:rPr>
      </w:pPr>
    </w:p>
    <w:p>
      <w:pPr>
        <w:ind w:left="-757" w:right="120" w:firstLine="2254"/>
        <w:spacing w:after="0" w:line="246" w:lineRule="auto"/>
        <w:tabs>
          <w:tab w:leader="none" w:pos="1789" w:val="left"/>
        </w:tabs>
        <w:numPr>
          <w:ilvl w:val="2"/>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also a Section 409A Change in Control then the Acquiring Entity may not assume, continue or substitute the Vested Non-Exempt Award. Upon the Section 409A Change in Control the settlement of the Vested Non-Exempt Award will automatically be accelerated and the shares will be immediately issued in respect of the Vested Non-Exempt Award. Alternatively, the Company may instead provide that the Participant will receive a cash settlement equal to the Fair Market Value of the shares that would otherwise be issued to the Participant upon the Section 409A Change in Control.</w:t>
      </w:r>
    </w:p>
    <w:p>
      <w:pPr>
        <w:spacing w:after="0" w:line="117" w:lineRule="exact"/>
        <w:rPr>
          <w:rFonts w:ascii="Times New Roman" w:cs="Times New Roman" w:eastAsia="Times New Roman" w:hAnsi="Times New Roman"/>
          <w:sz w:val="20"/>
          <w:szCs w:val="20"/>
          <w:b w:val="1"/>
          <w:bCs w:val="1"/>
          <w:color w:val="auto"/>
        </w:rPr>
      </w:pPr>
    </w:p>
    <w:p>
      <w:pPr>
        <w:ind w:left="-757" w:right="40" w:firstLine="2254"/>
        <w:spacing w:after="0" w:line="244" w:lineRule="auto"/>
        <w:tabs>
          <w:tab w:leader="none" w:pos="1789" w:val="left"/>
        </w:tabs>
        <w:numPr>
          <w:ilvl w:val="2"/>
          <w:numId w:val="20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 Corporate Transaction is not also a Section 409A Change in Control, then the Acquiring Entity must either assume, continue or substitute each Vested Non- Exempt Award. The shares to be issued in respect of the 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the Fair Market Value of the shares made on the date of the Corporate Transaction.</w:t>
      </w:r>
    </w:p>
    <w:p>
      <w:pPr>
        <w:spacing w:after="0" w:line="101" w:lineRule="exact"/>
        <w:rPr>
          <w:sz w:val="20"/>
          <w:szCs w:val="20"/>
          <w:color w:val="auto"/>
        </w:rPr>
      </w:pPr>
    </w:p>
    <w:p>
      <w:pPr>
        <w:ind w:left="-757" w:right="20" w:firstLine="1505"/>
        <w:spacing w:after="0" w:line="273" w:lineRule="auto"/>
        <w:tabs>
          <w:tab w:leader="none" w:pos="1280" w:val="left"/>
        </w:tabs>
        <w:numPr>
          <w:ilvl w:val="0"/>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Unvested Non-Exempt Awards. </w:t>
      </w:r>
      <w:r>
        <w:rPr>
          <w:rFonts w:ascii="Times New Roman" w:cs="Times New Roman" w:eastAsia="Times New Roman" w:hAnsi="Times New Roman"/>
          <w:sz w:val="20"/>
          <w:szCs w:val="20"/>
          <w:color w:val="auto"/>
        </w:rPr>
        <w:t>The following provisions shall apply to any Unvested Non-Exempt Award unless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otherwise determined by the Board pursuant to subsection (d) of this Section.</w:t>
      </w:r>
    </w:p>
    <w:p>
      <w:pPr>
        <w:spacing w:after="0" w:line="88" w:lineRule="exact"/>
        <w:rPr>
          <w:rFonts w:ascii="Times New Roman" w:cs="Times New Roman" w:eastAsia="Times New Roman" w:hAnsi="Times New Roman"/>
          <w:sz w:val="20"/>
          <w:szCs w:val="20"/>
          <w:b w:val="1"/>
          <w:bCs w:val="1"/>
          <w:color w:val="auto"/>
        </w:rPr>
      </w:pPr>
    </w:p>
    <w:p>
      <w:pPr>
        <w:ind w:left="-757" w:firstLine="2254"/>
        <w:spacing w:after="0" w:line="243" w:lineRule="auto"/>
        <w:tabs>
          <w:tab w:leader="none" w:pos="1789" w:val="left"/>
        </w:tabs>
        <w:numPr>
          <w:ilvl w:val="1"/>
          <w:numId w:val="20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event of a Corporate Transaction, the Acquiring Entity shall assume, continue or substitute any Unvested Non-Exempt Award. Unless otherwise determined by the Board, any Unvested Non-Exempt Award will remain subject to the same vesting and forfeiture restrictions that were applicable to the Award prior to the Corporate Transaction. The shares to be issued in respect of any Unvested Non-Exempt Award shall be issued to the Participant by the Acquiring Entity on the same schedule that the shares would have been issued to the Participant if the Corporate Transaction had not occurred. In the Acquiring Entity’s discretion, in lieu of an issuance of shares, the Acquiring Entity may instead substitute a cash payment on each applicable issuance date, equal to the Fair Market Value of the shares that would otherwise be issued to the Participant on such issuance dates, with the determination of Fair Market Value of the shares made on the date of the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970915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13" w:right="339" w:bottom="1440" w:gutter="0" w:footer="0" w:header="0"/>
        </w:sectPr>
      </w:pPr>
    </w:p>
    <w:bookmarkStart w:id="234" w:name="page235"/>
    <w:bookmarkEnd w:id="234"/>
    <w:p>
      <w:pPr>
        <w:ind w:firstLine="2254"/>
        <w:spacing w:after="0" w:line="256" w:lineRule="auto"/>
        <w:tabs>
          <w:tab w:leader="none" w:pos="2546" w:val="left"/>
        </w:tabs>
        <w:numPr>
          <w:ilvl w:val="3"/>
          <w:numId w:val="20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Acquiring Entity will not assume, substitute or continue any Unvested Non-Exempt Award in connection with a Corporate Transaction, then such Award shall automatically terminate and be forfeited upon the Corporate Transaction with no consideration payable to any Participant in respect of such forfeited Unvested Non-Exempt Award. Notwithstanding the foregoing, to the extent permitted and in compliance with the requirements of Section 409A, the Board may in its discretion determine to elect to accelerate the vesting and settlement of the Unvested Non-Exempt Award upon the Corporate Transaction, or instead substitute a cash payment equal to the Fair Market Value of such shares that would otherwise be issued to the Participant, as further provided in subsection (d)</w:t>
      </w:r>
    </w:p>
    <w:p>
      <w:pPr>
        <w:ind w:right="160" w:firstLine="8"/>
        <w:spacing w:after="0" w:line="242" w:lineRule="auto"/>
        <w:tabs>
          <w:tab w:leader="none" w:pos="291" w:val="left"/>
        </w:tabs>
        <w:numPr>
          <w:ilvl w:val="0"/>
          <w:numId w:val="2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below. In the absence of such discretionary election by the Board, any Unvested Non-Exempt Award shall be forfeited without payment of any consideration to the affected Participants if the Acquiring Entity will not assume, substitute or continue the Unvested Non-Exempt Awards in connection with the Corporate Transaction.</w:t>
      </w:r>
    </w:p>
    <w:p>
      <w:pPr>
        <w:spacing w:after="0" w:line="119" w:lineRule="exact"/>
        <w:rPr>
          <w:rFonts w:ascii="Times New Roman" w:cs="Times New Roman" w:eastAsia="Times New Roman" w:hAnsi="Times New Roman"/>
          <w:sz w:val="20"/>
          <w:szCs w:val="20"/>
          <w:color w:val="auto"/>
        </w:rPr>
      </w:pPr>
    </w:p>
    <w:p>
      <w:pPr>
        <w:ind w:right="240" w:firstLine="2254"/>
        <w:spacing w:after="0" w:line="269" w:lineRule="auto"/>
        <w:tabs>
          <w:tab w:leader="none" w:pos="2546" w:val="left"/>
        </w:tabs>
        <w:numPr>
          <w:ilvl w:val="3"/>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foregoing treatment shall apply with respect to all Unvested Non-Exempt Awards upon any Corporate Transaction, and regardless of whether or not such Corporate Transaction is also a Section 409A Change in Control.</w:t>
      </w:r>
    </w:p>
    <w:p>
      <w:pPr>
        <w:spacing w:after="0" w:line="78" w:lineRule="exact"/>
        <w:rPr>
          <w:rFonts w:ascii="Times New Roman" w:cs="Times New Roman" w:eastAsia="Times New Roman" w:hAnsi="Times New Roman"/>
          <w:sz w:val="20"/>
          <w:szCs w:val="20"/>
          <w:b w:val="1"/>
          <w:bCs w:val="1"/>
          <w:color w:val="auto"/>
        </w:rPr>
      </w:pPr>
    </w:p>
    <w:p>
      <w:pPr>
        <w:ind w:right="220" w:firstLine="757"/>
        <w:spacing w:after="0" w:line="295" w:lineRule="auto"/>
        <w:tabs>
          <w:tab w:leader="none" w:pos="1018" w:val="left"/>
        </w:tabs>
        <w:numPr>
          <w:ilvl w:val="1"/>
          <w:numId w:val="20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RSU Award is a Non-Exempt Award, then the provisions in this Section 11(d) shall apply and supersede anything to the contrary that may be set forth in the Plan or the Award Agreement with respect to the permitted treatment of such Non-Exempt Award:</w:t>
      </w:r>
    </w:p>
    <w:p>
      <w:pPr>
        <w:spacing w:after="0" w:line="70" w:lineRule="exact"/>
        <w:rPr>
          <w:rFonts w:ascii="Times New Roman" w:cs="Times New Roman" w:eastAsia="Times New Roman" w:hAnsi="Times New Roman"/>
          <w:sz w:val="19"/>
          <w:szCs w:val="19"/>
          <w:b w:val="1"/>
          <w:bCs w:val="1"/>
          <w:color w:val="auto"/>
        </w:rPr>
      </w:pPr>
    </w:p>
    <w:p>
      <w:pPr>
        <w:ind w:right="60" w:firstLine="1505"/>
        <w:spacing w:after="0" w:line="254" w:lineRule="auto"/>
        <w:tabs>
          <w:tab w:leader="none" w:pos="2036" w:val="left"/>
        </w:tabs>
        <w:numPr>
          <w:ilvl w:val="2"/>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exercise by the Board of discretion to accelerate the vesting of a Non- Exempt Award shall not result in any acceleration of the scheduled issuance dates for the shares in respect of the Non-Exempt Award unless earlier issuance of the shares upon the applicable vesting dates would be in compliance with the requirements of Section 409A.</w:t>
      </w:r>
    </w:p>
    <w:p>
      <w:pPr>
        <w:spacing w:after="0" w:line="106" w:lineRule="exact"/>
        <w:rPr>
          <w:rFonts w:ascii="Times New Roman" w:cs="Times New Roman" w:eastAsia="Times New Roman" w:hAnsi="Times New Roman"/>
          <w:sz w:val="20"/>
          <w:szCs w:val="20"/>
          <w:b w:val="1"/>
          <w:bCs w:val="1"/>
          <w:color w:val="auto"/>
        </w:rPr>
      </w:pPr>
    </w:p>
    <w:p>
      <w:pPr>
        <w:jc w:val="both"/>
        <w:ind w:right="260" w:firstLine="1505"/>
        <w:spacing w:after="0" w:line="254" w:lineRule="auto"/>
        <w:tabs>
          <w:tab w:leader="none" w:pos="2036" w:val="left"/>
        </w:tabs>
        <w:numPr>
          <w:ilvl w:val="2"/>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explicitly reserves the right to earlier settle any Non-Exempt Award to the extent permitted and in compliance with the requirements of Section 409A, including pursuant to any of the exemptions available in Treasury Regulations Section 1.409A- 3(j)(4)(ix).</w:t>
      </w:r>
    </w:p>
    <w:p>
      <w:pPr>
        <w:spacing w:after="0" w:line="93" w:lineRule="exact"/>
        <w:rPr>
          <w:rFonts w:ascii="Times New Roman" w:cs="Times New Roman" w:eastAsia="Times New Roman" w:hAnsi="Times New Roman"/>
          <w:sz w:val="20"/>
          <w:szCs w:val="20"/>
          <w:b w:val="1"/>
          <w:bCs w:val="1"/>
          <w:color w:val="auto"/>
        </w:rPr>
      </w:pPr>
    </w:p>
    <w:p>
      <w:pPr>
        <w:ind w:right="60" w:firstLine="1505"/>
        <w:spacing w:after="0" w:line="243" w:lineRule="auto"/>
        <w:tabs>
          <w:tab w:leader="none" w:pos="2036" w:val="left"/>
        </w:tabs>
        <w:numPr>
          <w:ilvl w:val="2"/>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the terms of any Non-Exempt Award provide that it will be settled upon a Change in Control or Corporate Transaction, to the extent it is required for compliance with the requirements of Section 409A, the Change in Control or Corporate Transaction event triggering settlement must also constitute a Section 409A Change in Control. To the extent the terms of a Non-Exempt Award provides that it will be settled upon a termination of employment or termination of Continuous Service, to the extent it is required for compliance with the requirements of Section 409A, the termination event triggering settlement must also constitute a Separation From Service. However, if at the time the shares would otherwise be issued to a Participant in connection with a “separation from service” such Participant is subject to the distribution limitations contained in Section 409A applicable to “specified employees,” as defined in Section 409A(a)(2)(B)(i) of the Code, such shares shall not be issued before the date that is six months following the date of the Participant’s Separation From Service, or, if earlier, the date of the Participant’s death that occurs within such six month period.</w:t>
      </w:r>
    </w:p>
    <w:p>
      <w:pPr>
        <w:spacing w:after="0" w:line="118" w:lineRule="exact"/>
        <w:rPr>
          <w:rFonts w:ascii="Times New Roman" w:cs="Times New Roman" w:eastAsia="Times New Roman" w:hAnsi="Times New Roman"/>
          <w:sz w:val="20"/>
          <w:szCs w:val="20"/>
          <w:b w:val="1"/>
          <w:bCs w:val="1"/>
          <w:color w:val="auto"/>
        </w:rPr>
      </w:pPr>
    </w:p>
    <w:p>
      <w:pPr>
        <w:ind w:right="100" w:firstLine="1505"/>
        <w:spacing w:after="0" w:line="249" w:lineRule="auto"/>
        <w:tabs>
          <w:tab w:leader="none" w:pos="2036" w:val="left"/>
        </w:tabs>
        <w:numPr>
          <w:ilvl w:val="2"/>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provisions in this subsection (d) for delivery of the shares in respect of the settlement of an RSU Award that is a Non-Exempt Award are intended to comply with the requirements of Section 409A so that the delivery of the shares to the Participant in respect of such Non-Exempt Award will not trigger the additional tax imposed under Section 409A, and any ambiguities herein will be so interpreted.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12. SEVERABILITY.</w:t>
      </w:r>
    </w:p>
    <w:p>
      <w:pPr>
        <w:spacing w:after="0" w:line="13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If all or any part of the Plan or any Award Agreement is declared by any court or governmental authority to be unlawful or invalid, such unlawfulness or invalidity shall not invalidate any portion of the Plan or such Award Agreement not declared to be unlawful or invalid. Any Section of the Plan or any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5" w:name="page236"/>
    <w:bookmarkEnd w:id="235"/>
    <w:p>
      <w:pPr>
        <w:ind w:right="60"/>
        <w:spacing w:after="0" w:line="269" w:lineRule="auto"/>
        <w:rPr>
          <w:sz w:val="20"/>
          <w:szCs w:val="20"/>
          <w:color w:val="auto"/>
        </w:rPr>
      </w:pPr>
      <w:r>
        <w:rPr>
          <w:rFonts w:ascii="Times New Roman" w:cs="Times New Roman" w:eastAsia="Times New Roman" w:hAnsi="Times New Roman"/>
          <w:sz w:val="20"/>
          <w:szCs w:val="20"/>
          <w:color w:val="auto"/>
        </w:rPr>
        <w:t>Agreement (or part of such a Section) so declared to be unlawful or invalid shall, if possible, be construed in a manner which will give effect to the terms of such Section or part of a Section to the fullest extent possible while remaining lawful and valid.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TERMINATION OF THE PLAN.</w:t>
      </w:r>
    </w:p>
    <w:p>
      <w:pPr>
        <w:spacing w:after="0" w:line="13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Board may suspend or terminate the Plan at any time. No Awards may be granted under the Plan while the Plan is suspended or after it is terminated.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14. DEFINITIONS.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used in the Plan, the following definitions apply to the capitalized terms indicated below:</w:t>
      </w:r>
    </w:p>
    <w:p>
      <w:pPr>
        <w:spacing w:after="0" w:line="131" w:lineRule="exact"/>
        <w:rPr>
          <w:sz w:val="20"/>
          <w:szCs w:val="20"/>
          <w:color w:val="auto"/>
        </w:rPr>
      </w:pPr>
    </w:p>
    <w:p>
      <w:pPr>
        <w:ind w:left="1020" w:hanging="263"/>
        <w:spacing w:after="0"/>
        <w:tabs>
          <w:tab w:leader="none" w:pos="1020"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Acquiring Entity</w:t>
      </w:r>
      <w:r>
        <w:rPr>
          <w:rFonts w:ascii="Times New Roman" w:cs="Times New Roman" w:eastAsia="Times New Roman" w:hAnsi="Times New Roman"/>
          <w:sz w:val="20"/>
          <w:szCs w:val="20"/>
          <w:color w:val="auto"/>
        </w:rPr>
        <w:t>” means the surviving or acquiring corporation (or its parent company) in connection with a Corporate</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Transaction.</w:t>
      </w:r>
    </w:p>
    <w:p>
      <w:pPr>
        <w:spacing w:after="0" w:line="122" w:lineRule="exact"/>
        <w:rPr>
          <w:rFonts w:ascii="Times New Roman" w:cs="Times New Roman" w:eastAsia="Times New Roman" w:hAnsi="Times New Roman"/>
          <w:sz w:val="20"/>
          <w:szCs w:val="20"/>
          <w:b w:val="1"/>
          <w:bCs w:val="1"/>
          <w:color w:val="auto"/>
        </w:rPr>
      </w:pPr>
    </w:p>
    <w:p>
      <w:pPr>
        <w:ind w:right="40" w:firstLine="757"/>
        <w:spacing w:after="0" w:line="256" w:lineRule="auto"/>
        <w:tabs>
          <w:tab w:leader="none" w:pos="101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means, at the time of determination, any “parent” or “subsidiary” of the Company as such terms are defined in Rule 405 promulgated under the Securities Act. The Board may determine the time or times at which “parent” or “subsidiary” status is determined within the foregoing definition.</w:t>
      </w:r>
    </w:p>
    <w:p>
      <w:pPr>
        <w:spacing w:after="0" w:line="101" w:lineRule="exact"/>
        <w:rPr>
          <w:rFonts w:ascii="Times New Roman" w:cs="Times New Roman" w:eastAsia="Times New Roman" w:hAnsi="Times New Roman"/>
          <w:sz w:val="20"/>
          <w:szCs w:val="20"/>
          <w:b w:val="1"/>
          <w:bCs w:val="1"/>
          <w:color w:val="auto"/>
        </w:rPr>
      </w:pPr>
    </w:p>
    <w:p>
      <w:pPr>
        <w:ind w:right="120" w:firstLine="757"/>
        <w:spacing w:after="0" w:line="247" w:lineRule="auto"/>
        <w:tabs>
          <w:tab w:leader="none" w:pos="101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any applicable securities, federal, state, foreign, material local or municipal or other law, 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(including under the authority of any applicable self- regulating organization such as the Nasdaq Stock Market, New York Stock Exchange, or the Financial Industry Regulatory Authority).</w:t>
      </w:r>
    </w:p>
    <w:p>
      <w:pPr>
        <w:spacing w:after="0" w:line="99" w:lineRule="exact"/>
        <w:rPr>
          <w:rFonts w:ascii="Times New Roman" w:cs="Times New Roman" w:eastAsia="Times New Roman" w:hAnsi="Times New Roman"/>
          <w:sz w:val="20"/>
          <w:szCs w:val="20"/>
          <w:b w:val="1"/>
          <w:bCs w:val="1"/>
          <w:color w:val="auto"/>
        </w:rPr>
      </w:pPr>
    </w:p>
    <w:p>
      <w:pPr>
        <w:ind w:right="300" w:firstLine="757"/>
        <w:spacing w:after="0" w:line="273" w:lineRule="auto"/>
        <w:tabs>
          <w:tab w:leader="none" w:pos="101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means any right to receive Common Stock, cash or other property granted under the Plan (including a Nonstatutory Stock Option, a Restricted Stock Award, an RSU Award, a SAR, a Performance Award or any Other Award).</w:t>
      </w:r>
    </w:p>
    <w:p>
      <w:pPr>
        <w:spacing w:after="0" w:line="84" w:lineRule="exact"/>
        <w:rPr>
          <w:rFonts w:ascii="Times New Roman" w:cs="Times New Roman" w:eastAsia="Times New Roman" w:hAnsi="Times New Roman"/>
          <w:sz w:val="20"/>
          <w:szCs w:val="20"/>
          <w:b w:val="1"/>
          <w:bCs w:val="1"/>
          <w:color w:val="auto"/>
        </w:rPr>
      </w:pPr>
    </w:p>
    <w:p>
      <w:pPr>
        <w:jc w:val="both"/>
        <w:ind w:right="80" w:firstLine="757"/>
        <w:spacing w:after="0" w:line="250" w:lineRule="auto"/>
        <w:tabs>
          <w:tab w:leader="none" w:pos="101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 Agreement</w:t>
      </w:r>
      <w:r>
        <w:rPr>
          <w:rFonts w:ascii="Times New Roman" w:cs="Times New Roman" w:eastAsia="Times New Roman" w:hAnsi="Times New Roman"/>
          <w:sz w:val="20"/>
          <w:szCs w:val="20"/>
          <w:color w:val="auto"/>
        </w:rPr>
        <w:t>” means a written or electronic agreement between the Company and a Participant evidencing the terms and conditions of an Award. The Award Agreement generally consists of the Grant Notice and the agreement containing the written summary of the general terms and conditions applicable to the Award and which is provided, including through electronic means, to a Participant along with the Grant Notice.</w:t>
      </w:r>
    </w:p>
    <w:p>
      <w:pPr>
        <w:spacing w:after="0" w:line="108" w:lineRule="exact"/>
        <w:rPr>
          <w:rFonts w:ascii="Times New Roman" w:cs="Times New Roman" w:eastAsia="Times New Roman" w:hAnsi="Times New Roman"/>
          <w:sz w:val="20"/>
          <w:szCs w:val="20"/>
          <w:b w:val="1"/>
          <w:bCs w:val="1"/>
          <w:color w:val="auto"/>
        </w:rPr>
      </w:pPr>
    </w:p>
    <w:p>
      <w:pPr>
        <w:ind w:firstLine="757"/>
        <w:spacing w:after="0" w:line="256" w:lineRule="auto"/>
        <w:tabs>
          <w:tab w:leader="none" w:pos="101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 (or its designee). Any decision or determination made by the Board shall be a decision or determination that is made in the sole discretion of the Board (or its designee), and such decision or determination shall be final and binding on all Participants.</w:t>
      </w:r>
    </w:p>
    <w:p>
      <w:pPr>
        <w:spacing w:after="0" w:line="87" w:lineRule="exact"/>
        <w:rPr>
          <w:rFonts w:ascii="Times New Roman" w:cs="Times New Roman" w:eastAsia="Times New Roman" w:hAnsi="Times New Roman"/>
          <w:sz w:val="20"/>
          <w:szCs w:val="20"/>
          <w:b w:val="1"/>
          <w:bCs w:val="1"/>
          <w:color w:val="auto"/>
        </w:rPr>
      </w:pPr>
    </w:p>
    <w:p>
      <w:pPr>
        <w:ind w:right="120" w:firstLine="757"/>
        <w:spacing w:after="0" w:line="245" w:lineRule="auto"/>
        <w:tabs>
          <w:tab w:leader="none" w:pos="1018" w:val="left"/>
        </w:tabs>
        <w:numPr>
          <w:ilvl w:val="0"/>
          <w:numId w:val="20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Capitalization Adjustment</w:t>
      </w:r>
      <w:r>
        <w:rPr>
          <w:rFonts w:ascii="Times New Roman" w:cs="Times New Roman" w:eastAsia="Times New Roman" w:hAnsi="Times New Roman"/>
          <w:sz w:val="20"/>
          <w:szCs w:val="20"/>
          <w:color w:val="auto"/>
        </w:rPr>
        <w:t>” means any change that is made in, or other events that occur with respect to, the Common Stock</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the Plan or subject to any Award after the date the Plan is adopted by the Board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6" w:name="page237"/>
    <w:bookmarkEnd w:id="236"/>
    <w:p>
      <w:pPr>
        <w:ind w:left="-8" w:right="80" w:firstLine="757"/>
        <w:spacing w:after="0" w:line="259" w:lineRule="auto"/>
        <w:tabs>
          <w:tab w:leader="none" w:pos="1010" w:val="left"/>
        </w:tabs>
        <w:numPr>
          <w:ilvl w:val="1"/>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has the meaning ascribed to such term in any written agreement between a Participant and the Company defining such term and, in the absence of such agreement, such term means, with respect to a Participant, the occurrence of any of the following events: (i) the Participant’s dishonest statements or acts with respect to the Company or any Affiliate of the Company, or any current or prospective customers, suppliers, vendors or other third parties with which such entity does business; (ii) the Participant’s commission of (A) a felony or</w:t>
      </w:r>
    </w:p>
    <w:p>
      <w:pPr>
        <w:ind w:left="-8" w:right="20" w:firstLine="8"/>
        <w:spacing w:after="0"/>
        <w:tabs>
          <w:tab w:leader="none" w:pos="305"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misdemeanor involving moral turpitude, deceit, dishonesty or fraud; (iii) the Participant’s failure to perform the Participant’s assigned duties and responsibilities to the reasonable satisfaction of the Company which failure continues, in the reasonable judgment of the Company, after written notice given to the Participant by the Company; (iv) the Participant’s gross negligence, willful misconduct or insubordination with respect to the Company or any Affiliate of the Company; or (v) the Participant’s material violation of any provision of any agreement(s) between the Participant and the Company relating to noncompetition, nonsolicitation, nondisclosure and/or assignment of inventions. The determination that a termination of the Participant’s Continuous Service is either for Cause or without Cause will be made by the Board with respect to Participants who are executive officers of the Company and by the Company’s Chief Executive Officer with respect to Participants who are not executive officers of the Company.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17" w:lineRule="exact"/>
        <w:rPr>
          <w:rFonts w:ascii="Times New Roman" w:cs="Times New Roman" w:eastAsia="Times New Roman" w:hAnsi="Times New Roman"/>
          <w:sz w:val="20"/>
          <w:szCs w:val="20"/>
          <w:color w:val="auto"/>
        </w:rPr>
      </w:pPr>
    </w:p>
    <w:p>
      <w:pPr>
        <w:ind w:left="-8" w:right="20" w:firstLine="757"/>
        <w:spacing w:after="0" w:line="273" w:lineRule="auto"/>
        <w:tabs>
          <w:tab w:leader="none" w:pos="1010" w:val="left"/>
        </w:tabs>
        <w:numPr>
          <w:ilvl w:val="1"/>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Change of Control</w:t>
      </w:r>
      <w:r>
        <w:rPr>
          <w:rFonts w:ascii="Times New Roman" w:cs="Times New Roman" w:eastAsia="Times New Roman" w:hAnsi="Times New Roman"/>
          <w:sz w:val="20"/>
          <w:szCs w:val="20"/>
          <w:color w:val="auto"/>
        </w:rPr>
        <w:t>” means the occurrence, in a single transaction or in a series of related transactions, of any one or more of the following events:</w:t>
      </w:r>
    </w:p>
    <w:p>
      <w:pPr>
        <w:spacing w:after="0" w:line="74" w:lineRule="exact"/>
        <w:rPr>
          <w:rFonts w:ascii="Times New Roman" w:cs="Times New Roman" w:eastAsia="Times New Roman" w:hAnsi="Times New Roman"/>
          <w:sz w:val="20"/>
          <w:szCs w:val="20"/>
          <w:b w:val="1"/>
          <w:bCs w:val="1"/>
          <w:color w:val="auto"/>
        </w:rPr>
      </w:pPr>
    </w:p>
    <w:p>
      <w:pPr>
        <w:ind w:left="-8" w:firstLine="1505"/>
        <w:spacing w:after="0" w:line="242" w:lineRule="auto"/>
        <w:tabs>
          <w:tab w:leader="none" w:pos="2028" w:val="left"/>
        </w:tabs>
        <w:numPr>
          <w:ilvl w:val="2"/>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shall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20"/>
          <w:szCs w:val="20"/>
          <w:b w:val="1"/>
          <w:bCs w:val="1"/>
          <w:i w:val="1"/>
          <w:iCs w:val="1"/>
          <w:color w:val="auto"/>
        </w:rPr>
        <w:t>Subject Person</w:t>
      </w:r>
      <w:r>
        <w:rPr>
          <w:rFonts w:ascii="Times New Roman" w:cs="Times New Roman" w:eastAsia="Times New Roman" w:hAnsi="Times New Roman"/>
          <w:sz w:val="20"/>
          <w:szCs w:val="20"/>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shall be deemed to occur;</w:t>
      </w:r>
    </w:p>
    <w:p>
      <w:pPr>
        <w:spacing w:after="0" w:line="119" w:lineRule="exact"/>
        <w:rPr>
          <w:rFonts w:ascii="Times New Roman" w:cs="Times New Roman" w:eastAsia="Times New Roman" w:hAnsi="Times New Roman"/>
          <w:sz w:val="20"/>
          <w:szCs w:val="20"/>
          <w:b w:val="1"/>
          <w:bCs w:val="1"/>
          <w:color w:val="auto"/>
        </w:rPr>
      </w:pPr>
    </w:p>
    <w:p>
      <w:pPr>
        <w:ind w:left="-8" w:right="40" w:firstLine="1505"/>
        <w:spacing w:after="0" w:line="244" w:lineRule="auto"/>
        <w:tabs>
          <w:tab w:leader="none" w:pos="2028" w:val="left"/>
        </w:tabs>
        <w:numPr>
          <w:ilvl w:val="2"/>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Acquiring Entity in such merger, consolidation or similar transaction or (B) more than 50% of the combined outstanding voting power of the parent of the Acquiring Entity in such merger, consolidation or similar transaction, in each case in substantially the same proportions as their Ownership of the outstanding voting securities of the Company immediately prior to such transaction;</w:t>
      </w:r>
    </w:p>
    <w:p>
      <w:pPr>
        <w:spacing w:after="0" w:line="118" w:lineRule="exact"/>
        <w:rPr>
          <w:rFonts w:ascii="Times New Roman" w:cs="Times New Roman" w:eastAsia="Times New Roman" w:hAnsi="Times New Roman"/>
          <w:sz w:val="20"/>
          <w:szCs w:val="20"/>
          <w:b w:val="1"/>
          <w:bCs w:val="1"/>
          <w:color w:val="auto"/>
        </w:rPr>
      </w:pPr>
    </w:p>
    <w:p>
      <w:pPr>
        <w:ind w:left="-8" w:right="960" w:firstLine="1505"/>
        <w:spacing w:after="0" w:line="269" w:lineRule="auto"/>
        <w:tabs>
          <w:tab w:leader="none" w:pos="2028" w:val="left"/>
        </w:tabs>
        <w:numPr>
          <w:ilvl w:val="2"/>
          <w:numId w:val="20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 is consummated a sale, lease, exclusive license or other disposition of all or substantially all of the consolidated assets of the Company and its Subsidiaries, other than a sale,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942975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9" w:right="359" w:bottom="1440" w:gutter="0" w:footer="0" w:header="0"/>
        </w:sectPr>
      </w:pPr>
    </w:p>
    <w:bookmarkStart w:id="237" w:name="page238"/>
    <w:bookmarkEnd w:id="237"/>
    <w:p>
      <w:pPr>
        <w:jc w:val="both"/>
        <w:ind w:right="260"/>
        <w:spacing w:after="0" w:line="249" w:lineRule="auto"/>
        <w:rPr>
          <w:sz w:val="20"/>
          <w:szCs w:val="20"/>
          <w:color w:val="auto"/>
        </w:rPr>
      </w:pPr>
      <w:r>
        <w:rPr>
          <w:rFonts w:ascii="Times New Roman" w:cs="Times New Roman" w:eastAsia="Times New Roman" w:hAnsi="Times New Roman"/>
          <w:sz w:val="20"/>
          <w:szCs w:val="20"/>
          <w:color w:val="auto"/>
        </w:rPr>
        <w:t>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08" w:lineRule="exact"/>
        <w:rPr>
          <w:sz w:val="20"/>
          <w:szCs w:val="20"/>
          <w:color w:val="auto"/>
        </w:rPr>
      </w:pPr>
    </w:p>
    <w:p>
      <w:pPr>
        <w:ind w:right="80" w:firstLine="1505"/>
        <w:spacing w:after="0" w:line="268" w:lineRule="auto"/>
        <w:tabs>
          <w:tab w:leader="none" w:pos="2036" w:val="left"/>
        </w:tabs>
        <w:numPr>
          <w:ilvl w:val="0"/>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individuals who, on the date the Plan is adopted by the Board, are members of the Board (the “</w:t>
      </w:r>
      <w:r>
        <w:rPr>
          <w:rFonts w:ascii="Times New Roman" w:cs="Times New Roman" w:eastAsia="Times New Roman" w:hAnsi="Times New Roman"/>
          <w:sz w:val="19"/>
          <w:szCs w:val="19"/>
          <w:b w:val="1"/>
          <w:bCs w:val="1"/>
          <w:i w:val="1"/>
          <w:iCs w:val="1"/>
          <w:color w:val="auto"/>
        </w:rPr>
        <w:t>Incumbent Board</w:t>
      </w:r>
      <w:r>
        <w:rPr>
          <w:rFonts w:ascii="Times New Roman" w:cs="Times New Roman" w:eastAsia="Times New Roman" w:hAnsi="Times New Roman"/>
          <w:sz w:val="19"/>
          <w:szCs w:val="19"/>
          <w:color w:val="auto"/>
        </w:rPr>
        <w:t>”) cease for any reason to constitute at least a majority of the members of the Board; provided, however, that if the appointment or election (or nomination for election) of any new Board member was approved or recommended by a majority vote of the members of the Incumbent Board then still in office, such new member shall, for purposes of this Plan, be considered as a member of the Incumbent Board.</w:t>
      </w:r>
    </w:p>
    <w:p>
      <w:pPr>
        <w:spacing w:after="0" w:line="81"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(A) the term Change in Control shall not include a sale of assets, merger or other transaction effected exclusively for the purpose of changing the domicile of the Company, (B) the definition of Change in Control (or any analogous term) in an individual written agreement between the Company or any Affiliate and the Participant shall supersede the foregoing definition with respect to Awards subject to such agreement; provided, however, that if no definition of Change in Control or any analogous term is set forth in such an individual written agreement, the foregoing definition shall apply, and (C) with respect to any nonqualified deferred compensation that becomes payable on account of the Change in Control, the transaction or event described in clause (i), (ii), (iii), or (iv) also constitutes a Section 409A Change in Control if required in order for the payment not to violate Section 409A of the Code.</w:t>
      </w:r>
    </w:p>
    <w:p>
      <w:pPr>
        <w:spacing w:after="0" w:line="118" w:lineRule="exact"/>
        <w:rPr>
          <w:sz w:val="20"/>
          <w:szCs w:val="20"/>
          <w:color w:val="auto"/>
        </w:rPr>
      </w:pPr>
    </w:p>
    <w:p>
      <w:pPr>
        <w:ind w:left="1020" w:hanging="263"/>
        <w:spacing w:after="0"/>
        <w:tabs>
          <w:tab w:leader="none" w:pos="102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including any applicable regulations and guidance thereunder.</w:t>
      </w:r>
    </w:p>
    <w:p>
      <w:pPr>
        <w:spacing w:after="0" w:line="148" w:lineRule="exact"/>
        <w:rPr>
          <w:rFonts w:ascii="Times New Roman" w:cs="Times New Roman" w:eastAsia="Times New Roman" w:hAnsi="Times New Roman"/>
          <w:sz w:val="20"/>
          <w:szCs w:val="20"/>
          <w:b w:val="1"/>
          <w:bCs w:val="1"/>
          <w:color w:val="auto"/>
        </w:rPr>
      </w:pPr>
    </w:p>
    <w:p>
      <w:pPr>
        <w:ind w:right="340" w:firstLine="757"/>
        <w:spacing w:after="0" w:line="273" w:lineRule="auto"/>
        <w:tabs>
          <w:tab w:leader="none" w:pos="1018"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Compensation Committee and any other committee of one or more Directors to whom authority has been delegated by the Board or Compensation Committee in accordance with the Plan.</w:t>
      </w:r>
    </w:p>
    <w:p>
      <w:pPr>
        <w:spacing w:after="0" w:line="70"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20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the common stock of the Company.</w:t>
      </w:r>
    </w:p>
    <w:p>
      <w:pPr>
        <w:spacing w:after="0" w:line="14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Invivyd, Inc., a Delaware corporation.</w:t>
      </w:r>
    </w:p>
    <w:p>
      <w:pPr>
        <w:spacing w:after="0" w:line="148" w:lineRule="exact"/>
        <w:rPr>
          <w:sz w:val="20"/>
          <w:szCs w:val="20"/>
          <w:color w:val="auto"/>
        </w:rPr>
      </w:pPr>
    </w:p>
    <w:p>
      <w:pPr>
        <w:ind w:left="1020" w:hanging="263"/>
        <w:spacing w:after="0"/>
        <w:tabs>
          <w:tab w:leader="none" w:pos="1020"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 Committee</w:t>
      </w:r>
      <w:r>
        <w:rPr>
          <w:rFonts w:ascii="Times New Roman" w:cs="Times New Roman" w:eastAsia="Times New Roman" w:hAnsi="Times New Roman"/>
          <w:sz w:val="20"/>
          <w:szCs w:val="20"/>
          <w:color w:val="auto"/>
        </w:rPr>
        <w:t>” means the Compensation Committee of the Board.</w:t>
      </w:r>
    </w:p>
    <w:p>
      <w:pPr>
        <w:spacing w:after="0" w:line="134" w:lineRule="exact"/>
        <w:rPr>
          <w:rFonts w:ascii="Times New Roman" w:cs="Times New Roman" w:eastAsia="Times New Roman" w:hAnsi="Times New Roman"/>
          <w:sz w:val="20"/>
          <w:szCs w:val="20"/>
          <w:b w:val="1"/>
          <w:bCs w:val="1"/>
          <w:color w:val="auto"/>
        </w:rPr>
      </w:pPr>
    </w:p>
    <w:p>
      <w:pPr>
        <w:ind w:firstLine="757"/>
        <w:spacing w:after="0" w:line="246" w:lineRule="auto"/>
        <w:tabs>
          <w:tab w:leader="none" w:pos="1018"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11" w:lineRule="exact"/>
        <w:rPr>
          <w:rFonts w:ascii="Times New Roman" w:cs="Times New Roman" w:eastAsia="Times New Roman" w:hAnsi="Times New Roman"/>
          <w:sz w:val="20"/>
          <w:szCs w:val="20"/>
          <w:b w:val="1"/>
          <w:bCs w:val="1"/>
          <w:color w:val="auto"/>
        </w:rPr>
      </w:pPr>
    </w:p>
    <w:p>
      <w:pPr>
        <w:ind w:right="80" w:firstLine="757"/>
        <w:spacing w:after="0" w:line="245" w:lineRule="auto"/>
        <w:tabs>
          <w:tab w:leader="none" w:pos="1018" w:val="left"/>
        </w:tabs>
        <w:numPr>
          <w:ilvl w:val="0"/>
          <w:numId w:val="20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Continuous Service</w:t>
      </w:r>
      <w:r>
        <w:rPr>
          <w:rFonts w:ascii="Times New Roman" w:cs="Times New Roman" w:eastAsia="Times New Roman" w:hAnsi="Times New Roman"/>
          <w:sz w:val="20"/>
          <w:szCs w:val="20"/>
          <w:color w:val="auto"/>
        </w:rPr>
        <w:t>”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provided, however</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that if the Entity for which a Participant is rendering services ceases to qualify as an Affiliate, as determined by the Board, such Participant’s Continuous Service will be considered to have terminated on the date such Entity ceases to qualify as an Affiliate. For example, a change in status from an Employee of the Company to a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8" w:name="page239"/>
    <w:bookmarkEnd w:id="238"/>
    <w:p>
      <w:pPr>
        <w:spacing w:after="0" w:line="242" w:lineRule="auto"/>
        <w:rPr>
          <w:sz w:val="20"/>
          <w:szCs w:val="20"/>
          <w:color w:val="auto"/>
        </w:rPr>
      </w:pPr>
      <w:r>
        <w:rPr>
          <w:rFonts w:ascii="Times New Roman" w:cs="Times New Roman" w:eastAsia="Times New Roman" w:hAnsi="Times New Roman"/>
          <w:sz w:val="20"/>
          <w:szCs w:val="20"/>
          <w:color w:val="auto"/>
        </w:rPr>
        <w:t>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 In addition, to the extent required for exemption from or compliance with Section 409A, the determination of whether there has been a termination of Continuous Service will be made, and such term will be construed, in a manner that is consistent with the definition of “separation from service” as defined under Treasury Regulation Section 1.409A-1(h) (without regard to any alternative definition thereunder).</w:t>
      </w:r>
    </w:p>
    <w:p>
      <w:pPr>
        <w:spacing w:after="0" w:line="121" w:lineRule="exact"/>
        <w:rPr>
          <w:sz w:val="20"/>
          <w:szCs w:val="20"/>
          <w:color w:val="auto"/>
        </w:rPr>
      </w:pPr>
    </w:p>
    <w:p>
      <w:pPr>
        <w:ind w:right="260" w:firstLine="757"/>
        <w:spacing w:after="0" w:line="273" w:lineRule="auto"/>
        <w:tabs>
          <w:tab w:leader="none" w:pos="1018" w:val="left"/>
        </w:tabs>
        <w:numPr>
          <w:ilvl w:val="0"/>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Transaction</w:t>
      </w:r>
      <w:r>
        <w:rPr>
          <w:rFonts w:ascii="Times New Roman" w:cs="Times New Roman" w:eastAsia="Times New Roman" w:hAnsi="Times New Roman"/>
          <w:sz w:val="20"/>
          <w:szCs w:val="20"/>
          <w:color w:val="auto"/>
        </w:rPr>
        <w:t>” means the consummation, in a single transaction or in a series of related transactions, of any one or more of the following events:</w:t>
      </w:r>
    </w:p>
    <w:p>
      <w:pPr>
        <w:spacing w:after="0" w:line="74" w:lineRule="exact"/>
        <w:rPr>
          <w:rFonts w:ascii="Times New Roman" w:cs="Times New Roman" w:eastAsia="Times New Roman" w:hAnsi="Times New Roman"/>
          <w:sz w:val="20"/>
          <w:szCs w:val="20"/>
          <w:b w:val="1"/>
          <w:bCs w:val="1"/>
          <w:color w:val="auto"/>
        </w:rPr>
      </w:pPr>
    </w:p>
    <w:p>
      <w:pPr>
        <w:ind w:right="280" w:firstLine="1505"/>
        <w:spacing w:after="0" w:line="269" w:lineRule="auto"/>
        <w:tabs>
          <w:tab w:leader="none" w:pos="2036" w:val="left"/>
        </w:tabs>
        <w:numPr>
          <w:ilvl w:val="1"/>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all or substantially all, as determined by the Board, of the consolidated assets of the Company and its Subsidiaries;</w:t>
      </w:r>
    </w:p>
    <w:p>
      <w:pPr>
        <w:spacing w:after="0" w:line="91"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sale or other disposition of at least 50% of the outstanding securities of the Company;</w:t>
      </w:r>
    </w:p>
    <w:p>
      <w:pPr>
        <w:spacing w:after="0" w:line="148"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1"/>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not the surviving corporation; or</w:t>
      </w:r>
    </w:p>
    <w:p>
      <w:pPr>
        <w:spacing w:after="0" w:line="134" w:lineRule="exact"/>
        <w:rPr>
          <w:rFonts w:ascii="Times New Roman" w:cs="Times New Roman" w:eastAsia="Times New Roman" w:hAnsi="Times New Roman"/>
          <w:sz w:val="20"/>
          <w:szCs w:val="20"/>
          <w:b w:val="1"/>
          <w:bCs w:val="1"/>
          <w:color w:val="auto"/>
        </w:rPr>
      </w:pPr>
    </w:p>
    <w:p>
      <w:pPr>
        <w:ind w:right="100" w:firstLine="1505"/>
        <w:spacing w:after="0" w:line="254" w:lineRule="auto"/>
        <w:tabs>
          <w:tab w:leader="none" w:pos="2036" w:val="left"/>
        </w:tabs>
        <w:numPr>
          <w:ilvl w:val="1"/>
          <w:numId w:val="2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07" w:lineRule="exact"/>
        <w:rPr>
          <w:sz w:val="20"/>
          <w:szCs w:val="20"/>
          <w:color w:val="auto"/>
        </w:rPr>
      </w:pPr>
    </w:p>
    <w:p>
      <w:pPr>
        <w:ind w:left="760" w:right="40"/>
        <w:spacing w:after="0" w:line="243" w:lineRule="auto"/>
        <w:rPr>
          <w:sz w:val="20"/>
          <w:szCs w:val="20"/>
          <w:color w:val="auto"/>
        </w:rPr>
      </w:pPr>
      <w:r>
        <w:rPr>
          <w:rFonts w:ascii="Times New Roman" w:cs="Times New Roman" w:eastAsia="Times New Roman" w:hAnsi="Times New Roman"/>
          <w:sz w:val="20"/>
          <w:szCs w:val="20"/>
          <w:color w:val="auto"/>
        </w:rPr>
        <w:t>Notwithstanding the foregoing or any other provision of this Plan, (A) the term Corporate Transaction shall not include a sale of assets, merger or other transaction effected exclusively for the purpose of changing the domicile of the Company, (B) the definition of Corporate Transaction (or any analogous term) in an individual written agreement between the Company or any Affiliate and the Participant shall supersede the foregoing definition with respect to Awards subject to such agreement; provided, however, that if no definition of Corporate Transaction or any analogous term is set forth in such an individual written agreement, the foregoing definition shall apply, and (C) with respect to any nonqualified deferred compensation that becomes payable on account of the Corporate Transaction, the transaction or event described in clause (i), (ii), (iii), or (iv) also constitutes a Section 409A Change in Control if required in order for the payment not to violate Section 409A of the Code.</w:t>
      </w:r>
    </w:p>
    <w:p>
      <w:pPr>
        <w:spacing w:after="0" w:line="118" w:lineRule="exact"/>
        <w:rPr>
          <w:sz w:val="20"/>
          <w:szCs w:val="20"/>
          <w:color w:val="auto"/>
        </w:rPr>
      </w:pPr>
    </w:p>
    <w:p>
      <w:pPr>
        <w:ind w:left="1020" w:hanging="263"/>
        <w:spacing w:after="0"/>
        <w:tabs>
          <w:tab w:leader="none" w:pos="1020"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 means a member of the Board.</w:t>
      </w:r>
    </w:p>
    <w:p>
      <w:pPr>
        <w:spacing w:after="0" w:line="13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determined</w:t>
      </w:r>
      <w:r>
        <w:rPr>
          <w:rFonts w:ascii="Times New Roman" w:cs="Times New Roman" w:eastAsia="Times New Roman" w:hAnsi="Times New Roman"/>
          <w:sz w:val="20"/>
          <w:szCs w:val="20"/>
          <w:color w:val="auto"/>
        </w:rPr>
        <w:t>” means as determined by the Board or the Committee (or its designee) in its sole discretion.</w:t>
      </w:r>
    </w:p>
    <w:p>
      <w:pPr>
        <w:spacing w:after="0" w:line="148" w:lineRule="exact"/>
        <w:rPr>
          <w:rFonts w:ascii="Times New Roman" w:cs="Times New Roman" w:eastAsia="Times New Roman" w:hAnsi="Times New Roman"/>
          <w:sz w:val="20"/>
          <w:szCs w:val="20"/>
          <w:b w:val="1"/>
          <w:bCs w:val="1"/>
          <w:color w:val="auto"/>
        </w:rPr>
      </w:pPr>
    </w:p>
    <w:p>
      <w:pPr>
        <w:ind w:right="200" w:firstLine="757"/>
        <w:spacing w:after="0" w:line="250" w:lineRule="auto"/>
        <w:tabs>
          <w:tab w:leader="none" w:pos="1018" w:val="left"/>
        </w:tabs>
        <w:numPr>
          <w:ilvl w:val="0"/>
          <w:numId w:val="21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with respect to a Participant, such Participant is unable to engage in any substantial gainful activity by reason of any medically determinable physical or mental impairment which can be expected to result in death or which has lasted or can be expected to last for a continuous period of not less than 12 months, as provided in Section 22(e)(3) of the Code, and will be determined by the Board on the basis of such medical evidence as the Board deems warranted under the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39" w:name="page240"/>
    <w:bookmarkEnd w:id="239"/>
    <w:p>
      <w:pPr>
        <w:ind w:left="1020" w:hanging="263"/>
        <w:spacing w:after="0"/>
        <w:tabs>
          <w:tab w:leader="none" w:pos="1020"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January 29, 2026, which is the date the Plan was first approved by the Board or Compensation</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Committee.</w:t>
      </w:r>
    </w:p>
    <w:p>
      <w:pPr>
        <w:spacing w:after="0" w:line="122" w:lineRule="exact"/>
        <w:rPr>
          <w:rFonts w:ascii="Times New Roman" w:cs="Times New Roman" w:eastAsia="Times New Roman" w:hAnsi="Times New Roman"/>
          <w:sz w:val="20"/>
          <w:szCs w:val="20"/>
          <w:b w:val="1"/>
          <w:bCs w:val="1"/>
          <w:color w:val="auto"/>
        </w:rPr>
      </w:pPr>
    </w:p>
    <w:p>
      <w:pPr>
        <w:ind w:firstLine="757"/>
        <w:spacing w:after="0" w:line="273" w:lineRule="auto"/>
        <w:tabs>
          <w:tab w:leader="none" w:pos="1018" w:val="left"/>
        </w:tabs>
        <w:numPr>
          <w:ilvl w:val="0"/>
          <w:numId w:val="2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person employed by the Company or an Affiliate. However, service solely as a Director, or payment of a fee for such services, will not cause a Director to be considered an “Employee” for purposes of the Plan.</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means the Company or the Affiliate of the Company that employs the Participant.</w:t>
      </w:r>
    </w:p>
    <w:p>
      <w:pPr>
        <w:spacing w:after="0" w:line="148" w:lineRule="exact"/>
        <w:rPr>
          <w:sz w:val="20"/>
          <w:szCs w:val="20"/>
          <w:color w:val="auto"/>
        </w:rPr>
      </w:pPr>
    </w:p>
    <w:p>
      <w:pPr>
        <w:ind w:left="1020" w:hanging="263"/>
        <w:spacing w:after="0"/>
        <w:tabs>
          <w:tab w:leader="none" w:pos="102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Entity</w:t>
      </w:r>
      <w:r>
        <w:rPr>
          <w:rFonts w:ascii="Times New Roman" w:cs="Times New Roman" w:eastAsia="Times New Roman" w:hAnsi="Times New Roman"/>
          <w:sz w:val="20"/>
          <w:szCs w:val="20"/>
          <w:color w:val="auto"/>
        </w:rPr>
        <w:t>” means a corporation, partnership, limited liability company or other entity.</w:t>
      </w:r>
    </w:p>
    <w:p>
      <w:pPr>
        <w:spacing w:after="0" w:line="14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 and the rules and regulations promulgated</w:t>
      </w:r>
    </w:p>
    <w:p>
      <w:pPr>
        <w:spacing w:after="0" w:line="25"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thereunder.</w:t>
      </w:r>
    </w:p>
    <w:p>
      <w:pPr>
        <w:spacing w:after="0" w:line="108" w:lineRule="exact"/>
        <w:rPr>
          <w:rFonts w:ascii="Times New Roman" w:cs="Times New Roman" w:eastAsia="Times New Roman" w:hAnsi="Times New Roman"/>
          <w:sz w:val="20"/>
          <w:szCs w:val="20"/>
          <w:b w:val="1"/>
          <w:bCs w:val="1"/>
          <w:color w:val="auto"/>
        </w:rPr>
      </w:pPr>
    </w:p>
    <w:p>
      <w:pPr>
        <w:ind w:right="40" w:firstLine="757"/>
        <w:spacing w:after="0" w:line="244" w:lineRule="auto"/>
        <w:tabs>
          <w:tab w:leader="none" w:pos="1018" w:val="left"/>
        </w:tabs>
        <w:numPr>
          <w:ilvl w:val="0"/>
          <w:numId w:val="21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 Person</w:t>
      </w:r>
      <w:r>
        <w:rPr>
          <w:rFonts w:ascii="Times New Roman" w:cs="Times New Roman" w:eastAsia="Times New Roman" w:hAnsi="Times New Roman"/>
          <w:sz w:val="20"/>
          <w:szCs w:val="20"/>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14" w:lineRule="exact"/>
        <w:rPr>
          <w:sz w:val="20"/>
          <w:szCs w:val="20"/>
          <w:color w:val="auto"/>
        </w:rPr>
      </w:pPr>
    </w:p>
    <w:p>
      <w:pPr>
        <w:ind w:right="3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(aa)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unless otherwise determined by the Board, the value of the Common Stock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on a per share or aggregate basis, as applicable) determined as follows:</w:t>
      </w:r>
    </w:p>
    <w:p>
      <w:pPr>
        <w:spacing w:after="0" w:line="88" w:lineRule="exact"/>
        <w:rPr>
          <w:sz w:val="20"/>
          <w:szCs w:val="20"/>
          <w:color w:val="auto"/>
        </w:rPr>
      </w:pPr>
    </w:p>
    <w:p>
      <w:pPr>
        <w:ind w:right="480" w:firstLine="1505"/>
        <w:spacing w:after="0" w:line="274" w:lineRule="auto"/>
        <w:tabs>
          <w:tab w:leader="none" w:pos="2036" w:val="left"/>
        </w:tabs>
        <w:numPr>
          <w:ilvl w:val="0"/>
          <w:numId w:val="2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Common Stock is listed on any established stock exchange or traded on any established market, the Fair Market Value will be the closing sales price for such stock as quoted on such exchange or market (or the exchange or market with the greatest volume of trading in the Common Stock) on the date of determination, as reported in a source the Board deems reliable.</w:t>
      </w:r>
    </w:p>
    <w:p>
      <w:pPr>
        <w:spacing w:after="0" w:line="75" w:lineRule="exact"/>
        <w:rPr>
          <w:rFonts w:ascii="Times New Roman" w:cs="Times New Roman" w:eastAsia="Times New Roman" w:hAnsi="Times New Roman"/>
          <w:sz w:val="19"/>
          <w:szCs w:val="19"/>
          <w:b w:val="1"/>
          <w:bCs w:val="1"/>
          <w:color w:val="auto"/>
        </w:rPr>
      </w:pPr>
    </w:p>
    <w:p>
      <w:pPr>
        <w:ind w:right="320" w:firstLine="1505"/>
        <w:spacing w:after="0" w:line="269" w:lineRule="auto"/>
        <w:tabs>
          <w:tab w:leader="none" w:pos="2036"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If there is no closing sales price for the Common Stock on the date of determination, then the Fair Market Value will be the closing selling price on the last preceding date for which such quotation exists.</w:t>
      </w:r>
    </w:p>
    <w:p>
      <w:pPr>
        <w:spacing w:after="0" w:line="91" w:lineRule="exact"/>
        <w:rPr>
          <w:rFonts w:ascii="Times New Roman" w:cs="Times New Roman" w:eastAsia="Times New Roman" w:hAnsi="Times New Roman"/>
          <w:sz w:val="20"/>
          <w:szCs w:val="20"/>
          <w:b w:val="1"/>
          <w:bCs w:val="1"/>
          <w:color w:val="auto"/>
        </w:rPr>
      </w:pPr>
    </w:p>
    <w:p>
      <w:pPr>
        <w:ind w:right="320" w:firstLine="1505"/>
        <w:spacing w:after="0" w:line="269" w:lineRule="auto"/>
        <w:tabs>
          <w:tab w:leader="none" w:pos="2036" w:val="left"/>
        </w:tabs>
        <w:numPr>
          <w:ilvl w:val="0"/>
          <w:numId w:val="2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In the absence of such markets for the Common Stock, or if otherwise determined by the Board, the Fair Market Value will be determined by the Board in good faith and in a manner that complies with Sections 409A and 422 of the Code.</w:t>
      </w:r>
    </w:p>
    <w:p>
      <w:pPr>
        <w:spacing w:after="0" w:line="88"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(bb)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Body</w:t>
      </w:r>
      <w:r>
        <w:rPr>
          <w:rFonts w:ascii="Times New Roman" w:cs="Times New Roman" w:eastAsia="Times New Roman" w:hAnsi="Times New Roman"/>
          <w:sz w:val="20"/>
          <w:szCs w:val="20"/>
          <w:color w:val="auto"/>
        </w:rPr>
        <w:t>” means any: (i) nation, state, commonwealth, province, territory, county, municipality, district or other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jurisdiction of any nature; (ii) federal, state, local, municipal, foreign or other government; (iii)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(iv) self-regulatory organization (including the Nasdaq Stock Market, New York Stock Exchange, and the Financial Industry Regulatory Authority).</w:t>
      </w:r>
    </w:p>
    <w:p>
      <w:pPr>
        <w:spacing w:after="0" w:line="98" w:lineRule="exact"/>
        <w:rPr>
          <w:sz w:val="20"/>
          <w:szCs w:val="20"/>
          <w:color w:val="auto"/>
        </w:rPr>
      </w:pPr>
    </w:p>
    <w:p>
      <w:pPr>
        <w:ind w:right="1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(cc)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means the notice provided to a Participant that he or she has been granted an Award under the Plan and which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includes the name of the Participant, the type of Award,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0" w:name="page241"/>
    <w:bookmarkEnd w:id="240"/>
    <w:p>
      <w:pPr>
        <w:ind w:right="140"/>
        <w:spacing w:after="0" w:line="269" w:lineRule="auto"/>
        <w:rPr>
          <w:sz w:val="20"/>
          <w:szCs w:val="20"/>
          <w:color w:val="auto"/>
        </w:rPr>
      </w:pPr>
      <w:r>
        <w:rPr>
          <w:rFonts w:ascii="Times New Roman" w:cs="Times New Roman" w:eastAsia="Times New Roman" w:hAnsi="Times New Roman"/>
          <w:sz w:val="20"/>
          <w:szCs w:val="20"/>
          <w:color w:val="auto"/>
        </w:rPr>
        <w:t>grant of the Award, number of shares of Common Stock subject to the Award or potential cash payment right, (if any), the vesting schedule for the Award (if any) and other key terms applicable to the Award.</w:t>
      </w:r>
    </w:p>
    <w:p>
      <w:pPr>
        <w:spacing w:after="0" w:line="88" w:lineRule="exact"/>
        <w:rPr>
          <w:sz w:val="20"/>
          <w:szCs w:val="20"/>
          <w:color w:val="auto"/>
        </w:rPr>
      </w:pPr>
    </w:p>
    <w:p>
      <w:pPr>
        <w:ind w:right="5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(dd)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 means an option that is intended to be, and qualifies as, an “incentive stock option” within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meaning of Section 422 of the Code.</w:t>
      </w:r>
    </w:p>
    <w:p>
      <w:pPr>
        <w:spacing w:after="0" w:line="71" w:lineRule="exact"/>
        <w:rPr>
          <w:sz w:val="20"/>
          <w:szCs w:val="20"/>
          <w:color w:val="auto"/>
        </w:rPr>
      </w:pPr>
    </w:p>
    <w:p>
      <w:pPr>
        <w:ind w:right="60" w:firstLine="749"/>
        <w:spacing w:after="0" w:line="245" w:lineRule="auto"/>
        <w:rPr>
          <w:sz w:val="20"/>
          <w:szCs w:val="20"/>
          <w:color w:val="auto"/>
        </w:rPr>
      </w:pPr>
      <w:r>
        <w:rPr>
          <w:rFonts w:ascii="Times New Roman" w:cs="Times New Roman" w:eastAsia="Times New Roman" w:hAnsi="Times New Roman"/>
          <w:sz w:val="20"/>
          <w:szCs w:val="20"/>
          <w:b w:val="1"/>
          <w:bCs w:val="1"/>
          <w:color w:val="auto"/>
        </w:rPr>
        <w:t>(ee)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Materially Impair</w:t>
      </w:r>
      <w:r>
        <w:rPr>
          <w:rFonts w:ascii="Times New Roman" w:cs="Times New Roman" w:eastAsia="Times New Roman" w:hAnsi="Times New Roman"/>
          <w:sz w:val="20"/>
          <w:szCs w:val="20"/>
          <w:color w:val="auto"/>
        </w:rPr>
        <w:t>” means any amendment to the terms of the Award that materially adversely affects the Participant’s rights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under the Award. A Participant’s rights under an Award will not be deemed to have been Materially Impaired by any such amendment if the Board, in its sole discretion, determines that the amendment, taken as a whole, does not materially impair the Participant’s rights. For example, the following types of amendments to the terms of an Award do not Materially Impair the Participant’s rights under the Award: (i) imposition of reasonable restrictions on the minimum number of shares subject to an Option or SAR that may be exercised; (ii) to clarify the manner of exemption from, or to bring the Award into compliance with or qualify it for an exemption from, Section 409A; or (iii) to comply with other Applicable Laws.</w:t>
      </w:r>
    </w:p>
    <w:p>
      <w:pPr>
        <w:spacing w:after="0" w:line="112"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9"/>
          <w:szCs w:val="19"/>
          <w:b w:val="1"/>
          <w:bCs w:val="1"/>
          <w:color w:val="auto"/>
        </w:rPr>
        <w:t>(ff)</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Non-Employee Director</w:t>
      </w:r>
      <w:r>
        <w:rPr>
          <w:rFonts w:ascii="Times New Roman" w:cs="Times New Roman" w:eastAsia="Times New Roman" w:hAnsi="Times New Roman"/>
          <w:sz w:val="19"/>
          <w:szCs w:val="19"/>
          <w:color w:val="auto"/>
        </w:rPr>
        <w:t>” means a Director who either (i) is not a current employee or officer of the Company or an Affiliate,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9"/>
          <w:szCs w:val="19"/>
          <w:b w:val="1"/>
          <w:bCs w:val="1"/>
          <w:i w:val="1"/>
          <w:iCs w:val="1"/>
          <w:color w:val="auto"/>
        </w:rPr>
        <w:t>Regulation S-K</w:t>
      </w:r>
      <w:r>
        <w:rPr>
          <w:rFonts w:ascii="Times New Roman" w:cs="Times New Roman" w:eastAsia="Times New Roman" w:hAnsi="Times New Roman"/>
          <w:sz w:val="19"/>
          <w:szCs w:val="19"/>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00"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(gg)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Non-Exempt Award</w:t>
      </w:r>
      <w:r>
        <w:rPr>
          <w:rFonts w:ascii="Times New Roman" w:cs="Times New Roman" w:eastAsia="Times New Roman" w:hAnsi="Times New Roman"/>
          <w:sz w:val="20"/>
          <w:szCs w:val="20"/>
          <w:color w:val="auto"/>
        </w:rPr>
        <w:t>” means any Award that is subject to, and not exempt from, Section 409A, including as the result of (i)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deferral of the issuance of the shares subject to the Award which is elected by the Participant or imposed by the Company, or (ii) the terms of any Non-Exempt Severance Agreement.</w:t>
      </w:r>
    </w:p>
    <w:p>
      <w:pPr>
        <w:spacing w:after="0" w:line="88" w:lineRule="exact"/>
        <w:rPr>
          <w:sz w:val="20"/>
          <w:szCs w:val="20"/>
          <w:color w:val="auto"/>
        </w:rPr>
      </w:pPr>
    </w:p>
    <w:p>
      <w:pPr>
        <w:ind w:right="140" w:firstLine="749"/>
        <w:spacing w:after="0" w:line="264" w:lineRule="auto"/>
        <w:rPr>
          <w:sz w:val="20"/>
          <w:szCs w:val="20"/>
          <w:color w:val="auto"/>
        </w:rPr>
      </w:pPr>
      <w:r>
        <w:rPr>
          <w:rFonts w:ascii="Times New Roman" w:cs="Times New Roman" w:eastAsia="Times New Roman" w:hAnsi="Times New Roman"/>
          <w:sz w:val="19"/>
          <w:szCs w:val="19"/>
          <w:b w:val="1"/>
          <w:bCs w:val="1"/>
          <w:color w:val="auto"/>
        </w:rPr>
        <w:t>(hh)</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Non-Exempt Severance Arrangement</w:t>
      </w:r>
      <w:r>
        <w:rPr>
          <w:rFonts w:ascii="Times New Roman" w:cs="Times New Roman" w:eastAsia="Times New Roman" w:hAnsi="Times New Roman"/>
          <w:sz w:val="19"/>
          <w:szCs w:val="19"/>
          <w:color w:val="auto"/>
        </w:rPr>
        <w:t>” means a severance arrangement or other agreement between the Participant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that provides for acceleration of vesting of an Award and issuance of the shares in respect of such Award upon the Participant’s termination of employment or separation from service (as such term is defined in Section 409A(a)(2)(A)(i) of the Code (and without regard to any alternative definition thereunder) (“</w:t>
      </w:r>
      <w:r>
        <w:rPr>
          <w:rFonts w:ascii="Times New Roman" w:cs="Times New Roman" w:eastAsia="Times New Roman" w:hAnsi="Times New Roman"/>
          <w:sz w:val="19"/>
          <w:szCs w:val="19"/>
          <w:b w:val="1"/>
          <w:bCs w:val="1"/>
          <w:i w:val="1"/>
          <w:iCs w:val="1"/>
          <w:color w:val="auto"/>
        </w:rPr>
        <w:t>Separation from Service</w:t>
      </w:r>
      <w:r>
        <w:rPr>
          <w:rFonts w:ascii="Times New Roman" w:cs="Times New Roman" w:eastAsia="Times New Roman" w:hAnsi="Times New Roman"/>
          <w:sz w:val="19"/>
          <w:szCs w:val="19"/>
          <w:color w:val="auto"/>
        </w:rPr>
        <w:t>”) and such severance benefit does not satisfy the requirements for an exemption from application of Section 409A provided under Treasury Regulations Section 1.409A-1(b)(4), 1.409A-1(b)(9) or otherwise.</w:t>
      </w:r>
    </w:p>
    <w:p>
      <w:pPr>
        <w:spacing w:after="0" w:line="94" w:lineRule="exact"/>
        <w:rPr>
          <w:sz w:val="20"/>
          <w:szCs w:val="20"/>
          <w:color w:val="auto"/>
        </w:rPr>
      </w:pPr>
    </w:p>
    <w:p>
      <w:pPr>
        <w:ind w:right="200" w:firstLine="757"/>
        <w:spacing w:after="0" w:line="273" w:lineRule="auto"/>
        <w:tabs>
          <w:tab w:leader="none" w:pos="1018" w:val="left"/>
        </w:tabs>
        <w:numPr>
          <w:ilvl w:val="0"/>
          <w:numId w:val="2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Nonstatutory Stock Option</w:t>
      </w:r>
      <w:r>
        <w:rPr>
          <w:rFonts w:ascii="Times New Roman" w:cs="Times New Roman" w:eastAsia="Times New Roman" w:hAnsi="Times New Roman"/>
          <w:sz w:val="20"/>
          <w:szCs w:val="20"/>
          <w:color w:val="auto"/>
        </w:rPr>
        <w:t>” means any option granted pursuant to Section 4 of the Plan that does not qualify as an Incentive Stock Option.</w:t>
      </w:r>
    </w:p>
    <w:p>
      <w:pPr>
        <w:spacing w:after="0" w:line="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(jj)</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a person who is an officer of the Company within the meaning of Section 16 of the Exchange Act.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(kk)</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means a Nonstatutory Stock Option to purchase shares of Common Stock granted pursuant to the Plan.</w:t>
      </w:r>
    </w:p>
    <w:p>
      <w:pPr>
        <w:spacing w:after="0" w:line="148" w:lineRule="exact"/>
        <w:rPr>
          <w:sz w:val="20"/>
          <w:szCs w:val="20"/>
          <w:color w:val="auto"/>
        </w:rPr>
      </w:pPr>
    </w:p>
    <w:p>
      <w:pPr>
        <w:jc w:val="both"/>
        <w:ind w:firstLine="757"/>
        <w:spacing w:after="0" w:line="250" w:lineRule="auto"/>
        <w:tabs>
          <w:tab w:leader="none" w:pos="1018" w:val="left"/>
        </w:tabs>
        <w:numPr>
          <w:ilvl w:val="0"/>
          <w:numId w:val="2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means a written or electronic agreement between the Company and the Optionholder evidencing the terms and conditions of the Option grant. The Option Agreement includes the Grant Notice for the Option and the agreement containing the written summary of the general terms and conditions applicable to the Option and which is provided, including through electronic means, to a Participant along with the Grant Notice. Each Option Agreement will be subject to the terms and conditions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41" w:name="page242"/>
    <w:bookmarkEnd w:id="241"/>
    <w:p>
      <w:pPr>
        <w:ind w:right="2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(mm)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 means a person to whom an Option is granted pursuant to the Plan or, if applicable, such other person who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holds an outstanding Option.</w:t>
      </w:r>
    </w:p>
    <w:p>
      <w:pPr>
        <w:spacing w:after="0" w:line="84"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(nn)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Award</w:t>
      </w:r>
      <w:r>
        <w:rPr>
          <w:rFonts w:ascii="Times New Roman" w:cs="Times New Roman" w:eastAsia="Times New Roman" w:hAnsi="Times New Roman"/>
          <w:sz w:val="20"/>
          <w:szCs w:val="20"/>
          <w:color w:val="auto"/>
        </w:rPr>
        <w:t>” means an award valued in whole or in part by reference to, or otherwise based on, Common Stock, including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appreciation in value thereof (e.g., options or stock rights with an exercise price or strike price less than 100% of the Fair Market Value at the time of grant) that is not a Nonstatutory Stock Option, SAR, Restricted Stock Award, RSU Award or Performance Award.</w:t>
      </w:r>
    </w:p>
    <w:p>
      <w:pPr>
        <w:spacing w:after="0" w:line="88" w:lineRule="exact"/>
        <w:rPr>
          <w:sz w:val="20"/>
          <w:szCs w:val="20"/>
          <w:color w:val="auto"/>
        </w:rPr>
      </w:pPr>
    </w:p>
    <w:p>
      <w:pPr>
        <w:ind w:right="24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(oo)</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Award Agreement</w:t>
      </w:r>
      <w:r>
        <w:rPr>
          <w:rFonts w:ascii="Times New Roman" w:cs="Times New Roman" w:eastAsia="Times New Roman" w:hAnsi="Times New Roman"/>
          <w:sz w:val="20"/>
          <w:szCs w:val="20"/>
          <w:color w:val="auto"/>
        </w:rPr>
        <w:t>” means a written or electronic agreement between the Company and a holder of an Other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evidencing the terms and conditions of an Other Award grant. Each Other Award Agreement will be subject to the terms and conditions of the Plan.</w:t>
      </w:r>
    </w:p>
    <w:p>
      <w:pPr>
        <w:spacing w:after="0" w:line="101" w:lineRule="exact"/>
        <w:rPr>
          <w:sz w:val="20"/>
          <w:szCs w:val="20"/>
          <w:color w:val="auto"/>
        </w:rPr>
      </w:pPr>
    </w:p>
    <w:p>
      <w:pPr>
        <w:jc w:val="both"/>
        <w:ind w:right="2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(pp)</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Own,</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Owned,</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Ownership</w:t>
      </w:r>
      <w:r>
        <w:rPr>
          <w:rFonts w:ascii="Times New Roman" w:cs="Times New Roman" w:eastAsia="Times New Roman" w:hAnsi="Times New Roman"/>
          <w:sz w:val="20"/>
          <w:szCs w:val="20"/>
          <w:color w:val="auto"/>
        </w:rPr>
        <w:t>” means that a person or Entity will be deemed to “Own,” to have “Owned,” to be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08" w:lineRule="exact"/>
        <w:rPr>
          <w:sz w:val="20"/>
          <w:szCs w:val="20"/>
          <w:color w:val="auto"/>
        </w:rPr>
      </w:pPr>
    </w:p>
    <w:p>
      <w:pPr>
        <w:ind w:right="5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(qq)</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 Employee meeting the criteria set forth in Nasdaq Listing Rule 5635(c)(4) to whom an Award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granted pursuant to the Plan or, if applicable, such other person who holds an outstanding Award.</w:t>
      </w:r>
    </w:p>
    <w:p>
      <w:pPr>
        <w:spacing w:after="0" w:line="71"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0"/>
          <w:szCs w:val="20"/>
          <w:b w:val="1"/>
          <w:bCs w:val="1"/>
          <w:color w:val="auto"/>
        </w:rPr>
        <w:t>(rr)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Award</w:t>
      </w:r>
      <w:r>
        <w:rPr>
          <w:rFonts w:ascii="Times New Roman" w:cs="Times New Roman" w:eastAsia="Times New Roman" w:hAnsi="Times New Roman"/>
          <w:sz w:val="20"/>
          <w:szCs w:val="20"/>
          <w:color w:val="auto"/>
        </w:rPr>
        <w:t>” means an Award that may vest or may be exercised or a cash award that may vest or become earned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paid contingent upon the attainment during a Performance Period of certain Performance Goals and which is granted under the terms and conditions of Section 5(b) pursuant to such terms as are approved by the Board. In addition, to the extent permitted by Applicable Law and set forth in the applicable Award Agreement, the Board may determine that cash or other property may be used in payment of Performance Awards. Performance Awards that are settled in cash or other property are not required to be valued in whole or in part by reference to, or otherwise based on, the Common Stock.</w:t>
      </w:r>
    </w:p>
    <w:p>
      <w:pPr>
        <w:spacing w:after="0" w:line="111"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(ss)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 means one or more criteria that the Board will select for purposes of establishing the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Goals for a Performance Period. The Performance Criteria that will be used to establish such Performance Goals may be based on any one of, or combination of, the following as determined by the Board: earnings (including earnings per share and net earnings); earnings before interest, taxes and depreciation; earnings before interest, taxes, depreciation and amortization; total stockholder return; return on equity or average stockholder’s equity; return on assets, investment, or capital employed; stock price; margin (including gross margin); income (before or after taxes); operating income; operating income after taxes; pre-tax profit; operating cash flow; sales or revenue targets; increases in revenue or product revenue; expenses and cost reduction goals; improvement in or attainment of working capital levels; economic value added (or an equivalent metric); market share; cash flow; cash flow per share; share price performance; debt reduction; customer satisfaction; stockholders’ equity; capital expenditures; debt levels; operating profit or net operating profit; workforce diversity; growth of net income or operating income; billings; financing; regulatory milestones; stockholder liquidity; corporate governance and compliance; intellectual property; personnel matters; progress of internal research; progress of partnered programs; partner satisfaction; budget management; partner or collaborator achievements; internal controls, including those related to the Sarbanes-Oxley Act of 2002; investor relations, analysts and communication; implementation or completion of projects or processes; employee retention; number of users, including unique users; strategic partnerships or transactions (including in-licensing and out-licensing of intellectual property); establishing relationships with respect to the marketing, distribution and sale of the Company’s products; supply chain achievements; co-development, co-marketing, profit sharing, joint venture or other similar arrangements; individual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975360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42" w:name="page243"/>
    <w:bookmarkEnd w:id="242"/>
    <w:p>
      <w:pPr>
        <w:ind w:right="480"/>
        <w:spacing w:after="0" w:line="269" w:lineRule="auto"/>
        <w:rPr>
          <w:sz w:val="20"/>
          <w:szCs w:val="20"/>
          <w:color w:val="auto"/>
        </w:rPr>
      </w:pPr>
      <w:r>
        <w:rPr>
          <w:rFonts w:ascii="Times New Roman" w:cs="Times New Roman" w:eastAsia="Times New Roman" w:hAnsi="Times New Roman"/>
          <w:sz w:val="20"/>
          <w:szCs w:val="20"/>
          <w:color w:val="auto"/>
        </w:rPr>
        <w:t>performance goals; corporate development and planning goals; and other measures of performance selected by the Board or Committee whether or not listed herein.</w:t>
      </w:r>
    </w:p>
    <w:p>
      <w:pPr>
        <w:spacing w:after="0" w:line="88"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b w:val="1"/>
          <w:bCs w:val="1"/>
          <w:color w:val="auto"/>
        </w:rPr>
        <w:t>(tt)</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Goals</w:t>
      </w:r>
      <w:r>
        <w:rPr>
          <w:rFonts w:ascii="Times New Roman" w:cs="Times New Roman" w:eastAsia="Times New Roman" w:hAnsi="Times New Roman"/>
          <w:sz w:val="20"/>
          <w:szCs w:val="20"/>
          <w:color w:val="auto"/>
        </w:rPr>
        <w:t>” means, for a Performance Period, one or more goals established by the Board for the Performance Period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items that are “unusual” in nature or occur “infrequently”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be expensed under generally accepted accounting principles; and (11) to exclude the goodwill and intangible asset impairment charges that are required to be recorded under generally accepted accounting principles. In addition, the Board may establish or provide for other adjustment items in the Award Agreement at the time the Award is granted or in such other document setting forth the Performance Goals at the time the Performance Goals are established.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Award Agreement.</w:t>
      </w:r>
    </w:p>
    <w:p>
      <w:pPr>
        <w:spacing w:after="0" w:line="103" w:lineRule="exact"/>
        <w:rPr>
          <w:sz w:val="20"/>
          <w:szCs w:val="20"/>
          <w:color w:val="auto"/>
        </w:rPr>
      </w:pPr>
    </w:p>
    <w:p>
      <w:pPr>
        <w:jc w:val="both"/>
        <w:ind w:right="1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(uu)</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period of time selected by the Board over which the attainment of one or more Performance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Goals will be measured for the purpose of determining a Participant’s right to vesting or exercise of an Award. Performance Periods may be of varying and overlapping duration, at the sole discretion of the Board.</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(vv)</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Invivyd, Inc. 2026 Inducement Plan, as amended from time to time.</w:t>
      </w:r>
    </w:p>
    <w:p>
      <w:pPr>
        <w:spacing w:after="0" w:line="148" w:lineRule="exact"/>
        <w:rPr>
          <w:sz w:val="20"/>
          <w:szCs w:val="20"/>
          <w:color w:val="auto"/>
        </w:rPr>
      </w:pPr>
    </w:p>
    <w:p>
      <w:pPr>
        <w:ind w:right="2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(ww)</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Administrator</w:t>
      </w:r>
      <w:r>
        <w:rPr>
          <w:rFonts w:ascii="Times New Roman" w:cs="Times New Roman" w:eastAsia="Times New Roman" w:hAnsi="Times New Roman"/>
          <w:sz w:val="20"/>
          <w:szCs w:val="20"/>
          <w:color w:val="auto"/>
        </w:rPr>
        <w:t>” means the person, persons, and/or third-party administrator designated by the Company to administer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day to day operations of the Plan and the Company’s other equity incentive programs.</w:t>
      </w:r>
    </w:p>
    <w:p>
      <w:pPr>
        <w:spacing w:after="0" w:line="71" w:lineRule="exact"/>
        <w:rPr>
          <w:sz w:val="20"/>
          <w:szCs w:val="20"/>
          <w:color w:val="auto"/>
        </w:rPr>
      </w:pPr>
    </w:p>
    <w:p>
      <w:pPr>
        <w:ind w:right="4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(xx)</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Post-Termination Exercise Period</w:t>
      </w:r>
      <w:r>
        <w:rPr>
          <w:rFonts w:ascii="Times New Roman" w:cs="Times New Roman" w:eastAsia="Times New Roman" w:hAnsi="Times New Roman"/>
          <w:sz w:val="20"/>
          <w:szCs w:val="20"/>
          <w:color w:val="auto"/>
        </w:rPr>
        <w:t>” means the period following termination of a Participant’s Continuous Service within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which an Option or SAR is exercisable, as specified in Section 4(h).</w:t>
      </w:r>
    </w:p>
    <w:p>
      <w:pPr>
        <w:spacing w:after="0" w:line="84" w:lineRule="exact"/>
        <w:rPr>
          <w:sz w:val="20"/>
          <w:szCs w:val="20"/>
          <w:color w:val="auto"/>
        </w:rPr>
      </w:pPr>
    </w:p>
    <w:p>
      <w:pPr>
        <w:ind w:right="20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 xml:space="preserve">(yy)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RSA</w:t>
      </w:r>
      <w:r>
        <w:rPr>
          <w:rFonts w:ascii="Times New Roman" w:cs="Times New Roman" w:eastAsia="Times New Roman" w:hAnsi="Times New Roman"/>
          <w:sz w:val="20"/>
          <w:szCs w:val="20"/>
          <w:color w:val="auto"/>
        </w:rPr>
        <w:t>” means an Award of shares of Common Stock which is granted pursuant to the terms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conditions of Section 5(a).</w:t>
      </w:r>
    </w:p>
    <w:p>
      <w:pPr>
        <w:spacing w:after="0" w:line="84" w:lineRule="exact"/>
        <w:rPr>
          <w:sz w:val="20"/>
          <w:szCs w:val="20"/>
          <w:color w:val="auto"/>
        </w:rPr>
      </w:pPr>
    </w:p>
    <w:p>
      <w:pPr>
        <w:ind w:right="7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(zz)</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 Award Agreement</w:t>
      </w:r>
      <w:r>
        <w:rPr>
          <w:rFonts w:ascii="Times New Roman" w:cs="Times New Roman" w:eastAsia="Times New Roman" w:hAnsi="Times New Roman"/>
          <w:sz w:val="20"/>
          <w:szCs w:val="20"/>
          <w:color w:val="auto"/>
        </w:rPr>
        <w:t>” means a written or electronic agreement between the Company and a holder of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Restricted Stock Award evidencing the terms and conditions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941070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3" w:name="page244"/>
    <w:bookmarkEnd w:id="243"/>
    <w:p>
      <w:pPr>
        <w:ind w:right="380"/>
        <w:spacing w:after="0" w:line="249" w:lineRule="auto"/>
        <w:rPr>
          <w:sz w:val="20"/>
          <w:szCs w:val="20"/>
          <w:color w:val="auto"/>
        </w:rPr>
      </w:pPr>
      <w:r>
        <w:rPr>
          <w:rFonts w:ascii="Times New Roman" w:cs="Times New Roman" w:eastAsia="Times New Roman" w:hAnsi="Times New Roman"/>
          <w:sz w:val="20"/>
          <w:szCs w:val="20"/>
          <w:color w:val="auto"/>
        </w:rPr>
        <w:t>Restricted Stock Award grant. The Restricted Stock Award Agreement includes the Grant Notice for the Restricted Stock Award and the agreement containing the written summary of the general terms and conditions applicable to the Restricted Stock Award and which is provided, including by electronic means, to a Participant along with the Grant Notice. Each Restricted Stock Award Agreement will be subject to the terms and conditions of the Plan.</w:t>
      </w:r>
    </w:p>
    <w:p>
      <w:pPr>
        <w:spacing w:after="0" w:line="108" w:lineRule="exact"/>
        <w:rPr>
          <w:sz w:val="20"/>
          <w:szCs w:val="20"/>
          <w:color w:val="auto"/>
        </w:rPr>
      </w:pPr>
    </w:p>
    <w:p>
      <w:pPr>
        <w:ind w:right="28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(aaa)</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means an Award of restricted stock units representing the right to receive an issuance of shares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Common Stock which is granted pursuant to the terms and conditions of Section 5(a).</w:t>
      </w:r>
    </w:p>
    <w:p>
      <w:pPr>
        <w:spacing w:after="0" w:line="71" w:lineRule="exact"/>
        <w:rPr>
          <w:sz w:val="20"/>
          <w:szCs w:val="20"/>
          <w:color w:val="auto"/>
        </w:rPr>
      </w:pPr>
    </w:p>
    <w:p>
      <w:pPr>
        <w:ind w:right="60"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(bbb)</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means a written or electronic agreement between the Company and a holder of an RSU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evidencing the terms and conditions of an RSU Award grant. The RSU Award Agreement includes the Grant Notice for the RSU Award and the agreement containing the written summary of the general terms and conditions applicable to the RSU Award and which is provided, including by electronic means, to a Participant along with the Grant Notice. Each RSU Award Agreement will be subject to the terms and conditions of the Plan.</w:t>
      </w:r>
    </w:p>
    <w:p>
      <w:pPr>
        <w:spacing w:after="0" w:line="11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b w:val="1"/>
          <w:bCs w:val="1"/>
          <w:color w:val="auto"/>
        </w:rPr>
        <w:t>(ccc)</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Rule 16b-3</w:t>
      </w:r>
      <w:r>
        <w:rPr>
          <w:rFonts w:ascii="Times New Roman" w:cs="Times New Roman" w:eastAsia="Times New Roman" w:hAnsi="Times New Roman"/>
          <w:sz w:val="19"/>
          <w:szCs w:val="19"/>
          <w:color w:val="auto"/>
        </w:rPr>
        <w:t>” means Rule 16b-3 promulgated under the Exchange Act or any successor to Rule 16b-3, as in effect from time to</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1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(ddd)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Rule 405</w:t>
      </w:r>
      <w:r>
        <w:rPr>
          <w:rFonts w:ascii="Times New Roman" w:cs="Times New Roman" w:eastAsia="Times New Roman" w:hAnsi="Times New Roman"/>
          <w:sz w:val="20"/>
          <w:szCs w:val="20"/>
          <w:color w:val="auto"/>
        </w:rPr>
        <w:t>” means Rule 405 promulgated under the Securities Act.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(eee)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means Section 409A of the Code and the regulations and other guidance thereunder.</w:t>
      </w:r>
    </w:p>
    <w:p>
      <w:pPr>
        <w:spacing w:after="0" w:line="148" w:lineRule="exact"/>
        <w:rPr>
          <w:sz w:val="20"/>
          <w:szCs w:val="20"/>
          <w:color w:val="auto"/>
        </w:rPr>
      </w:pPr>
    </w:p>
    <w:p>
      <w:pPr>
        <w:ind w:right="10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(fff)</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Section 409A Change in Control</w:t>
      </w:r>
      <w:r>
        <w:rPr>
          <w:rFonts w:ascii="Times New Roman" w:cs="Times New Roman" w:eastAsia="Times New Roman" w:hAnsi="Times New Roman"/>
          <w:sz w:val="20"/>
          <w:szCs w:val="20"/>
          <w:color w:val="auto"/>
        </w:rPr>
        <w:t>” means a change in the ownership or effective control of the Company, or in the ownership</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a substantial portion of the Company’s assets, as provided in Section 409A(a)(2)(A)(v) of the Code and Treasury Regulations Section 1.409A- 3(i)(5) (without regard to any alternative definition thereunder).</w:t>
      </w:r>
    </w:p>
    <w:p>
      <w:pPr>
        <w:spacing w:after="0" w:line="10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(ggg)</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Securities Act of 1933, as amended.</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(hhh)</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 Limit</w:t>
      </w:r>
      <w:r>
        <w:rPr>
          <w:rFonts w:ascii="Times New Roman" w:cs="Times New Roman" w:eastAsia="Times New Roman" w:hAnsi="Times New Roman"/>
          <w:sz w:val="20"/>
          <w:szCs w:val="20"/>
          <w:color w:val="auto"/>
        </w:rPr>
        <w:t>” means the number of shares available for issuance under the Plan as set forth in Section 2(a).</w:t>
      </w:r>
    </w:p>
    <w:p>
      <w:pPr>
        <w:spacing w:after="0" w:line="148" w:lineRule="exact"/>
        <w:rPr>
          <w:sz w:val="20"/>
          <w:szCs w:val="20"/>
          <w:color w:val="auto"/>
        </w:rPr>
      </w:pPr>
    </w:p>
    <w:p>
      <w:pPr>
        <w:ind w:right="22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(iii)</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SAR</w:t>
      </w:r>
      <w:r>
        <w:rPr>
          <w:rFonts w:ascii="Times New Roman" w:cs="Times New Roman" w:eastAsia="Times New Roman" w:hAnsi="Times New Roman"/>
          <w:sz w:val="20"/>
          <w:szCs w:val="20"/>
          <w:color w:val="auto"/>
        </w:rPr>
        <w:t>” means a right to receive the appreciation on Common Stock that is granted pursuant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terms and conditions of Section 4.</w:t>
      </w:r>
    </w:p>
    <w:p>
      <w:pPr>
        <w:spacing w:after="0" w:line="84"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(jjj)</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SAR Agreement</w:t>
      </w:r>
      <w:r>
        <w:rPr>
          <w:rFonts w:ascii="Times New Roman" w:cs="Times New Roman" w:eastAsia="Times New Roman" w:hAnsi="Times New Roman"/>
          <w:sz w:val="20"/>
          <w:szCs w:val="20"/>
          <w:color w:val="auto"/>
        </w:rPr>
        <w:t>” means a written or electronic agreement between the Company and a holder of a SAR evidencing the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conditions of a SAR grant. The SAR Agreement includes the Grant Notice for the SAR and the agreement containing the written summary of the general terms and conditions applicable to the SAR and which is provided, including by electronic means, to a Participant along with the Grant Notice. Each SAR Agreement will be subject to the terms and conditions of the Plan.</w:t>
      </w:r>
    </w:p>
    <w:p>
      <w:pPr>
        <w:spacing w:after="0" w:line="95" w:lineRule="exact"/>
        <w:rPr>
          <w:sz w:val="20"/>
          <w:szCs w:val="20"/>
          <w:color w:val="auto"/>
        </w:rPr>
      </w:pPr>
    </w:p>
    <w:p>
      <w:pPr>
        <w:ind w:right="100" w:firstLine="749"/>
        <w:spacing w:after="0" w:line="264" w:lineRule="auto"/>
        <w:rPr>
          <w:sz w:val="20"/>
          <w:szCs w:val="20"/>
          <w:color w:val="auto"/>
        </w:rPr>
      </w:pPr>
      <w:r>
        <w:rPr>
          <w:rFonts w:ascii="Times New Roman" w:cs="Times New Roman" w:eastAsia="Times New Roman" w:hAnsi="Times New Roman"/>
          <w:sz w:val="19"/>
          <w:szCs w:val="19"/>
          <w:b w:val="1"/>
          <w:bCs w:val="1"/>
          <w:color w:val="auto"/>
        </w:rPr>
        <w:t>(kkk)</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means, with respect to the Company, (i) any corporation of which more than 50% of the outstanding capital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4" w:name="page245"/>
    <w:bookmarkEnd w:id="244"/>
    <w:p>
      <w:pPr>
        <w:ind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(lll)</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Trading Policy</w:t>
      </w:r>
      <w:r>
        <w:rPr>
          <w:rFonts w:ascii="Times New Roman" w:cs="Times New Roman" w:eastAsia="Times New Roman" w:hAnsi="Times New Roman"/>
          <w:sz w:val="20"/>
          <w:szCs w:val="20"/>
          <w:color w:val="auto"/>
        </w:rPr>
        <w:t>” means the Company’s policy permitting certain individuals to sell Company shares only during certain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“window” periods and/or otherwise restricts the ability of certain individuals to transfer or encumber Company shares, as in effect from time to time.</w:t>
      </w:r>
    </w:p>
    <w:p>
      <w:pPr>
        <w:spacing w:after="0" w:line="101" w:lineRule="exact"/>
        <w:rPr>
          <w:sz w:val="20"/>
          <w:szCs w:val="20"/>
          <w:color w:val="auto"/>
        </w:rPr>
      </w:pPr>
    </w:p>
    <w:p>
      <w:pPr>
        <w:ind w:right="16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(mmm)</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Unvested Non-Exempt Award</w:t>
      </w:r>
      <w:r>
        <w:rPr>
          <w:rFonts w:ascii="Times New Roman" w:cs="Times New Roman" w:eastAsia="Times New Roman" w:hAnsi="Times New Roman"/>
          <w:sz w:val="20"/>
          <w:szCs w:val="20"/>
          <w:color w:val="auto"/>
        </w:rPr>
        <w:t>” means the portion of any Non-Exempt Award that had not vested in accordance with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terms upon or prior to the date of any Corporate Transaction.</w:t>
      </w:r>
    </w:p>
    <w:p>
      <w:pPr>
        <w:spacing w:after="0" w:line="71" w:lineRule="exact"/>
        <w:rPr>
          <w:sz w:val="20"/>
          <w:szCs w:val="20"/>
          <w:color w:val="auto"/>
        </w:rPr>
      </w:pPr>
    </w:p>
    <w:p>
      <w:pPr>
        <w:ind w:right="340"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(nnn)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Vested Non-Exempt Award</w:t>
      </w:r>
      <w:r>
        <w:rPr>
          <w:rFonts w:ascii="Times New Roman" w:cs="Times New Roman" w:eastAsia="Times New Roman" w:hAnsi="Times New Roman"/>
          <w:sz w:val="20"/>
          <w:szCs w:val="20"/>
          <w:color w:val="auto"/>
        </w:rPr>
        <w:t>” means the portion of any Non-Exempt Award that had vested in accordance with its terms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upon or prior to the date of a Corporate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949325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245" w:name="page246"/>
    <w:bookmarkEnd w:id="245"/>
    <w:p>
      <w:pPr>
        <w:jc w:val="right"/>
        <w:spacing w:after="0"/>
        <w:rPr>
          <w:sz w:val="20"/>
          <w:szCs w:val="20"/>
          <w:color w:val="auto"/>
        </w:rPr>
      </w:pPr>
      <w:r>
        <w:rPr>
          <w:rFonts w:ascii="Times New Roman" w:cs="Times New Roman" w:eastAsia="Times New Roman" w:hAnsi="Times New Roman"/>
          <w:sz w:val="20"/>
          <w:szCs w:val="20"/>
          <w:i w:val="1"/>
          <w:iCs w:val="1"/>
          <w:color w:val="auto"/>
        </w:rPr>
        <w:t>Executive Officer</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GRANT NOTICE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INDUCEMENT PLAN)</w:t>
      </w:r>
    </w:p>
    <w:p>
      <w:pPr>
        <w:spacing w:after="0" w:line="148"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the Company’s 2026 Inducement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has granted to you (“</w:t>
      </w:r>
      <w:r>
        <w:rPr>
          <w:rFonts w:ascii="Times New Roman" w:cs="Times New Roman" w:eastAsia="Times New Roman" w:hAnsi="Times New Roman"/>
          <w:sz w:val="20"/>
          <w:szCs w:val="20"/>
          <w:b w:val="1"/>
          <w:bCs w:val="1"/>
          <w:i w:val="1"/>
          <w:iCs w:val="1"/>
          <w:color w:val="auto"/>
        </w:rPr>
        <w:t>Optionholder</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an option to purchase the number of shares of the Common Stock set forth below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Your Option is subject to all of the terms and conditions as set forth herein and in the Plan, and the Stock Option Agreement and the Notice of Exercise, all of which are attached hereto and incorporated herein in their entirety. Capitalized terms not explicitly defined herein but defined in the Plan or the Stock Option Agreement shall have the meanings set forth in the Plan or the Stock Option Agreement, as applicable.</w:t>
      </w:r>
    </w:p>
    <w:p>
      <w:pPr>
        <w:spacing w:after="0" w:line="2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Optionholder: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4">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5">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6">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Number of Shares of Common Stock Subject to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7">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Exercise Price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Total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9">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4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0"/>
          <w:szCs w:val="20"/>
          <w:color w:val="auto"/>
        </w:rPr>
        <w:t>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5715</wp:posOffset>
            </wp:positionV>
            <wp:extent cx="264033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90">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Type of Grant: </w:t>
      </w:r>
      <w:r>
        <w:rPr>
          <w:rFonts w:ascii="Times New Roman" w:cs="Times New Roman" w:eastAsia="Times New Roman" w:hAnsi="Times New Roman"/>
          <w:sz w:val="20"/>
          <w:szCs w:val="20"/>
          <w:color w:val="auto"/>
        </w:rPr>
        <w:t>Nonstatutory Stock Option</w:t>
      </w:r>
    </w:p>
    <w:p>
      <w:pPr>
        <w:spacing w:after="0" w:line="148"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Exercise and Vesting Schedule</w:t>
      </w:r>
      <w:r>
        <w:rPr>
          <w:rFonts w:ascii="Times New Roman" w:cs="Times New Roman" w:eastAsia="Times New Roman" w:hAnsi="Times New Roman"/>
          <w:sz w:val="20"/>
          <w:szCs w:val="20"/>
          <w:color w:val="auto"/>
        </w:rPr>
        <w:t>: Subject to the Optionholder’s Continuous Service through each applicable vesting date, the Option will vest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follows:</w:t>
      </w:r>
    </w:p>
    <w:p>
      <w:pPr>
        <w:spacing w:after="0" w:line="88" w:lineRule="exact"/>
        <w:rPr>
          <w:sz w:val="20"/>
          <w:szCs w:val="20"/>
          <w:color w:val="auto"/>
        </w:rPr>
      </w:pPr>
    </w:p>
    <w:p>
      <w:pPr>
        <w:spacing w:after="0"/>
        <w:tabs>
          <w:tab w:leader="none" w:pos="762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-10795</wp:posOffset>
            </wp:positionV>
            <wp:extent cx="480568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91">
                      <a:extLst>
                        <a:ext uri="{28A0092B-C50C-407E-A947-70E740481C1C}"/>
                      </a:extLst>
                    </a:blip>
                    <a:srcRect/>
                    <a:stretch>
                      <a:fillRect/>
                    </a:stretch>
                  </pic:blipFill>
                  <pic:spPr bwMode="auto">
                    <a:xfrm>
                      <a:off x="0" y="0"/>
                      <a:ext cx="480568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Optionholder Acknowledgements: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pacing w:after="0" w:line="122" w:lineRule="exact"/>
        <w:rPr>
          <w:sz w:val="20"/>
          <w:szCs w:val="20"/>
          <w:color w:val="auto"/>
        </w:rPr>
      </w:pPr>
    </w:p>
    <w:p>
      <w:pPr>
        <w:ind w:left="760" w:right="20" w:hanging="378"/>
        <w:spacing w:after="0" w:line="247" w:lineRule="auto"/>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is governed by this Stock Option Grant Notice (this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the Company’s Incentive Compensation Recovery Policy, and the provisions of the Plan and the Stock Option Agreement and the Notice of Exercise, all of which are made a part of this document. Unless otherwise provided in the Plan, this Grant Notice and the Stock Option Agreement (together,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may not be modified, amended or revised except in a writing signed by you and a duly authorized officer of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Company.</w:t>
      </w:r>
    </w:p>
    <w:p>
      <w:pPr>
        <w:spacing w:after="0" w:line="116" w:lineRule="exact"/>
        <w:rPr>
          <w:rFonts w:ascii="Times New Roman" w:cs="Times New Roman" w:eastAsia="Times New Roman" w:hAnsi="Times New Roman"/>
          <w:sz w:val="20"/>
          <w:szCs w:val="20"/>
          <w:color w:val="auto"/>
        </w:rPr>
      </w:pPr>
    </w:p>
    <w:p>
      <w:pPr>
        <w:ind w:left="760" w:right="180" w:hanging="378"/>
        <w:spacing w:after="0" w:line="254" w:lineRule="auto"/>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consent to receive this Grant Notice, the Stock Option Agreement, the Plan, the Prospectus and any other Plan-related documents by electronic delivery and to participate in the Plan through an on-line or electronic system established and maintained by the Company or another third party designated by the Company.</w:t>
      </w:r>
    </w:p>
    <w:p>
      <w:pPr>
        <w:spacing w:after="0" w:line="93"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2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Stock Option Agreement, the Notice of Exercise and the Prospectus. In the event of any conflict between the provisions in this Grant Notice, the Option Agreement, the Notice of Exercise, or the Prospectus and the terms of the Plan, the terms of the Plan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961390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6" w:name="page247"/>
    <w:bookmarkEnd w:id="246"/>
    <w:p>
      <w:pPr>
        <w:ind w:left="760" w:right="60" w:hanging="378"/>
        <w:spacing w:after="0" w:line="246" w:lineRule="auto"/>
        <w:tabs>
          <w:tab w:leader="none" w:pos="760" w:val="left"/>
        </w:tabs>
        <w:numPr>
          <w:ilvl w:val="0"/>
          <w:numId w:val="2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Option Agreement sets forth the entire understanding between you and the Company regarding the acquisition of Common Stock and supersedes all prior oral and written agreements, promises and/or representations on that subject with the exception of other equity awards previously granted to you and any written employment agreement, offer letter, severance agreement, written severance plan or policy, or other written agreement between the Company and you in each case that specifies the terms that should govern this Option.</w:t>
      </w:r>
    </w:p>
    <w:p>
      <w:pPr>
        <w:spacing w:after="0" w:line="117" w:lineRule="exact"/>
        <w:rPr>
          <w:rFonts w:ascii="Times New Roman" w:cs="Times New Roman" w:eastAsia="Times New Roman" w:hAnsi="Times New Roman"/>
          <w:sz w:val="20"/>
          <w:szCs w:val="20"/>
          <w:color w:val="auto"/>
        </w:rPr>
      </w:pPr>
    </w:p>
    <w:p>
      <w:pPr>
        <w:ind w:left="760" w:right="300" w:hanging="378"/>
        <w:spacing w:after="0" w:line="274" w:lineRule="auto"/>
        <w:tabs>
          <w:tab w:leader="none" w:pos="760" w:val="left"/>
        </w:tabs>
        <w:numPr>
          <w:ilvl w:val="0"/>
          <w:numId w:val="2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Counterparts may be delivered via facsimile, electronic mail (including pdf or any electronic signature complying with the U.S. federal ESIGN Act of 2000, Uniform Electronic Transactions Act or other applicable law) or other transmission method and any counterpart so delivered will be deemed to have been duly and validly delivered and be valid and effective for all purposes.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INVIVYD, INC.</w:t>
            </w:r>
          </w:p>
        </w:tc>
        <w:tc>
          <w:tcPr>
            <w:tcW w:w="5920" w:type="dxa"/>
            <w:vAlign w:val="bottom"/>
            <w:gridSpan w:val="3"/>
          </w:tcPr>
          <w:p>
            <w:pPr>
              <w:ind w:left="620"/>
              <w:spacing w:after="0"/>
              <w:rPr>
                <w:sz w:val="20"/>
                <w:szCs w:val="20"/>
                <w:color w:val="auto"/>
              </w:rPr>
            </w:pPr>
            <w:r>
              <w:rPr>
                <w:rFonts w:ascii="Times New Roman" w:cs="Times New Roman" w:eastAsia="Times New Roman" w:hAnsi="Times New Roman"/>
                <w:sz w:val="20"/>
                <w:szCs w:val="20"/>
                <w:b w:val="1"/>
                <w:bCs w:val="1"/>
                <w:color w:val="auto"/>
              </w:rPr>
              <w:t>OPTIONHOLDER:</w:t>
            </w:r>
          </w:p>
        </w:tc>
      </w:tr>
      <w:tr>
        <w:trPr>
          <w:trHeight w:val="440"/>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52"/>
        </w:trPr>
        <w:tc>
          <w:tcPr>
            <w:tcW w:w="660" w:type="dxa"/>
            <w:vAlign w:val="bottom"/>
          </w:tcPr>
          <w:p>
            <w:pPr>
              <w:spacing w:after="0"/>
              <w:rPr>
                <w:sz w:val="21"/>
                <w:szCs w:val="21"/>
                <w:color w:val="auto"/>
              </w:rPr>
            </w:pPr>
          </w:p>
        </w:tc>
        <w:tc>
          <w:tcPr>
            <w:tcW w:w="466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20"/>
                <w:szCs w:val="20"/>
                <w:color w:val="auto"/>
              </w:rPr>
              <w:t>Signature</w:t>
            </w:r>
          </w:p>
        </w:tc>
        <w:tc>
          <w:tcPr>
            <w:tcW w:w="6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68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20"/>
                <w:szCs w:val="20"/>
                <w:color w:val="auto"/>
              </w:rPr>
              <w:t>Signature</w:t>
            </w:r>
          </w:p>
        </w:tc>
      </w:tr>
      <w:tr>
        <w:trPr>
          <w:trHeight w:val="44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60" w:type="dxa"/>
            <w:vAlign w:val="bottom"/>
            <w:tcBorders>
              <w:bottom w:val="single" w:sz="8" w:color="auto"/>
            </w:tcBorders>
          </w:tcPr>
          <w:p>
            <w:pPr>
              <w:spacing w:after="0"/>
              <w:rPr>
                <w:sz w:val="24"/>
                <w:szCs w:val="24"/>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Date:</w:t>
            </w:r>
          </w:p>
        </w:tc>
        <w:tc>
          <w:tcPr>
            <w:tcW w:w="4680" w:type="dxa"/>
            <w:vAlign w:val="bottom"/>
            <w:tcBorders>
              <w:bottom w:val="single" w:sz="8" w:color="auto"/>
            </w:tcBorders>
          </w:tcPr>
          <w:p>
            <w:pPr>
              <w:spacing w:after="0"/>
              <w:rPr>
                <w:sz w:val="24"/>
                <w:szCs w:val="24"/>
                <w:color w:val="auto"/>
              </w:rPr>
            </w:pPr>
          </w:p>
        </w:tc>
      </w:tr>
      <w:tr>
        <w:trPr>
          <w:trHeight w:val="66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6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Stock Option Agreement, 2026 Inducement Plan, Notice of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981075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47" w:name="page248"/>
    <w:bookmarkEnd w:id="247"/>
    <w:p>
      <w:pPr>
        <w:jc w:val="right"/>
        <w:spacing w:after="0"/>
        <w:rPr>
          <w:sz w:val="20"/>
          <w:szCs w:val="20"/>
          <w:color w:val="auto"/>
        </w:rPr>
      </w:pPr>
      <w:r>
        <w:rPr>
          <w:rFonts w:ascii="Times New Roman" w:cs="Times New Roman" w:eastAsia="Times New Roman" w:hAnsi="Times New Roman"/>
          <w:sz w:val="20"/>
          <w:szCs w:val="20"/>
          <w:i w:val="1"/>
          <w:iCs w:val="1"/>
          <w:color w:val="auto"/>
        </w:rPr>
        <w:t>Executive Officer</w:t>
      </w:r>
    </w:p>
    <w:p>
      <w:pPr>
        <w:spacing w:after="0" w:line="14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1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STOCK OPTION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INDUCEMENT PLAN)</w:t>
      </w:r>
    </w:p>
    <w:p>
      <w:pPr>
        <w:spacing w:after="0" w:line="148"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20"/>
          <w:szCs w:val="20"/>
          <w:color w:val="auto"/>
        </w:rPr>
        <w:t>As reflected by your Stock Option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an option under the Company’s 2026 Inducement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to purchase a number of shares of Common Stock at the exercise price indicated in your Grant Notice (the “</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 Capitalized terms not explicitly defined in this Agreement but defined in the Grant Notice or the Plan shall have the meanings set forth in the Grant Notice or Plan, as applicable. The terms of your Option as specified in the Grant Notice and this Stock Option Agreement constitute your Option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terms and conditions applicable to your Option are as follows:</w:t>
      </w:r>
    </w:p>
    <w:p>
      <w:pPr>
        <w:spacing w:after="0" w:line="144" w:lineRule="exact"/>
        <w:rPr>
          <w:sz w:val="20"/>
          <w:szCs w:val="20"/>
          <w:color w:val="auto"/>
        </w:rPr>
      </w:pPr>
    </w:p>
    <w:p>
      <w:pPr>
        <w:ind w:left="380" w:right="820" w:hanging="372"/>
        <w:spacing w:after="0" w:line="273" w:lineRule="auto"/>
        <w:tabs>
          <w:tab w:leader="none" w:pos="380" w:val="left"/>
        </w:tabs>
        <w:numPr>
          <w:ilvl w:val="0"/>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PLAN DOCUMENT. </w:t>
      </w:r>
      <w:r>
        <w:rPr>
          <w:rFonts w:ascii="Times New Roman" w:cs="Times New Roman" w:eastAsia="Times New Roman" w:hAnsi="Times New Roman"/>
          <w:sz w:val="20"/>
          <w:szCs w:val="20"/>
          <w:color w:val="auto"/>
        </w:rPr>
        <w:t>Your Option is subject to all the provisions of the Plan, including but not limited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in:</w:t>
      </w:r>
    </w:p>
    <w:p>
      <w:pPr>
        <w:spacing w:after="0" w:line="8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6 regarding the impact of a Capitalization Adjustment, dissolution, liquidation, or Corporate Transaction on your</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w:t>
      </w:r>
    </w:p>
    <w:p>
      <w:pPr>
        <w:spacing w:after="0" w:line="112"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9(e) regarding the Company’s retained rights to terminate your Continuous Service notwithstanding the grant of the</w:t>
      </w:r>
    </w:p>
    <w:p>
      <w:pPr>
        <w:spacing w:after="0" w:line="21" w:lineRule="exact"/>
        <w:rPr>
          <w:rFonts w:ascii="Times New Roman" w:cs="Times New Roman" w:eastAsia="Times New Roman" w:hAnsi="Times New Roman"/>
          <w:sz w:val="20"/>
          <w:szCs w:val="20"/>
          <w:b w:val="1"/>
          <w:bCs w:val="1"/>
          <w:color w:val="auto"/>
        </w:rPr>
      </w:pPr>
    </w:p>
    <w:p>
      <w:pPr>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Option; and</w:t>
      </w:r>
    </w:p>
    <w:p>
      <w:pPr>
        <w:spacing w:after="0" w:line="126"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8 regarding the tax consequences of your Option.</w:t>
      </w:r>
    </w:p>
    <w:p>
      <w:pPr>
        <w:spacing w:after="0" w:line="148"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20"/>
          <w:szCs w:val="20"/>
          <w:color w:val="auto"/>
        </w:rPr>
        <w:t>Your Option is further subject to all interpretations, amendments, rules and regulations, which may from time to time be promulgated and adopted pursuant to the Plan. In the event of any conflict between the Option Agreement and the provisions of the Plan, the provisions of the Plan shall control.</w:t>
      </w:r>
    </w:p>
    <w:p>
      <w:pPr>
        <w:spacing w:after="0" w:line="89" w:lineRule="exact"/>
        <w:rPr>
          <w:sz w:val="20"/>
          <w:szCs w:val="20"/>
          <w:color w:val="auto"/>
        </w:rPr>
      </w:pPr>
    </w:p>
    <w:p>
      <w:pPr>
        <w:ind w:left="380" w:hanging="372"/>
        <w:spacing w:after="0"/>
        <w:tabs>
          <w:tab w:leader="none" w:pos="380" w:val="left"/>
        </w:tabs>
        <w:numPr>
          <w:ilvl w:val="0"/>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EXERCISE.</w:t>
      </w:r>
    </w:p>
    <w:p>
      <w:pPr>
        <w:spacing w:after="0" w:line="152" w:lineRule="exact"/>
        <w:rPr>
          <w:rFonts w:ascii="Times New Roman" w:cs="Times New Roman" w:eastAsia="Times New Roman" w:hAnsi="Times New Roman"/>
          <w:sz w:val="20"/>
          <w:szCs w:val="20"/>
          <w:b w:val="1"/>
          <w:bCs w:val="1"/>
          <w:color w:val="auto"/>
        </w:rPr>
      </w:pPr>
    </w:p>
    <w:p>
      <w:pPr>
        <w:ind w:right="60" w:firstLine="757"/>
        <w:spacing w:after="0" w:line="249" w:lineRule="auto"/>
        <w:tabs>
          <w:tab w:leader="none" w:pos="1018" w:val="left"/>
        </w:tabs>
        <w:numPr>
          <w:ilvl w:val="1"/>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You may generally exercise the vested portion of your Option for whole shares of Common Stock at any time during its term by delivery of payment of the exercise price and applicable withholding taxes and other required documentation to the Plan Administrator in accordance with the exercise procedures established by the Plan Administrator, which may include an electronic submission. Please review Sections 4(i), 4(j) and 7(b)(v) of the Plan, which may restrict or prohibit your ability to exercise your Option during certain periods.</w:t>
      </w:r>
    </w:p>
    <w:p>
      <w:pPr>
        <w:spacing w:after="0" w:line="112"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permitted by Applicable Law, you may pay your Option exercise price as follows:</w:t>
      </w:r>
    </w:p>
    <w:p>
      <w:pPr>
        <w:spacing w:after="0" w:line="134" w:lineRule="exact"/>
        <w:rPr>
          <w:rFonts w:ascii="Times New Roman" w:cs="Times New Roman" w:eastAsia="Times New Roman" w:hAnsi="Times New Roman"/>
          <w:sz w:val="20"/>
          <w:szCs w:val="20"/>
          <w:b w:val="1"/>
          <w:bCs w:val="1"/>
          <w:color w:val="auto"/>
        </w:rPr>
      </w:pPr>
    </w:p>
    <w:p>
      <w:pPr>
        <w:ind w:left="2040" w:hanging="535"/>
        <w:spacing w:after="0"/>
        <w:tabs>
          <w:tab w:leader="none" w:pos="2040" w:val="left"/>
        </w:tabs>
        <w:numPr>
          <w:ilvl w:val="2"/>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cash, check, bank draft or money order;</w:t>
      </w:r>
    </w:p>
    <w:p>
      <w:pPr>
        <w:spacing w:after="0" w:line="148" w:lineRule="exact"/>
        <w:rPr>
          <w:rFonts w:ascii="Times New Roman" w:cs="Times New Roman" w:eastAsia="Times New Roman" w:hAnsi="Times New Roman"/>
          <w:sz w:val="20"/>
          <w:szCs w:val="20"/>
          <w:b w:val="1"/>
          <w:bCs w:val="1"/>
          <w:color w:val="auto"/>
        </w:rPr>
      </w:pPr>
    </w:p>
    <w:p>
      <w:pPr>
        <w:ind w:right="60" w:firstLine="1505"/>
        <w:spacing w:after="0" w:line="269" w:lineRule="auto"/>
        <w:tabs>
          <w:tab w:leader="none" w:pos="2036" w:val="left"/>
        </w:tabs>
        <w:numPr>
          <w:ilvl w:val="2"/>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Company and/or Committee consent at the time of exercise, pursuant to a “cashless exercise” program as further described in Section 4(c)(ii) of the Plan if at the time of exercise the Common Stock is publicly traded;</w:t>
      </w:r>
    </w:p>
    <w:p>
      <w:pPr>
        <w:spacing w:after="0" w:line="91" w:lineRule="exact"/>
        <w:rPr>
          <w:rFonts w:ascii="Times New Roman" w:cs="Times New Roman" w:eastAsia="Times New Roman" w:hAnsi="Times New Roman"/>
          <w:sz w:val="20"/>
          <w:szCs w:val="20"/>
          <w:b w:val="1"/>
          <w:bCs w:val="1"/>
          <w:color w:val="auto"/>
        </w:rPr>
      </w:pPr>
    </w:p>
    <w:p>
      <w:pPr>
        <w:ind w:right="260" w:firstLine="1505"/>
        <w:spacing w:after="0" w:line="269" w:lineRule="auto"/>
        <w:tabs>
          <w:tab w:leader="none" w:pos="2036" w:val="left"/>
        </w:tabs>
        <w:numPr>
          <w:ilvl w:val="2"/>
          <w:numId w:val="22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Company and/or Committee consent at the time of exercise, by delivery of previously owned shares of Common Stock as further described in Section 4(c)(iii) of the Plan;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942975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48" w:name="page249"/>
    <w:bookmarkEnd w:id="248"/>
    <w:p>
      <w:pPr>
        <w:ind w:firstLine="1505"/>
        <w:spacing w:after="0" w:line="269" w:lineRule="auto"/>
        <w:tabs>
          <w:tab w:leader="none" w:pos="2036" w:val="left"/>
        </w:tabs>
        <w:numPr>
          <w:ilvl w:val="2"/>
          <w:numId w:val="22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subject to Company and/or Committee consent at the time of exercise, if the Option is a Nonstatutory Stock Option, by a “net exercise” arrangement as further described in Section 4(c)(iv) of the Plan.</w:t>
      </w:r>
    </w:p>
    <w:p>
      <w:pPr>
        <w:spacing w:after="0" w:line="87" w:lineRule="exact"/>
        <w:rPr>
          <w:rFonts w:ascii="Times New Roman" w:cs="Times New Roman" w:eastAsia="Times New Roman" w:hAnsi="Times New Roman"/>
          <w:sz w:val="20"/>
          <w:szCs w:val="20"/>
          <w:b w:val="1"/>
          <w:bCs w:val="1"/>
          <w:color w:val="auto"/>
        </w:rPr>
      </w:pPr>
    </w:p>
    <w:p>
      <w:pPr>
        <w:ind w:left="380" w:right="460" w:hanging="372"/>
        <w:spacing w:after="0" w:line="273" w:lineRule="auto"/>
        <w:tabs>
          <w:tab w:leader="none" w:pos="380" w:val="left"/>
        </w:tabs>
        <w:numPr>
          <w:ilvl w:val="0"/>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TERM. </w:t>
      </w:r>
      <w:r>
        <w:rPr>
          <w:rFonts w:ascii="Times New Roman" w:cs="Times New Roman" w:eastAsia="Times New Roman" w:hAnsi="Times New Roman"/>
          <w:sz w:val="20"/>
          <w:szCs w:val="20"/>
          <w:color w:val="auto"/>
        </w:rPr>
        <w:t>You may not exercise your Option before the commencement of its term or after its term expires. The term of your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commences on the Date of Grant and expires upon the earliest of the following:</w:t>
      </w:r>
    </w:p>
    <w:p>
      <w:pPr>
        <w:spacing w:after="0" w:line="7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immediately upon the termination of your Continuous Service for Cause;</w:t>
      </w:r>
    </w:p>
    <w:p>
      <w:pPr>
        <w:spacing w:after="0" w:line="14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twelve months after the termination of your Continuous Service for any reason other than Cause, Disability or death;</w:t>
      </w:r>
    </w:p>
    <w:p>
      <w:pPr>
        <w:spacing w:after="0" w:line="14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12 months after the termination of your Continuous Service due to your Disability;</w:t>
      </w:r>
    </w:p>
    <w:p>
      <w:pPr>
        <w:spacing w:after="0" w:line="13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18 months after your death if you die during your Continuous Service;</w:t>
      </w:r>
    </w:p>
    <w:p>
      <w:pPr>
        <w:spacing w:after="0" w:line="148" w:lineRule="exact"/>
        <w:rPr>
          <w:rFonts w:ascii="Times New Roman" w:cs="Times New Roman" w:eastAsia="Times New Roman" w:hAnsi="Times New Roman"/>
          <w:sz w:val="20"/>
          <w:szCs w:val="20"/>
          <w:b w:val="1"/>
          <w:bCs w:val="1"/>
          <w:color w:val="auto"/>
        </w:rPr>
      </w:pPr>
    </w:p>
    <w:p>
      <w:pPr>
        <w:ind w:right="500" w:firstLine="757"/>
        <w:spacing w:after="0" w:line="269" w:lineRule="auto"/>
        <w:tabs>
          <w:tab w:leader="none" w:pos="1018"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immediately upon a Corporate Transaction if the Board has determined that the Option will terminate in connection with a Corporate Transaction,</w:t>
      </w:r>
    </w:p>
    <w:p>
      <w:pPr>
        <w:spacing w:after="0" w:line="91"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Expiration Date indicated in your Grant Notice; or</w:t>
      </w:r>
    </w:p>
    <w:p>
      <w:pPr>
        <w:spacing w:after="0" w:line="134"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day before the 10th anniversary of the Date of Grant.</w:t>
      </w:r>
    </w:p>
    <w:p>
      <w:pPr>
        <w:spacing w:after="0" w:line="148"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20"/>
          <w:szCs w:val="20"/>
          <w:color w:val="auto"/>
        </w:rPr>
        <w:t>Notwithstanding the foregoing, if you die during the period provided in Section 3(b) or 3(c) above, the term of your Option shall not expire until the earlier of (i) 18 months after your death, (ii) upon any termination of the Option in connection with a Corporate Transaction, (iii) the Expiration Date indicated in your Grant Notice, or (iv) the day before the tenth anniversary of the Date of Grant. Additionally, the Post-Termination Exercise Period of your Option may be extended as provided in Section 4(i) of the Plan.</w:t>
      </w:r>
    </w:p>
    <w:p>
      <w:pPr>
        <w:spacing w:after="0" w:line="108" w:lineRule="exact"/>
        <w:rPr>
          <w:sz w:val="20"/>
          <w:szCs w:val="20"/>
          <w:color w:val="auto"/>
        </w:rPr>
      </w:pPr>
    </w:p>
    <w:p>
      <w:pPr>
        <w:ind w:left="380" w:right="100" w:hanging="372"/>
        <w:spacing w:after="0" w:line="242" w:lineRule="auto"/>
        <w:tabs>
          <w:tab w:leader="none" w:pos="38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OBLIGATIONS. </w:t>
      </w:r>
      <w:r>
        <w:rPr>
          <w:rFonts w:ascii="Times New Roman" w:cs="Times New Roman" w:eastAsia="Times New Roman" w:hAnsi="Times New Roman"/>
          <w:sz w:val="20"/>
          <w:szCs w:val="20"/>
          <w:color w:val="auto"/>
        </w:rPr>
        <w:t>As further provided in Section 8 of the Plan: (a) you may not exercise your Option unless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tax withholding obligations are satisfied, and (b) at the time you exercise your Option, in whole or in part, or at any time thereafter as requested by the Company, you hereby authorize withholding from payroll and any other amounts payable to you, and otherwise agree to make adequate provision for (including by means of a “cashless exercise” pursuant to a program developed under Regulation T as promulgated by the Federal Reserve Board to the extent permitted by the Company), any sums required to satisfy the federal, state, local and foreign tax withholding obligations, if any, which arise in connection with the exercise of your Option in accordance with the withholding procedures established by the Company. Accordingly, you may not be able to exercise your Option even though the Option is vested, and the Company shall have no obligation to issue shares of Common Stock subject to your Option, unless and until such obligations are satisfied. In the event that the amount of the Company’s withholding obligation in connection with your Option was greater than the amount actually withheld by the Company, you agree to indemnify and hold the Company harmless from any failure by the Company to withhold the proper amount.</w:t>
      </w:r>
    </w:p>
    <w:p>
      <w:pPr>
        <w:spacing w:after="0" w:line="108" w:lineRule="exact"/>
        <w:rPr>
          <w:rFonts w:ascii="Times New Roman" w:cs="Times New Roman" w:eastAsia="Times New Roman" w:hAnsi="Times New Roman"/>
          <w:sz w:val="20"/>
          <w:szCs w:val="20"/>
          <w:b w:val="1"/>
          <w:bCs w:val="1"/>
          <w:color w:val="auto"/>
        </w:rPr>
      </w:pPr>
    </w:p>
    <w:p>
      <w:pPr>
        <w:ind w:left="380" w:right="180" w:hanging="372"/>
        <w:spacing w:after="0" w:line="273" w:lineRule="auto"/>
        <w:tabs>
          <w:tab w:leader="none" w:pos="38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Except as otherwise provided in Section 4(e) of the Plan, your Option is not transferable, except by will or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applicable laws of descent and distribution, and is exercisable during your life only by you.</w:t>
      </w:r>
    </w:p>
    <w:p>
      <w:pPr>
        <w:spacing w:after="0" w:line="84" w:lineRule="exact"/>
        <w:rPr>
          <w:rFonts w:ascii="Times New Roman" w:cs="Times New Roman" w:eastAsia="Times New Roman" w:hAnsi="Times New Roman"/>
          <w:sz w:val="20"/>
          <w:szCs w:val="20"/>
          <w:b w:val="1"/>
          <w:bCs w:val="1"/>
          <w:color w:val="auto"/>
        </w:rPr>
      </w:pPr>
    </w:p>
    <w:p>
      <w:pPr>
        <w:jc w:val="both"/>
        <w:ind w:left="380" w:right="140" w:hanging="372"/>
        <w:spacing w:after="0" w:line="256" w:lineRule="auto"/>
        <w:tabs>
          <w:tab w:leader="none" w:pos="380" w:val="left"/>
        </w:tabs>
        <w:numPr>
          <w:ilvl w:val="0"/>
          <w:numId w:val="2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Your Option is subject to the terms of any agreement governing a Corporate Transaction involving</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Company, including, without limitation, a provision for the appointment of a stockholder representative that is authorized to act on your behalf with respect to any escrow, indemnities and any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960120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49" w:name="page250"/>
    <w:bookmarkEnd w:id="249"/>
    <w:p>
      <w:pPr>
        <w:ind w:left="372" w:hanging="372"/>
        <w:spacing w:after="0" w:line="243" w:lineRule="auto"/>
        <w:tabs>
          <w:tab w:leader="none" w:pos="372"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LIABILITY FOR TAXES. </w:t>
      </w:r>
      <w:r>
        <w:rPr>
          <w:rFonts w:ascii="Times New Roman" w:cs="Times New Roman" w:eastAsia="Times New Roman" w:hAnsi="Times New Roman"/>
          <w:sz w:val="20"/>
          <w:szCs w:val="20"/>
          <w:color w:val="auto"/>
        </w:rPr>
        <w:t>As a condition to accepting the Option, you hereby (a) agree to not make any claim against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or any of its Officers, Directors, Employees or Affiliates related to tax liabilities arising from the Option or other Company compensation and (b) acknowledge that you were advised to consult with your own personal tax, financial and other legal advisors regarding the tax consequences of the Option and have either done so or knowingly and voluntarily declined to do so. Additionally, you acknowledge that the Option is exempt from Section 409A only if the exercise price is at least equal to the “fair market value” of the Common Stock on the date of grant as determined by the Internal Revenue Service and there is no other impermissible deferral of compensation associated with the Option. Additionally, as a condition to accepting the Option, you agree not make any claim against the Company, or any of its Officers, Directors, Employees or Affiliates in the event that the Internal Revenue Service asserts that such exercise is less than the “fair market value” of the Common Stock on the date of grant as subsequently determined by the Internal Revenue Service.</w:t>
      </w:r>
    </w:p>
    <w:p>
      <w:pPr>
        <w:spacing w:after="0" w:line="114" w:lineRule="exact"/>
        <w:rPr>
          <w:rFonts w:ascii="Times New Roman" w:cs="Times New Roman" w:eastAsia="Times New Roman" w:hAnsi="Times New Roman"/>
          <w:sz w:val="20"/>
          <w:szCs w:val="20"/>
          <w:b w:val="1"/>
          <w:bCs w:val="1"/>
          <w:color w:val="auto"/>
        </w:rPr>
      </w:pPr>
    </w:p>
    <w:p>
      <w:pPr>
        <w:ind w:left="372" w:right="180" w:hanging="372"/>
        <w:spacing w:after="0" w:line="247" w:lineRule="auto"/>
        <w:tabs>
          <w:tab w:leader="none" w:pos="372"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If any part of this Option Agreement or the Plan is declared by any court or governmental authority to be unlawful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or invalid, such unlawfulness or invalidity will not invalidate any portion of this Option Agreement or the Plan not declared to be unlawful or invalid. Any Section of this Option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99" w:lineRule="exact"/>
        <w:rPr>
          <w:rFonts w:ascii="Times New Roman" w:cs="Times New Roman" w:eastAsia="Times New Roman" w:hAnsi="Times New Roman"/>
          <w:sz w:val="20"/>
          <w:szCs w:val="20"/>
          <w:b w:val="1"/>
          <w:bCs w:val="1"/>
          <w:color w:val="auto"/>
        </w:rPr>
      </w:pPr>
    </w:p>
    <w:p>
      <w:pPr>
        <w:ind w:left="372" w:right="100" w:hanging="372"/>
        <w:spacing w:after="0" w:line="256" w:lineRule="auto"/>
        <w:tabs>
          <w:tab w:leader="none" w:pos="372"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DOCUMENTS. </w:t>
      </w:r>
      <w:r>
        <w:rPr>
          <w:rFonts w:ascii="Times New Roman" w:cs="Times New Roman" w:eastAsia="Times New Roman" w:hAnsi="Times New Roman"/>
          <w:sz w:val="20"/>
          <w:szCs w:val="20"/>
          <w:color w:val="auto"/>
        </w:rPr>
        <w:t>You hereby acknowledge receipt of or the right to receive a document providing the information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428(b)(1) promulgated under the Securities Act, which includes the Prospectus. In addition, you acknowledge receipt of the Company’s Trading Policy.</w:t>
      </w:r>
    </w:p>
    <w:p>
      <w:pPr>
        <w:spacing w:after="0" w:line="101" w:lineRule="exact"/>
        <w:rPr>
          <w:rFonts w:ascii="Times New Roman" w:cs="Times New Roman" w:eastAsia="Times New Roman" w:hAnsi="Times New Roman"/>
          <w:sz w:val="20"/>
          <w:szCs w:val="20"/>
          <w:b w:val="1"/>
          <w:bCs w:val="1"/>
          <w:color w:val="auto"/>
        </w:rPr>
      </w:pPr>
    </w:p>
    <w:p>
      <w:pPr>
        <w:ind w:left="372" w:right="80" w:hanging="372"/>
        <w:spacing w:after="0" w:line="273" w:lineRule="auto"/>
        <w:tabs>
          <w:tab w:leader="none" w:pos="372" w:val="left"/>
        </w:tabs>
        <w:numPr>
          <w:ilvl w:val="0"/>
          <w:numId w:val="22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questions regarding these or any other terms and conditions applicable to your Option, including a summary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of the applicable federal income tax consequences please see the Prospectus.</w:t>
      </w:r>
    </w:p>
    <w:p>
      <w:pPr>
        <w:spacing w:after="0" w:line="84" w:lineRule="exact"/>
        <w:rPr>
          <w:rFonts w:ascii="Times New Roman" w:cs="Times New Roman" w:eastAsia="Times New Roman" w:hAnsi="Times New Roman"/>
          <w:sz w:val="20"/>
          <w:szCs w:val="20"/>
          <w:b w:val="1"/>
          <w:bCs w:val="1"/>
          <w:color w:val="auto"/>
        </w:rPr>
      </w:pPr>
    </w:p>
    <w:p>
      <w:pPr>
        <w:ind w:left="5352"/>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981075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9" w:right="359" w:bottom="1440" w:gutter="0" w:footer="0" w:header="0"/>
        </w:sectPr>
      </w:pPr>
    </w:p>
    <w:bookmarkStart w:id="250" w:name="page251"/>
    <w:bookmarkEnd w:id="250"/>
    <w:p>
      <w:pPr>
        <w:jc w:val="right"/>
        <w:spacing w:after="0"/>
        <w:rPr>
          <w:sz w:val="20"/>
          <w:szCs w:val="20"/>
          <w:color w:val="auto"/>
        </w:rPr>
      </w:pPr>
      <w:r>
        <w:rPr>
          <w:rFonts w:ascii="Times New Roman" w:cs="Times New Roman" w:eastAsia="Times New Roman" w:hAnsi="Times New Roman"/>
          <w:sz w:val="20"/>
          <w:szCs w:val="20"/>
          <w:i w:val="1"/>
          <w:iCs w:val="1"/>
          <w:color w:val="auto"/>
        </w:rPr>
        <w:t>Executive Officer</w:t>
      </w:r>
    </w:p>
    <w:p>
      <w:pPr>
        <w:spacing w:after="0" w:line="14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13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2026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1236980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9" w:right="339" w:bottom="1440" w:gutter="0" w:footer="0" w:header="0"/>
        </w:sectPr>
      </w:pPr>
    </w:p>
    <w:bookmarkStart w:id="251" w:name="page252"/>
    <w:bookmarkEnd w:id="251"/>
    <w:p>
      <w:pPr>
        <w:jc w:val="right"/>
        <w:spacing w:after="0"/>
        <w:rPr>
          <w:sz w:val="20"/>
          <w:szCs w:val="20"/>
          <w:color w:val="auto"/>
        </w:rPr>
      </w:pPr>
      <w:r>
        <w:rPr>
          <w:rFonts w:ascii="Times New Roman" w:cs="Times New Roman" w:eastAsia="Times New Roman" w:hAnsi="Times New Roman"/>
          <w:sz w:val="20"/>
          <w:szCs w:val="20"/>
          <w:i w:val="1"/>
          <w:iCs w:val="1"/>
          <w:color w:val="auto"/>
        </w:rPr>
        <w:t>Executive Officer</w:t>
      </w:r>
    </w:p>
    <w:p>
      <w:pPr>
        <w:spacing w:after="0" w:line="14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ATTACHMENT III</w:t>
      </w:r>
    </w:p>
    <w:p>
      <w:pPr>
        <w:spacing w:after="0" w:line="13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NOTICE OF EXERCISE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INDUCEMENT PLAN)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209 CHURCH STREET</w:t>
      </w:r>
    </w:p>
    <w:p>
      <w:pPr>
        <w:spacing w:after="0"/>
        <w:rPr>
          <w:sz w:val="20"/>
          <w:szCs w:val="20"/>
          <w:color w:val="auto"/>
        </w:rPr>
      </w:pPr>
      <w:r>
        <w:rPr>
          <w:rFonts w:ascii="Times New Roman" w:cs="Times New Roman" w:eastAsia="Times New Roman" w:hAnsi="Times New Roman"/>
          <w:sz w:val="20"/>
          <w:szCs w:val="20"/>
          <w:color w:val="auto"/>
        </w:rPr>
        <w:t>NEW HAVEN, CT 06510</w:t>
      </w:r>
    </w:p>
    <w:p>
      <w:pPr>
        <w:ind w:left="8440"/>
        <w:spacing w:after="0"/>
        <w:rPr>
          <w:sz w:val="20"/>
          <w:szCs w:val="20"/>
          <w:color w:val="auto"/>
        </w:rPr>
      </w:pPr>
      <w:r>
        <w:rPr>
          <w:rFonts w:ascii="Times New Roman" w:cs="Times New Roman" w:eastAsia="Times New Roman" w:hAnsi="Times New Roman"/>
          <w:sz w:val="19"/>
          <w:szCs w:val="19"/>
          <w:color w:val="auto"/>
        </w:rPr>
        <w:t>Date of Exercise: ______________</w:t>
      </w:r>
    </w:p>
    <w:p>
      <w:pPr>
        <w:spacing w:after="0" w:line="120"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9"/>
          <w:szCs w:val="19"/>
          <w:color w:val="auto"/>
        </w:rPr>
        <w:t>This constitutes notice to Invivyd,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that I elect to purchase the below number of shares of Common Stock of the Company (the “</w:t>
      </w:r>
      <w:r>
        <w:rPr>
          <w:rFonts w:ascii="Times New Roman" w:cs="Times New Roman" w:eastAsia="Times New Roman" w:hAnsi="Times New Roman"/>
          <w:sz w:val="19"/>
          <w:szCs w:val="19"/>
          <w:b w:val="1"/>
          <w:bCs w:val="1"/>
          <w:i w:val="1"/>
          <w:iCs w:val="1"/>
          <w:color w:val="auto"/>
        </w:rPr>
        <w:t>Shares</w:t>
      </w:r>
      <w:r>
        <w:rPr>
          <w:rFonts w:ascii="Times New Roman" w:cs="Times New Roman" w:eastAsia="Times New Roman" w:hAnsi="Times New Roman"/>
          <w:sz w:val="19"/>
          <w:szCs w:val="19"/>
          <w:color w:val="auto"/>
        </w:rPr>
        <w:t>”) by exercising my Option for the price set forth below. Capitalized terms not explicitly defined in this Notice of Exercise but defined in the Stock Option Grant Notice, Stock Option Agreement or 2026 Inducement Plan (the “</w:t>
      </w:r>
      <w:r>
        <w:rPr>
          <w:rFonts w:ascii="Times New Roman" w:cs="Times New Roman" w:eastAsia="Times New Roman" w:hAnsi="Times New Roman"/>
          <w:sz w:val="19"/>
          <w:szCs w:val="19"/>
          <w:b w:val="1"/>
          <w:bCs w:val="1"/>
          <w:i w:val="1"/>
          <w:iCs w:val="1"/>
          <w:color w:val="auto"/>
        </w:rPr>
        <w:t>Plan</w:t>
      </w:r>
      <w:r>
        <w:rPr>
          <w:rFonts w:ascii="Times New Roman" w:cs="Times New Roman" w:eastAsia="Times New Roman" w:hAnsi="Times New Roman"/>
          <w:sz w:val="19"/>
          <w:szCs w:val="19"/>
          <w:color w:val="auto"/>
        </w:rPr>
        <w:t>”) shall have the meanings set forth in the Stock Option Grant Notice, Stock Option Agreement or Plan, as applicable. Use of certain payment methods is subject to Company and/or Committee consent and certain additional requirements set forth in the Stock Option Agreement and the Plan.</w:t>
      </w:r>
    </w:p>
    <w:p>
      <w:pPr>
        <w:spacing w:after="0" w:line="247" w:lineRule="exact"/>
        <w:rPr>
          <w:sz w:val="20"/>
          <w:szCs w:val="20"/>
          <w:color w:val="auto"/>
        </w:rPr>
      </w:pPr>
    </w:p>
    <w:p>
      <w:pPr>
        <w:ind w:left="1100"/>
        <w:spacing w:after="0"/>
        <w:tabs>
          <w:tab w:leader="none" w:pos="8520" w:val="left"/>
        </w:tabs>
        <w:rPr>
          <w:sz w:val="20"/>
          <w:szCs w:val="20"/>
          <w:color w:val="auto"/>
        </w:rPr>
      </w:pPr>
      <w:r>
        <w:rPr>
          <w:rFonts w:ascii="Times New Roman" w:cs="Times New Roman" w:eastAsia="Times New Roman" w:hAnsi="Times New Roman"/>
          <w:sz w:val="20"/>
          <w:szCs w:val="20"/>
          <w:color w:val="auto"/>
        </w:rPr>
        <w:t>Type of option:</w:t>
      </w:r>
      <w:r>
        <w:rPr>
          <w:sz w:val="20"/>
          <w:szCs w:val="20"/>
          <w:color w:val="auto"/>
        </w:rPr>
        <w:tab/>
      </w:r>
      <w:r>
        <w:rPr>
          <w:rFonts w:ascii="Times New Roman" w:cs="Times New Roman" w:eastAsia="Times New Roman" w:hAnsi="Times New Roman"/>
          <w:sz w:val="19"/>
          <w:szCs w:val="19"/>
          <w:color w:val="auto"/>
        </w:rPr>
        <w:t>Nonstatutory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13970</wp:posOffset>
            </wp:positionV>
            <wp:extent cx="5768975" cy="25717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8">
                      <a:extLst>
                        <a:ext uri="{28A0092B-C50C-407E-A947-70E740481C1C}"/>
                      </a:extLst>
                    </a:blip>
                    <a:srcRect/>
                    <a:stretch>
                      <a:fillRect/>
                    </a:stretch>
                  </pic:blipFill>
                  <pic:spPr bwMode="auto">
                    <a:xfrm>
                      <a:off x="0" y="0"/>
                      <a:ext cx="5768975" cy="257175"/>
                    </a:xfrm>
                    <a:prstGeom prst="rect">
                      <a:avLst/>
                    </a:prstGeom>
                    <a:noFill/>
                  </pic:spPr>
                </pic:pic>
              </a:graphicData>
            </a:graphic>
          </wp:anchor>
        </w:drawing>
      </w:r>
    </w:p>
    <w:p>
      <w:pPr>
        <w:spacing w:after="0" w:line="15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Date of Grant:</w:t>
      </w:r>
    </w:p>
    <w:p>
      <w:pPr>
        <w:spacing w:after="0" w:line="16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Number of Shares as to which Option is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690880</wp:posOffset>
            </wp:positionH>
            <wp:positionV relativeFrom="paragraph">
              <wp:posOffset>5715</wp:posOffset>
            </wp:positionV>
            <wp:extent cx="5768975" cy="25717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9">
                      <a:extLst>
                        <a:ext uri="{28A0092B-C50C-407E-A947-70E740481C1C}"/>
                      </a:extLst>
                    </a:blip>
                    <a:srcRect/>
                    <a:stretch>
                      <a:fillRect/>
                    </a:stretch>
                  </pic:blipFill>
                  <pic:spPr bwMode="auto">
                    <a:xfrm>
                      <a:off x="0" y="0"/>
                      <a:ext cx="5768975" cy="257175"/>
                    </a:xfrm>
                    <a:prstGeom prst="rect">
                      <a:avLst/>
                    </a:prstGeom>
                    <a:noFill/>
                  </pic:spPr>
                </pic:pic>
              </a:graphicData>
            </a:graphic>
          </wp:anchor>
        </w:drawing>
      </w:r>
    </w:p>
    <w:p>
      <w:pPr>
        <w:spacing w:after="0" w:line="14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0"/>
          <w:szCs w:val="20"/>
          <w:color w:val="auto"/>
        </w:rPr>
        <w:t>Certificates to be issued in name of:</w:t>
      </w:r>
    </w:p>
    <w:p>
      <w:pPr>
        <w:spacing w:after="0" w:line="9" w:lineRule="exact"/>
        <w:rPr>
          <w:sz w:val="20"/>
          <w:szCs w:val="20"/>
          <w:color w:val="auto"/>
        </w:rPr>
      </w:pPr>
    </w:p>
    <w:tbl>
      <w:tblPr>
        <w:tblLayout w:type="fixed"/>
        <w:tblInd w:w="1080" w:type="dxa"/>
        <w:tblCellMar>
          <w:top w:w="0" w:type="dxa"/>
          <w:left w:w="0" w:type="dxa"/>
          <w:bottom w:w="0" w:type="dxa"/>
          <w:right w:w="0" w:type="dxa"/>
        </w:tblCellMar>
      </w:tblPr>
      <w:tr>
        <w:trPr>
          <w:trHeight w:val="258"/>
        </w:trPr>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rPr>
              <w:t>Total exercise price:</w:t>
            </w:r>
          </w:p>
        </w:tc>
        <w:tc>
          <w:tcPr>
            <w:tcW w:w="5520" w:type="dxa"/>
            <w:vAlign w:val="bottom"/>
          </w:tcPr>
          <w:p>
            <w:pPr>
              <w:spacing w:after="0"/>
              <w:rPr>
                <w:sz w:val="22"/>
                <w:szCs w:val="22"/>
                <w:color w:val="auto"/>
              </w:rPr>
            </w:pPr>
          </w:p>
        </w:tc>
        <w:tc>
          <w:tcPr>
            <w:tcW w:w="1540" w:type="dxa"/>
            <w:vAlign w:val="bottom"/>
            <w:tcBorders>
              <w:top w:val="single" w:sz="8" w:color="auto"/>
            </w:tcBorders>
          </w:tcPr>
          <w:p>
            <w:pPr>
              <w:jc w:val="right"/>
              <w:ind w:right="1321"/>
              <w:spacing w:after="0"/>
              <w:rPr>
                <w:sz w:val="20"/>
                <w:szCs w:val="20"/>
                <w:color w:val="auto"/>
              </w:rPr>
            </w:pPr>
            <w:r>
              <w:rPr>
                <w:rFonts w:ascii="Times New Roman" w:cs="Times New Roman" w:eastAsia="Times New Roman" w:hAnsi="Times New Roman"/>
                <w:sz w:val="20"/>
                <w:szCs w:val="20"/>
                <w:color w:val="auto"/>
                <w:w w:val="99"/>
              </w:rPr>
              <w:t>$</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3"/>
        </w:trPr>
        <w:tc>
          <w:tcPr>
            <w:tcW w:w="1920" w:type="dxa"/>
            <w:vAlign w:val="bottom"/>
            <w:gridSpan w:val="2"/>
            <w:vMerge w:val="continue"/>
          </w:tcPr>
          <w:p>
            <w:pPr>
              <w:spacing w:after="0"/>
              <w:rPr>
                <w:sz w:val="9"/>
                <w:szCs w:val="9"/>
                <w:color w:val="auto"/>
              </w:rPr>
            </w:pPr>
          </w:p>
        </w:tc>
        <w:tc>
          <w:tcPr>
            <w:tcW w:w="552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0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7060" w:type="dxa"/>
            <w:vAlign w:val="bottom"/>
            <w:gridSpan w:val="2"/>
            <w:shd w:val="clear" w:color="auto" w:fill="CCEEFF"/>
          </w:tcPr>
          <w:p>
            <w:pPr>
              <w:jc w:val="right"/>
              <w:ind w:right="1321"/>
              <w:spacing w:after="0" w:line="169" w:lineRule="exact"/>
              <w:rPr>
                <w:sz w:val="20"/>
                <w:szCs w:val="20"/>
                <w:color w:val="auto"/>
              </w:rPr>
            </w:pPr>
            <w:r>
              <w:rPr>
                <w:rFonts w:ascii="Times New Roman" w:cs="Times New Roman" w:eastAsia="Times New Roman" w:hAnsi="Times New Roman"/>
                <w:sz w:val="19"/>
                <w:szCs w:val="19"/>
                <w:color w:val="auto"/>
              </w:rPr>
              <w:t>$</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gridSpan w:val="3"/>
            <w:shd w:val="clear" w:color="auto" w:fill="CCEEFF"/>
          </w:tcPr>
          <w:p>
            <w:pPr>
              <w:ind w:left="280"/>
              <w:spacing w:after="0" w:line="203" w:lineRule="exact"/>
              <w:rPr>
                <w:sz w:val="20"/>
                <w:szCs w:val="20"/>
                <w:color w:val="auto"/>
              </w:rPr>
            </w:pPr>
            <w:r>
              <w:rPr>
                <w:rFonts w:ascii="Times New Roman" w:cs="Times New Roman" w:eastAsia="Times New Roman" w:hAnsi="Times New Roman"/>
                <w:sz w:val="20"/>
                <w:szCs w:val="20"/>
                <w:color w:val="auto"/>
              </w:rPr>
              <w:t>Cash, check, bank draft or money order delivered herewith:</w:t>
            </w:r>
          </w:p>
        </w:tc>
        <w:tc>
          <w:tcPr>
            <w:tcW w:w="15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92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auto"/>
              </w:rPr>
              <w:t>Value of</w:t>
            </w:r>
          </w:p>
        </w:tc>
        <w:tc>
          <w:tcPr>
            <w:tcW w:w="7060" w:type="dxa"/>
            <w:vAlign w:val="bottom"/>
            <w:gridSpan w:val="2"/>
          </w:tcPr>
          <w:p>
            <w:pPr>
              <w:jc w:val="right"/>
              <w:ind w:right="1321"/>
              <w:spacing w:after="0" w:line="169" w:lineRule="exact"/>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gridSpan w:val="2"/>
            <w:vMerge w:val="continue"/>
          </w:tcPr>
          <w:p>
            <w:pPr>
              <w:spacing w:after="0"/>
              <w:rPr>
                <w:sz w:val="15"/>
                <w:szCs w:val="15"/>
                <w:color w:val="auto"/>
              </w:rPr>
            </w:pPr>
          </w:p>
        </w:tc>
        <w:tc>
          <w:tcPr>
            <w:tcW w:w="718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20"/>
                <w:szCs w:val="20"/>
                <w:color w:val="auto"/>
              </w:rPr>
              <w:t>Shares delivered herewith:</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7060" w:type="dxa"/>
            <w:vAlign w:val="bottom"/>
            <w:gridSpan w:val="2"/>
            <w:shd w:val="clear" w:color="auto" w:fill="CCEEFF"/>
          </w:tcPr>
          <w:p>
            <w:pPr>
              <w:jc w:val="right"/>
              <w:ind w:right="1321"/>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7440" w:type="dxa"/>
            <w:vAlign w:val="bottom"/>
            <w:tcBorders>
              <w:bottom w:val="single" w:sz="8" w:color="CCEEFF"/>
            </w:tcBorders>
            <w:gridSpan w:val="3"/>
            <w:shd w:val="clear" w:color="auto" w:fill="CCEEFF"/>
          </w:tcPr>
          <w:p>
            <w:pPr>
              <w:ind w:left="280"/>
              <w:spacing w:after="0" w:line="203" w:lineRule="exact"/>
              <w:rPr>
                <w:sz w:val="20"/>
                <w:szCs w:val="20"/>
                <w:color w:val="auto"/>
              </w:rPr>
            </w:pPr>
            <w:r>
              <w:rPr>
                <w:rFonts w:ascii="Times New Roman" w:cs="Times New Roman" w:eastAsia="Times New Roman" w:hAnsi="Times New Roman"/>
                <w:sz w:val="20"/>
                <w:szCs w:val="20"/>
                <w:color w:val="auto"/>
              </w:rPr>
              <w:t>Regulation T Program (cashless exercise)</w:t>
            </w:r>
          </w:p>
        </w:tc>
        <w:tc>
          <w:tcPr>
            <w:tcW w:w="15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1920" w:type="dxa"/>
            <w:vAlign w:val="bottom"/>
            <w:gridSpan w:val="2"/>
            <w:vMerge w:val="restart"/>
          </w:tcPr>
          <w:p>
            <w:pPr>
              <w:ind w:left="280"/>
              <w:spacing w:after="0"/>
              <w:rPr>
                <w:sz w:val="20"/>
                <w:szCs w:val="20"/>
                <w:color w:val="auto"/>
              </w:rPr>
            </w:pPr>
            <w:r>
              <w:rPr>
                <w:rFonts w:ascii="Times New Roman" w:cs="Times New Roman" w:eastAsia="Times New Roman" w:hAnsi="Times New Roman"/>
                <w:sz w:val="20"/>
                <w:szCs w:val="20"/>
                <w:color w:val="auto"/>
              </w:rPr>
              <w:t>Value of</w:t>
            </w:r>
          </w:p>
        </w:tc>
        <w:tc>
          <w:tcPr>
            <w:tcW w:w="7060" w:type="dxa"/>
            <w:vAlign w:val="bottom"/>
            <w:gridSpan w:val="2"/>
          </w:tcPr>
          <w:p>
            <w:pPr>
              <w:jc w:val="right"/>
              <w:ind w:right="1321"/>
              <w:spacing w:after="0" w:line="169" w:lineRule="exact"/>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920" w:type="dxa"/>
            <w:vAlign w:val="bottom"/>
            <w:gridSpan w:val="2"/>
            <w:vMerge w:val="continue"/>
          </w:tcPr>
          <w:p>
            <w:pPr>
              <w:spacing w:after="0"/>
              <w:rPr>
                <w:sz w:val="15"/>
                <w:szCs w:val="15"/>
                <w:color w:val="auto"/>
              </w:rPr>
            </w:pPr>
          </w:p>
        </w:tc>
        <w:tc>
          <w:tcPr>
            <w:tcW w:w="7180" w:type="dxa"/>
            <w:vAlign w:val="bottom"/>
            <w:gridSpan w:val="3"/>
          </w:tcPr>
          <w:p>
            <w:pPr>
              <w:ind w:left="100"/>
              <w:spacing w:after="0" w:line="176" w:lineRule="exact"/>
              <w:rPr>
                <w:sz w:val="20"/>
                <w:szCs w:val="20"/>
                <w:color w:val="auto"/>
              </w:rPr>
            </w:pPr>
            <w:r>
              <w:rPr>
                <w:rFonts w:ascii="Times New Roman" w:cs="Times New Roman" w:eastAsia="Times New Roman" w:hAnsi="Times New Roman"/>
                <w:sz w:val="20"/>
                <w:szCs w:val="20"/>
                <w:color w:val="auto"/>
              </w:rPr>
              <w:t>Shares pursuant to net exercise:</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6383020</wp:posOffset>
            </wp:positionH>
            <wp:positionV relativeFrom="paragraph">
              <wp:posOffset>-753745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-256540</wp:posOffset>
            </wp:positionV>
            <wp:extent cx="7747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335"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By this exercise, I agree (i) to provide such additional documents as you may require pursuant to the terms of the Plan, and (ii) to satisfy the tax withholding obligations, if any, relating to the exercise of this Option as set forth in the Stock Option Agreement.</w:t>
      </w:r>
    </w:p>
    <w:p>
      <w:pPr>
        <w:spacing w:after="0" w:line="200" w:lineRule="exact"/>
        <w:rPr>
          <w:sz w:val="20"/>
          <w:szCs w:val="20"/>
          <w:color w:val="auto"/>
        </w:rPr>
      </w:pPr>
    </w:p>
    <w:p>
      <w:pPr>
        <w:spacing w:after="0" w:line="25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Very truly yours,</w:t>
      </w:r>
    </w:p>
    <w:p>
      <w:pPr>
        <w:spacing w:after="0" w:line="200" w:lineRule="exact"/>
        <w:rPr>
          <w:sz w:val="20"/>
          <w:szCs w:val="20"/>
          <w:color w:val="auto"/>
        </w:rPr>
      </w:pPr>
    </w:p>
    <w:p>
      <w:pPr>
        <w:spacing w:after="0" w:line="31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1227455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2" w:name="page253"/>
    <w:bookmarkEnd w:id="25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RSU AWARD GRANT NOTICE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(2026 INDUCEMENT PLAN)</w:t>
      </w:r>
    </w:p>
    <w:p>
      <w:pPr>
        <w:spacing w:after="0" w:line="135" w:lineRule="exact"/>
        <w:rPr>
          <w:sz w:val="20"/>
          <w:szCs w:val="20"/>
          <w:color w:val="auto"/>
        </w:rPr>
      </w:pPr>
    </w:p>
    <w:p>
      <w:pPr>
        <w:ind w:right="160"/>
        <w:spacing w:after="0" w:line="247" w:lineRule="auto"/>
        <w:rPr>
          <w:sz w:val="20"/>
          <w:szCs w:val="20"/>
          <w:color w:val="auto"/>
        </w:rPr>
      </w:pPr>
      <w:r>
        <w:rPr>
          <w:rFonts w:ascii="Times New Roman" w:cs="Times New Roman" w:eastAsia="Times New Roman" w:hAnsi="Times New Roman"/>
          <w:sz w:val="20"/>
          <w:szCs w:val="20"/>
          <w:color w:val="auto"/>
        </w:rPr>
        <w:t>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awarded to you (the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the number of restricted stock units specified and on the terms set forth below in consideration of your services (the “</w:t>
      </w:r>
      <w:r>
        <w:rPr>
          <w:rFonts w:ascii="Times New Roman" w:cs="Times New Roman" w:eastAsia="Times New Roman" w:hAnsi="Times New Roman"/>
          <w:sz w:val="20"/>
          <w:szCs w:val="20"/>
          <w:b w:val="1"/>
          <w:bCs w:val="1"/>
          <w:i w:val="1"/>
          <w:iCs w:val="1"/>
          <w:color w:val="auto"/>
        </w:rPr>
        <w:t>RSU Award</w:t>
      </w:r>
      <w:r>
        <w:rPr>
          <w:rFonts w:ascii="Times New Roman" w:cs="Times New Roman" w:eastAsia="Times New Roman" w:hAnsi="Times New Roman"/>
          <w:sz w:val="20"/>
          <w:szCs w:val="20"/>
          <w:color w:val="auto"/>
        </w:rPr>
        <w:t>”). Your RSU Award is subject to all of the terms and conditions as set forth herein and in the Invivyd, Inc. 2026 Inducement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and the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which are attached hereto and incorporated herein in their entirety. Capitalized terms not explicitly defined herein but defined in the Plan or the Agreement shall have the meanings set forth in the Plan or the Agreement.</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5715</wp:posOffset>
            </wp:positionV>
            <wp:extent cx="30429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3">
                      <a:extLst>
                        <a:ext uri="{28A0092B-C50C-407E-A947-70E740481C1C}"/>
                      </a:extLst>
                    </a:blip>
                    <a:srcRect/>
                    <a:stretch>
                      <a:fillRect/>
                    </a:stretch>
                  </pic:blipFill>
                  <pic:spPr bwMode="auto">
                    <a:xfrm>
                      <a:off x="0" y="0"/>
                      <a:ext cx="3042920" cy="8890"/>
                    </a:xfrm>
                    <a:prstGeom prst="rect">
                      <a:avLst/>
                    </a:prstGeom>
                    <a:noFill/>
                  </pic:spPr>
                </pic:pic>
              </a:graphicData>
            </a:graphic>
          </wp:anchor>
        </w:drawing>
      </w:r>
    </w:p>
    <w:p>
      <w:pPr>
        <w:spacing w:after="0" w:line="1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Date of Grant (“</w:t>
      </w:r>
      <w:r>
        <w:rPr>
          <w:rFonts w:ascii="Times New Roman" w:cs="Times New Roman" w:eastAsia="Times New Roman" w:hAnsi="Times New Roman"/>
          <w:sz w:val="20"/>
          <w:szCs w:val="20"/>
          <w:b w:val="1"/>
          <w:bCs w:val="1"/>
          <w:i w:val="1"/>
          <w:iCs w:val="1"/>
          <w:color w:val="auto"/>
        </w:rPr>
        <w:t>Grant Date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8255</wp:posOffset>
            </wp:positionV>
            <wp:extent cx="304292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4">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5715</wp:posOffset>
            </wp:positionV>
            <wp:extent cx="304292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5">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2516505</wp:posOffset>
            </wp:positionH>
            <wp:positionV relativeFrom="paragraph">
              <wp:posOffset>5715</wp:posOffset>
            </wp:positionV>
            <wp:extent cx="304292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6">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54" w:lineRule="exact"/>
        <w:rPr>
          <w:sz w:val="20"/>
          <w:szCs w:val="20"/>
          <w:color w:val="auto"/>
        </w:rPr>
      </w:pPr>
    </w:p>
    <w:p>
      <w:pPr>
        <w:ind w:left="20"/>
        <w:spacing w:after="0"/>
        <w:tabs>
          <w:tab w:leader="none" w:pos="2380" w:val="left"/>
          <w:tab w:leader="none" w:pos="872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-8255</wp:posOffset>
            </wp:positionV>
            <wp:extent cx="39890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7">
                      <a:extLst>
                        <a:ext uri="{28A0092B-C50C-407E-A947-70E740481C1C}"/>
                      </a:extLst>
                    </a:blip>
                    <a:srcRect/>
                    <a:stretch>
                      <a:fillRect/>
                    </a:stretch>
                  </pic:blipFill>
                  <pic:spPr bwMode="auto">
                    <a:xfrm>
                      <a:off x="0" y="0"/>
                      <a:ext cx="3989070" cy="8255"/>
                    </a:xfrm>
                    <a:prstGeom prst="rect">
                      <a:avLst/>
                    </a:prstGeom>
                    <a:noFill/>
                  </pic:spPr>
                </pic:pic>
              </a:graphicData>
            </a:graphic>
          </wp:anchor>
        </w:drawing>
      </w:r>
    </w:p>
    <w:p>
      <w:pPr>
        <w:spacing w:after="0" w:line="119" w:lineRule="exact"/>
        <w:rPr>
          <w:sz w:val="20"/>
          <w:szCs w:val="20"/>
          <w:color w:val="auto"/>
        </w:rPr>
      </w:pPr>
    </w:p>
    <w:p>
      <w:pPr>
        <w:ind w:left="2400" w:right="580"/>
        <w:spacing w:after="0" w:line="269" w:lineRule="auto"/>
        <w:rPr>
          <w:sz w:val="20"/>
          <w:szCs w:val="20"/>
          <w:color w:val="auto"/>
        </w:rPr>
      </w:pPr>
      <w:r>
        <w:rPr>
          <w:rFonts w:ascii="Times New Roman" w:cs="Times New Roman" w:eastAsia="Times New Roman" w:hAnsi="Times New Roman"/>
          <w:sz w:val="20"/>
          <w:szCs w:val="20"/>
          <w:color w:val="auto"/>
        </w:rPr>
        <w:t>Notwithstanding the foregoing, vesting shall terminate upon the Participant’s termination of Continuous Service.</w:t>
      </w:r>
    </w:p>
    <w:p>
      <w:pPr>
        <w:spacing w:after="0" w:line="88" w:lineRule="exact"/>
        <w:rPr>
          <w:sz w:val="20"/>
          <w:szCs w:val="20"/>
          <w:color w:val="auto"/>
        </w:rPr>
      </w:pPr>
    </w:p>
    <w:p>
      <w:pPr>
        <w:ind w:left="2400" w:right="680" w:hanging="2375"/>
        <w:spacing w:after="0" w:line="269" w:lineRule="auto"/>
        <w:tabs>
          <w:tab w:leader="none" w:pos="2380" w:val="left"/>
        </w:tabs>
        <w:rPr>
          <w:sz w:val="20"/>
          <w:szCs w:val="20"/>
          <w:color w:val="auto"/>
        </w:rPr>
      </w:pPr>
      <w:r>
        <w:rPr>
          <w:rFonts w:ascii="Times New Roman" w:cs="Times New Roman" w:eastAsia="Times New Roman" w:hAnsi="Times New Roman"/>
          <w:sz w:val="20"/>
          <w:szCs w:val="20"/>
          <w:b w:val="1"/>
          <w:bCs w:val="1"/>
          <w:color w:val="auto"/>
        </w:rPr>
        <w:t>Issuance Schedule:</w:t>
      </w:r>
      <w:r>
        <w:rPr>
          <w:sz w:val="20"/>
          <w:szCs w:val="20"/>
          <w:color w:val="auto"/>
        </w:rPr>
        <w:tab/>
      </w:r>
      <w:r>
        <w:rPr>
          <w:rFonts w:ascii="Times New Roman" w:cs="Times New Roman" w:eastAsia="Times New Roman" w:hAnsi="Times New Roman"/>
          <w:sz w:val="20"/>
          <w:szCs w:val="20"/>
          <w:color w:val="auto"/>
        </w:rPr>
        <w:t>One share of Common Stock will be issued at the time set forth in Section 5 of the Agreement for each restricted stock unit which vests.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Participant Acknowledgements: </w:t>
      </w:r>
      <w:r>
        <w:rPr>
          <w:rFonts w:ascii="Times New Roman" w:cs="Times New Roman" w:eastAsia="Times New Roman" w:hAnsi="Times New Roman"/>
          <w:sz w:val="20"/>
          <w:szCs w:val="20"/>
          <w:color w:val="auto"/>
        </w:rPr>
        <w:t>By your signature below or by electronic acceptance or authentication in a form authorized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 you understand and agree that:</w:t>
      </w:r>
    </w:p>
    <w:p>
      <w:pPr>
        <w:spacing w:after="0" w:line="122" w:lineRule="exact"/>
        <w:rPr>
          <w:sz w:val="20"/>
          <w:szCs w:val="20"/>
          <w:color w:val="auto"/>
        </w:rPr>
      </w:pPr>
    </w:p>
    <w:p>
      <w:pPr>
        <w:ind w:left="760" w:hanging="378"/>
        <w:spacing w:after="0" w:line="250" w:lineRule="auto"/>
        <w:tabs>
          <w:tab w:leader="none" w:pos="7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is governed by this RSU Award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the Company’s Incentive Compensation Recovery Policy, and the provisions of the Plan and the Agreement, all of which are made a part of this document. Unless otherwise provided in the Plan, this Grant Notice and the Agreement (together, the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may not be modified, amended or revised except in a writing signed by you and a duly authorized officer of the Company.</w:t>
      </w:r>
    </w:p>
    <w:p>
      <w:pPr>
        <w:spacing w:after="0" w:line="112"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have read and are familiar with the provisions of the Plan, the RSU Award Agreement and the Prospectus. In the event of any conflict between the provisions in the RSU Award Agreement, or the Prospectus and the terms of the Plan, the terms of the Plan shall control.</w:t>
      </w:r>
    </w:p>
    <w:p>
      <w:pPr>
        <w:spacing w:after="0" w:line="93" w:lineRule="exact"/>
        <w:rPr>
          <w:rFonts w:ascii="Times New Roman" w:cs="Times New Roman" w:eastAsia="Times New Roman" w:hAnsi="Times New Roman"/>
          <w:sz w:val="20"/>
          <w:szCs w:val="20"/>
          <w:color w:val="auto"/>
        </w:rPr>
      </w:pPr>
    </w:p>
    <w:p>
      <w:pPr>
        <w:ind w:left="760" w:right="160" w:hanging="378"/>
        <w:spacing w:after="0" w:line="246" w:lineRule="auto"/>
        <w:tabs>
          <w:tab w:leader="none" w:pos="760"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Agreement sets forth the entire understanding between you and the Company regarding the acquisition of Common Stock and supersedes all prior oral and written agreements, promises and/or representations on that subject with the exception of: (i) other equity awards previously granted to you, and (ii) any written employment agreement, offer letter, severance agreement, written severance plan or policy, or other written agreement between the Company and you in each case that specifies the terms that should govern this RSU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967740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253" w:name="page254"/>
    <w:bookmarkEnd w:id="253"/>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INVIVYD, INC.</w:t>
            </w:r>
          </w:p>
        </w:tc>
        <w:tc>
          <w:tcPr>
            <w:tcW w:w="5920" w:type="dxa"/>
            <w:vAlign w:val="bottom"/>
            <w:gridSpan w:val="3"/>
          </w:tcPr>
          <w:p>
            <w:pPr>
              <w:ind w:left="620"/>
              <w:spacing w:after="0"/>
              <w:rPr>
                <w:sz w:val="20"/>
                <w:szCs w:val="20"/>
                <w:color w:val="auto"/>
              </w:rPr>
            </w:pPr>
            <w:r>
              <w:rPr>
                <w:rFonts w:ascii="Times New Roman" w:cs="Times New Roman" w:eastAsia="Times New Roman" w:hAnsi="Times New Roman"/>
                <w:sz w:val="20"/>
                <w:szCs w:val="20"/>
                <w:b w:val="1"/>
                <w:bCs w:val="1"/>
                <w:color w:val="auto"/>
              </w:rPr>
              <w:t>PARTICIPANT:</w:t>
            </w:r>
          </w:p>
        </w:tc>
      </w:tr>
      <w:tr>
        <w:trPr>
          <w:trHeight w:val="439"/>
        </w:trPr>
        <w:tc>
          <w:tcPr>
            <w:tcW w:w="53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w:t>
            </w: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r>
        <w:trPr>
          <w:trHeight w:val="252"/>
        </w:trPr>
        <w:tc>
          <w:tcPr>
            <w:tcW w:w="660" w:type="dxa"/>
            <w:vAlign w:val="bottom"/>
          </w:tcPr>
          <w:p>
            <w:pPr>
              <w:spacing w:after="0"/>
              <w:rPr>
                <w:sz w:val="21"/>
                <w:szCs w:val="21"/>
                <w:color w:val="auto"/>
              </w:rPr>
            </w:pPr>
          </w:p>
        </w:tc>
        <w:tc>
          <w:tcPr>
            <w:tcW w:w="466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20"/>
                <w:szCs w:val="20"/>
                <w:color w:val="auto"/>
              </w:rPr>
              <w:t>Signature</w:t>
            </w:r>
          </w:p>
        </w:tc>
        <w:tc>
          <w:tcPr>
            <w:tcW w:w="620" w:type="dxa"/>
            <w:vAlign w:val="bottom"/>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4680" w:type="dxa"/>
            <w:vAlign w:val="bottom"/>
            <w:tcBorders>
              <w:top w:val="single" w:sz="8" w:color="auto"/>
            </w:tcBorders>
          </w:tcPr>
          <w:p>
            <w:pPr>
              <w:ind w:left="1960"/>
              <w:spacing w:after="0"/>
              <w:rPr>
                <w:sz w:val="20"/>
                <w:szCs w:val="20"/>
                <w:color w:val="auto"/>
              </w:rPr>
            </w:pPr>
            <w:r>
              <w:rPr>
                <w:rFonts w:ascii="Times New Roman" w:cs="Times New Roman" w:eastAsia="Times New Roman" w:hAnsi="Times New Roman"/>
                <w:sz w:val="20"/>
                <w:szCs w:val="20"/>
                <w:color w:val="auto"/>
              </w:rPr>
              <w:t>Signature</w:t>
            </w:r>
          </w:p>
        </w:tc>
      </w:tr>
      <w:tr>
        <w:trPr>
          <w:trHeight w:val="444"/>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60" w:type="dxa"/>
            <w:vAlign w:val="bottom"/>
            <w:tcBorders>
              <w:bottom w:val="single" w:sz="8" w:color="auto"/>
            </w:tcBorders>
          </w:tcPr>
          <w:p>
            <w:pPr>
              <w:spacing w:after="0"/>
              <w:rPr>
                <w:sz w:val="24"/>
                <w:szCs w:val="24"/>
                <w:color w:val="auto"/>
              </w:rPr>
            </w:pPr>
          </w:p>
        </w:tc>
        <w:tc>
          <w:tcPr>
            <w:tcW w:w="1240" w:type="dxa"/>
            <w:vAlign w:val="bottom"/>
            <w:gridSpan w:val="2"/>
          </w:tcPr>
          <w:p>
            <w:pPr>
              <w:ind w:left="620"/>
              <w:spacing w:after="0"/>
              <w:rPr>
                <w:sz w:val="20"/>
                <w:szCs w:val="20"/>
                <w:color w:val="auto"/>
              </w:rPr>
            </w:pPr>
            <w:r>
              <w:rPr>
                <w:rFonts w:ascii="Times New Roman" w:cs="Times New Roman" w:eastAsia="Times New Roman" w:hAnsi="Times New Roman"/>
                <w:sz w:val="20"/>
                <w:szCs w:val="20"/>
                <w:color w:val="auto"/>
              </w:rPr>
              <w:t>Date:</w:t>
            </w:r>
          </w:p>
        </w:tc>
        <w:tc>
          <w:tcPr>
            <w:tcW w:w="4680" w:type="dxa"/>
            <w:vAlign w:val="bottom"/>
            <w:tcBorders>
              <w:bottom w:val="single" w:sz="8" w:color="auto"/>
            </w:tcBorders>
          </w:tcPr>
          <w:p>
            <w:pPr>
              <w:spacing w:after="0"/>
              <w:rPr>
                <w:sz w:val="24"/>
                <w:szCs w:val="24"/>
                <w:color w:val="auto"/>
              </w:rPr>
            </w:pPr>
          </w:p>
        </w:tc>
      </w:tr>
      <w:tr>
        <w:trPr>
          <w:trHeight w:val="668"/>
        </w:trPr>
        <w:tc>
          <w:tcPr>
            <w:tcW w:w="66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466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8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ATTACHMENTS</w:t>
      </w:r>
      <w:r>
        <w:rPr>
          <w:rFonts w:ascii="Times New Roman" w:cs="Times New Roman" w:eastAsia="Times New Roman" w:hAnsi="Times New Roman"/>
          <w:sz w:val="20"/>
          <w:szCs w:val="20"/>
          <w:color w:val="auto"/>
        </w:rPr>
        <w:t>: Award Agreement, 2026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1221105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4" w:name="page255"/>
    <w:bookmarkEnd w:id="254"/>
    <w:p>
      <w:pPr>
        <w:ind w:left="4840"/>
        <w:spacing w:after="0"/>
        <w:rPr>
          <w:sz w:val="20"/>
          <w:szCs w:val="20"/>
          <w:color w:val="auto"/>
        </w:rPr>
      </w:pPr>
      <w:r>
        <w:rPr>
          <w:rFonts w:ascii="Times New Roman" w:cs="Times New Roman" w:eastAsia="Times New Roman" w:hAnsi="Times New Roman"/>
          <w:sz w:val="20"/>
          <w:szCs w:val="20"/>
          <w:b w:val="1"/>
          <w:bCs w:val="1"/>
          <w:color w:val="auto"/>
        </w:rPr>
        <w:t>ATTACHMENT I</w:t>
      </w:r>
    </w:p>
    <w:p>
      <w:pPr>
        <w:spacing w:after="0" w:line="14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AWARD AGREEMENT</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(2026 INDUCEMENT PLAN)</w:t>
      </w:r>
    </w:p>
    <w:p>
      <w:pPr>
        <w:spacing w:after="0" w:line="148"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As reflected by your RSU Award Grant Notice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Invivyd,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granted you a RSU Award under the Invivyd, Inc. 2026 Inducement Plan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for the number of restricted stock units as indicated in your Grant Notice (the “</w:t>
      </w:r>
      <w:r>
        <w:rPr>
          <w:rFonts w:ascii="Times New Roman" w:cs="Times New Roman" w:eastAsia="Times New Roman" w:hAnsi="Times New Roman"/>
          <w:sz w:val="20"/>
          <w:szCs w:val="20"/>
          <w:b w:val="1"/>
          <w:bCs w:val="1"/>
          <w:i w:val="1"/>
          <w:iCs w:val="1"/>
          <w:color w:val="auto"/>
        </w:rPr>
        <w:t>RSU</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 The terms of your RSU Award as specified in this Award Agreement for your RSU Award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Grant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Notice constitute your “</w:t>
      </w:r>
      <w:r>
        <w:rPr>
          <w:rFonts w:ascii="Times New Roman" w:cs="Times New Roman" w:eastAsia="Times New Roman" w:hAnsi="Times New Roman"/>
          <w:sz w:val="20"/>
          <w:szCs w:val="20"/>
          <w:b w:val="1"/>
          <w:bCs w:val="1"/>
          <w:i w:val="1"/>
          <w:iCs w:val="1"/>
          <w:color w:val="auto"/>
        </w:rPr>
        <w:t>RSU Award Agreement</w:t>
      </w:r>
      <w:r>
        <w:rPr>
          <w:rFonts w:ascii="Times New Roman" w:cs="Times New Roman" w:eastAsia="Times New Roman" w:hAnsi="Times New Roman"/>
          <w:sz w:val="20"/>
          <w:szCs w:val="20"/>
          <w:color w:val="auto"/>
        </w:rPr>
        <w:t>”. Defined terms not explicitly defined in this Agreement but defined in the Grant Notice or the Plan shall have the same definitions as in the Grant Notice or Plan, as applicable.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general terms applicable to your RSU Award are as follows:</w:t>
      </w:r>
    </w:p>
    <w:p>
      <w:pPr>
        <w:spacing w:after="0" w:line="131" w:lineRule="exact"/>
        <w:rPr>
          <w:sz w:val="20"/>
          <w:szCs w:val="20"/>
          <w:color w:val="auto"/>
        </w:rPr>
      </w:pPr>
    </w:p>
    <w:p>
      <w:pPr>
        <w:ind w:left="380" w:right="400" w:hanging="372"/>
        <w:spacing w:after="0" w:line="273" w:lineRule="auto"/>
        <w:tabs>
          <w:tab w:leader="none" w:pos="380" w:val="left"/>
        </w:tabs>
        <w:numPr>
          <w:ilvl w:val="0"/>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GOVERNING PLAN DOCUMENT. </w:t>
      </w:r>
      <w:r>
        <w:rPr>
          <w:rFonts w:ascii="Times New Roman" w:cs="Times New Roman" w:eastAsia="Times New Roman" w:hAnsi="Times New Roman"/>
          <w:sz w:val="20"/>
          <w:szCs w:val="20"/>
          <w:color w:val="auto"/>
        </w:rPr>
        <w:t>Your RSU Award is subject to all the provisions of the Plan, including but not limited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in:</w:t>
      </w:r>
    </w:p>
    <w:p>
      <w:pPr>
        <w:spacing w:after="0" w:line="88" w:lineRule="exact"/>
        <w:rPr>
          <w:rFonts w:ascii="Times New Roman" w:cs="Times New Roman" w:eastAsia="Times New Roman" w:hAnsi="Times New Roman"/>
          <w:sz w:val="20"/>
          <w:szCs w:val="20"/>
          <w:b w:val="1"/>
          <w:bCs w:val="1"/>
          <w:color w:val="auto"/>
        </w:rPr>
      </w:pPr>
    </w:p>
    <w:p>
      <w:pPr>
        <w:ind w:right="140" w:firstLine="757"/>
        <w:spacing w:after="0" w:line="269" w:lineRule="auto"/>
        <w:tabs>
          <w:tab w:leader="none" w:pos="1018"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6 of the Plan regarding the impact of a Capitalization Adjustment, dissolution, liquidation, or Corporate Transaction on your RSU Award;</w:t>
      </w:r>
    </w:p>
    <w:p>
      <w:pPr>
        <w:spacing w:after="0" w:line="91"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9(e) of the Plan regarding the Company’s retained rights to terminate your Continuous Service notwithstanding the grant of the RSU Award; and</w:t>
      </w:r>
    </w:p>
    <w:p>
      <w:pPr>
        <w:spacing w:after="0" w:line="78" w:lineRule="exact"/>
        <w:rPr>
          <w:rFonts w:ascii="Times New Roman" w:cs="Times New Roman" w:eastAsia="Times New Roman" w:hAnsi="Times New Roman"/>
          <w:sz w:val="20"/>
          <w:szCs w:val="20"/>
          <w:b w:val="1"/>
          <w:bCs w:val="1"/>
          <w:color w:val="auto"/>
        </w:rPr>
      </w:pPr>
    </w:p>
    <w:p>
      <w:pPr>
        <w:ind w:left="1020" w:hanging="263"/>
        <w:spacing w:after="0"/>
        <w:tabs>
          <w:tab w:leader="none" w:pos="1020" w:val="left"/>
        </w:tabs>
        <w:numPr>
          <w:ilvl w:val="1"/>
          <w:numId w:val="2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Section 8 of the Plan regarding the tax consequences of your RSU Award.</w:t>
      </w:r>
    </w:p>
    <w:p>
      <w:pPr>
        <w:spacing w:after="0" w:line="14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Your RSU Award is further subject to all interpretations, amendments, rules and regulations, which may from time to time be promulgated and adopted pursuant to the Plan. In the event of any conflict between the RSU Award Agreement and the provisions of the Plan, the provisions of the Plan shall control.</w:t>
      </w:r>
    </w:p>
    <w:p>
      <w:pPr>
        <w:spacing w:after="0" w:line="103" w:lineRule="exact"/>
        <w:rPr>
          <w:sz w:val="20"/>
          <w:szCs w:val="20"/>
          <w:color w:val="auto"/>
        </w:rPr>
      </w:pPr>
    </w:p>
    <w:p>
      <w:pPr>
        <w:ind w:left="380" w:right="80" w:hanging="372"/>
        <w:spacing w:after="0" w:line="245" w:lineRule="auto"/>
        <w:tabs>
          <w:tab w:leader="none" w:pos="38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GRANT OF THE RSU AWARD. </w:t>
      </w:r>
      <w:r>
        <w:rPr>
          <w:rFonts w:ascii="Times New Roman" w:cs="Times New Roman" w:eastAsia="Times New Roman" w:hAnsi="Times New Roman"/>
          <w:sz w:val="20"/>
          <w:szCs w:val="20"/>
          <w:color w:val="auto"/>
        </w:rPr>
        <w:t>This RSU Award represents your right to be issued on a future date the number of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Company’s Common Stock that is equal to the number of restricted stock units indicated in the Grant Notice as modified to reflect any Capitalization Adjustment and subject to your satisfaction of the vesting conditions set forth therein (the “</w:t>
      </w:r>
      <w:r>
        <w:rPr>
          <w:rFonts w:ascii="Times New Roman" w:cs="Times New Roman" w:eastAsia="Times New Roman" w:hAnsi="Times New Roman"/>
          <w:sz w:val="20"/>
          <w:szCs w:val="20"/>
          <w:b w:val="1"/>
          <w:bCs w:val="1"/>
          <w:i w:val="1"/>
          <w:iCs w:val="1"/>
          <w:color w:val="auto"/>
        </w:rPr>
        <w:t>Restricted Stock Units</w:t>
      </w:r>
      <w:r>
        <w:rPr>
          <w:rFonts w:ascii="Times New Roman" w:cs="Times New Roman" w:eastAsia="Times New Roman" w:hAnsi="Times New Roman"/>
          <w:sz w:val="20"/>
          <w:szCs w:val="20"/>
          <w:color w:val="auto"/>
        </w:rPr>
        <w:t>”). Any additional Restricted Stock Units that become subject to the RSU Award pursuant to Capitalization Adjustments as set forth in the Plan and the provisions of Section 3 below, if any, shall be subject, in a manner determined by the Board, to the same forfeiture restrictions, restrictions on transferability, and time and manner of delivery as applicable to the other Restricted Stock Units covered by your RSU Award.</w:t>
      </w:r>
    </w:p>
    <w:p>
      <w:pPr>
        <w:spacing w:after="0" w:line="98" w:lineRule="exact"/>
        <w:rPr>
          <w:rFonts w:ascii="Times New Roman" w:cs="Times New Roman" w:eastAsia="Times New Roman" w:hAnsi="Times New Roman"/>
          <w:sz w:val="20"/>
          <w:szCs w:val="20"/>
          <w:b w:val="1"/>
          <w:bCs w:val="1"/>
          <w:color w:val="auto"/>
        </w:rPr>
      </w:pPr>
    </w:p>
    <w:p>
      <w:pPr>
        <w:ind w:left="380" w:hanging="372"/>
        <w:spacing w:after="0" w:line="276" w:lineRule="auto"/>
        <w:tabs>
          <w:tab w:leader="none" w:pos="380" w:val="left"/>
        </w:tabs>
        <w:numPr>
          <w:ilvl w:val="0"/>
          <w:numId w:val="22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DIVIDENDS. </w:t>
      </w:r>
      <w:r>
        <w:rPr>
          <w:rFonts w:ascii="Times New Roman" w:cs="Times New Roman" w:eastAsia="Times New Roman" w:hAnsi="Times New Roman"/>
          <w:sz w:val="19"/>
          <w:szCs w:val="19"/>
          <w:color w:val="auto"/>
        </w:rPr>
        <w:t>You shall receive no benefit or adjustment to this RSU Award with respect to any cash dividend, stock dividend or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distribution that does not result from a Capitalization Adjustment; provided, however, that this sentence will not apply with respect to any shares of Common Stock that are delivered to you in connection with your RSU Award after such shares have been delivered to you.</w:t>
      </w:r>
    </w:p>
    <w:p>
      <w:pPr>
        <w:spacing w:after="0" w:line="83" w:lineRule="exact"/>
        <w:rPr>
          <w:rFonts w:ascii="Times New Roman" w:cs="Times New Roman" w:eastAsia="Times New Roman" w:hAnsi="Times New Roman"/>
          <w:sz w:val="19"/>
          <w:szCs w:val="19"/>
          <w:b w:val="1"/>
          <w:bCs w:val="1"/>
          <w:color w:val="auto"/>
        </w:rPr>
      </w:pPr>
    </w:p>
    <w:p>
      <w:pPr>
        <w:ind w:left="380" w:right="160" w:hanging="372"/>
        <w:spacing w:after="0" w:line="246" w:lineRule="auto"/>
        <w:tabs>
          <w:tab w:leader="none" w:pos="380" w:val="left"/>
        </w:tabs>
        <w:numPr>
          <w:ilvl w:val="0"/>
          <w:numId w:val="22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WITHHOLDING OBLIGATIONS. </w:t>
      </w:r>
      <w:r>
        <w:rPr>
          <w:rFonts w:ascii="Times New Roman" w:cs="Times New Roman" w:eastAsia="Times New Roman" w:hAnsi="Times New Roman"/>
          <w:sz w:val="20"/>
          <w:szCs w:val="20"/>
          <w:color w:val="auto"/>
        </w:rPr>
        <w:t>As further provided in Section 8 of the Plan, you hereby authorize withholding from payroll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other amounts payable to you, and otherwise agree to make adequate provision for, any sums required to satisfy the federal, state, local and foreign tax withholding obligations, if any, which arise in connection with your RSU Award (the “</w:t>
      </w:r>
      <w:r>
        <w:rPr>
          <w:rFonts w:ascii="Times New Roman" w:cs="Times New Roman" w:eastAsia="Times New Roman" w:hAnsi="Times New Roman"/>
          <w:sz w:val="20"/>
          <w:szCs w:val="20"/>
          <w:b w:val="1"/>
          <w:bCs w:val="1"/>
          <w:i w:val="1"/>
          <w:iCs w:val="1"/>
          <w:color w:val="auto"/>
        </w:rPr>
        <w:t>Withholding Obligation</w:t>
      </w:r>
      <w:r>
        <w:rPr>
          <w:rFonts w:ascii="Times New Roman" w:cs="Times New Roman" w:eastAsia="Times New Roman" w:hAnsi="Times New Roman"/>
          <w:sz w:val="20"/>
          <w:szCs w:val="20"/>
          <w:color w:val="auto"/>
        </w:rPr>
        <w:t>”) in accordance with the withholding procedures established by the Company, including those described in Section 8(b) of the Plan. In furtherance of the Withholding Obligation, if you are an employee of the Company as of the Grant Date, then you hereby agree as a condition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966470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55" w:name="page256"/>
    <w:bookmarkEnd w:id="255"/>
    <w:p>
      <w:pPr>
        <w:ind w:left="380" w:right="40"/>
        <w:spacing w:after="0" w:line="258" w:lineRule="auto"/>
        <w:rPr>
          <w:sz w:val="20"/>
          <w:szCs w:val="20"/>
          <w:color w:val="auto"/>
        </w:rPr>
      </w:pPr>
      <w:r>
        <w:rPr>
          <w:rFonts w:ascii="Times New Roman" w:cs="Times New Roman" w:eastAsia="Times New Roman" w:hAnsi="Times New Roman"/>
          <w:sz w:val="19"/>
          <w:szCs w:val="19"/>
          <w:color w:val="auto"/>
        </w:rPr>
        <w:t>Agreement that, if directed by the Company, you will enter into a side letter agreement with the Company prior to or as soon as practicable following the Grant Date (or at such other time as directed by the Company), in a form that is acceptable to the Company, pursuant to which you will make an election to satisfy all tax withholding obligations that arise hereunder pursuant to the “sell to cover” tax withholding method in compliance with Rule 10b5-1(c) of the Securities Exchange Act of 1934, as amended. Unless the Withholding Obligation is satisfied, the Company shall have no obligation to deliver to you any Common Stock in respect of the RSU Award. In the event the Withholding Obligation of the Company arises prior to the delivery to you of Common Stock or it is determined after the delivery of Common Stock to you that the amount of the Withholding Obligation was greater than the amount withheld by the Company, you agree to indemnify and hold the Company harmless from any failure by the Company to withhold the proper amount.</w:t>
      </w:r>
    </w:p>
    <w:p>
      <w:pPr>
        <w:spacing w:after="0" w:line="102" w:lineRule="exact"/>
        <w:rPr>
          <w:sz w:val="20"/>
          <w:szCs w:val="20"/>
          <w:color w:val="auto"/>
        </w:rPr>
      </w:pPr>
    </w:p>
    <w:p>
      <w:pPr>
        <w:ind w:left="380" w:hanging="372"/>
        <w:spacing w:after="0"/>
        <w:tabs>
          <w:tab w:leader="none" w:pos="380" w:val="left"/>
        </w:tabs>
        <w:numPr>
          <w:ilvl w:val="0"/>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DATE OF ISSUANCE.</w:t>
      </w:r>
    </w:p>
    <w:p>
      <w:pPr>
        <w:spacing w:after="0" w:line="138" w:lineRule="exact"/>
        <w:rPr>
          <w:rFonts w:ascii="Times New Roman" w:cs="Times New Roman" w:eastAsia="Times New Roman" w:hAnsi="Times New Roman"/>
          <w:sz w:val="20"/>
          <w:szCs w:val="20"/>
          <w:b w:val="1"/>
          <w:bCs w:val="1"/>
          <w:color w:val="auto"/>
        </w:rPr>
      </w:pPr>
    </w:p>
    <w:p>
      <w:pPr>
        <w:ind w:firstLine="757"/>
        <w:spacing w:after="0" w:line="246" w:lineRule="auto"/>
        <w:tabs>
          <w:tab w:leader="none" w:pos="1018" w:val="left"/>
        </w:tabs>
        <w:numPr>
          <w:ilvl w:val="1"/>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issuance of shares in respect of the Restricted Stock Units is intended to comply with Treasury Regulations Section 1.409A-1(b)(4) and will be construed and administered in such a manner. Subject to the satisfaction of the Withholding Obligation, if any, in the event one or more Restricted Stock Units vests, the Company shall issue to you one (1) share of Common Stock for each Restricted Stock Unit that vests on the applicable vesting date(s) (subject to any adjustment under Section 3 above, and subject to any different provisions in the Grant Notice). Each issuance date determined by this paragraph is referred to as an “</w:t>
      </w:r>
      <w:r>
        <w:rPr>
          <w:rFonts w:ascii="Times New Roman" w:cs="Times New Roman" w:eastAsia="Times New Roman" w:hAnsi="Times New Roman"/>
          <w:sz w:val="20"/>
          <w:szCs w:val="20"/>
          <w:b w:val="1"/>
          <w:bCs w:val="1"/>
          <w:i w:val="1"/>
          <w:iCs w:val="1"/>
          <w:color w:val="auto"/>
        </w:rPr>
        <w:t>Original Issuance Date</w:t>
      </w:r>
      <w:r>
        <w:rPr>
          <w:rFonts w:ascii="Times New Roman" w:cs="Times New Roman" w:eastAsia="Times New Roman" w:hAnsi="Times New Roman"/>
          <w:sz w:val="20"/>
          <w:szCs w:val="20"/>
          <w:color w:val="auto"/>
        </w:rPr>
        <w:t>.”</w:t>
      </w:r>
    </w:p>
    <w:p>
      <w:pPr>
        <w:spacing w:after="0" w:line="117" w:lineRule="exact"/>
        <w:rPr>
          <w:rFonts w:ascii="Times New Roman" w:cs="Times New Roman" w:eastAsia="Times New Roman" w:hAnsi="Times New Roman"/>
          <w:sz w:val="20"/>
          <w:szCs w:val="20"/>
          <w:b w:val="1"/>
          <w:bCs w:val="1"/>
          <w:color w:val="auto"/>
        </w:rPr>
      </w:pPr>
    </w:p>
    <w:p>
      <w:pPr>
        <w:ind w:firstLine="757"/>
        <w:spacing w:after="0" w:line="269" w:lineRule="auto"/>
        <w:tabs>
          <w:tab w:leader="none" w:pos="1018" w:val="left"/>
        </w:tabs>
        <w:numPr>
          <w:ilvl w:val="1"/>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If the Original Issuance Date falls on a date that is not a business day, delivery shall instead occur on the next following business day. In addition, </w:t>
      </w:r>
      <w:r>
        <w:rPr>
          <w:rFonts w:ascii="Times New Roman" w:cs="Times New Roman" w:eastAsia="Times New Roman" w:hAnsi="Times New Roman"/>
          <w:sz w:val="20"/>
          <w:szCs w:val="20"/>
          <w:u w:val="single" w:color="auto"/>
          <w:color w:val="auto"/>
        </w:rPr>
        <w:t>if</w:t>
      </w:r>
      <w:r>
        <w:rPr>
          <w:rFonts w:ascii="Times New Roman" w:cs="Times New Roman" w:eastAsia="Times New Roman" w:hAnsi="Times New Roman"/>
          <w:sz w:val="20"/>
          <w:szCs w:val="20"/>
          <w:color w:val="auto"/>
        </w:rPr>
        <w:t>:</w:t>
      </w:r>
    </w:p>
    <w:p>
      <w:pPr>
        <w:spacing w:after="0" w:line="91" w:lineRule="exact"/>
        <w:rPr>
          <w:rFonts w:ascii="Times New Roman" w:cs="Times New Roman" w:eastAsia="Times New Roman" w:hAnsi="Times New Roman"/>
          <w:sz w:val="20"/>
          <w:szCs w:val="20"/>
          <w:b w:val="1"/>
          <w:bCs w:val="1"/>
          <w:color w:val="auto"/>
        </w:rPr>
      </w:pPr>
    </w:p>
    <w:p>
      <w:pPr>
        <w:ind w:right="80" w:firstLine="1505"/>
        <w:spacing w:after="0" w:line="246" w:lineRule="auto"/>
        <w:tabs>
          <w:tab w:leader="none" w:pos="2036" w:val="left"/>
        </w:tabs>
        <w:numPr>
          <w:ilvl w:val="2"/>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Original Issuance Date does not occur (1) during an “open window period” applicable to you, as determined by the Company in accordance with the Company’s then-effective policy on trading in Company securities, or (2) on a date when you are otherwise permitted to sell shares of Common Stock on an established stock exchange or stock market (including but not limited to under a previously established written trading plan that meets the requirements of Rule 10b5-1 under the Exchange Act and was entered into in compliance with the Company’s policies (a “</w:t>
      </w:r>
      <w:r>
        <w:rPr>
          <w:rFonts w:ascii="Times New Roman" w:cs="Times New Roman" w:eastAsia="Times New Roman" w:hAnsi="Times New Roman"/>
          <w:sz w:val="20"/>
          <w:szCs w:val="20"/>
          <w:b w:val="1"/>
          <w:bCs w:val="1"/>
          <w:i w:val="1"/>
          <w:iCs w:val="1"/>
          <w:color w:val="auto"/>
        </w:rPr>
        <w:t>10b5-1 Arrangement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w:t>
      </w:r>
    </w:p>
    <w:p>
      <w:pPr>
        <w:spacing w:after="0" w:line="103" w:lineRule="exact"/>
        <w:rPr>
          <w:rFonts w:ascii="Times New Roman" w:cs="Times New Roman" w:eastAsia="Times New Roman" w:hAnsi="Times New Roman"/>
          <w:sz w:val="20"/>
          <w:szCs w:val="20"/>
          <w:b w:val="1"/>
          <w:bCs w:val="1"/>
          <w:color w:val="auto"/>
        </w:rPr>
      </w:pPr>
    </w:p>
    <w:p>
      <w:pPr>
        <w:ind w:right="140" w:firstLine="1505"/>
        <w:spacing w:after="0" w:line="246" w:lineRule="auto"/>
        <w:tabs>
          <w:tab w:leader="none" w:pos="2036" w:val="left"/>
        </w:tabs>
        <w:numPr>
          <w:ilvl w:val="2"/>
          <w:numId w:val="2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either (1) a Withholding Obligation does not apply, or (2) the Company decides, prior to the Original Issuance Date, (A) not to satisfy the Withholding Obligation by withholding shares of Common Stock from the shares otherwise due, on the Original Issuance Date, to you under this Award, and (B) not to permit you to enter into a “same day sale” commitment with a broker-dealer (including but not limited to a commitment under a 10b5-1 Arrangement) and (C) not to permit you to pay your Withholding Obligation in cash,</w:t>
      </w:r>
    </w:p>
    <w:p>
      <w:pPr>
        <w:spacing w:after="0" w:line="11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u w:val="single" w:color="auto"/>
          <w:color w:val="auto"/>
        </w:rPr>
        <w:t>then</w:t>
      </w:r>
      <w:r>
        <w:rPr>
          <w:rFonts w:ascii="Times New Roman" w:cs="Times New Roman" w:eastAsia="Times New Roman" w:hAnsi="Times New Roman"/>
          <w:sz w:val="20"/>
          <w:szCs w:val="20"/>
          <w:color w:val="auto"/>
        </w:rPr>
        <w:t xml:space="preserve"> the shares that would otherwise be issued to you on the Original Issuance Date will not be delivered on such Original Issuance Date and will instead be delivered on the first business day when you are not prohibited from selling shares of the Company’s Common Stock in the open public market, but in no event later than December 31 of the calendar year in which the Original Issuance Date occurs (that is, the last day of your taxable year in which the Original Issuance Date occurs), or, </w:t>
      </w:r>
      <w:r>
        <w:rPr>
          <w:rFonts w:ascii="Times New Roman" w:cs="Times New Roman" w:eastAsia="Times New Roman" w:hAnsi="Times New Roman"/>
          <w:sz w:val="20"/>
          <w:szCs w:val="20"/>
          <w:u w:val="single" w:color="auto"/>
          <w:color w:val="auto"/>
        </w:rPr>
        <w:t>if and only if</w:t>
      </w:r>
      <w:r>
        <w:rPr>
          <w:rFonts w:ascii="Times New Roman" w:cs="Times New Roman" w:eastAsia="Times New Roman" w:hAnsi="Times New Roman"/>
          <w:sz w:val="20"/>
          <w:szCs w:val="20"/>
          <w:color w:val="auto"/>
        </w:rPr>
        <w:t xml:space="preserve"> permitted in a manner that complies with Treasury Regulations Section 1.409A-1(b)(4),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w:t>
      </w:r>
    </w:p>
    <w:p>
      <w:pPr>
        <w:spacing w:after="0" w:line="118" w:lineRule="exact"/>
        <w:rPr>
          <w:sz w:val="20"/>
          <w:szCs w:val="20"/>
          <w:color w:val="auto"/>
        </w:rPr>
      </w:pPr>
    </w:p>
    <w:p>
      <w:pPr>
        <w:ind w:left="1020" w:hanging="263"/>
        <w:spacing w:after="0"/>
        <w:tabs>
          <w:tab w:leader="none" w:pos="1020" w:val="left"/>
        </w:tabs>
        <w:numPr>
          <w:ilvl w:val="0"/>
          <w:numId w:val="2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To the extent the RSU Award is a Non-Exempt RSU Award, the provisions of Section 11 of the Plan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978535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56" w:name="page257"/>
    <w:bookmarkEnd w:id="256"/>
    <w:p>
      <w:pPr>
        <w:ind w:left="372" w:right="680" w:hanging="372"/>
        <w:spacing w:after="0" w:line="273" w:lineRule="auto"/>
        <w:tabs>
          <w:tab w:leader="none" w:pos="372"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TRANSFERABILITY. </w:t>
      </w:r>
      <w:r>
        <w:rPr>
          <w:rFonts w:ascii="Times New Roman" w:cs="Times New Roman" w:eastAsia="Times New Roman" w:hAnsi="Times New Roman"/>
          <w:sz w:val="20"/>
          <w:szCs w:val="20"/>
          <w:color w:val="auto"/>
        </w:rPr>
        <w:t>Except as otherwise provided in the Plan, your RSU Award is not transferable, except by will or by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applicable laws of descent and distribution.</w:t>
      </w:r>
    </w:p>
    <w:p>
      <w:pPr>
        <w:spacing w:after="0" w:line="84" w:lineRule="exact"/>
        <w:rPr>
          <w:rFonts w:ascii="Times New Roman" w:cs="Times New Roman" w:eastAsia="Times New Roman" w:hAnsi="Times New Roman"/>
          <w:sz w:val="20"/>
          <w:szCs w:val="20"/>
          <w:b w:val="1"/>
          <w:bCs w:val="1"/>
          <w:color w:val="auto"/>
        </w:rPr>
      </w:pPr>
    </w:p>
    <w:p>
      <w:pPr>
        <w:ind w:left="372" w:right="120" w:hanging="372"/>
        <w:spacing w:after="0" w:line="256" w:lineRule="auto"/>
        <w:tabs>
          <w:tab w:leader="none" w:pos="372"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CORPORATE TRANSACTION. </w:t>
      </w:r>
      <w:r>
        <w:rPr>
          <w:rFonts w:ascii="Times New Roman" w:cs="Times New Roman" w:eastAsia="Times New Roman" w:hAnsi="Times New Roman"/>
          <w:sz w:val="20"/>
          <w:szCs w:val="20"/>
          <w:color w:val="auto"/>
        </w:rPr>
        <w:t>Your RSU Award is subject to the terms of any agreement governing a Corporate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involving the Company, including, without limitation, a provision for the appointment of a stockholder representative that is authorized to act on your behalf with respect to any escrow, indemnities and any contingent consideration.</w:t>
      </w:r>
    </w:p>
    <w:p>
      <w:pPr>
        <w:spacing w:after="0" w:line="87" w:lineRule="exact"/>
        <w:rPr>
          <w:rFonts w:ascii="Times New Roman" w:cs="Times New Roman" w:eastAsia="Times New Roman" w:hAnsi="Times New Roman"/>
          <w:sz w:val="20"/>
          <w:szCs w:val="20"/>
          <w:b w:val="1"/>
          <w:bCs w:val="1"/>
          <w:color w:val="auto"/>
        </w:rPr>
      </w:pPr>
    </w:p>
    <w:p>
      <w:pPr>
        <w:ind w:left="372" w:right="260" w:hanging="372"/>
        <w:spacing w:after="0" w:line="268" w:lineRule="auto"/>
        <w:tabs>
          <w:tab w:leader="none" w:pos="372" w:val="left"/>
        </w:tabs>
        <w:numPr>
          <w:ilvl w:val="0"/>
          <w:numId w:val="23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NO LIABILITY FOR TAXES</w:t>
      </w:r>
      <w:r>
        <w:rPr>
          <w:rFonts w:ascii="Times New Roman" w:cs="Times New Roman" w:eastAsia="Times New Roman" w:hAnsi="Times New Roman"/>
          <w:sz w:val="19"/>
          <w:szCs w:val="19"/>
          <w:color w:val="auto"/>
        </w:rPr>
        <w:t>. As a condition to accepting the RSU Award, you hereby (a) agree to not make any claim against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or any of its Officers, Directors, Employees or Affiliates related to tax liabilities arising from the RSU Award or other Company compensation and (b) acknowledge that you were advised to consult with your own personal tax, financial and other legal advisors regarding the tax consequences of the RSU Award and have either done so or knowingly and voluntarily declined to do so.</w:t>
      </w:r>
    </w:p>
    <w:p>
      <w:pPr>
        <w:spacing w:after="0" w:line="90" w:lineRule="exact"/>
        <w:rPr>
          <w:rFonts w:ascii="Times New Roman" w:cs="Times New Roman" w:eastAsia="Times New Roman" w:hAnsi="Times New Roman"/>
          <w:sz w:val="19"/>
          <w:szCs w:val="19"/>
          <w:b w:val="1"/>
          <w:bCs w:val="1"/>
          <w:color w:val="auto"/>
        </w:rPr>
      </w:pPr>
    </w:p>
    <w:p>
      <w:pPr>
        <w:ind w:left="372" w:hanging="372"/>
        <w:spacing w:after="0" w:line="247" w:lineRule="auto"/>
        <w:tabs>
          <w:tab w:leader="none" w:pos="372"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SEVERABILITY</w:t>
      </w:r>
      <w:r>
        <w:rPr>
          <w:rFonts w:ascii="Times New Roman" w:cs="Times New Roman" w:eastAsia="Times New Roman" w:hAnsi="Times New Roman"/>
          <w:sz w:val="20"/>
          <w:szCs w:val="20"/>
          <w:color w:val="auto"/>
        </w:rPr>
        <w:t>. If any part of this Agreement or the Plan is declared by any court or governmental authority to be unlawful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invalid, such unlawfulness or invalidity will not invalidate any portion of this Agreement or the Plan not declared to be unlawful or invalid. Any Section of this Agreement (or part of such a Section) so declared to be unlawful or invalid will, if possible, be construed in a manner which will give effect to the terms of such Section or part of a Section to the fullest extent possible while remaining lawful and valid.</w:t>
      </w:r>
    </w:p>
    <w:p>
      <w:pPr>
        <w:spacing w:after="0" w:line="112" w:lineRule="exact"/>
        <w:rPr>
          <w:rFonts w:ascii="Times New Roman" w:cs="Times New Roman" w:eastAsia="Times New Roman" w:hAnsi="Times New Roman"/>
          <w:sz w:val="20"/>
          <w:szCs w:val="20"/>
          <w:b w:val="1"/>
          <w:bCs w:val="1"/>
          <w:color w:val="auto"/>
        </w:rPr>
      </w:pPr>
    </w:p>
    <w:p>
      <w:pPr>
        <w:ind w:left="372" w:right="100" w:hanging="372"/>
        <w:spacing w:after="0" w:line="256" w:lineRule="auto"/>
        <w:tabs>
          <w:tab w:leader="none" w:pos="372"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OTHER DOCUMENTS. </w:t>
      </w:r>
      <w:r>
        <w:rPr>
          <w:rFonts w:ascii="Times New Roman" w:cs="Times New Roman" w:eastAsia="Times New Roman" w:hAnsi="Times New Roman"/>
          <w:sz w:val="20"/>
          <w:szCs w:val="20"/>
          <w:color w:val="auto"/>
        </w:rPr>
        <w:t>You hereby acknowledge receipt of or the right to receive a document providing the information required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Rule 428(b)(1) promulgated under the Securities Act, which includes the Prospectus. In addition, you acknowledge receipt of the Company’s Trading Policy.</w:t>
      </w:r>
    </w:p>
    <w:p>
      <w:pPr>
        <w:spacing w:after="0" w:line="87" w:lineRule="exact"/>
        <w:rPr>
          <w:rFonts w:ascii="Times New Roman" w:cs="Times New Roman" w:eastAsia="Times New Roman" w:hAnsi="Times New Roman"/>
          <w:sz w:val="20"/>
          <w:szCs w:val="20"/>
          <w:b w:val="1"/>
          <w:bCs w:val="1"/>
          <w:color w:val="auto"/>
        </w:rPr>
      </w:pPr>
    </w:p>
    <w:p>
      <w:pPr>
        <w:ind w:left="372" w:right="440" w:hanging="372"/>
        <w:spacing w:after="0" w:line="273" w:lineRule="auto"/>
        <w:tabs>
          <w:tab w:leader="none" w:pos="372" w:val="left"/>
        </w:tabs>
        <w:numPr>
          <w:ilvl w:val="0"/>
          <w:numId w:val="2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QUESTIONS. </w:t>
      </w:r>
      <w:r>
        <w:rPr>
          <w:rFonts w:ascii="Times New Roman" w:cs="Times New Roman" w:eastAsia="Times New Roman" w:hAnsi="Times New Roman"/>
          <w:sz w:val="20"/>
          <w:szCs w:val="20"/>
          <w:color w:val="auto"/>
        </w:rPr>
        <w:t>If you have questions regarding these or any other terms and conditions applicable to your RSU Award, including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summary of the applicable federal income tax consequences please see the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949325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409" w:right="359" w:bottom="1440" w:gutter="0" w:footer="0" w:header="0"/>
        </w:sectPr>
      </w:pPr>
    </w:p>
    <w:bookmarkStart w:id="257" w:name="page258"/>
    <w:bookmarkEnd w:id="25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ATTACHMENT II</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2026 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988695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258" w:name="page259"/>
    <w:bookmarkEnd w:id="258"/>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INDEMNIFICATION AGREEMENT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520"/>
              <w:spacing w:after="0"/>
              <w:rPr>
                <w:sz w:val="20"/>
                <w:szCs w:val="20"/>
                <w:color w:val="auto"/>
              </w:rPr>
            </w:pPr>
            <w:r>
              <w:rPr>
                <w:rFonts w:ascii="Times New Roman" w:cs="Times New Roman" w:eastAsia="Times New Roman" w:hAnsi="Times New Roman"/>
                <w:sz w:val="20"/>
                <w:szCs w:val="20"/>
                <w:color w:val="auto"/>
                <w:w w:val="99"/>
              </w:rPr>
              <w:t>This Indemnification Agreement (this “</w:t>
            </w:r>
            <w:r>
              <w:rPr>
                <w:rFonts w:ascii="Times New Roman" w:cs="Times New Roman" w:eastAsia="Times New Roman" w:hAnsi="Times New Roman"/>
                <w:sz w:val="20"/>
                <w:szCs w:val="20"/>
                <w:b w:val="1"/>
                <w:bCs w:val="1"/>
                <w:i w:val="1"/>
                <w:iCs w:val="1"/>
                <w:color w:val="auto"/>
                <w:w w:val="99"/>
              </w:rPr>
              <w:t>Agreement</w:t>
            </w:r>
            <w:r>
              <w:rPr>
                <w:rFonts w:ascii="Times New Roman" w:cs="Times New Roman" w:eastAsia="Times New Roman" w:hAnsi="Times New Roman"/>
                <w:sz w:val="20"/>
                <w:szCs w:val="20"/>
                <w:color w:val="auto"/>
                <w:w w:val="99"/>
              </w:rPr>
              <w:t>”) is dated as of</w:t>
            </w:r>
          </w:p>
        </w:tc>
        <w:tc>
          <w:tcPr>
            <w:tcW w:w="760" w:type="dxa"/>
            <w:vAlign w:val="bottom"/>
            <w:tcBorders>
              <w:bottom w:val="single" w:sz="8" w:color="auto"/>
            </w:tcBorders>
          </w:tcPr>
          <w:p>
            <w:pPr>
              <w:spacing w:after="0"/>
              <w:rPr>
                <w:sz w:val="19"/>
                <w:szCs w:val="19"/>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w w:val="98"/>
              </w:rPr>
              <w:t>, 20__, and is between Invivyd, Inc., a Delaware</w:t>
            </w:r>
          </w:p>
        </w:tc>
      </w:tr>
      <w:tr>
        <w:trPr>
          <w:trHeight w:val="256"/>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____________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w:t>
            </w:r>
          </w:p>
        </w:tc>
        <w:tc>
          <w:tcPr>
            <w:tcW w:w="760" w:type="dxa"/>
            <w:vAlign w:val="bottom"/>
          </w:tcPr>
          <w:p>
            <w:pPr>
              <w:spacing w:after="0"/>
              <w:rPr>
                <w:sz w:val="22"/>
                <w:szCs w:val="22"/>
                <w:color w:val="auto"/>
              </w:rPr>
            </w:pPr>
          </w:p>
        </w:tc>
        <w:tc>
          <w:tcPr>
            <w:tcW w:w="3820" w:type="dxa"/>
            <w:vAlign w:val="bottom"/>
          </w:tcPr>
          <w:p>
            <w:pPr>
              <w:spacing w:after="0"/>
              <w:rPr>
                <w:sz w:val="22"/>
                <w:szCs w:val="22"/>
                <w:color w:val="auto"/>
              </w:rPr>
            </w:pPr>
          </w:p>
        </w:tc>
      </w:tr>
    </w:tbl>
    <w:p>
      <w:pPr>
        <w:spacing w:after="0" w:line="17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b w:val="1"/>
          <w:bCs w:val="1"/>
          <w:color w:val="auto"/>
        </w:rPr>
        <w:t xml:space="preserve">A. </w:t>
      </w:r>
      <w:r>
        <w:rPr>
          <w:rFonts w:ascii="Times New Roman" w:cs="Times New Roman" w:eastAsia="Times New Roman" w:hAnsi="Times New Roman"/>
          <w:sz w:val="20"/>
          <w:szCs w:val="20"/>
          <w:color w:val="auto"/>
        </w:rPr>
        <w:t>Indemnitee’s service to the Company substantially benefits the Company.</w:t>
      </w:r>
    </w:p>
    <w:p>
      <w:pPr>
        <w:spacing w:after="0" w:line="202" w:lineRule="exact"/>
        <w:rPr>
          <w:sz w:val="20"/>
          <w:szCs w:val="20"/>
          <w:color w:val="auto"/>
        </w:rPr>
      </w:pPr>
    </w:p>
    <w:p>
      <w:pPr>
        <w:ind w:right="160" w:firstLine="50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B. </w:t>
      </w:r>
      <w:r>
        <w:rPr>
          <w:rFonts w:ascii="Times New Roman" w:cs="Times New Roman" w:eastAsia="Times New Roman" w:hAnsi="Times New Roman"/>
          <w:sz w:val="19"/>
          <w:szCs w:val="19"/>
          <w:color w:val="auto"/>
        </w:rPr>
        <w:t>Individuals are reluctant to serve as directors or officers of corporations or in certain other capacities unless they are provided with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adequate protection through insurance or indemnification against the risks of claims and actions against them arising out of such service.</w:t>
      </w:r>
    </w:p>
    <w:p>
      <w:pPr>
        <w:spacing w:after="0" w:line="115"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C. </w:t>
      </w:r>
      <w:r>
        <w:rPr>
          <w:rFonts w:ascii="Times New Roman" w:cs="Times New Roman" w:eastAsia="Times New Roman" w:hAnsi="Times New Roman"/>
          <w:sz w:val="20"/>
          <w:szCs w:val="20"/>
          <w:color w:val="auto"/>
        </w:rPr>
        <w:t>Indemnitee does not regard the protection currently provided by applicable law, the Company’s governing documents and 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insurance as adequate under the present circumstances, and Indemnitee may not be willing to serve as a director or officer without additional protection.</w:t>
      </w:r>
    </w:p>
    <w:p>
      <w:pPr>
        <w:spacing w:after="0" w:line="142" w:lineRule="exact"/>
        <w:rPr>
          <w:sz w:val="20"/>
          <w:szCs w:val="20"/>
          <w:color w:val="auto"/>
        </w:rPr>
      </w:pPr>
    </w:p>
    <w:p>
      <w:pPr>
        <w:ind w:right="420" w:firstLine="509"/>
        <w:spacing w:after="0" w:line="300" w:lineRule="auto"/>
        <w:rPr>
          <w:sz w:val="20"/>
          <w:szCs w:val="20"/>
          <w:color w:val="auto"/>
        </w:rPr>
      </w:pPr>
      <w:r>
        <w:rPr>
          <w:rFonts w:ascii="Times New Roman" w:cs="Times New Roman" w:eastAsia="Times New Roman" w:hAnsi="Times New Roman"/>
          <w:sz w:val="19"/>
          <w:szCs w:val="19"/>
          <w:b w:val="1"/>
          <w:bCs w:val="1"/>
          <w:color w:val="auto"/>
        </w:rPr>
        <w:t xml:space="preserve">D. </w:t>
      </w:r>
      <w:r>
        <w:rPr>
          <w:rFonts w:ascii="Times New Roman" w:cs="Times New Roman" w:eastAsia="Times New Roman" w:hAnsi="Times New Roman"/>
          <w:sz w:val="19"/>
          <w:szCs w:val="19"/>
          <w:color w:val="auto"/>
        </w:rPr>
        <w:t>In order to induce Indemnitee to continue to provide services to the Company, it is reasonable, prudent and necessary for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Company to contractually obligate itself to indemnify, and to advance expenses on behalf of, Indemnitee as permitted by applicable law.</w:t>
      </w:r>
    </w:p>
    <w:p>
      <w:pPr>
        <w:spacing w:after="0" w:line="115"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E. </w:t>
      </w:r>
      <w:r>
        <w:rPr>
          <w:rFonts w:ascii="Times New Roman" w:cs="Times New Roman" w:eastAsia="Times New Roman" w:hAnsi="Times New Roman"/>
          <w:sz w:val="20"/>
          <w:szCs w:val="20"/>
          <w:color w:val="auto"/>
        </w:rPr>
        <w:t>This Agreement is a supplement to and in furtherance of the indemnification provided in the Company’s certificate of incorporation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and bylaws, and any resolutions adopted pursuant thereto, and this Agreement shall not be deemed a substitute therefor, nor shall this Agreement be deemed to limit, diminish or abrogate any rights of Indemnitee thereunder.</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The parties therefore agree as follows:</w:t>
      </w:r>
    </w:p>
    <w:p>
      <w:pPr>
        <w:spacing w:after="0" w:line="185" w:lineRule="exact"/>
        <w:rPr>
          <w:sz w:val="20"/>
          <w:szCs w:val="20"/>
          <w:color w:val="auto"/>
        </w:rPr>
      </w:pPr>
    </w:p>
    <w:p>
      <w:pPr>
        <w:ind w:left="720" w:hanging="203"/>
        <w:spacing w:after="0"/>
        <w:tabs>
          <w:tab w:leader="none" w:pos="720" w:val="left"/>
        </w:tabs>
        <w:numPr>
          <w:ilvl w:val="0"/>
          <w:numId w:val="2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Definitions</w:t>
      </w:r>
      <w:r>
        <w:rPr>
          <w:rFonts w:ascii="Times New Roman" w:cs="Times New Roman" w:eastAsia="Times New Roman" w:hAnsi="Times New Roman"/>
          <w:sz w:val="20"/>
          <w:szCs w:val="20"/>
          <w:color w:val="auto"/>
        </w:rPr>
        <w:t>.</w:t>
      </w:r>
    </w:p>
    <w:p>
      <w:pPr>
        <w:spacing w:after="0" w:line="202" w:lineRule="exact"/>
        <w:rPr>
          <w:rFonts w:ascii="Times New Roman" w:cs="Times New Roman" w:eastAsia="Times New Roman" w:hAnsi="Times New Roman"/>
          <w:sz w:val="20"/>
          <w:szCs w:val="20"/>
          <w:b w:val="1"/>
          <w:bCs w:val="1"/>
          <w:color w:val="auto"/>
        </w:rPr>
      </w:pPr>
    </w:p>
    <w:p>
      <w:pPr>
        <w:ind w:left="1420" w:hanging="266"/>
        <w:spacing w:after="0"/>
        <w:tabs>
          <w:tab w:leader="none" w:pos="1420" w:val="left"/>
        </w:tabs>
        <w:numPr>
          <w:ilvl w:val="1"/>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be deemed to occur upon the earliest to occur after the date of this Agreement of any of the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following events:</w:t>
      </w:r>
    </w:p>
    <w:p>
      <w:pPr>
        <w:spacing w:after="0" w:line="176" w:lineRule="exact"/>
        <w:rPr>
          <w:rFonts w:ascii="Times New Roman" w:cs="Times New Roman" w:eastAsia="Times New Roman" w:hAnsi="Times New Roman"/>
          <w:sz w:val="20"/>
          <w:szCs w:val="20"/>
          <w:color w:val="auto"/>
        </w:rPr>
      </w:pPr>
    </w:p>
    <w:p>
      <w:pPr>
        <w:ind w:right="200" w:firstLine="1663"/>
        <w:spacing w:after="0" w:line="256" w:lineRule="auto"/>
        <w:tabs>
          <w:tab w:leader="none" w:pos="1891" w:val="left"/>
        </w:tabs>
        <w:numPr>
          <w:ilvl w:val="2"/>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Acquisition of Stock by Third Party. </w:t>
      </w:r>
      <w:r>
        <w:rPr>
          <w:rFonts w:ascii="Times New Roman" w:cs="Times New Roman" w:eastAsia="Times New Roman" w:hAnsi="Times New Roman"/>
          <w:sz w:val="20"/>
          <w:szCs w:val="20"/>
          <w:color w:val="auto"/>
        </w:rPr>
        <w:t>Any Person (as defined below) is or becomes the Beneficial Owner (as defined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below), directly or indirectly, of securities of the Company representing fifty percent (50%) or more of the combined voting power of the Company’s then outstanding securities;</w:t>
      </w:r>
    </w:p>
    <w:p>
      <w:pPr>
        <w:spacing w:after="0" w:line="141" w:lineRule="exact"/>
        <w:rPr>
          <w:rFonts w:ascii="Times New Roman" w:cs="Times New Roman" w:eastAsia="Times New Roman" w:hAnsi="Times New Roman"/>
          <w:sz w:val="20"/>
          <w:szCs w:val="20"/>
          <w:color w:val="auto"/>
        </w:rPr>
      </w:pPr>
    </w:p>
    <w:p>
      <w:pPr>
        <w:ind w:right="80" w:firstLine="1663"/>
        <w:spacing w:after="0" w:line="245" w:lineRule="auto"/>
        <w:tabs>
          <w:tab w:leader="none" w:pos="1946" w:val="left"/>
        </w:tabs>
        <w:numPr>
          <w:ilvl w:val="2"/>
          <w:numId w:val="2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Change in Board Composition. </w:t>
      </w:r>
      <w:r>
        <w:rPr>
          <w:rFonts w:ascii="Times New Roman" w:cs="Times New Roman" w:eastAsia="Times New Roman" w:hAnsi="Times New Roman"/>
          <w:sz w:val="20"/>
          <w:szCs w:val="20"/>
          <w:color w:val="auto"/>
        </w:rPr>
        <w:t>During any period of two consecutive years (not including any period prior to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execution of 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65" w:lineRule="exact"/>
        <w:rPr>
          <w:rFonts w:ascii="Times New Roman" w:cs="Times New Roman" w:eastAsia="Times New Roman" w:hAnsi="Times New Roman"/>
          <w:sz w:val="20"/>
          <w:szCs w:val="20"/>
          <w:color w:val="auto"/>
        </w:rPr>
      </w:pPr>
    </w:p>
    <w:p>
      <w:pPr>
        <w:ind w:right="40" w:firstLine="1663"/>
        <w:spacing w:after="0" w:line="276" w:lineRule="auto"/>
        <w:tabs>
          <w:tab w:leader="none" w:pos="2001" w:val="left"/>
        </w:tabs>
        <w:numPr>
          <w:ilvl w:val="2"/>
          <w:numId w:val="2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 xml:space="preserve">Corporate Transactions. </w:t>
      </w:r>
      <w:r>
        <w:rPr>
          <w:rFonts w:ascii="Times New Roman" w:cs="Times New Roman" w:eastAsia="Times New Roman" w:hAnsi="Times New Roman"/>
          <w:sz w:val="19"/>
          <w:szCs w:val="19"/>
          <w:color w:val="auto"/>
        </w:rPr>
        <w:t>The effective date of a merger or consolidation of the Company with any other entity,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other than a merger or consolidation which would result in the voting securities of the Company outstanding immediately prior to such merger or consolidation continuing to represent (either by remaining outstanding or by being converted into voting securities of the surviving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982980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59" w:name="page260"/>
    <w:bookmarkEnd w:id="259"/>
    <w:p>
      <w:pPr>
        <w:ind w:right="300"/>
        <w:spacing w:after="0" w:line="254" w:lineRule="auto"/>
        <w:rPr>
          <w:sz w:val="20"/>
          <w:szCs w:val="20"/>
          <w:color w:val="auto"/>
        </w:rPr>
      </w:pPr>
      <w:r>
        <w:rPr>
          <w:rFonts w:ascii="Times New Roman" w:cs="Times New Roman" w:eastAsia="Times New Roman" w:hAnsi="Times New Roman"/>
          <w:sz w:val="20"/>
          <w:szCs w:val="20"/>
          <w:color w:val="auto"/>
        </w:rPr>
        <w:t>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57" w:lineRule="exact"/>
        <w:rPr>
          <w:sz w:val="20"/>
          <w:szCs w:val="20"/>
          <w:color w:val="auto"/>
        </w:rPr>
      </w:pPr>
    </w:p>
    <w:p>
      <w:pPr>
        <w:ind w:right="420" w:firstLine="1663"/>
        <w:spacing w:after="0" w:line="273" w:lineRule="auto"/>
        <w:tabs>
          <w:tab w:leader="none" w:pos="1990"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Liquidation. </w:t>
      </w:r>
      <w:r>
        <w:rPr>
          <w:rFonts w:ascii="Times New Roman" w:cs="Times New Roman" w:eastAsia="Times New Roman" w:hAnsi="Times New Roman"/>
          <w:sz w:val="20"/>
          <w:szCs w:val="20"/>
          <w:color w:val="auto"/>
        </w:rPr>
        <w:t>The approval by the stockholders of the Company of a complete liquidation of the Company or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agreement for the sale or disposition by the Company of all or substantially all of the Company’s assets; and</w:t>
      </w:r>
    </w:p>
    <w:p>
      <w:pPr>
        <w:spacing w:after="0" w:line="124" w:lineRule="exact"/>
        <w:rPr>
          <w:rFonts w:ascii="Times New Roman" w:cs="Times New Roman" w:eastAsia="Times New Roman" w:hAnsi="Times New Roman"/>
          <w:sz w:val="20"/>
          <w:szCs w:val="20"/>
          <w:color w:val="auto"/>
        </w:rPr>
      </w:pPr>
    </w:p>
    <w:p>
      <w:pPr>
        <w:jc w:val="both"/>
        <w:ind w:right="40" w:firstLine="1663"/>
        <w:spacing w:after="0" w:line="256" w:lineRule="auto"/>
        <w:tabs>
          <w:tab w:leader="none" w:pos="1935" w:val="left"/>
        </w:tabs>
        <w:numPr>
          <w:ilvl w:val="0"/>
          <w:numId w:val="2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 xml:space="preserve">Other Events. </w:t>
      </w:r>
      <w:r>
        <w:rPr>
          <w:rFonts w:ascii="Times New Roman" w:cs="Times New Roman" w:eastAsia="Times New Roman" w:hAnsi="Times New Roman"/>
          <w:sz w:val="20"/>
          <w:szCs w:val="20"/>
          <w:color w:val="auto"/>
        </w:rPr>
        <w:t>Any other event of a nature that would be required to be reported in response to Item 6(e) of Schedule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14A of Regulation 14A (or in response to any similar item on any similar schedule or form) promulgated under the Securities Exchange Act of 1934, as amended, whether or not the Company is then subject to such reporting requirement.</w:t>
      </w:r>
    </w:p>
    <w:p>
      <w:pPr>
        <w:spacing w:after="0" w:line="15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For purposes of this Section 1(a), the following terms shall have the following meanings:</w:t>
      </w:r>
    </w:p>
    <w:p>
      <w:pPr>
        <w:spacing w:after="0" w:line="198" w:lineRule="exact"/>
        <w:rPr>
          <w:sz w:val="20"/>
          <w:szCs w:val="20"/>
          <w:color w:val="auto"/>
        </w:rPr>
      </w:pPr>
    </w:p>
    <w:p>
      <w:pPr>
        <w:ind w:right="80" w:firstLine="2299"/>
        <w:spacing w:after="0" w:line="250" w:lineRule="auto"/>
        <w:tabs>
          <w:tab w:leader="none" w:pos="2571"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xml:space="preserve">” shall have the meaning as set forth in Sections 13(d) and 14(d) of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48" w:lineRule="exact"/>
        <w:rPr>
          <w:rFonts w:ascii="Times New Roman" w:cs="Times New Roman" w:eastAsia="Times New Roman" w:hAnsi="Times New Roman"/>
          <w:sz w:val="20"/>
          <w:szCs w:val="20"/>
          <w:color w:val="auto"/>
        </w:rPr>
      </w:pPr>
    </w:p>
    <w:p>
      <w:pPr>
        <w:jc w:val="both"/>
        <w:ind w:right="40" w:firstLine="2299"/>
        <w:spacing w:after="0" w:line="250" w:lineRule="auto"/>
        <w:tabs>
          <w:tab w:leader="none" w:pos="2571" w:val="left"/>
        </w:tabs>
        <w:numPr>
          <w:ilvl w:val="1"/>
          <w:numId w:val="2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xml:space="preserve">” shall have the meaning given to such term in Rule 13d-3 under the Securities Exchange Act of 1934, as amended;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w:t>
      </w:r>
      <w:r>
        <w:rPr>
          <w:rFonts w:ascii="Times New Roman" w:cs="Times New Roman" w:eastAsia="Times New Roman" w:hAnsi="Times New Roman"/>
          <w:sz w:val="20"/>
          <w:szCs w:val="20"/>
          <w:b w:val="1"/>
          <w:bCs w:val="1"/>
          <w:i w:val="1"/>
          <w:iCs w:val="1"/>
          <w:color w:val="auto"/>
        </w:rPr>
        <w:t>Beneficial Owner</w:t>
      </w:r>
      <w:r>
        <w:rPr>
          <w:rFonts w:ascii="Times New Roman" w:cs="Times New Roman" w:eastAsia="Times New Roman" w:hAnsi="Times New Roman"/>
          <w:sz w:val="20"/>
          <w:szCs w:val="20"/>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62" w:lineRule="exact"/>
        <w:rPr>
          <w:rFonts w:ascii="Times New Roman" w:cs="Times New Roman" w:eastAsia="Times New Roman" w:hAnsi="Times New Roman"/>
          <w:sz w:val="20"/>
          <w:szCs w:val="20"/>
          <w:color w:val="auto"/>
        </w:rPr>
      </w:pPr>
    </w:p>
    <w:p>
      <w:pPr>
        <w:ind w:right="220" w:firstLine="1154"/>
        <w:spacing w:after="0" w:line="273" w:lineRule="auto"/>
        <w:tabs>
          <w:tab w:leader="none" w:pos="142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Corporate Status</w:t>
      </w:r>
      <w:r>
        <w:rPr>
          <w:rFonts w:ascii="Times New Roman" w:cs="Times New Roman" w:eastAsia="Times New Roman" w:hAnsi="Times New Roman"/>
          <w:sz w:val="20"/>
          <w:szCs w:val="20"/>
          <w:color w:val="auto"/>
        </w:rPr>
        <w:t>” describes the status of a person who is or was a director, trustee, general partner, managing member, officer, employee, agent or fiduciary of the Company or any other Enterprise.</w:t>
      </w:r>
    </w:p>
    <w:p>
      <w:pPr>
        <w:spacing w:after="0" w:line="138" w:lineRule="exact"/>
        <w:rPr>
          <w:rFonts w:ascii="Times New Roman" w:cs="Times New Roman" w:eastAsia="Times New Roman" w:hAnsi="Times New Roman"/>
          <w:sz w:val="20"/>
          <w:szCs w:val="20"/>
          <w:color w:val="auto"/>
        </w:rPr>
      </w:pPr>
    </w:p>
    <w:p>
      <w:pPr>
        <w:ind w:left="1420" w:hanging="266"/>
        <w:spacing w:after="0"/>
        <w:tabs>
          <w:tab w:leader="none" w:pos="1420"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DGCL</w:t>
      </w:r>
      <w:r>
        <w:rPr>
          <w:rFonts w:ascii="Times New Roman" w:cs="Times New Roman" w:eastAsia="Times New Roman" w:hAnsi="Times New Roman"/>
          <w:sz w:val="20"/>
          <w:szCs w:val="20"/>
          <w:color w:val="auto"/>
        </w:rPr>
        <w:t>” means the General Corporation Law of the State of Delaware.</w:t>
      </w:r>
    </w:p>
    <w:p>
      <w:pPr>
        <w:spacing w:after="0" w:line="188" w:lineRule="exact"/>
        <w:rPr>
          <w:rFonts w:ascii="Times New Roman" w:cs="Times New Roman" w:eastAsia="Times New Roman" w:hAnsi="Times New Roman"/>
          <w:sz w:val="20"/>
          <w:szCs w:val="20"/>
          <w:color w:val="auto"/>
        </w:rPr>
      </w:pPr>
    </w:p>
    <w:p>
      <w:pPr>
        <w:ind w:right="180" w:firstLine="1154"/>
        <w:spacing w:after="0" w:line="273" w:lineRule="auto"/>
        <w:tabs>
          <w:tab w:leader="none" w:pos="1426"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Disinterested Director</w:t>
      </w:r>
      <w:r>
        <w:rPr>
          <w:rFonts w:ascii="Times New Roman" w:cs="Times New Roman" w:eastAsia="Times New Roman" w:hAnsi="Times New Roman"/>
          <w:sz w:val="20"/>
          <w:szCs w:val="20"/>
          <w:color w:val="auto"/>
        </w:rPr>
        <w:t>” means a director of the Company who is not and was not a party to the Proceeding in respect of which indemnification is sought by Indemnitee.</w:t>
      </w:r>
    </w:p>
    <w:p>
      <w:pPr>
        <w:spacing w:after="0" w:line="138" w:lineRule="exact"/>
        <w:rPr>
          <w:rFonts w:ascii="Times New Roman" w:cs="Times New Roman" w:eastAsia="Times New Roman" w:hAnsi="Times New Roman"/>
          <w:sz w:val="20"/>
          <w:szCs w:val="20"/>
          <w:color w:val="auto"/>
        </w:rPr>
      </w:pPr>
    </w:p>
    <w:p>
      <w:pPr>
        <w:ind w:right="120" w:firstLine="1154"/>
        <w:spacing w:after="0" w:line="256" w:lineRule="auto"/>
        <w:tabs>
          <w:tab w:leader="none" w:pos="1415"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Enterprise</w:t>
      </w:r>
      <w:r>
        <w:rPr>
          <w:rFonts w:ascii="Times New Roman" w:cs="Times New Roman" w:eastAsia="Times New Roman" w:hAnsi="Times New Roman"/>
          <w:sz w:val="20"/>
          <w:szCs w:val="20"/>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55" w:lineRule="exact"/>
        <w:rPr>
          <w:rFonts w:ascii="Times New Roman" w:cs="Times New Roman" w:eastAsia="Times New Roman" w:hAnsi="Times New Roman"/>
          <w:sz w:val="20"/>
          <w:szCs w:val="20"/>
          <w:color w:val="auto"/>
        </w:rPr>
      </w:pPr>
    </w:p>
    <w:p>
      <w:pPr>
        <w:ind w:firstLine="1154"/>
        <w:spacing w:after="0" w:line="244" w:lineRule="auto"/>
        <w:tabs>
          <w:tab w:leader="none" w:pos="1393" w:val="left"/>
        </w:tabs>
        <w:numPr>
          <w:ilvl w:val="0"/>
          <w:numId w:val="2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Expenses</w:t>
      </w:r>
      <w:r>
        <w:rPr>
          <w:rFonts w:ascii="Times New Roman" w:cs="Times New Roman" w:eastAsia="Times New Roman" w:hAnsi="Times New Roman"/>
          <w:sz w:val="20"/>
          <w:szCs w:val="20"/>
          <w:color w:val="auto"/>
        </w:rPr>
        <w:t>” include all reasonable attorneys’ fees, retainers, court costs, transcript costs, fees and costs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supersedes bond or other appeal bond or their equivalent, and (ii) for purposes of Section 12(d), Expenses incurred by Indemnitee in connection with the interpretation, enforcement or defense of Indemnitee’s rights under this Agreement or under any directors’ and officers’ liability insurance policies maintained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993775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60" w:name="page261"/>
    <w:bookmarkEnd w:id="260"/>
    <w:p>
      <w:pPr>
        <w:spacing w:after="0"/>
        <w:rPr>
          <w:sz w:val="20"/>
          <w:szCs w:val="20"/>
          <w:color w:val="auto"/>
        </w:rPr>
      </w:pPr>
      <w:r>
        <w:rPr>
          <w:rFonts w:ascii="Times New Roman" w:cs="Times New Roman" w:eastAsia="Times New Roman" w:hAnsi="Times New Roman"/>
          <w:sz w:val="20"/>
          <w:szCs w:val="20"/>
          <w:color w:val="auto"/>
        </w:rPr>
        <w:t>Expenses, however, shall not include amounts paid in settlement by Indemnitee or the amount of judgments or fines against Indemnitee.</w:t>
      </w:r>
    </w:p>
    <w:p>
      <w:pPr>
        <w:spacing w:after="0" w:line="198" w:lineRule="exact"/>
        <w:rPr>
          <w:sz w:val="20"/>
          <w:szCs w:val="20"/>
          <w:color w:val="auto"/>
        </w:rPr>
      </w:pPr>
    </w:p>
    <w:p>
      <w:pPr>
        <w:ind w:firstLine="1154"/>
        <w:spacing w:after="0" w:line="245" w:lineRule="auto"/>
        <w:tabs>
          <w:tab w:leader="none" w:pos="1426"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0"/>
          <w:szCs w:val="20"/>
          <w:b w:val="1"/>
          <w:bCs w:val="1"/>
          <w:i w:val="1"/>
          <w:iCs w:val="1"/>
          <w:color w:val="auto"/>
        </w:rPr>
        <w:t>Independent Counsel</w:t>
      </w:r>
      <w:r>
        <w:rPr>
          <w:rFonts w:ascii="Times New Roman" w:cs="Times New Roman" w:eastAsia="Times New Roman" w:hAnsi="Times New Roman"/>
          <w:sz w:val="20"/>
          <w:szCs w:val="20"/>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52" w:lineRule="exact"/>
        <w:rPr>
          <w:rFonts w:ascii="Times New Roman" w:cs="Times New Roman" w:eastAsia="Times New Roman" w:hAnsi="Times New Roman"/>
          <w:sz w:val="20"/>
          <w:szCs w:val="20"/>
          <w:color w:val="auto"/>
        </w:rPr>
      </w:pPr>
    </w:p>
    <w:p>
      <w:pPr>
        <w:ind w:right="80" w:firstLine="1154"/>
        <w:spacing w:after="0" w:line="243" w:lineRule="auto"/>
        <w:tabs>
          <w:tab w:leader="none" w:pos="1426"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Proceeding</w:t>
      </w:r>
      <w:r>
        <w:rPr>
          <w:rFonts w:ascii="Times New Roman" w:cs="Times New Roman" w:eastAsia="Times New Roman" w:hAnsi="Times New Roman"/>
          <w:sz w:val="20"/>
          <w:szCs w:val="20"/>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2" w:lineRule="exact"/>
        <w:rPr>
          <w:rFonts w:ascii="Times New Roman" w:cs="Times New Roman" w:eastAsia="Times New Roman" w:hAnsi="Times New Roman"/>
          <w:sz w:val="20"/>
          <w:szCs w:val="20"/>
          <w:color w:val="auto"/>
        </w:rPr>
      </w:pPr>
    </w:p>
    <w:p>
      <w:pPr>
        <w:ind w:right="180" w:firstLine="1154"/>
        <w:spacing w:after="0" w:line="246" w:lineRule="auto"/>
        <w:tabs>
          <w:tab w:leader="none" w:pos="1382" w:val="left"/>
        </w:tabs>
        <w:numPr>
          <w:ilvl w:val="1"/>
          <w:numId w:val="2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Reference to “</w:t>
      </w:r>
      <w:r>
        <w:rPr>
          <w:rFonts w:ascii="Times New Roman" w:cs="Times New Roman" w:eastAsia="Times New Roman" w:hAnsi="Times New Roman"/>
          <w:sz w:val="20"/>
          <w:szCs w:val="20"/>
          <w:b w:val="1"/>
          <w:bCs w:val="1"/>
          <w:i w:val="1"/>
          <w:i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i w:val="1"/>
          <w:iCs w:val="1"/>
          <w:color w:val="auto"/>
        </w:rPr>
        <w:t>fines</w:t>
      </w:r>
      <w:r>
        <w:rPr>
          <w:rFonts w:ascii="Times New Roman" w:cs="Times New Roman" w:eastAsia="Times New Roman" w:hAnsi="Times New Roman"/>
          <w:sz w:val="20"/>
          <w:szCs w:val="20"/>
          <w:color w:val="auto"/>
        </w:rPr>
        <w:t>” shall include any excise taxes assessed on a person with respect to any employee benefit plan; references to “</w:t>
      </w:r>
      <w:r>
        <w:rPr>
          <w:rFonts w:ascii="Times New Roman" w:cs="Times New Roman" w:eastAsia="Times New Roman" w:hAnsi="Times New Roman"/>
          <w:sz w:val="20"/>
          <w:szCs w:val="20"/>
          <w:b w:val="1"/>
          <w:bCs w:val="1"/>
          <w:i w:val="1"/>
          <w:iCs w:val="1"/>
          <w:color w:val="auto"/>
        </w:rPr>
        <w:t>serving at the 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20"/>
          <w:szCs w:val="20"/>
          <w:b w:val="1"/>
          <w:bCs w:val="1"/>
          <w:i w:val="1"/>
          <w:iCs w:val="1"/>
          <w:color w:val="auto"/>
        </w:rPr>
        <w:t>not opposed to the best interests of the Company</w:t>
      </w:r>
      <w:r>
        <w:rPr>
          <w:rFonts w:ascii="Times New Roman" w:cs="Times New Roman" w:eastAsia="Times New Roman" w:hAnsi="Times New Roman"/>
          <w:sz w:val="20"/>
          <w:szCs w:val="20"/>
          <w:color w:val="auto"/>
        </w:rPr>
        <w:t>” as referred to in this Agreement.</w:t>
      </w:r>
    </w:p>
    <w:p>
      <w:pPr>
        <w:spacing w:after="0" w:line="165" w:lineRule="exact"/>
        <w:rPr>
          <w:rFonts w:ascii="Times New Roman" w:cs="Times New Roman" w:eastAsia="Times New Roman" w:hAnsi="Times New Roman"/>
          <w:sz w:val="20"/>
          <w:szCs w:val="20"/>
          <w:color w:val="auto"/>
        </w:rPr>
      </w:pPr>
    </w:p>
    <w:p>
      <w:pPr>
        <w:ind w:right="40" w:firstLine="517"/>
        <w:spacing w:after="0" w:line="245" w:lineRule="auto"/>
        <w:tabs>
          <w:tab w:leader="none" w:pos="707"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Indemnity in Third-Party Proceedings. </w:t>
      </w:r>
      <w:r>
        <w:rPr>
          <w:rFonts w:ascii="Times New Roman" w:cs="Times New Roman" w:eastAsia="Times New Roman" w:hAnsi="Times New Roman"/>
          <w:sz w:val="20"/>
          <w:szCs w:val="20"/>
          <w:color w:val="auto"/>
        </w:rPr>
        <w:t>The Company shall indemnify Indemnitee in accordance with the provisions of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2 if 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52" w:lineRule="exact"/>
        <w:rPr>
          <w:rFonts w:ascii="Times New Roman" w:cs="Times New Roman" w:eastAsia="Times New Roman" w:hAnsi="Times New Roman"/>
          <w:sz w:val="20"/>
          <w:szCs w:val="20"/>
          <w:b w:val="1"/>
          <w:bCs w:val="1"/>
          <w:color w:val="auto"/>
        </w:rPr>
      </w:pPr>
    </w:p>
    <w:p>
      <w:pPr>
        <w:jc w:val="both"/>
        <w:ind w:right="80" w:firstLine="517"/>
        <w:spacing w:after="0" w:line="250" w:lineRule="auto"/>
        <w:tabs>
          <w:tab w:leader="none" w:pos="707" w:val="left"/>
        </w:tabs>
        <w:numPr>
          <w:ilvl w:val="0"/>
          <w:numId w:val="23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Indemnity in Proceedings by or in the Right of the Company. </w:t>
      </w:r>
      <w:r>
        <w:rPr>
          <w:rFonts w:ascii="Times New Roman" w:cs="Times New Roman" w:eastAsia="Times New Roman" w:hAnsi="Times New Roman"/>
          <w:sz w:val="20"/>
          <w:szCs w:val="20"/>
          <w:color w:val="auto"/>
        </w:rPr>
        <w:t>The Company shall indemnify Indemnitee in accordance with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1" w:name="page262"/>
    <w:bookmarkEnd w:id="261"/>
    <w:p>
      <w:pPr>
        <w:spacing w:after="0" w:line="244" w:lineRule="auto"/>
        <w:rPr>
          <w:sz w:val="20"/>
          <w:szCs w:val="20"/>
          <w:color w:val="auto"/>
        </w:rPr>
      </w:pPr>
      <w:r>
        <w:rPr>
          <w:rFonts w:ascii="Times New Roman" w:cs="Times New Roman" w:eastAsia="Times New Roman" w:hAnsi="Times New Roman"/>
          <w:sz w:val="20"/>
          <w:szCs w:val="20"/>
          <w:color w:val="auto"/>
        </w:rPr>
        <w:t>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68" w:lineRule="exact"/>
        <w:rPr>
          <w:sz w:val="20"/>
          <w:szCs w:val="20"/>
          <w:color w:val="auto"/>
        </w:rPr>
      </w:pPr>
    </w:p>
    <w:p>
      <w:pPr>
        <w:ind w:firstLine="517"/>
        <w:spacing w:after="0" w:line="243" w:lineRule="auto"/>
        <w:tabs>
          <w:tab w:leader="none" w:pos="707"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Party Who is Wholly or Partly Successful. </w:t>
      </w:r>
      <w:r>
        <w:rPr>
          <w:rFonts w:ascii="Times New Roman" w:cs="Times New Roman" w:eastAsia="Times New Roman" w:hAnsi="Times New Roman"/>
          <w:sz w:val="20"/>
          <w:szCs w:val="20"/>
          <w:color w:val="auto"/>
        </w:rPr>
        <w:t>To the extent that Indemnitee is a party to or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in and is successful (on the merits or otherwise) in defense of any Proceeding or any claim, issue or matter therein, the Company shall indemnify Indemnitee against all Expenses actually and reasonably incurred by Indemnitee or on Indemnitee’s behalf in connection therewith. To the extent permitted by applicable law, if Indemnitee is not wholly successful in such Proceeding but is successful, on the merits or otherwise, in defense of one or more but less than all claims, issues or matters in such Proceeding, the Company shall indemnify Indemnitee against all Expenses actually and reasonably incurred by Indemnitee or on Indemnitee’s behalf in connection with (a) each successfully resolved claim, issue or matter and (b) any claim, issue or matter related to any such successfully resolved claim, issue or matter. For purposes of this section, the termination of any claim, issue or matter in such a Proceeding by dismissal, with or without prejudice, shall be deemed to be a successful result as to such claim, issue or matter.</w:t>
      </w:r>
    </w:p>
    <w:p>
      <w:pPr>
        <w:spacing w:after="0" w:line="158" w:lineRule="exact"/>
        <w:rPr>
          <w:rFonts w:ascii="Times New Roman" w:cs="Times New Roman" w:eastAsia="Times New Roman" w:hAnsi="Times New Roman"/>
          <w:sz w:val="20"/>
          <w:szCs w:val="20"/>
          <w:b w:val="1"/>
          <w:bCs w:val="1"/>
          <w:color w:val="auto"/>
        </w:rPr>
      </w:pPr>
    </w:p>
    <w:p>
      <w:pPr>
        <w:ind w:right="40" w:firstLine="517"/>
        <w:spacing w:after="0" w:line="256" w:lineRule="auto"/>
        <w:tabs>
          <w:tab w:leader="none" w:pos="707"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Indemnification for Expenses of a Witness. </w:t>
      </w:r>
      <w:r>
        <w:rPr>
          <w:rFonts w:ascii="Times New Roman" w:cs="Times New Roman" w:eastAsia="Times New Roman" w:hAnsi="Times New Roman"/>
          <w:sz w:val="20"/>
          <w:szCs w:val="20"/>
          <w:color w:val="auto"/>
        </w:rPr>
        <w:t>To the extent that Indemnitee is, by reason of his or her Corporate Status, a witness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Proceeding to which Indemnitee is not a party, Indemnitee shall be indemnified to the extent permitted by applicable law against all Expenses actually and reasonably incurred by Indemnitee or on Indemnitee’s behalf in connection therewith.</w:t>
      </w:r>
    </w:p>
    <w:p>
      <w:pPr>
        <w:spacing w:after="0" w:line="155" w:lineRule="exact"/>
        <w:rPr>
          <w:rFonts w:ascii="Times New Roman" w:cs="Times New Roman" w:eastAsia="Times New Roman" w:hAnsi="Times New Roman"/>
          <w:sz w:val="20"/>
          <w:szCs w:val="20"/>
          <w:b w:val="1"/>
          <w:bCs w:val="1"/>
          <w:color w:val="auto"/>
        </w:rPr>
      </w:pPr>
    </w:p>
    <w:p>
      <w:pPr>
        <w:ind w:left="720" w:hanging="203"/>
        <w:spacing w:after="0"/>
        <w:tabs>
          <w:tab w:leader="none" w:pos="720"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Additional Indemnification</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right="140" w:firstLine="1154"/>
        <w:spacing w:after="0" w:line="246" w:lineRule="auto"/>
        <w:tabs>
          <w:tab w:leader="none" w:pos="1415"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53" w:lineRule="exact"/>
        <w:rPr>
          <w:rFonts w:ascii="Times New Roman" w:cs="Times New Roman" w:eastAsia="Times New Roman" w:hAnsi="Times New Roman"/>
          <w:sz w:val="20"/>
          <w:szCs w:val="20"/>
          <w:color w:val="auto"/>
        </w:rPr>
      </w:pPr>
    </w:p>
    <w:p>
      <w:pPr>
        <w:ind w:right="240" w:firstLine="1154"/>
        <w:spacing w:after="0" w:line="273" w:lineRule="auto"/>
        <w:tabs>
          <w:tab w:leader="none" w:pos="1426" w:val="left"/>
        </w:tabs>
        <w:numPr>
          <w:ilvl w:val="1"/>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Section 6(a), the meaning of the phrase “</w:t>
      </w:r>
      <w:r>
        <w:rPr>
          <w:rFonts w:ascii="Times New Roman" w:cs="Times New Roman" w:eastAsia="Times New Roman" w:hAnsi="Times New Roman"/>
          <w:sz w:val="20"/>
          <w:szCs w:val="20"/>
          <w:b w:val="1"/>
          <w:bCs w:val="1"/>
          <w:i w:val="1"/>
          <w:iCs w:val="1"/>
          <w:color w:val="auto"/>
        </w:rPr>
        <w:t>to the fullest extent permitted by applicable law</w:t>
      </w:r>
      <w:r>
        <w:rPr>
          <w:rFonts w:ascii="Times New Roman" w:cs="Times New Roman" w:eastAsia="Times New Roman" w:hAnsi="Times New Roman"/>
          <w:sz w:val="20"/>
          <w:szCs w:val="20"/>
          <w:color w:val="auto"/>
        </w:rPr>
        <w:t>” shall include, but not be limited to:</w:t>
      </w:r>
    </w:p>
    <w:p>
      <w:pPr>
        <w:spacing w:after="0" w:line="142" w:lineRule="exact"/>
        <w:rPr>
          <w:rFonts w:ascii="Times New Roman" w:cs="Times New Roman" w:eastAsia="Times New Roman" w:hAnsi="Times New Roman"/>
          <w:sz w:val="20"/>
          <w:szCs w:val="20"/>
          <w:color w:val="auto"/>
        </w:rPr>
      </w:pPr>
    </w:p>
    <w:p>
      <w:pPr>
        <w:ind w:right="100" w:firstLine="1663"/>
        <w:spacing w:after="0" w:line="269" w:lineRule="auto"/>
        <w:tabs>
          <w:tab w:leader="none" w:pos="1891"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permitted by the provision of the DGCL that authorizes or contemplates additional indemnification by agreement, or the corresponding provision of any amendment to or replacement of the DGCL; and</w:t>
      </w:r>
    </w:p>
    <w:p>
      <w:pPr>
        <w:spacing w:after="0" w:line="145" w:lineRule="exact"/>
        <w:rPr>
          <w:rFonts w:ascii="Times New Roman" w:cs="Times New Roman" w:eastAsia="Times New Roman" w:hAnsi="Times New Roman"/>
          <w:sz w:val="20"/>
          <w:szCs w:val="20"/>
          <w:color w:val="auto"/>
        </w:rPr>
      </w:pPr>
    </w:p>
    <w:p>
      <w:pPr>
        <w:ind w:right="40" w:firstLine="1663"/>
        <w:spacing w:after="0" w:line="269" w:lineRule="auto"/>
        <w:tabs>
          <w:tab w:leader="none" w:pos="1946" w:val="left"/>
        </w:tabs>
        <w:numPr>
          <w:ilvl w:val="2"/>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128" w:lineRule="exact"/>
        <w:rPr>
          <w:rFonts w:ascii="Times New Roman" w:cs="Times New Roman" w:eastAsia="Times New Roman" w:hAnsi="Times New Roman"/>
          <w:sz w:val="20"/>
          <w:szCs w:val="20"/>
          <w:color w:val="auto"/>
        </w:rPr>
      </w:pPr>
    </w:p>
    <w:p>
      <w:pPr>
        <w:ind w:right="240" w:firstLine="517"/>
        <w:spacing w:after="0" w:line="273" w:lineRule="auto"/>
        <w:tabs>
          <w:tab w:leader="none" w:pos="707" w:val="left"/>
        </w:tabs>
        <w:numPr>
          <w:ilvl w:val="0"/>
          <w:numId w:val="2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Exclusions. </w:t>
      </w:r>
      <w:r>
        <w:rPr>
          <w:rFonts w:ascii="Times New Roman" w:cs="Times New Roman" w:eastAsia="Times New Roman" w:hAnsi="Times New Roman"/>
          <w:sz w:val="20"/>
          <w:szCs w:val="20"/>
          <w:color w:val="auto"/>
        </w:rPr>
        <w:t>Notwithstanding any provision in this Agreement, the Company shall not be obligated under this Agreement to make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indemnity in connection with any Proceeding (or any part of any Proceeding):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2" w:name="page263"/>
    <w:bookmarkEnd w:id="262"/>
    <w:p>
      <w:pPr>
        <w:ind w:left="-517" w:right="360" w:firstLine="1154"/>
        <w:spacing w:after="0" w:line="269" w:lineRule="auto"/>
        <w:tabs>
          <w:tab w:leader="none" w:pos="898"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Indemnitee under any statute, insurance policy, indemnity provision, vote or otherwise, except with respect to any excess beyond the amount paid;</w:t>
      </w:r>
    </w:p>
    <w:p>
      <w:pPr>
        <w:spacing w:after="0" w:line="145" w:lineRule="exact"/>
        <w:rPr>
          <w:rFonts w:ascii="Times New Roman" w:cs="Times New Roman" w:eastAsia="Times New Roman" w:hAnsi="Times New Roman"/>
          <w:sz w:val="20"/>
          <w:szCs w:val="20"/>
          <w:color w:val="auto"/>
        </w:rPr>
      </w:pPr>
    </w:p>
    <w:p>
      <w:pPr>
        <w:ind w:left="-517" w:firstLine="1154"/>
        <w:spacing w:after="0" w:line="254" w:lineRule="auto"/>
        <w:tabs>
          <w:tab w:leader="none" w:pos="909"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47" w:lineRule="exact"/>
        <w:rPr>
          <w:rFonts w:ascii="Times New Roman" w:cs="Times New Roman" w:eastAsia="Times New Roman" w:hAnsi="Times New Roman"/>
          <w:sz w:val="20"/>
          <w:szCs w:val="20"/>
          <w:color w:val="auto"/>
        </w:rPr>
      </w:pPr>
    </w:p>
    <w:p>
      <w:pPr>
        <w:ind w:left="-517" w:right="40" w:firstLine="1154"/>
        <w:spacing w:after="0" w:line="245" w:lineRule="auto"/>
        <w:tabs>
          <w:tab w:leader="none" w:pos="898"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i w:val="1"/>
          <w:i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70" w:lineRule="exact"/>
        <w:rPr>
          <w:rFonts w:ascii="Times New Roman" w:cs="Times New Roman" w:eastAsia="Times New Roman" w:hAnsi="Times New Roman"/>
          <w:sz w:val="20"/>
          <w:szCs w:val="20"/>
          <w:color w:val="auto"/>
        </w:rPr>
      </w:pPr>
    </w:p>
    <w:p>
      <w:pPr>
        <w:ind w:left="-517" w:right="60" w:firstLine="1154"/>
        <w:spacing w:after="0" w:line="246" w:lineRule="auto"/>
        <w:tabs>
          <w:tab w:leader="none" w:pos="909"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71" w:lineRule="exact"/>
        <w:rPr>
          <w:rFonts w:ascii="Times New Roman" w:cs="Times New Roman" w:eastAsia="Times New Roman" w:hAnsi="Times New Roman"/>
          <w:sz w:val="20"/>
          <w:szCs w:val="20"/>
          <w:color w:val="auto"/>
        </w:rPr>
      </w:pPr>
    </w:p>
    <w:p>
      <w:pPr>
        <w:ind w:left="903" w:hanging="266"/>
        <w:spacing w:after="0"/>
        <w:tabs>
          <w:tab w:leader="none" w:pos="903" w:val="left"/>
        </w:tabs>
        <w:numPr>
          <w:ilvl w:val="1"/>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184" w:lineRule="exact"/>
        <w:rPr>
          <w:rFonts w:ascii="Times New Roman" w:cs="Times New Roman" w:eastAsia="Times New Roman" w:hAnsi="Times New Roman"/>
          <w:sz w:val="20"/>
          <w:szCs w:val="20"/>
          <w:color w:val="auto"/>
        </w:rPr>
      </w:pPr>
    </w:p>
    <w:p>
      <w:pPr>
        <w:ind w:left="-517" w:right="20" w:firstLine="517"/>
        <w:spacing w:after="0" w:line="243" w:lineRule="auto"/>
        <w:tabs>
          <w:tab w:leader="none" w:pos="190" w:val="left"/>
        </w:tabs>
        <w:numPr>
          <w:ilvl w:val="0"/>
          <w:numId w:val="2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Advances of Expenses. </w:t>
      </w:r>
      <w:r>
        <w:rPr>
          <w:rFonts w:ascii="Times New Roman" w:cs="Times New Roman" w:eastAsia="Times New Roman" w:hAnsi="Times New Roman"/>
          <w:sz w:val="20"/>
          <w:szCs w:val="20"/>
          <w:color w:val="auto"/>
        </w:rPr>
        <w:t>The Company shall advance the Expenses incurred by Indemnitee in connection with any Proceeding,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for which indemnity is not permitted under this Agreement, but shall apply to any Proceeding referenced in Section 7(b) or 7(c) prior to a determination that Indemnitee is not entitled to be indemnified by the Company.</w:t>
      </w:r>
    </w:p>
    <w:p>
      <w:pPr>
        <w:spacing w:after="0" w:line="168" w:lineRule="exact"/>
        <w:rPr>
          <w:rFonts w:ascii="Times New Roman" w:cs="Times New Roman" w:eastAsia="Times New Roman" w:hAnsi="Times New Roman"/>
          <w:sz w:val="20"/>
          <w:szCs w:val="20"/>
          <w:b w:val="1"/>
          <w:bCs w:val="1"/>
          <w:color w:val="auto"/>
        </w:rPr>
      </w:pPr>
    </w:p>
    <w:p>
      <w:pPr>
        <w:ind w:left="203" w:hanging="203"/>
        <w:spacing w:after="0"/>
        <w:tabs>
          <w:tab w:leader="none" w:pos="203" w:val="left"/>
        </w:tabs>
        <w:numPr>
          <w:ilvl w:val="0"/>
          <w:numId w:val="2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for Notification and Defense of Claim</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left="-517" w:right="140" w:firstLine="1154"/>
        <w:spacing w:after="0" w:line="245" w:lineRule="auto"/>
        <w:tabs>
          <w:tab w:leader="none" w:pos="898" w:val="left"/>
        </w:tabs>
        <w:numPr>
          <w:ilvl w:val="1"/>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 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993140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13" w:right="339" w:bottom="1440" w:gutter="0" w:footer="0" w:header="0"/>
        </w:sectPr>
      </w:pPr>
    </w:p>
    <w:bookmarkStart w:id="263" w:name="page264"/>
    <w:bookmarkEnd w:id="263"/>
    <w:p>
      <w:pPr>
        <w:jc w:val="both"/>
        <w:ind w:left="-517" w:right="100" w:firstLine="1154"/>
        <w:spacing w:after="0" w:line="246" w:lineRule="auto"/>
        <w:tabs>
          <w:tab w:leader="none" w:pos="909"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the time of the receipt of a notice of a Proceeding pursuant to the terms hereof, the Company has directors’ and officers’ liability insurance in effect,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71" w:lineRule="exact"/>
        <w:rPr>
          <w:rFonts w:ascii="Times New Roman" w:cs="Times New Roman" w:eastAsia="Times New Roman" w:hAnsi="Times New Roman"/>
          <w:sz w:val="20"/>
          <w:szCs w:val="20"/>
          <w:color w:val="auto"/>
        </w:rPr>
      </w:pPr>
    </w:p>
    <w:p>
      <w:pPr>
        <w:ind w:left="-517" w:right="40" w:firstLine="1154"/>
        <w:spacing w:after="0" w:line="241" w:lineRule="auto"/>
        <w:tabs>
          <w:tab w:leader="none" w:pos="898"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Company may be obligated to make any indemnity in connection with a Proceeding, the Company shall be entitled to assume the defense of such Proceeding with counsel approved by Indemnitee, which approval shall not be unreasonably withheld,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counsel to the extent (i) the employment of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fees and expenses are non-duplicative and reasonably incurred in connection with Indemnitee’s role in the Proceeding despite the Company’s assumption of the defense, (iv) the Company is not financially or legally able to perform its indemnification obligations or (v) the Company shall not have retained, or shall not continue to retain, such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68" w:lineRule="exact"/>
        <w:rPr>
          <w:rFonts w:ascii="Times New Roman" w:cs="Times New Roman" w:eastAsia="Times New Roman" w:hAnsi="Times New Roman"/>
          <w:sz w:val="20"/>
          <w:szCs w:val="20"/>
          <w:color w:val="auto"/>
        </w:rPr>
      </w:pPr>
    </w:p>
    <w:p>
      <w:pPr>
        <w:ind w:left="-517" w:right="640" w:firstLine="1154"/>
        <w:spacing w:after="0" w:line="269" w:lineRule="auto"/>
        <w:tabs>
          <w:tab w:leader="none" w:pos="909"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Indemnitee shall give the Company such information and cooperation in connection with the Proceeding as may be reasonably appropriate.</w:t>
      </w:r>
    </w:p>
    <w:p>
      <w:pPr>
        <w:spacing w:after="0" w:line="145" w:lineRule="exact"/>
        <w:rPr>
          <w:rFonts w:ascii="Times New Roman" w:cs="Times New Roman" w:eastAsia="Times New Roman" w:hAnsi="Times New Roman"/>
          <w:sz w:val="20"/>
          <w:szCs w:val="20"/>
          <w:color w:val="auto"/>
        </w:rPr>
      </w:pPr>
    </w:p>
    <w:p>
      <w:pPr>
        <w:ind w:left="-517" w:right="580" w:firstLine="1154"/>
        <w:spacing w:after="0" w:line="269" w:lineRule="auto"/>
        <w:tabs>
          <w:tab w:leader="none" w:pos="898"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liable to indemnify Indemnitee for any settlement of any Proceeding (or any part thereof) without the Company’s prior written consent, which shall not be unreasonably withheld.</w:t>
      </w:r>
    </w:p>
    <w:p>
      <w:pPr>
        <w:spacing w:after="0" w:line="145" w:lineRule="exact"/>
        <w:rPr>
          <w:rFonts w:ascii="Times New Roman" w:cs="Times New Roman" w:eastAsia="Times New Roman" w:hAnsi="Times New Roman"/>
          <w:sz w:val="20"/>
          <w:szCs w:val="20"/>
          <w:color w:val="auto"/>
        </w:rPr>
      </w:pPr>
    </w:p>
    <w:p>
      <w:pPr>
        <w:ind w:left="-517" w:right="120" w:firstLine="1154"/>
        <w:spacing w:after="0" w:line="269" w:lineRule="auto"/>
        <w:tabs>
          <w:tab w:leader="none" w:pos="876" w:val="left"/>
        </w:tabs>
        <w:numPr>
          <w:ilvl w:val="1"/>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settle any Proceeding (or any part thereof) without Indemnitee’s prior written consent, which shall not be unreasonably withheld.</w:t>
      </w:r>
    </w:p>
    <w:p>
      <w:pPr>
        <w:spacing w:after="0" w:line="128" w:lineRule="exact"/>
        <w:rPr>
          <w:rFonts w:ascii="Times New Roman" w:cs="Times New Roman" w:eastAsia="Times New Roman" w:hAnsi="Times New Roman"/>
          <w:sz w:val="20"/>
          <w:szCs w:val="20"/>
          <w:color w:val="auto"/>
        </w:rPr>
      </w:pPr>
    </w:p>
    <w:p>
      <w:pPr>
        <w:ind w:left="303" w:hanging="303"/>
        <w:spacing w:after="0"/>
        <w:tabs>
          <w:tab w:leader="none" w:pos="303" w:val="left"/>
        </w:tabs>
        <w:numPr>
          <w:ilvl w:val="0"/>
          <w:numId w:val="24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Procedures upon Application for Indemnification</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left="-517" w:right="100" w:firstLine="1154"/>
        <w:spacing w:after="0" w:line="245" w:lineRule="auto"/>
        <w:tabs>
          <w:tab w:leader="none" w:pos="898"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The Company shall, as soon as reasonably practicable after receipt of such a request for indemnification, advise the board of directors that Indemnitee has requested indemnification. Any delay in providing the request will not relieve the Company from its obligations under this Agreement, except to the extent such failure is prejudicial.</w:t>
      </w:r>
    </w:p>
    <w:p>
      <w:pPr>
        <w:spacing w:after="0" w:line="170" w:lineRule="exact"/>
        <w:rPr>
          <w:rFonts w:ascii="Times New Roman" w:cs="Times New Roman" w:eastAsia="Times New Roman" w:hAnsi="Times New Roman"/>
          <w:sz w:val="20"/>
          <w:szCs w:val="20"/>
          <w:color w:val="auto"/>
        </w:rPr>
      </w:pPr>
    </w:p>
    <w:p>
      <w:pPr>
        <w:ind w:left="-517" w:firstLine="1154"/>
        <w:spacing w:after="0" w:line="249" w:lineRule="auto"/>
        <w:tabs>
          <w:tab w:leader="none" w:pos="909" w:val="left"/>
        </w:tabs>
        <w:numPr>
          <w:ilvl w:val="1"/>
          <w:numId w:val="2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written request by Indemnitee for indemnification pursuant to Section 10(a), a determination, if required by applicable law,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989965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413" w:right="379" w:bottom="1440" w:gutter="0" w:footer="0" w:header="0"/>
        </w:sectPr>
      </w:pPr>
    </w:p>
    <w:bookmarkStart w:id="264" w:name="page265"/>
    <w:bookmarkEnd w:id="264"/>
    <w:p>
      <w:pPr>
        <w:ind w:right="60"/>
        <w:spacing w:after="0" w:line="242" w:lineRule="auto"/>
        <w:rPr>
          <w:sz w:val="20"/>
          <w:szCs w:val="20"/>
          <w:color w:val="auto"/>
        </w:rPr>
      </w:pPr>
      <w:r>
        <w:rPr>
          <w:rFonts w:ascii="Times New Roman" w:cs="Times New Roman" w:eastAsia="Times New Roman" w:hAnsi="Times New Roman"/>
          <w:sz w:val="20"/>
          <w:szCs w:val="20"/>
          <w:color w:val="auto"/>
        </w:rPr>
        <w:t>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so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reasonably incurred by Indemnitee in so cooperating with the person, persons or entity making such determination shall be borne by the Company, to the extent permitted by applicable law.</w:t>
      </w:r>
    </w:p>
    <w:p>
      <w:pPr>
        <w:spacing w:after="0" w:line="176" w:lineRule="exact"/>
        <w:rPr>
          <w:sz w:val="20"/>
          <w:szCs w:val="20"/>
          <w:color w:val="auto"/>
        </w:rPr>
      </w:pPr>
    </w:p>
    <w:p>
      <w:pPr>
        <w:ind w:firstLine="1154"/>
        <w:spacing w:after="0"/>
        <w:tabs>
          <w:tab w:leader="none" w:pos="1415"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such objection may be asserted only on the ground that the Independent Counsel so selected does not meet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pursuant to Section 12(a) of this Agreement, the Independent Counsel shall be discharged and relieved of any further responsibility in such capacity (subject to the applicable standards of professional conduct then prevailing).</w:t>
      </w:r>
    </w:p>
    <w:p>
      <w:pPr>
        <w:spacing w:after="0" w:line="178" w:lineRule="exact"/>
        <w:rPr>
          <w:rFonts w:ascii="Times New Roman" w:cs="Times New Roman" w:eastAsia="Times New Roman" w:hAnsi="Times New Roman"/>
          <w:sz w:val="20"/>
          <w:szCs w:val="20"/>
          <w:color w:val="auto"/>
        </w:rPr>
      </w:pPr>
    </w:p>
    <w:p>
      <w:pPr>
        <w:ind w:right="120" w:firstLine="1154"/>
        <w:spacing w:after="0" w:line="254" w:lineRule="auto"/>
        <w:tabs>
          <w:tab w:leader="none" w:pos="1426" w:val="left"/>
        </w:tabs>
        <w:numPr>
          <w:ilvl w:val="1"/>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agrees to pay the reasonable fees and expenses of any Independent Counsel and to fully indemnify such counsel against any and all Expenses, claims, liabilities and damages arising out of or relating to this Agreement or its engagement pursuant hereto.</w:t>
      </w:r>
    </w:p>
    <w:p>
      <w:pPr>
        <w:spacing w:after="0" w:line="156" w:lineRule="exact"/>
        <w:rPr>
          <w:rFonts w:ascii="Times New Roman" w:cs="Times New Roman" w:eastAsia="Times New Roman" w:hAnsi="Times New Roman"/>
          <w:sz w:val="20"/>
          <w:szCs w:val="20"/>
          <w:color w:val="auto"/>
        </w:rPr>
      </w:pPr>
    </w:p>
    <w:p>
      <w:pPr>
        <w:ind w:left="820" w:hanging="303"/>
        <w:spacing w:after="0"/>
        <w:tabs>
          <w:tab w:leader="none" w:pos="820" w:val="left"/>
        </w:tabs>
        <w:numPr>
          <w:ilvl w:val="0"/>
          <w:numId w:val="2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Presumptions and Effect of Certain Proceedings</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b w:val="1"/>
          <w:bCs w:val="1"/>
          <w:color w:val="auto"/>
        </w:rPr>
      </w:pPr>
    </w:p>
    <w:p>
      <w:pPr>
        <w:ind w:right="220" w:firstLine="1154"/>
        <w:spacing w:after="0" w:line="269" w:lineRule="auto"/>
        <w:tabs>
          <w:tab w:leader="none" w:pos="1415" w:val="left"/>
        </w:tabs>
        <w:numPr>
          <w:ilvl w:val="1"/>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making a determination with respect to entitlement to indemnification hereunder, the person, persons or entity making such determination shall, to the fullest extent not prohibited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977265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5" w:name="page266"/>
    <w:bookmarkEnd w:id="265"/>
    <w:p>
      <w:pPr>
        <w:spacing w:after="0" w:line="249" w:lineRule="auto"/>
        <w:rPr>
          <w:sz w:val="20"/>
          <w:szCs w:val="20"/>
          <w:color w:val="auto"/>
        </w:rPr>
      </w:pPr>
      <w:r>
        <w:rPr>
          <w:rFonts w:ascii="Times New Roman" w:cs="Times New Roman" w:eastAsia="Times New Roman" w:hAnsi="Times New Roman"/>
          <w:sz w:val="20"/>
          <w:szCs w:val="20"/>
          <w:color w:val="auto"/>
        </w:rPr>
        <w:t>presume that Indemnitee is entitled to indemnification under this Agreement if Indemnitee has submitted a request for indemnification in accordance with Section 10(a) of this Agreement, and the Company shall, to the fullest extent not prohibited by law, have the burden of proof to overcome that presumption in connection with the making by such person, persons or entity of any determination contrary to that presumption.</w:t>
      </w:r>
    </w:p>
    <w:p>
      <w:pPr>
        <w:spacing w:after="0" w:line="166" w:lineRule="exact"/>
        <w:rPr>
          <w:sz w:val="20"/>
          <w:szCs w:val="20"/>
          <w:color w:val="auto"/>
        </w:rPr>
      </w:pPr>
    </w:p>
    <w:p>
      <w:pPr>
        <w:ind w:right="20" w:firstLine="1154"/>
        <w:spacing w:after="0" w:line="246" w:lineRule="auto"/>
        <w:tabs>
          <w:tab w:leader="none" w:pos="1426"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57" w:lineRule="exact"/>
        <w:rPr>
          <w:rFonts w:ascii="Times New Roman" w:cs="Times New Roman" w:eastAsia="Times New Roman" w:hAnsi="Times New Roman"/>
          <w:sz w:val="20"/>
          <w:szCs w:val="20"/>
          <w:color w:val="auto"/>
        </w:rPr>
      </w:pPr>
    </w:p>
    <w:p>
      <w:pPr>
        <w:ind w:right="20" w:firstLine="1154"/>
        <w:spacing w:after="0" w:line="243" w:lineRule="auto"/>
        <w:tabs>
          <w:tab w:leader="none" w:pos="1415"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determination of good faith, Indemnitee shall be deemed to have acted in good faith to the extent Indemnitee relied in good faith on (i) the records or books of account of the Enterprise, including financial statements, (ii) information supplied to Indemnitee by the officers of the Enterprise in the course of their duties, (iii) the advice of legal counsel for the Enterprise or its board of directors or counsel selected by any committee of the board of directors or (iv) information or records given or reports made to the Enterprise by an independent certified public accountant, an appraiser, investment banker or other expert selected with reasonable care by the Enterprise or its board of directors or any committee of the board of directors. The provisions of this Section 11(c) shall not be deemed to be exclusive or to limit in any way the other circumstances in which Indemnitee may be deemed to have met the applicable standard of conduct set forth in this Agreement.</w:t>
      </w:r>
    </w:p>
    <w:p>
      <w:pPr>
        <w:spacing w:after="0" w:line="175" w:lineRule="exact"/>
        <w:rPr>
          <w:rFonts w:ascii="Times New Roman" w:cs="Times New Roman" w:eastAsia="Times New Roman" w:hAnsi="Times New Roman"/>
          <w:sz w:val="20"/>
          <w:szCs w:val="20"/>
          <w:color w:val="auto"/>
        </w:rPr>
      </w:pPr>
    </w:p>
    <w:p>
      <w:pPr>
        <w:ind w:right="80" w:firstLine="1154"/>
        <w:spacing w:after="0" w:line="269" w:lineRule="auto"/>
        <w:tabs>
          <w:tab w:leader="none" w:pos="1426" w:val="left"/>
        </w:tabs>
        <w:numPr>
          <w:ilvl w:val="1"/>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41" w:lineRule="exact"/>
        <w:rPr>
          <w:rFonts w:ascii="Times New Roman" w:cs="Times New Roman" w:eastAsia="Times New Roman" w:hAnsi="Times New Roman"/>
          <w:sz w:val="20"/>
          <w:szCs w:val="20"/>
          <w:color w:val="auto"/>
        </w:rPr>
      </w:pPr>
    </w:p>
    <w:p>
      <w:pPr>
        <w:ind w:left="820" w:hanging="303"/>
        <w:spacing w:after="0"/>
        <w:tabs>
          <w:tab w:leader="none" w:pos="820" w:val="left"/>
        </w:tabs>
        <w:numPr>
          <w:ilvl w:val="0"/>
          <w:numId w:val="24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Remedies of Indemnitee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b w:val="1"/>
          <w:bCs w:val="1"/>
          <w:color w:val="auto"/>
        </w:rPr>
      </w:pPr>
    </w:p>
    <w:p>
      <w:pPr>
        <w:ind w:right="20" w:firstLine="1154"/>
        <w:spacing w:after="0" w:line="256" w:lineRule="auto"/>
        <w:tabs>
          <w:tab w:leader="none" w:pos="1415" w:val="left"/>
        </w:tabs>
        <w:numPr>
          <w:ilvl w:val="1"/>
          <w:numId w:val="2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 (iii) 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 (v) 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The Company shall not oppose Indemnitee’s right to seek any such adjudication in accordance with this Agreement.</w:t>
      </w:r>
    </w:p>
    <w:p>
      <w:pPr>
        <w:spacing w:after="0" w:line="163" w:lineRule="exact"/>
        <w:rPr>
          <w:rFonts w:ascii="Times New Roman" w:cs="Times New Roman" w:eastAsia="Times New Roman" w:hAnsi="Times New Roman"/>
          <w:sz w:val="19"/>
          <w:szCs w:val="19"/>
          <w:color w:val="auto"/>
        </w:rPr>
      </w:pPr>
    </w:p>
    <w:p>
      <w:pPr>
        <w:ind w:firstLine="1154"/>
        <w:spacing w:after="0" w:line="249" w:lineRule="auto"/>
        <w:tabs>
          <w:tab w:leader="none" w:pos="1426" w:val="left"/>
        </w:tabs>
        <w:numPr>
          <w:ilvl w:val="1"/>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6" w:name="page267"/>
    <w:bookmarkEnd w:id="266"/>
    <w:p>
      <w:pPr>
        <w:ind w:right="40"/>
        <w:spacing w:after="0" w:line="245" w:lineRule="auto"/>
        <w:rPr>
          <w:sz w:val="20"/>
          <w:szCs w:val="20"/>
          <w:color w:val="auto"/>
        </w:rPr>
      </w:pPr>
      <w:r>
        <w:rPr>
          <w:rFonts w:ascii="Times New Roman" w:cs="Times New Roman" w:eastAsia="Times New Roman" w:hAnsi="Times New Roman"/>
          <w:sz w:val="20"/>
          <w:szCs w:val="20"/>
          <w:color w:val="auto"/>
        </w:rPr>
        <w:t xml:space="preserve">has not met the applicable standard of conduct, shall be a defense to the action or create a presumption that Indemnitee has or has not met the applicable standard of conduct. In the event that a determination shall have been made pursuant to Section 10 of this Agreement that Indemnitee is not entitled to indemnification, any judicial proceeding commenced pursuant to this Section 12 shall be conducted in all respects as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trial, on the merits, and Indemnitee shall not be prejudiced by reason of that adverse determination. In any judicial proceeding commenced pursuant to this Section 12, the Company shall, to the fullest extent not prohibited by law, have the burden of proving Indemnitee is not entitled to indemnification or advancement of Expenses, as the case may be.</w:t>
      </w:r>
    </w:p>
    <w:p>
      <w:pPr>
        <w:spacing w:after="0" w:line="171" w:lineRule="exact"/>
        <w:rPr>
          <w:sz w:val="20"/>
          <w:szCs w:val="20"/>
          <w:color w:val="auto"/>
        </w:rPr>
      </w:pPr>
    </w:p>
    <w:p>
      <w:pPr>
        <w:ind w:firstLine="1154"/>
        <w:spacing w:after="0" w:line="256" w:lineRule="auto"/>
        <w:tabs>
          <w:tab w:leader="none" w:pos="1415" w:val="left"/>
        </w:tabs>
        <w:numPr>
          <w:ilvl w:val="2"/>
          <w:numId w:val="2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fullest extent not prohibited by law, the Company shall be precluded from asserting in any judicial proceeding commenced pursuant to this Section 12 that the procedures and presumptions of this Agreement are not valid, binding and enforceable and shall stipulate in any such court that the Company is bound by all the provisions of this Agreement. If a determination shall have been made pursuant to Section 10 of this Agreement that Indemnitee is entitled to indemnification, the Company shall be bound by such determination in any judicial proceeding commenced pursuant to this Section 12, absent (i) a misstatement by Indemnitee of a material fact, or an omission of a material fact necessary to make Indemnitee’s statements not materially misleading, in connection with the request for indemnification, or</w:t>
      </w:r>
    </w:p>
    <w:p>
      <w:pPr>
        <w:ind w:left="300" w:hanging="292"/>
        <w:spacing w:after="0"/>
        <w:tabs>
          <w:tab w:leader="none" w:pos="300" w:val="left"/>
        </w:tabs>
        <w:numPr>
          <w:ilvl w:val="0"/>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prohibition of such indemnification under applicable law.</w:t>
      </w:r>
    </w:p>
    <w:p>
      <w:pPr>
        <w:spacing w:after="0" w:line="166" w:lineRule="exact"/>
        <w:rPr>
          <w:rFonts w:ascii="Times New Roman" w:cs="Times New Roman" w:eastAsia="Times New Roman" w:hAnsi="Times New Roman"/>
          <w:sz w:val="20"/>
          <w:szCs w:val="20"/>
          <w:color w:val="auto"/>
        </w:rPr>
      </w:pPr>
    </w:p>
    <w:p>
      <w:pPr>
        <w:ind w:firstLine="1154"/>
        <w:spacing w:after="0" w:line="246" w:lineRule="auto"/>
        <w:tabs>
          <w:tab w:leader="none" w:pos="1426" w:val="left"/>
        </w:tabs>
        <w:numPr>
          <w:ilvl w:val="2"/>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71" w:lineRule="exact"/>
        <w:rPr>
          <w:rFonts w:ascii="Times New Roman" w:cs="Times New Roman" w:eastAsia="Times New Roman" w:hAnsi="Times New Roman"/>
          <w:sz w:val="20"/>
          <w:szCs w:val="20"/>
          <w:color w:val="auto"/>
        </w:rPr>
      </w:pPr>
    </w:p>
    <w:p>
      <w:pPr>
        <w:ind w:right="100" w:firstLine="1154"/>
        <w:spacing w:after="0" w:line="269" w:lineRule="auto"/>
        <w:tabs>
          <w:tab w:leader="none" w:pos="1415" w:val="left"/>
        </w:tabs>
        <w:numPr>
          <w:ilvl w:val="2"/>
          <w:numId w:val="2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in this Agreement to the contrary, no determination as to entitlement to indemnification shall be required to be made prior to the final disposition of the Proceeding.</w:t>
      </w:r>
    </w:p>
    <w:p>
      <w:pPr>
        <w:spacing w:after="0" w:line="141" w:lineRule="exact"/>
        <w:rPr>
          <w:rFonts w:ascii="Times New Roman" w:cs="Times New Roman" w:eastAsia="Times New Roman" w:hAnsi="Times New Roman"/>
          <w:sz w:val="20"/>
          <w:szCs w:val="20"/>
          <w:color w:val="auto"/>
        </w:rPr>
      </w:pPr>
    </w:p>
    <w:p>
      <w:pPr>
        <w:ind w:right="20" w:firstLine="517"/>
        <w:spacing w:after="0" w:line="245" w:lineRule="auto"/>
        <w:tabs>
          <w:tab w:leader="none" w:pos="806" w:val="left"/>
        </w:tabs>
        <w:numPr>
          <w:ilvl w:val="1"/>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Contribution. </w:t>
      </w:r>
      <w:r>
        <w:rPr>
          <w:rFonts w:ascii="Times New Roman" w:cs="Times New Roman" w:eastAsia="Times New Roman" w:hAnsi="Times New Roman"/>
          <w:sz w:val="20"/>
          <w:szCs w:val="20"/>
          <w:color w:val="auto"/>
        </w:rPr>
        <w:t>To the fullest extent permissible under applicable law, if the indemnification provided for in this Agreement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unavailable to 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52" w:lineRule="exact"/>
        <w:rPr>
          <w:rFonts w:ascii="Times New Roman" w:cs="Times New Roman" w:eastAsia="Times New Roman" w:hAnsi="Times New Roman"/>
          <w:sz w:val="20"/>
          <w:szCs w:val="20"/>
          <w:b w:val="1"/>
          <w:bCs w:val="1"/>
          <w:color w:val="auto"/>
        </w:rPr>
      </w:pPr>
    </w:p>
    <w:p>
      <w:pPr>
        <w:ind w:firstLine="517"/>
        <w:spacing w:after="0" w:line="244" w:lineRule="auto"/>
        <w:tabs>
          <w:tab w:leader="none" w:pos="806" w:val="left"/>
        </w:tabs>
        <w:numPr>
          <w:ilvl w:val="1"/>
          <w:numId w:val="24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Non-exclusivity. </w:t>
      </w:r>
      <w:r>
        <w:rPr>
          <w:rFonts w:ascii="Times New Roman" w:cs="Times New Roman" w:eastAsia="Times New Roman" w:hAnsi="Times New Roman"/>
          <w:sz w:val="20"/>
          <w:szCs w:val="20"/>
          <w:color w:val="auto"/>
        </w:rPr>
        <w:t>The rights of indemnification and to receive advancement of Expenses as provided by this Agreement shall not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be deemed 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1002665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67" w:name="page268"/>
    <w:bookmarkEnd w:id="267"/>
    <w:p>
      <w:pPr>
        <w:spacing w:after="0" w:line="254" w:lineRule="auto"/>
        <w:rPr>
          <w:sz w:val="20"/>
          <w:szCs w:val="20"/>
          <w:color w:val="auto"/>
        </w:rPr>
      </w:pPr>
      <w:r>
        <w:rPr>
          <w:rFonts w:ascii="Times New Roman" w:cs="Times New Roman" w:eastAsia="Times New Roman" w:hAnsi="Times New Roman"/>
          <w:sz w:val="20"/>
          <w:szCs w:val="20"/>
          <w:color w:val="auto"/>
        </w:rPr>
        <w:t>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57" w:lineRule="exact"/>
        <w:rPr>
          <w:sz w:val="20"/>
          <w:szCs w:val="20"/>
          <w:color w:val="auto"/>
        </w:rPr>
      </w:pPr>
    </w:p>
    <w:p>
      <w:pPr>
        <w:ind w:right="60" w:firstLine="517"/>
        <w:spacing w:after="0" w:line="241" w:lineRule="auto"/>
        <w:tabs>
          <w:tab w:leader="none" w:pos="806"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Primary Responsibility. </w:t>
      </w:r>
      <w:r>
        <w:rPr>
          <w:rFonts w:ascii="Times New Roman" w:cs="Times New Roman" w:eastAsia="Times New Roman" w:hAnsi="Times New Roman"/>
          <w:sz w:val="20"/>
          <w:szCs w:val="20"/>
          <w:color w:val="auto"/>
        </w:rPr>
        <w:t>The Company acknowledges that to the extent Indemnitee is serving as a director on the Company’s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board of directors at the request or direction of a venture capital fund or other entity and/or certain of its affiliates (collectively, the “Secondary Indemnitors”),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167" w:lineRule="exact"/>
        <w:rPr>
          <w:rFonts w:ascii="Times New Roman" w:cs="Times New Roman" w:eastAsia="Times New Roman" w:hAnsi="Times New Roman"/>
          <w:sz w:val="20"/>
          <w:szCs w:val="20"/>
          <w:b w:val="1"/>
          <w:bCs w:val="1"/>
          <w:color w:val="auto"/>
        </w:rPr>
      </w:pPr>
    </w:p>
    <w:p>
      <w:pPr>
        <w:ind w:right="120" w:firstLine="517"/>
        <w:spacing w:after="0" w:line="256" w:lineRule="auto"/>
        <w:tabs>
          <w:tab w:leader="none" w:pos="806"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 Duplication of Payments. </w:t>
      </w:r>
      <w:r>
        <w:rPr>
          <w:rFonts w:ascii="Times New Roman" w:cs="Times New Roman" w:eastAsia="Times New Roman" w:hAnsi="Times New Roman"/>
          <w:sz w:val="20"/>
          <w:szCs w:val="20"/>
          <w:color w:val="auto"/>
        </w:rPr>
        <w:t>The Company shall not be liable under this Agreement to make any payment of amounts otherwise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55" w:lineRule="exact"/>
        <w:rPr>
          <w:rFonts w:ascii="Times New Roman" w:cs="Times New Roman" w:eastAsia="Times New Roman" w:hAnsi="Times New Roman"/>
          <w:sz w:val="20"/>
          <w:szCs w:val="20"/>
          <w:b w:val="1"/>
          <w:bCs w:val="1"/>
          <w:color w:val="auto"/>
        </w:rPr>
      </w:pPr>
    </w:p>
    <w:p>
      <w:pPr>
        <w:ind w:right="80" w:firstLine="517"/>
        <w:spacing w:after="0" w:line="250" w:lineRule="auto"/>
        <w:tabs>
          <w:tab w:leader="none" w:pos="806"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Insurance. </w:t>
      </w:r>
      <w:r>
        <w:rPr>
          <w:rFonts w:ascii="Times New Roman" w:cs="Times New Roman" w:eastAsia="Times New Roman" w:hAnsi="Times New Roman"/>
          <w:sz w:val="20"/>
          <w:szCs w:val="20"/>
          <w:color w:val="auto"/>
        </w:rPr>
        <w:t>To the extent that the Company maintains an insurance policy or policies providing liability insurance for directors,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trustees, 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62" w:lineRule="exact"/>
        <w:rPr>
          <w:rFonts w:ascii="Times New Roman" w:cs="Times New Roman" w:eastAsia="Times New Roman" w:hAnsi="Times New Roman"/>
          <w:sz w:val="20"/>
          <w:szCs w:val="20"/>
          <w:b w:val="1"/>
          <w:bCs w:val="1"/>
          <w:color w:val="auto"/>
        </w:rPr>
      </w:pPr>
    </w:p>
    <w:p>
      <w:pPr>
        <w:ind w:right="180" w:firstLine="517"/>
        <w:spacing w:after="0" w:line="256" w:lineRule="auto"/>
        <w:tabs>
          <w:tab w:leader="none" w:pos="806"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Subrogation. </w:t>
      </w:r>
      <w:r>
        <w:rPr>
          <w:rFonts w:ascii="Times New Roman" w:cs="Times New Roman" w:eastAsia="Times New Roman" w:hAnsi="Times New Roman"/>
          <w:sz w:val="20"/>
          <w:szCs w:val="20"/>
          <w:color w:val="auto"/>
        </w:rPr>
        <w:t>In the event of any payment under this Agreement, the Company shall be subrogated to the extent of such payment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all of the rights of recovery of Indemnitee, who shall execute all papers required and take all action necessary to secure such rights, including execution of such documents as are necessary to enable the Company to bring suit to enforce such rights.</w:t>
      </w:r>
    </w:p>
    <w:p>
      <w:pPr>
        <w:spacing w:after="0" w:line="141" w:lineRule="exact"/>
        <w:rPr>
          <w:rFonts w:ascii="Times New Roman" w:cs="Times New Roman" w:eastAsia="Times New Roman" w:hAnsi="Times New Roman"/>
          <w:sz w:val="20"/>
          <w:szCs w:val="20"/>
          <w:b w:val="1"/>
          <w:bCs w:val="1"/>
          <w:color w:val="auto"/>
        </w:rPr>
      </w:pPr>
    </w:p>
    <w:p>
      <w:pPr>
        <w:ind w:right="40" w:firstLine="517"/>
        <w:spacing w:after="0" w:line="245" w:lineRule="auto"/>
        <w:tabs>
          <w:tab w:leader="none" w:pos="806" w:val="left"/>
        </w:tabs>
        <w:numPr>
          <w:ilvl w:val="0"/>
          <w:numId w:val="24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Services to the Company. </w:t>
      </w:r>
      <w:r>
        <w:rPr>
          <w:rFonts w:ascii="Times New Roman" w:cs="Times New Roman" w:eastAsia="Times New Roman" w:hAnsi="Times New Roman"/>
          <w:sz w:val="20"/>
          <w:szCs w:val="20"/>
          <w:color w:val="auto"/>
        </w:rPr>
        <w:t>Indemnitee agrees to serve as a director or officer of the Company or, at the request of the Company,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 director, 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1000760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8" w:name="page269"/>
    <w:bookmarkEnd w:id="268"/>
    <w:p>
      <w:pPr>
        <w:ind w:right="140"/>
        <w:spacing w:after="0" w:line="246" w:lineRule="auto"/>
        <w:rPr>
          <w:sz w:val="20"/>
          <w:szCs w:val="20"/>
          <w:color w:val="auto"/>
        </w:rPr>
      </w:pPr>
      <w:r>
        <w:rPr>
          <w:rFonts w:ascii="Times New Roman" w:cs="Times New Roman" w:eastAsia="Times New Roman" w:hAnsi="Times New Roman"/>
          <w:sz w:val="20"/>
          <w:szCs w:val="20"/>
          <w:color w:val="auto"/>
        </w:rPr>
        <w:t>Enterprise) is at will, and Indemnitee may be discharged at any time for any reason, with or without cause, with or without notice, except as may be otherwise expressly provided in any executed, written 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67" w:lineRule="exact"/>
        <w:rPr>
          <w:sz w:val="20"/>
          <w:szCs w:val="20"/>
          <w:color w:val="auto"/>
        </w:rPr>
      </w:pPr>
    </w:p>
    <w:p>
      <w:pPr>
        <w:ind w:right="200" w:firstLine="517"/>
        <w:spacing w:after="0" w:line="247" w:lineRule="auto"/>
        <w:tabs>
          <w:tab w:leader="none" w:pos="806"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Duration. </w:t>
      </w:r>
      <w:r>
        <w:rPr>
          <w:rFonts w:ascii="Times New Roman" w:cs="Times New Roman" w:eastAsia="Times New Roman" w:hAnsi="Times New Roman"/>
          <w:sz w:val="20"/>
          <w:szCs w:val="20"/>
          <w:color w:val="auto"/>
        </w:rPr>
        <w:t>This Agreement shall continue until and terminate upon the later of (a) ten years after the date that Indemnitee 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have ceased to 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53" w:lineRule="exact"/>
        <w:rPr>
          <w:rFonts w:ascii="Times New Roman" w:cs="Times New Roman" w:eastAsia="Times New Roman" w:hAnsi="Times New Roman"/>
          <w:sz w:val="20"/>
          <w:szCs w:val="20"/>
          <w:b w:val="1"/>
          <w:bCs w:val="1"/>
          <w:color w:val="auto"/>
        </w:rPr>
      </w:pPr>
    </w:p>
    <w:p>
      <w:pPr>
        <w:ind w:right="120" w:firstLine="517"/>
        <w:spacing w:after="0" w:line="256" w:lineRule="auto"/>
        <w:tabs>
          <w:tab w:leader="none" w:pos="806"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Successors. </w:t>
      </w:r>
      <w:r>
        <w:rPr>
          <w:rFonts w:ascii="Times New Roman" w:cs="Times New Roman" w:eastAsia="Times New Roman" w:hAnsi="Times New Roman"/>
          <w:sz w:val="20"/>
          <w:szCs w:val="20"/>
          <w:color w:val="auto"/>
        </w:rPr>
        <w:t>This Agreement shall be binding upon the Company and its successors and assigns, including any direct or indirect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 by purchase, merger, consolidation or otherwise to all or substantially all of the business or assets of the Company, and shall inure to the benefit of Indemnitee and Indemnitee’s heirs, executors and administrators.</w:t>
      </w:r>
    </w:p>
    <w:p>
      <w:pPr>
        <w:spacing w:after="0" w:line="155" w:lineRule="exact"/>
        <w:rPr>
          <w:rFonts w:ascii="Times New Roman" w:cs="Times New Roman" w:eastAsia="Times New Roman" w:hAnsi="Times New Roman"/>
          <w:sz w:val="20"/>
          <w:szCs w:val="20"/>
          <w:b w:val="1"/>
          <w:bCs w:val="1"/>
          <w:color w:val="auto"/>
        </w:rPr>
      </w:pPr>
    </w:p>
    <w:p>
      <w:pPr>
        <w:ind w:firstLine="517"/>
        <w:spacing w:after="0" w:line="242" w:lineRule="auto"/>
        <w:tabs>
          <w:tab w:leader="none" w:pos="806"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Severability. </w:t>
      </w:r>
      <w:r>
        <w:rPr>
          <w:rFonts w:ascii="Times New Roman" w:cs="Times New Roman" w:eastAsia="Times New Roman" w:hAnsi="Times New Roman"/>
          <w:sz w:val="20"/>
          <w:szCs w:val="20"/>
          <w:color w:val="auto"/>
        </w:rPr>
        <w:t>Nothing in this Agreement is intended to require or shall be construed as requiring the Company to do or fail to do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act in 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76" w:lineRule="exact"/>
        <w:rPr>
          <w:rFonts w:ascii="Times New Roman" w:cs="Times New Roman" w:eastAsia="Times New Roman" w:hAnsi="Times New Roman"/>
          <w:sz w:val="20"/>
          <w:szCs w:val="20"/>
          <w:b w:val="1"/>
          <w:bCs w:val="1"/>
          <w:color w:val="auto"/>
        </w:rPr>
      </w:pPr>
    </w:p>
    <w:p>
      <w:pPr>
        <w:jc w:val="both"/>
        <w:ind w:right="300" w:firstLine="517"/>
        <w:spacing w:after="0" w:line="256" w:lineRule="auto"/>
        <w:tabs>
          <w:tab w:leader="none" w:pos="806"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Enforcement. </w:t>
      </w:r>
      <w:r>
        <w:rPr>
          <w:rFonts w:ascii="Times New Roman" w:cs="Times New Roman" w:eastAsia="Times New Roman" w:hAnsi="Times New Roman"/>
          <w:sz w:val="20"/>
          <w:szCs w:val="20"/>
          <w:color w:val="auto"/>
        </w:rPr>
        <w:t>The Company expressly confirms and agrees that it has entered into this Agreement and assumed the obligations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imposed on it hereby in order to induce Indemnitee to serve as a director or officer of the Company, and the Company acknowledges that Indemnitee is relying upon this Agreement in serving as a director or officer of the Company.</w:t>
      </w:r>
    </w:p>
    <w:p>
      <w:pPr>
        <w:spacing w:after="0" w:line="141" w:lineRule="exact"/>
        <w:rPr>
          <w:rFonts w:ascii="Times New Roman" w:cs="Times New Roman" w:eastAsia="Times New Roman" w:hAnsi="Times New Roman"/>
          <w:sz w:val="20"/>
          <w:szCs w:val="20"/>
          <w:b w:val="1"/>
          <w:bCs w:val="1"/>
          <w:color w:val="auto"/>
        </w:rPr>
      </w:pPr>
    </w:p>
    <w:p>
      <w:pPr>
        <w:ind w:right="180" w:firstLine="517"/>
        <w:spacing w:after="0" w:line="250" w:lineRule="auto"/>
        <w:tabs>
          <w:tab w:leader="none" w:pos="806"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Entire Agreement. </w:t>
      </w:r>
      <w:r>
        <w:rPr>
          <w:rFonts w:ascii="Times New Roman" w:cs="Times New Roman" w:eastAsia="Times New Roman" w:hAnsi="Times New Roman"/>
          <w:sz w:val="20"/>
          <w:szCs w:val="20"/>
          <w:color w:val="auto"/>
        </w:rPr>
        <w:t>This Agreement constitutes the entire agreement between the parties hereto with respect to the subject matter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hereof and supersedes all prior agreements and understandings, oral, written and implied, between the parties hereto with respect to the subject matter hereof;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this Agreement is a supplement to and in furtherance of the Company’s certificate of incorporation and bylaws and applicable law.</w:t>
      </w:r>
    </w:p>
    <w:p>
      <w:pPr>
        <w:spacing w:after="0" w:line="162" w:lineRule="exact"/>
        <w:rPr>
          <w:rFonts w:ascii="Times New Roman" w:cs="Times New Roman" w:eastAsia="Times New Roman" w:hAnsi="Times New Roman"/>
          <w:sz w:val="20"/>
          <w:szCs w:val="20"/>
          <w:b w:val="1"/>
          <w:bCs w:val="1"/>
          <w:color w:val="auto"/>
        </w:rPr>
      </w:pPr>
    </w:p>
    <w:p>
      <w:pPr>
        <w:ind w:right="60" w:firstLine="517"/>
        <w:spacing w:after="0" w:line="247" w:lineRule="auto"/>
        <w:tabs>
          <w:tab w:leader="none" w:pos="806" w:val="left"/>
        </w:tabs>
        <w:numPr>
          <w:ilvl w:val="0"/>
          <w:numId w:val="24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Modification and Waiver. </w:t>
      </w:r>
      <w:r>
        <w:rPr>
          <w:rFonts w:ascii="Times New Roman" w:cs="Times New Roman" w:eastAsia="Times New Roman" w:hAnsi="Times New Roman"/>
          <w:sz w:val="20"/>
          <w:szCs w:val="20"/>
          <w:color w:val="auto"/>
        </w:rPr>
        <w:t>No supplement, modification or amendment to this Agreement shall be binding unless executed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writing by the parties hereto. No amendment, alteration or repeal of this Agreement shall adversely affect any right of Indemnitee under this Agreement in respect of any action 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1001395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69" w:name="page270"/>
    <w:bookmarkEnd w:id="269"/>
    <w:p>
      <w:pPr>
        <w:ind w:left="820" w:hanging="303"/>
        <w:spacing w:after="0"/>
        <w:tabs>
          <w:tab w:leader="none" w:pos="820" w:val="left"/>
        </w:tabs>
        <w:numPr>
          <w:ilvl w:val="0"/>
          <w:numId w:val="25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Notices. </w:t>
      </w:r>
      <w:r>
        <w:rPr>
          <w:rFonts w:ascii="Times New Roman" w:cs="Times New Roman" w:eastAsia="Times New Roman" w:hAnsi="Times New Roman"/>
          <w:sz w:val="20"/>
          <w:szCs w:val="20"/>
          <w:color w:val="auto"/>
        </w:rPr>
        <w:t>All notices and other communications required or permitted hereunder shall be in writing and shall be mailed by</w:t>
      </w:r>
    </w:p>
    <w:p>
      <w:pPr>
        <w:spacing w:after="0" w:line="25" w:lineRule="exact"/>
        <w:rPr>
          <w:rFonts w:ascii="Times New Roman" w:cs="Times New Roman" w:eastAsia="Times New Roman" w:hAnsi="Times New Roman"/>
          <w:sz w:val="20"/>
          <w:szCs w:val="20"/>
          <w:b w:val="1"/>
          <w:bCs w:val="1"/>
          <w:color w:val="auto"/>
        </w:rPr>
      </w:pPr>
    </w:p>
    <w:p>
      <w:pPr>
        <w:ind w:right="20"/>
        <w:spacing w:after="0" w:line="24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registered or certified mail, postage prepaid, sent by facsimile or electronic mail or otherwise delivered by hand, messenger or courier service addressed:</w:t>
      </w:r>
    </w:p>
    <w:p>
      <w:pPr>
        <w:spacing w:after="0" w:line="168" w:lineRule="exact"/>
        <w:rPr>
          <w:rFonts w:ascii="Times New Roman" w:cs="Times New Roman" w:eastAsia="Times New Roman" w:hAnsi="Times New Roman"/>
          <w:sz w:val="20"/>
          <w:szCs w:val="20"/>
          <w:b w:val="1"/>
          <w:bCs w:val="1"/>
          <w:color w:val="auto"/>
        </w:rPr>
      </w:pPr>
    </w:p>
    <w:p>
      <w:pPr>
        <w:ind w:left="1420" w:hanging="266"/>
        <w:spacing w:after="0"/>
        <w:tabs>
          <w:tab w:leader="none" w:pos="1420" w:val="left"/>
        </w:tabs>
        <w:numPr>
          <w:ilvl w:val="1"/>
          <w:numId w:val="2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Indemnitee, to Indemnitee’s address, facsimile number or electronic mail address set forth below Indemnitee signature</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hereto; or</w:t>
      </w:r>
    </w:p>
    <w:p>
      <w:pPr>
        <w:spacing w:after="0" w:line="166" w:lineRule="exact"/>
        <w:rPr>
          <w:rFonts w:ascii="Times New Roman" w:cs="Times New Roman" w:eastAsia="Times New Roman" w:hAnsi="Times New Roman"/>
          <w:sz w:val="19"/>
          <w:szCs w:val="19"/>
          <w:color w:val="auto"/>
        </w:rPr>
      </w:pPr>
    </w:p>
    <w:p>
      <w:pPr>
        <w:ind w:right="40" w:firstLine="1154"/>
        <w:spacing w:after="0" w:line="254" w:lineRule="auto"/>
        <w:tabs>
          <w:tab w:leader="none" w:pos="1426" w:val="left"/>
        </w:tabs>
        <w:numPr>
          <w:ilvl w:val="1"/>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the Company, to the attention of the Chief Executive Officer of the Company at Invivyd, Inc., 209 Church Street, New Haven, CT 06510, or at such other current address as the Company shall have furnished to Indemnitee, with a copy (which shall not constitute notice) to Jill Andersen, Chief Legal Officer, at Invivyd, Inc., 209 Church Street, New Haven, CT 06510.</w:t>
      </w:r>
    </w:p>
    <w:p>
      <w:pPr>
        <w:spacing w:after="0" w:line="161" w:lineRule="exact"/>
        <w:rPr>
          <w:sz w:val="20"/>
          <w:szCs w:val="20"/>
          <w:color w:val="auto"/>
        </w:rPr>
      </w:pPr>
    </w:p>
    <w:p>
      <w:pPr>
        <w:ind w:right="20" w:firstLine="509"/>
        <w:spacing w:after="0" w:line="244" w:lineRule="auto"/>
        <w:rPr>
          <w:sz w:val="20"/>
          <w:szCs w:val="20"/>
          <w:color w:val="auto"/>
        </w:rPr>
      </w:pPr>
      <w:r>
        <w:rPr>
          <w:rFonts w:ascii="Times New Roman" w:cs="Times New Roman" w:eastAsia="Times New Roman" w:hAnsi="Times New Roman"/>
          <w:sz w:val="20"/>
          <w:szCs w:val="20"/>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a nationally-recognized overnight courier service, freight prepaid, specifying next-business-day delivery, one business day after deposit with the courier), or (ii)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mail, at the earlier of its receipt or five days after the same has been deposited in a regularly-maintained receptacle for the deposit of the United States mail, addressed and mailed as aforesaid, or (iii)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facsimile, upon confirmation of facsimile transfer or, if sent </w:t>
      </w:r>
      <w:r>
        <w:rPr>
          <w:rFonts w:ascii="Times New Roman" w:cs="Times New Roman" w:eastAsia="Times New Roman" w:hAnsi="Times New Roman"/>
          <w:sz w:val="20"/>
          <w:szCs w:val="20"/>
          <w:i w:val="1"/>
          <w:iCs w:val="1"/>
          <w:color w:val="auto"/>
        </w:rPr>
        <w:t>via</w:t>
      </w:r>
      <w:r>
        <w:rPr>
          <w:rFonts w:ascii="Times New Roman" w:cs="Times New Roman" w:eastAsia="Times New Roman" w:hAnsi="Times New Roman"/>
          <w:sz w:val="20"/>
          <w:szCs w:val="20"/>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68" w:lineRule="exact"/>
        <w:rPr>
          <w:sz w:val="20"/>
          <w:szCs w:val="20"/>
          <w:color w:val="auto"/>
        </w:rPr>
      </w:pPr>
    </w:p>
    <w:p>
      <w:pPr>
        <w:ind w:firstLine="517"/>
        <w:spacing w:after="0" w:line="242" w:lineRule="auto"/>
        <w:tabs>
          <w:tab w:leader="none" w:pos="806"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Applicable Law and Consent to Jurisdiction. </w:t>
      </w:r>
      <w:r>
        <w:rPr>
          <w:rFonts w:ascii="Times New Roman" w:cs="Times New Roman" w:eastAsia="Times New Roman" w:hAnsi="Times New Roman"/>
          <w:sz w:val="20"/>
          <w:szCs w:val="20"/>
          <w:color w:val="auto"/>
        </w:rPr>
        <w:t>This Agreement and the legal relations among the parties shall be governed by,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Capitol Services, Inc., Dover, Delaware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 (v) waive, and agree not to plead or to make, any claim that any such action or proceeding brought in the Delaware Court of Chancery has been brought in an improper or inconvenient forum.</w:t>
      </w:r>
    </w:p>
    <w:p>
      <w:pPr>
        <w:spacing w:after="0" w:line="160" w:lineRule="exact"/>
        <w:rPr>
          <w:rFonts w:ascii="Times New Roman" w:cs="Times New Roman" w:eastAsia="Times New Roman" w:hAnsi="Times New Roman"/>
          <w:sz w:val="20"/>
          <w:szCs w:val="20"/>
          <w:b w:val="1"/>
          <w:bCs w:val="1"/>
          <w:color w:val="auto"/>
        </w:rPr>
      </w:pPr>
    </w:p>
    <w:p>
      <w:pPr>
        <w:ind w:right="40" w:firstLine="517"/>
        <w:spacing w:after="0" w:line="247" w:lineRule="auto"/>
        <w:tabs>
          <w:tab w:leader="none" w:pos="806"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Counterparts. </w:t>
      </w:r>
      <w:r>
        <w:rPr>
          <w:rFonts w:ascii="Times New Roman" w:cs="Times New Roman" w:eastAsia="Times New Roman" w:hAnsi="Times New Roman"/>
          <w:sz w:val="20"/>
          <w:szCs w:val="20"/>
          <w:color w:val="auto"/>
        </w:rPr>
        <w:t>This Agreement may be executed in one or more counterparts, each of which shall for all purposes be deemed to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 original 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66" w:lineRule="exact"/>
        <w:rPr>
          <w:rFonts w:ascii="Times New Roman" w:cs="Times New Roman" w:eastAsia="Times New Roman" w:hAnsi="Times New Roman"/>
          <w:sz w:val="20"/>
          <w:szCs w:val="20"/>
          <w:b w:val="1"/>
          <w:bCs w:val="1"/>
          <w:color w:val="auto"/>
        </w:rPr>
      </w:pPr>
    </w:p>
    <w:p>
      <w:pPr>
        <w:ind w:right="760" w:firstLine="517"/>
        <w:spacing w:after="0" w:line="273" w:lineRule="auto"/>
        <w:tabs>
          <w:tab w:leader="none" w:pos="806" w:val="left"/>
        </w:tabs>
        <w:numPr>
          <w:ilvl w:val="0"/>
          <w:numId w:val="25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Captions. </w:t>
      </w:r>
      <w:r>
        <w:rPr>
          <w:rFonts w:ascii="Times New Roman" w:cs="Times New Roman" w:eastAsia="Times New Roman" w:hAnsi="Times New Roman"/>
          <w:sz w:val="20"/>
          <w:szCs w:val="20"/>
          <w:color w:val="auto"/>
        </w:rPr>
        <w:t>The headings of the paragraphs of this Agreement are inserted for convenience only and shall not be deemed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constitute part of this Agreement or to affect the construction thereof.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1015365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20"/>
          <w:szCs w:val="20"/>
          <w:color w:val="auto"/>
        </w:rPr>
        <w:t>The parties are signing this Indemnification Agreement as of the date stated in the introductory sentence.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b w:val="1"/>
          <w:bCs w:val="1"/>
          <w:color w:val="auto"/>
        </w:rPr>
        <w:t>INVIVYD,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Title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Print name</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31">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Street address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3961130</wp:posOffset>
            </wp:positionH>
            <wp:positionV relativeFrom="paragraph">
              <wp:posOffset>307975</wp:posOffset>
            </wp:positionV>
            <wp:extent cx="284607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20"/>
          <w:szCs w:val="20"/>
          <w:i w:val="1"/>
          <w:iCs w:val="1"/>
          <w:color w:val="auto"/>
        </w:rPr>
        <w:t>(City, State and ZIP)</w:t>
      </w:r>
    </w:p>
    <w:p>
      <w:pPr>
        <w:spacing w:after="0" w:line="21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to Indemnification Agreement</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895350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13" w:right="1440" w:bottom="1440" w:gutter="0" w:footer="0" w:header="0"/>
        </w:sectPr>
      </w:pPr>
    </w:p>
    <w:bookmarkStart w:id="271" w:name="page272"/>
    <w:bookmarkEnd w:id="271"/>
    <w:p>
      <w:pPr>
        <w:jc w:val="center"/>
        <w:ind w:right="-59"/>
        <w:spacing w:after="0"/>
        <w:rPr>
          <w:sz w:val="20"/>
          <w:szCs w:val="20"/>
          <w:color w:val="auto"/>
        </w:rPr>
      </w:pPr>
      <w:r>
        <w:rPr>
          <w:rFonts w:ascii="Times New Roman" w:cs="Times New Roman" w:eastAsia="Times New Roman" w:hAnsi="Times New Roman"/>
          <w:sz w:val="20"/>
          <w:szCs w:val="20"/>
          <w:b w:val="1"/>
          <w:bCs w:val="1"/>
          <w:u w:val="single" w:color="auto"/>
          <w:color w:val="auto"/>
        </w:rPr>
        <w:t>Schedule of Material Differences to Exhibit 10.5</w:t>
      </w:r>
    </w:p>
    <w:p>
      <w:pPr>
        <w:spacing w:after="0" w:line="220" w:lineRule="exact"/>
        <w:rPr>
          <w:sz w:val="20"/>
          <w:szCs w:val="20"/>
          <w:color w:val="auto"/>
        </w:rPr>
      </w:pPr>
    </w:p>
    <w:p>
      <w:pPr>
        <w:ind w:firstLine="469"/>
        <w:spacing w:after="0" w:line="249" w:lineRule="auto"/>
        <w:rPr>
          <w:sz w:val="20"/>
          <w:szCs w:val="20"/>
          <w:color w:val="auto"/>
        </w:rPr>
      </w:pPr>
      <w:r>
        <w:rPr>
          <w:rFonts w:ascii="Times New Roman" w:cs="Times New Roman" w:eastAsia="Times New Roman" w:hAnsi="Times New Roman"/>
          <w:sz w:val="20"/>
          <w:szCs w:val="20"/>
          <w:color w:val="auto"/>
        </w:rPr>
        <w:t>The following directors and executive officers are parties to an Indemnification Agreement with the Company, each of which are substantially identical in all material respects to the representative Indemnification Agreement filed herewith as Exhibit 10.5 except as to the name of the signatory and the date of each signatory’s Indemnification Agreement. The name of each signatory is listed below. The actual Indemnification Agreements are omitted pursuant to Instruction 2 to Item 601 of Regulation S-K.</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327469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Tamsin Berry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Paul B. Bolno, M.D.</w:t>
      </w:r>
    </w:p>
    <w:p>
      <w:pPr>
        <w:spacing w:after="0"/>
        <w:rPr>
          <w:sz w:val="20"/>
          <w:szCs w:val="20"/>
          <w:color w:val="auto"/>
        </w:rPr>
      </w:pPr>
      <w:r>
        <w:rPr>
          <w:rFonts w:ascii="Times New Roman" w:cs="Times New Roman" w:eastAsia="Times New Roman" w:hAnsi="Times New Roman"/>
          <w:sz w:val="20"/>
          <w:szCs w:val="20"/>
          <w:color w:val="auto"/>
        </w:rPr>
        <w:t>Marc Elia</w:t>
      </w:r>
    </w:p>
    <w:p>
      <w:pPr>
        <w:spacing w:after="0"/>
        <w:rPr>
          <w:sz w:val="20"/>
          <w:szCs w:val="20"/>
          <w:color w:val="auto"/>
        </w:rPr>
      </w:pPr>
      <w:r>
        <w:rPr>
          <w:rFonts w:ascii="Times New Roman" w:cs="Times New Roman" w:eastAsia="Times New Roman" w:hAnsi="Times New Roman"/>
          <w:sz w:val="20"/>
          <w:szCs w:val="20"/>
          <w:color w:val="auto"/>
        </w:rPr>
        <w:t>Terrance McGuire</w:t>
      </w:r>
    </w:p>
    <w:p>
      <w:pPr>
        <w:spacing w:after="0"/>
        <w:rPr>
          <w:sz w:val="20"/>
          <w:szCs w:val="20"/>
          <w:color w:val="auto"/>
        </w:rPr>
      </w:pPr>
      <w:r>
        <w:rPr>
          <w:rFonts w:ascii="Times New Roman" w:cs="Times New Roman" w:eastAsia="Times New Roman" w:hAnsi="Times New Roman"/>
          <w:sz w:val="20"/>
          <w:szCs w:val="20"/>
          <w:color w:val="auto"/>
        </w:rPr>
        <w:t>Kevin F. McLaughlin</w:t>
      </w:r>
    </w:p>
    <w:p>
      <w:pPr>
        <w:spacing w:after="0"/>
        <w:rPr>
          <w:sz w:val="20"/>
          <w:szCs w:val="20"/>
          <w:color w:val="auto"/>
        </w:rPr>
      </w:pPr>
      <w:r>
        <w:rPr>
          <w:rFonts w:ascii="Times New Roman" w:cs="Times New Roman" w:eastAsia="Times New Roman" w:hAnsi="Times New Roman"/>
          <w:sz w:val="20"/>
          <w:szCs w:val="20"/>
          <w:color w:val="auto"/>
        </w:rPr>
        <w:t>Ajay Royan</w:t>
      </w:r>
    </w:p>
    <w:p>
      <w:pPr>
        <w:spacing w:after="0"/>
        <w:rPr>
          <w:sz w:val="20"/>
          <w:szCs w:val="20"/>
          <w:color w:val="auto"/>
        </w:rPr>
      </w:pPr>
      <w:r>
        <w:rPr>
          <w:rFonts w:ascii="Times New Roman" w:cs="Times New Roman" w:eastAsia="Times New Roman" w:hAnsi="Times New Roman"/>
          <w:sz w:val="20"/>
          <w:szCs w:val="20"/>
          <w:color w:val="auto"/>
        </w:rPr>
        <w:t>Robert Allen</w:t>
      </w:r>
    </w:p>
    <w:p>
      <w:pPr>
        <w:spacing w:after="0"/>
        <w:rPr>
          <w:sz w:val="20"/>
          <w:szCs w:val="20"/>
          <w:color w:val="auto"/>
        </w:rPr>
      </w:pPr>
      <w:r>
        <w:rPr>
          <w:rFonts w:ascii="Times New Roman" w:cs="Times New Roman" w:eastAsia="Times New Roman" w:hAnsi="Times New Roman"/>
          <w:sz w:val="20"/>
          <w:szCs w:val="20"/>
          <w:color w:val="auto"/>
        </w:rPr>
        <w:t>Jill Andersen</w:t>
      </w:r>
    </w:p>
    <w:p>
      <w:pPr>
        <w:spacing w:after="0"/>
        <w:rPr>
          <w:sz w:val="20"/>
          <w:szCs w:val="20"/>
          <w:color w:val="auto"/>
        </w:rPr>
      </w:pPr>
      <w:r>
        <w:rPr>
          <w:rFonts w:ascii="Times New Roman" w:cs="Times New Roman" w:eastAsia="Times New Roman" w:hAnsi="Times New Roman"/>
          <w:sz w:val="20"/>
          <w:szCs w:val="20"/>
          <w:color w:val="auto"/>
        </w:rPr>
        <w:t>William Duke, Jr.</w:t>
      </w:r>
    </w:p>
    <w:p>
      <w:pPr>
        <w:spacing w:after="0"/>
        <w:rPr>
          <w:sz w:val="20"/>
          <w:szCs w:val="20"/>
          <w:color w:val="auto"/>
        </w:rPr>
      </w:pPr>
      <w:r>
        <w:rPr>
          <w:rFonts w:ascii="Times New Roman" w:cs="Times New Roman" w:eastAsia="Times New Roman" w:hAnsi="Times New Roman"/>
          <w:sz w:val="20"/>
          <w:szCs w:val="20"/>
          <w:color w:val="auto"/>
        </w:rPr>
        <w:t>Julie Green</w:t>
      </w:r>
    </w:p>
    <w:p>
      <w:pPr>
        <w:spacing w:after="0"/>
        <w:rPr>
          <w:sz w:val="20"/>
          <w:szCs w:val="20"/>
          <w:color w:val="auto"/>
        </w:rPr>
      </w:pPr>
      <w:r>
        <w:rPr>
          <w:rFonts w:ascii="Times New Roman" w:cs="Times New Roman" w:eastAsia="Times New Roman" w:hAnsi="Times New Roman"/>
          <w:sz w:val="20"/>
          <w:szCs w:val="20"/>
          <w:color w:val="auto"/>
        </w:rPr>
        <w:t>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09" w:right="439" w:bottom="1440" w:gutter="0" w:footer="0" w:header="0"/>
        </w:sectPr>
      </w:pPr>
    </w:p>
    <w:bookmarkStart w:id="272" w:name="page273"/>
    <w:bookmarkEnd w:id="272"/>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JILL ANDERSEN</w:t>
      </w:r>
    </w:p>
    <w:p>
      <w:pPr>
        <w:spacing w:after="0" w:line="176" w:lineRule="exact"/>
        <w:rPr>
          <w:sz w:val="20"/>
          <w:szCs w:val="20"/>
          <w:color w:val="auto"/>
        </w:rPr>
      </w:pPr>
    </w:p>
    <w:p>
      <w:pPr>
        <w:jc w:val="both"/>
        <w:ind w:firstLine="853"/>
        <w:spacing w:after="0" w:line="249" w:lineRule="auto"/>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ill</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ndersen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Amendment</w:t>
      </w:r>
      <w:r>
        <w:rPr>
          <w:rFonts w:ascii="Times New Roman" w:cs="Times New Roman" w:eastAsia="Times New Roman" w:hAnsi="Times New Roman"/>
          <w:sz w:val="22"/>
          <w:szCs w:val="22"/>
          <w:color w:val="auto"/>
        </w:rPr>
        <w:t>”) is entered into this January 31, 2026 (the “</w:t>
      </w:r>
      <w:r>
        <w:rPr>
          <w:rFonts w:ascii="Times New Roman" w:cs="Times New Roman" w:eastAsia="Times New Roman" w:hAnsi="Times New Roman"/>
          <w:sz w:val="22"/>
          <w:szCs w:val="22"/>
          <w:b w:val="1"/>
          <w:bCs w:val="1"/>
          <w:i w:val="1"/>
          <w:iCs w:val="1"/>
          <w:u w:val="single" w:color="auto"/>
          <w:color w:val="auto"/>
        </w:rPr>
        <w:t>Amendment 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14"/>
          <w:szCs w:val="14"/>
          <w:b w:val="1"/>
          <w:bCs w:val="1"/>
          <w:color w:val="auto"/>
        </w:rPr>
        <w:t>ill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ndersen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have entered into that certain Employment Agreement dated September 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2021 (the “</w:t>
      </w:r>
      <w:r>
        <w:rPr>
          <w:rFonts w:ascii="Times New Roman" w:cs="Times New Roman" w:eastAsia="Times New Roman" w:hAnsi="Times New Roman"/>
          <w:sz w:val="22"/>
          <w:szCs w:val="22"/>
          <w:b w:val="1"/>
          <w:bCs w:val="1"/>
          <w:i w:val="1"/>
          <w:iCs w:val="1"/>
          <w:u w:val="single" w:color="auto"/>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wish to amend the Executive Agreement as set forth in this Amendment.</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left="760" w:hanging="752"/>
        <w:spacing w:after="0" w:line="262" w:lineRule="auto"/>
        <w:tabs>
          <w:tab w:leader="none" w:pos="7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2(b)</w:t>
      </w:r>
      <w:r>
        <w:rPr>
          <w:rFonts w:ascii="Times New Roman" w:cs="Times New Roman" w:eastAsia="Times New Roman" w:hAnsi="Times New Roman"/>
          <w:sz w:val="22"/>
          <w:szCs w:val="22"/>
          <w:color w:val="auto"/>
        </w:rPr>
        <w:t>. Section 2(b) of the Executive Agreement is hereby amended by replacing Section 2(b)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3" w:lineRule="exact"/>
        <w:rPr>
          <w:rFonts w:ascii="Times New Roman" w:cs="Times New Roman" w:eastAsia="Times New Roman" w:hAnsi="Times New Roman"/>
          <w:sz w:val="22"/>
          <w:szCs w:val="22"/>
          <w:color w:val="auto"/>
        </w:rPr>
      </w:pPr>
    </w:p>
    <w:p>
      <w:pPr>
        <w:jc w:val="both"/>
        <w:ind w:left="1500" w:firstLine="5"/>
        <w:spacing w:after="0"/>
        <w:tabs>
          <w:tab w:leader="none" w:pos="2103" w:val="left"/>
        </w:tabs>
        <w:numPr>
          <w:ilvl w:val="1"/>
          <w:numId w:val="2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Incentive Compensation</w:t>
      </w:r>
      <w:r>
        <w:rPr>
          <w:rFonts w:ascii="Times New Roman" w:cs="Times New Roman" w:eastAsia="Times New Roman" w:hAnsi="Times New Roman"/>
          <w:sz w:val="21"/>
          <w:szCs w:val="21"/>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1"/>
          <w:szCs w:val="21"/>
          <w:b w:val="1"/>
          <w:bCs w:val="1"/>
          <w:i w:val="1"/>
          <w:iCs w:val="1"/>
          <w:u w:val="single" w:color="auto"/>
          <w:color w:val="auto"/>
        </w:rPr>
        <w:t>Annual Bonus Plan</w:t>
      </w:r>
      <w:r>
        <w:rPr>
          <w:rFonts w:ascii="Times New Roman" w:cs="Times New Roman" w:eastAsia="Times New Roman" w:hAnsi="Times New Roman"/>
          <w:sz w:val="21"/>
          <w:szCs w:val="21"/>
          <w:color w:val="auto"/>
        </w:rPr>
        <w:t>”). Executive will be eligible to earn an annual bonus for each full calendar year completed (the “</w:t>
      </w:r>
      <w:r>
        <w:rPr>
          <w:rFonts w:ascii="Times New Roman" w:cs="Times New Roman" w:eastAsia="Times New Roman" w:hAnsi="Times New Roman"/>
          <w:sz w:val="21"/>
          <w:szCs w:val="21"/>
          <w:b w:val="1"/>
          <w:bCs w:val="1"/>
          <w:i w:val="1"/>
          <w:iCs w:val="1"/>
          <w:u w:val="single" w:color="auto"/>
          <w:color w:val="auto"/>
        </w:rPr>
        <w:t>Annual Bonus</w:t>
      </w:r>
      <w:r>
        <w:rPr>
          <w:rFonts w:ascii="Times New Roman" w:cs="Times New Roman" w:eastAsia="Times New Roman" w:hAnsi="Times New Roman"/>
          <w:sz w:val="21"/>
          <w:szCs w:val="21"/>
          <w:color w:val="auto"/>
        </w:rPr>
        <w:t>”). Commencing in calendar year 2026, Executive’s target Annual Bonus will be 45% of Executive’s Base Salary (the “</w:t>
      </w:r>
      <w:r>
        <w:rPr>
          <w:rFonts w:ascii="Times New Roman" w:cs="Times New Roman" w:eastAsia="Times New Roman" w:hAnsi="Times New Roman"/>
          <w:sz w:val="21"/>
          <w:szCs w:val="21"/>
          <w:b w:val="1"/>
          <w:bCs w:val="1"/>
          <w:i w:val="1"/>
          <w:iCs w:val="1"/>
          <w:u w:val="single" w:color="auto"/>
          <w:color w:val="auto"/>
        </w:rPr>
        <w:t>Target Bonus</w:t>
      </w:r>
      <w:r>
        <w:rPr>
          <w:rFonts w:ascii="Times New Roman" w:cs="Times New Roman" w:eastAsia="Times New Roman" w:hAnsi="Times New Roman"/>
          <w:sz w:val="21"/>
          <w:szCs w:val="21"/>
          <w:color w:val="auto"/>
        </w:rPr>
        <w:t>”).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21"/>
          <w:szCs w:val="21"/>
          <w:color w:val="auto"/>
        </w:rPr>
        <w:t xml:space="preserve"> immediately following such period; provided, that Executive must remain continuously employed by the Company through the date on which the Board approves the actual Annual Bonus amount payable to the Executive, subject to any recoupment as set forth in Section 23 of this Agreement, in order to be eligible to earn and receive the Annual Bonus (except as otherwise provided in Section 4(c) or 5(a)).</w:t>
      </w:r>
    </w:p>
    <w:p>
      <w:pPr>
        <w:spacing w:after="0" w:line="178" w:lineRule="exact"/>
        <w:rPr>
          <w:rFonts w:ascii="Times New Roman" w:cs="Times New Roman" w:eastAsia="Times New Roman" w:hAnsi="Times New Roman"/>
          <w:sz w:val="21"/>
          <w:szCs w:val="21"/>
          <w:color w:val="auto"/>
        </w:rPr>
      </w:pPr>
    </w:p>
    <w:p>
      <w:pPr>
        <w:jc w:val="both"/>
        <w:ind w:left="760" w:hanging="752"/>
        <w:spacing w:after="0" w:line="238" w:lineRule="auto"/>
        <w:tabs>
          <w:tab w:leader="none" w:pos="760" w:val="left"/>
        </w:tabs>
        <w:numPr>
          <w:ilvl w:val="0"/>
          <w:numId w:val="2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3" w:name="page274"/>
    <w:bookmarkEnd w:id="273"/>
    <w:p>
      <w:pPr>
        <w:jc w:val="center"/>
        <w:ind w:right="-59"/>
        <w:spacing w:after="0"/>
        <w:rPr>
          <w:sz w:val="20"/>
          <w:szCs w:val="20"/>
          <w:color w:val="auto"/>
        </w:rPr>
      </w:pPr>
      <w:r>
        <w:rPr>
          <w:rFonts w:ascii="Times New Roman" w:cs="Times New Roman" w:eastAsia="Times New Roman" w:hAnsi="Times New Roman"/>
          <w:sz w:val="22"/>
          <w:szCs w:val="22"/>
          <w:color w:val="auto"/>
        </w:rPr>
        <w:t>cannot be modified or amended except in writing signed by Executive and an authorized officer of the Company.</w:t>
      </w:r>
    </w:p>
    <w:p>
      <w:pPr>
        <w:spacing w:after="0" w:line="206" w:lineRule="exact"/>
        <w:rPr>
          <w:sz w:val="20"/>
          <w:szCs w:val="20"/>
          <w:color w:val="auto"/>
        </w:rPr>
      </w:pPr>
    </w:p>
    <w:p>
      <w:pPr>
        <w:ind w:firstLine="853"/>
        <w:spacing w:after="0" w:line="258" w:lineRule="auto"/>
        <w:rPr>
          <w:sz w:val="20"/>
          <w:szCs w:val="20"/>
          <w:color w:val="auto"/>
        </w:rPr>
      </w:pPr>
      <w:r>
        <w:rPr>
          <w:rFonts w:ascii="Times New Roman" w:cs="Times New Roman" w:eastAsia="Times New Roman" w:hAnsi="Times New Roman"/>
          <w:sz w:val="22"/>
          <w:szCs w:val="22"/>
          <w:color w:val="auto"/>
        </w:rPr>
        <w:t>The parties have executed this First Amendment to the Employment Agreement of Jill Andersen on the day and year first written above.</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William Duke</w:t>
      </w:r>
    </w:p>
    <w:p>
      <w:pPr>
        <w:ind w:left="48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jc w:val="center"/>
        <w:ind w:right="360"/>
        <w:spacing w:after="0"/>
        <w:rPr>
          <w:sz w:val="20"/>
          <w:szCs w:val="20"/>
          <w:color w:val="auto"/>
        </w:rPr>
      </w:pPr>
      <w:r>
        <w:rPr>
          <w:rFonts w:ascii="Times New Roman" w:cs="Times New Roman" w:eastAsia="Times New Roman" w:hAnsi="Times New Roman"/>
          <w:sz w:val="22"/>
          <w:szCs w:val="22"/>
          <w:color w:val="auto"/>
        </w:rPr>
        <w:t>Jill Andersen</w:t>
      </w: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9728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9">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Jill Andersen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1/31/2026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4" w:name="page275"/>
    <w:bookmarkEnd w:id="274"/>
    <w:p>
      <w:pPr>
        <w:jc w:val="right"/>
        <w:spacing w:after="0"/>
        <w:rPr>
          <w:sz w:val="20"/>
          <w:szCs w:val="20"/>
          <w:color w:val="auto"/>
        </w:rPr>
      </w:pPr>
      <w:r>
        <w:rPr>
          <w:rFonts w:ascii="Times New Roman" w:cs="Times New Roman" w:eastAsia="Times New Roman" w:hAnsi="Times New Roman"/>
          <w:sz w:val="20"/>
          <w:szCs w:val="20"/>
          <w:b w:val="1"/>
          <w:bCs w:val="1"/>
          <w:color w:val="auto"/>
        </w:rPr>
        <w:t>Exhibit 10.9</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ROBERT ALLEN</w:t>
      </w:r>
    </w:p>
    <w:p>
      <w:pPr>
        <w:spacing w:after="0" w:line="176" w:lineRule="exact"/>
        <w:rPr>
          <w:sz w:val="20"/>
          <w:szCs w:val="20"/>
          <w:color w:val="auto"/>
        </w:rPr>
      </w:pPr>
    </w:p>
    <w:p>
      <w:pPr>
        <w:jc w:val="both"/>
        <w:ind w:firstLine="853"/>
        <w:spacing w:after="0" w:line="249" w:lineRule="auto"/>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R</w:t>
      </w:r>
      <w:r>
        <w:rPr>
          <w:rFonts w:ascii="Times New Roman" w:cs="Times New Roman" w:eastAsia="Times New Roman" w:hAnsi="Times New Roman"/>
          <w:sz w:val="14"/>
          <w:szCs w:val="14"/>
          <w:color w:val="auto"/>
        </w:rPr>
        <w:t>obert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llen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Amendment</w:t>
      </w:r>
      <w:r>
        <w:rPr>
          <w:rFonts w:ascii="Times New Roman" w:cs="Times New Roman" w:eastAsia="Times New Roman" w:hAnsi="Times New Roman"/>
          <w:sz w:val="22"/>
          <w:szCs w:val="22"/>
          <w:color w:val="auto"/>
        </w:rPr>
        <w:t>”) is entered into this January 31, 2026 (the “</w:t>
      </w:r>
      <w:r>
        <w:rPr>
          <w:rFonts w:ascii="Times New Roman" w:cs="Times New Roman" w:eastAsia="Times New Roman" w:hAnsi="Times New Roman"/>
          <w:sz w:val="22"/>
          <w:szCs w:val="22"/>
          <w:b w:val="1"/>
          <w:bCs w:val="1"/>
          <w:i w:val="1"/>
          <w:iCs w:val="1"/>
          <w:u w:val="single" w:color="auto"/>
          <w:color w:val="auto"/>
        </w:rPr>
        <w:t>Amendment 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obert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llen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have entered into that certain Employment Agreement dated March 14, 2023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wish to amend the Executive Agreement as set forth in this Amendment.</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left="760" w:right="20" w:hanging="752"/>
        <w:spacing w:after="0" w:line="262" w:lineRule="auto"/>
        <w:tabs>
          <w:tab w:leader="none" w:pos="7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2(c)</w:t>
      </w:r>
      <w:r>
        <w:rPr>
          <w:rFonts w:ascii="Times New Roman" w:cs="Times New Roman" w:eastAsia="Times New Roman" w:hAnsi="Times New Roman"/>
          <w:sz w:val="22"/>
          <w:szCs w:val="22"/>
          <w:color w:val="auto"/>
        </w:rPr>
        <w:t>. Section 2(c) of the Executive Agreement is hereby amended by replacing Section 2(c)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3" w:lineRule="exact"/>
        <w:rPr>
          <w:rFonts w:ascii="Times New Roman" w:cs="Times New Roman" w:eastAsia="Times New Roman" w:hAnsi="Times New Roman"/>
          <w:sz w:val="22"/>
          <w:szCs w:val="22"/>
          <w:color w:val="auto"/>
        </w:rPr>
      </w:pPr>
    </w:p>
    <w:p>
      <w:pPr>
        <w:jc w:val="both"/>
        <w:ind w:left="1500" w:firstLine="5"/>
        <w:spacing w:after="0" w:line="229" w:lineRule="auto"/>
        <w:tabs>
          <w:tab w:leader="none" w:pos="2091" w:val="left"/>
        </w:tabs>
        <w:numPr>
          <w:ilvl w:val="1"/>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Commencing in calendar year 2026, Executive’s target Annual Bonus will be 45%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3"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2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5" w:name="page276"/>
    <w:bookmarkEnd w:id="275"/>
    <w:p>
      <w:pPr>
        <w:jc w:val="center"/>
        <w:ind w:right="-59"/>
        <w:spacing w:after="0"/>
        <w:rPr>
          <w:sz w:val="20"/>
          <w:szCs w:val="20"/>
          <w:color w:val="auto"/>
        </w:rPr>
      </w:pPr>
      <w:r>
        <w:rPr>
          <w:rFonts w:ascii="Times New Roman" w:cs="Times New Roman" w:eastAsia="Times New Roman" w:hAnsi="Times New Roman"/>
          <w:sz w:val="22"/>
          <w:szCs w:val="22"/>
          <w:color w:val="auto"/>
        </w:rPr>
        <w:t>cannot be modified or amended except in writing signed by Executive and an authorized officer of the Company.</w:t>
      </w:r>
    </w:p>
    <w:p>
      <w:pPr>
        <w:spacing w:after="0" w:line="206" w:lineRule="exact"/>
        <w:rPr>
          <w:sz w:val="20"/>
          <w:szCs w:val="20"/>
          <w:color w:val="auto"/>
        </w:rPr>
      </w:pPr>
    </w:p>
    <w:p>
      <w:pPr>
        <w:ind w:firstLine="853"/>
        <w:spacing w:after="0" w:line="258" w:lineRule="auto"/>
        <w:rPr>
          <w:sz w:val="20"/>
          <w:szCs w:val="20"/>
          <w:color w:val="auto"/>
        </w:rPr>
      </w:pPr>
      <w:r>
        <w:rPr>
          <w:rFonts w:ascii="Times New Roman" w:cs="Times New Roman" w:eastAsia="Times New Roman" w:hAnsi="Times New Roman"/>
          <w:sz w:val="22"/>
          <w:szCs w:val="22"/>
          <w:color w:val="auto"/>
        </w:rPr>
        <w:t>The parties have executed this First Amendment to the Employment Agreement of Robert Allen on the day and year first written above.</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42">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William Duke</w:t>
      </w:r>
    </w:p>
    <w:p>
      <w:pPr>
        <w:ind w:left="48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Robert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3">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jc w:val="center"/>
        <w:ind w:right="380"/>
        <w:spacing w:after="0"/>
        <w:rPr>
          <w:sz w:val="20"/>
          <w:szCs w:val="20"/>
          <w:color w:val="auto"/>
        </w:rPr>
      </w:pPr>
      <w:r>
        <w:rPr>
          <w:rFonts w:ascii="Times New Roman" w:cs="Times New Roman" w:eastAsia="Times New Roman" w:hAnsi="Times New Roman"/>
          <w:sz w:val="22"/>
          <w:szCs w:val="22"/>
          <w:color w:val="auto"/>
        </w:rPr>
        <w:t>Robert Allen</w:t>
      </w: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Robert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972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4">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Robert Allen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1/31/2026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6" w:name="page277"/>
    <w:bookmarkEnd w:id="276"/>
    <w:p>
      <w:pPr>
        <w:jc w:val="right"/>
        <w:spacing w:after="0"/>
        <w:rPr>
          <w:sz w:val="20"/>
          <w:szCs w:val="20"/>
          <w:color w:val="auto"/>
        </w:rPr>
      </w:pPr>
      <w:r>
        <w:rPr>
          <w:rFonts w:ascii="Times New Roman" w:cs="Times New Roman" w:eastAsia="Times New Roman" w:hAnsi="Times New Roman"/>
          <w:sz w:val="20"/>
          <w:szCs w:val="20"/>
          <w:b w:val="1"/>
          <w:bCs w:val="1"/>
          <w:color w:val="auto"/>
        </w:rPr>
        <w:t>Exhibit 10.11</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WILLIAM DUKE</w:t>
      </w:r>
    </w:p>
    <w:p>
      <w:pPr>
        <w:spacing w:after="0" w:line="176" w:lineRule="exact"/>
        <w:rPr>
          <w:sz w:val="20"/>
          <w:szCs w:val="20"/>
          <w:color w:val="auto"/>
        </w:rPr>
      </w:pPr>
    </w:p>
    <w:p>
      <w:pPr>
        <w:jc w:val="both"/>
        <w:ind w:firstLine="853"/>
        <w:spacing w:after="0" w:line="249" w:lineRule="auto"/>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W</w:t>
      </w:r>
      <w:r>
        <w:rPr>
          <w:rFonts w:ascii="Times New Roman" w:cs="Times New Roman" w:eastAsia="Times New Roman" w:hAnsi="Times New Roman"/>
          <w:sz w:val="14"/>
          <w:szCs w:val="14"/>
          <w:color w:val="auto"/>
        </w:rPr>
        <w:t>illiam</w:t>
      </w:r>
      <w:r>
        <w:rPr>
          <w:rFonts w:ascii="Times New Roman" w:cs="Times New Roman" w:eastAsia="Times New Roman" w:hAnsi="Times New Roman"/>
          <w:sz w:val="22"/>
          <w:szCs w:val="22"/>
          <w:color w:val="auto"/>
        </w:rPr>
        <w:t xml:space="preserve"> D</w:t>
      </w:r>
      <w:r>
        <w:rPr>
          <w:rFonts w:ascii="Times New Roman" w:cs="Times New Roman" w:eastAsia="Times New Roman" w:hAnsi="Times New Roman"/>
          <w:sz w:val="14"/>
          <w:szCs w:val="14"/>
          <w:color w:val="auto"/>
        </w:rPr>
        <w:t>uke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Amendment</w:t>
      </w:r>
      <w:r>
        <w:rPr>
          <w:rFonts w:ascii="Times New Roman" w:cs="Times New Roman" w:eastAsia="Times New Roman" w:hAnsi="Times New Roman"/>
          <w:sz w:val="22"/>
          <w:szCs w:val="22"/>
          <w:color w:val="auto"/>
        </w:rPr>
        <w:t>”) is entered into this January 31, 2026 (the “</w:t>
      </w:r>
      <w:r>
        <w:rPr>
          <w:rFonts w:ascii="Times New Roman" w:cs="Times New Roman" w:eastAsia="Times New Roman" w:hAnsi="Times New Roman"/>
          <w:sz w:val="22"/>
          <w:szCs w:val="22"/>
          <w:b w:val="1"/>
          <w:bCs w:val="1"/>
          <w:i w:val="1"/>
          <w:iCs w:val="1"/>
          <w:u w:val="single" w:color="auto"/>
          <w:color w:val="auto"/>
        </w:rPr>
        <w:t>Amendment 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illiam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14"/>
          <w:szCs w:val="14"/>
          <w:b w:val="1"/>
          <w:bCs w:val="1"/>
          <w:color w:val="auto"/>
        </w:rPr>
        <w:t>uke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have entered into that certain Employment Agreement dated July 19, 2023</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wish to amend the Executive Agreement as set forth in this Amendment.</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left="760" w:right="20" w:hanging="752"/>
        <w:spacing w:after="0" w:line="262" w:lineRule="auto"/>
        <w:tabs>
          <w:tab w:leader="none" w:pos="7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2(c)</w:t>
      </w:r>
      <w:r>
        <w:rPr>
          <w:rFonts w:ascii="Times New Roman" w:cs="Times New Roman" w:eastAsia="Times New Roman" w:hAnsi="Times New Roman"/>
          <w:sz w:val="22"/>
          <w:szCs w:val="22"/>
          <w:color w:val="auto"/>
        </w:rPr>
        <w:t>. Section 2(c) of the Executive Agreement is hereby amended by replacing Section 2(c)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3" w:lineRule="exact"/>
        <w:rPr>
          <w:rFonts w:ascii="Times New Roman" w:cs="Times New Roman" w:eastAsia="Times New Roman" w:hAnsi="Times New Roman"/>
          <w:sz w:val="22"/>
          <w:szCs w:val="22"/>
          <w:color w:val="auto"/>
        </w:rPr>
      </w:pPr>
    </w:p>
    <w:p>
      <w:pPr>
        <w:jc w:val="both"/>
        <w:ind w:left="1500" w:firstLine="5"/>
        <w:spacing w:after="0" w:line="229" w:lineRule="auto"/>
        <w:tabs>
          <w:tab w:leader="none" w:pos="2091" w:val="left"/>
        </w:tabs>
        <w:numPr>
          <w:ilvl w:val="1"/>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Commencing in calendar year 2026, Executive’s target Annual Bonus will be 45%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3"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2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w:t>
      </w:r>
    </w:p>
    <w:p>
      <w:pPr>
        <w:spacing w:after="0" w:line="200" w:lineRule="exact"/>
        <w:rPr>
          <w:sz w:val="20"/>
          <w:szCs w:val="20"/>
          <w:color w:val="auto"/>
        </w:rPr>
      </w:pPr>
    </w:p>
    <w:p>
      <w:pPr>
        <w:spacing w:after="0" w:line="3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7" w:name="page278"/>
    <w:bookmarkEnd w:id="277"/>
    <w:p>
      <w:pPr>
        <w:jc w:val="center"/>
        <w:ind w:right="-59"/>
        <w:spacing w:after="0"/>
        <w:rPr>
          <w:sz w:val="20"/>
          <w:szCs w:val="20"/>
          <w:color w:val="auto"/>
        </w:rPr>
      </w:pPr>
      <w:r>
        <w:rPr>
          <w:rFonts w:ascii="Times New Roman" w:cs="Times New Roman" w:eastAsia="Times New Roman" w:hAnsi="Times New Roman"/>
          <w:sz w:val="22"/>
          <w:szCs w:val="22"/>
          <w:color w:val="auto"/>
        </w:rPr>
        <w:t>cannot be modified or amended except in writing signed by Executive and an authorized officer of the Company.</w:t>
      </w:r>
    </w:p>
    <w:p>
      <w:pPr>
        <w:spacing w:after="0" w:line="206" w:lineRule="exact"/>
        <w:rPr>
          <w:sz w:val="20"/>
          <w:szCs w:val="20"/>
          <w:color w:val="auto"/>
        </w:rPr>
      </w:pPr>
    </w:p>
    <w:p>
      <w:pPr>
        <w:ind w:firstLine="853"/>
        <w:spacing w:after="0" w:line="258" w:lineRule="auto"/>
        <w:rPr>
          <w:sz w:val="20"/>
          <w:szCs w:val="20"/>
          <w:color w:val="auto"/>
        </w:rPr>
      </w:pPr>
      <w:r>
        <w:rPr>
          <w:rFonts w:ascii="Times New Roman" w:cs="Times New Roman" w:eastAsia="Times New Roman" w:hAnsi="Times New Roman"/>
          <w:sz w:val="22"/>
          <w:szCs w:val="22"/>
          <w:color w:val="auto"/>
        </w:rPr>
        <w:t>The parties have executed this First Amendment to the Employment Agreement of William Duke on the day and year first written above.</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Julie Green</w:t>
      </w:r>
    </w:p>
    <w:p>
      <w:pPr>
        <w:spacing w:after="0" w:line="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Julie Green</w:t>
      </w:r>
    </w:p>
    <w:p>
      <w:pPr>
        <w:ind w:left="4880"/>
        <w:spacing w:after="0"/>
        <w:rPr>
          <w:sz w:val="20"/>
          <w:szCs w:val="20"/>
          <w:color w:val="auto"/>
        </w:rPr>
      </w:pPr>
      <w:r>
        <w:rPr>
          <w:rFonts w:ascii="Times New Roman" w:cs="Times New Roman" w:eastAsia="Times New Roman" w:hAnsi="Times New Roman"/>
          <w:sz w:val="22"/>
          <w:szCs w:val="22"/>
          <w:color w:val="auto"/>
        </w:rPr>
        <w:t>Chief Human Resources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37160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7">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jc w:val="center"/>
        <w:ind w:right="-59"/>
        <w:spacing w:after="0"/>
        <w:rPr>
          <w:sz w:val="20"/>
          <w:szCs w:val="20"/>
          <w:color w:val="auto"/>
        </w:rPr>
      </w:pPr>
      <w:r>
        <w:rPr>
          <w:rFonts w:ascii="Times New Roman" w:cs="Times New Roman" w:eastAsia="Times New Roman" w:hAnsi="Times New Roman"/>
          <w:sz w:val="22"/>
          <w:szCs w:val="22"/>
          <w:color w:val="auto"/>
        </w:rPr>
        <w:t>William Duke, Jr.</w:t>
      </w: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972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William Duke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1/31/2026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78" w:name="page279"/>
    <w:bookmarkEnd w:id="278"/>
    <w:p>
      <w:pPr>
        <w:jc w:val="right"/>
        <w:spacing w:after="0"/>
        <w:rPr>
          <w:sz w:val="20"/>
          <w:szCs w:val="20"/>
          <w:color w:val="auto"/>
        </w:rPr>
      </w:pPr>
      <w:r>
        <w:rPr>
          <w:rFonts w:ascii="Times New Roman" w:cs="Times New Roman" w:eastAsia="Times New Roman" w:hAnsi="Times New Roman"/>
          <w:sz w:val="20"/>
          <w:szCs w:val="20"/>
          <w:b w:val="1"/>
          <w:bCs w:val="1"/>
          <w:color w:val="auto"/>
        </w:rPr>
        <w:t>Exhibit 10.14</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JULIE GREEN</w:t>
      </w:r>
    </w:p>
    <w:p>
      <w:pPr>
        <w:spacing w:after="0" w:line="176" w:lineRule="exact"/>
        <w:rPr>
          <w:sz w:val="20"/>
          <w:szCs w:val="20"/>
          <w:color w:val="auto"/>
        </w:rPr>
      </w:pPr>
    </w:p>
    <w:p>
      <w:pPr>
        <w:jc w:val="both"/>
        <w:ind w:firstLine="853"/>
        <w:spacing w:after="0" w:line="249" w:lineRule="auto"/>
        <w:rPr>
          <w:sz w:val="20"/>
          <w:szCs w:val="20"/>
          <w:color w:val="auto"/>
        </w:rPr>
      </w:pPr>
      <w:r>
        <w:rPr>
          <w:rFonts w:ascii="Times New Roman" w:cs="Times New Roman" w:eastAsia="Times New Roman" w:hAnsi="Times New Roman"/>
          <w:sz w:val="22"/>
          <w:szCs w:val="22"/>
          <w:color w:val="auto"/>
        </w:rPr>
        <w:t>This S</w:t>
      </w:r>
      <w:r>
        <w:rPr>
          <w:rFonts w:ascii="Times New Roman" w:cs="Times New Roman" w:eastAsia="Times New Roman" w:hAnsi="Times New Roman"/>
          <w:sz w:val="14"/>
          <w:szCs w:val="14"/>
          <w:color w:val="auto"/>
        </w:rPr>
        <w:t>econd</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J</w:t>
      </w:r>
      <w:r>
        <w:rPr>
          <w:rFonts w:ascii="Times New Roman" w:cs="Times New Roman" w:eastAsia="Times New Roman" w:hAnsi="Times New Roman"/>
          <w:sz w:val="14"/>
          <w:szCs w:val="14"/>
          <w:color w:val="auto"/>
        </w:rPr>
        <w:t>ulie</w:t>
      </w:r>
      <w:r>
        <w:rPr>
          <w:rFonts w:ascii="Times New Roman" w:cs="Times New Roman" w:eastAsia="Times New Roman" w:hAnsi="Times New Roman"/>
          <w:sz w:val="22"/>
          <w:szCs w:val="22"/>
          <w:color w:val="auto"/>
        </w:rPr>
        <w:t xml:space="preserve"> G</w:t>
      </w:r>
      <w:r>
        <w:rPr>
          <w:rFonts w:ascii="Times New Roman" w:cs="Times New Roman" w:eastAsia="Times New Roman" w:hAnsi="Times New Roman"/>
          <w:sz w:val="14"/>
          <w:szCs w:val="14"/>
          <w:color w:val="auto"/>
        </w:rPr>
        <w:t>reen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Amendment</w:t>
      </w:r>
      <w:r>
        <w:rPr>
          <w:rFonts w:ascii="Times New Roman" w:cs="Times New Roman" w:eastAsia="Times New Roman" w:hAnsi="Times New Roman"/>
          <w:sz w:val="22"/>
          <w:szCs w:val="22"/>
          <w:color w:val="auto"/>
        </w:rPr>
        <w:t>”) is entered into this January 31, 2026 (the “</w:t>
      </w:r>
      <w:r>
        <w:rPr>
          <w:rFonts w:ascii="Times New Roman" w:cs="Times New Roman" w:eastAsia="Times New Roman" w:hAnsi="Times New Roman"/>
          <w:sz w:val="22"/>
          <w:szCs w:val="22"/>
          <w:b w:val="1"/>
          <w:bCs w:val="1"/>
          <w:i w:val="1"/>
          <w:iCs w:val="1"/>
          <w:u w:val="single" w:color="auto"/>
          <w:color w:val="auto"/>
        </w:rPr>
        <w:t>Amendment 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J</w:t>
      </w:r>
      <w:r>
        <w:rPr>
          <w:rFonts w:ascii="Times New Roman" w:cs="Times New Roman" w:eastAsia="Times New Roman" w:hAnsi="Times New Roman"/>
          <w:sz w:val="14"/>
          <w:szCs w:val="14"/>
          <w:b w:val="1"/>
          <w:bCs w:val="1"/>
          <w:color w:val="auto"/>
        </w:rPr>
        <w:t>ulie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w:t>
      </w:r>
      <w:r>
        <w:rPr>
          <w:rFonts w:ascii="Times New Roman" w:cs="Times New Roman" w:eastAsia="Times New Roman" w:hAnsi="Times New Roman"/>
          <w:sz w:val="14"/>
          <w:szCs w:val="14"/>
          <w:b w:val="1"/>
          <w:bCs w:val="1"/>
          <w:color w:val="auto"/>
        </w:rPr>
        <w:t>reen</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have entered into that certain Employment Agreement dated January 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2024, as amended on October 23, 2024 (as amended, the “</w:t>
      </w:r>
      <w:r>
        <w:rPr>
          <w:rFonts w:ascii="Times New Roman" w:cs="Times New Roman" w:eastAsia="Times New Roman" w:hAnsi="Times New Roman"/>
          <w:sz w:val="22"/>
          <w:szCs w:val="22"/>
          <w:b w:val="1"/>
          <w:bCs w:val="1"/>
          <w:i w:val="1"/>
          <w:iCs w:val="1"/>
          <w:u w:val="single" w:color="auto"/>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wish to amend the Executive Agreement as set forth in this Amendment.</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left="760" w:hanging="752"/>
        <w:spacing w:after="0" w:line="262" w:lineRule="auto"/>
        <w:tabs>
          <w:tab w:leader="none" w:pos="76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2(b)</w:t>
      </w:r>
      <w:r>
        <w:rPr>
          <w:rFonts w:ascii="Times New Roman" w:cs="Times New Roman" w:eastAsia="Times New Roman" w:hAnsi="Times New Roman"/>
          <w:sz w:val="22"/>
          <w:szCs w:val="22"/>
          <w:color w:val="auto"/>
        </w:rPr>
        <w:t>. Section 2(b) of the Executive Agreement is hereby amended by replacing Section 2(b)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3" w:lineRule="exact"/>
        <w:rPr>
          <w:rFonts w:ascii="Times New Roman" w:cs="Times New Roman" w:eastAsia="Times New Roman" w:hAnsi="Times New Roman"/>
          <w:sz w:val="22"/>
          <w:szCs w:val="22"/>
          <w:color w:val="auto"/>
        </w:rPr>
      </w:pPr>
    </w:p>
    <w:p>
      <w:pPr>
        <w:jc w:val="both"/>
        <w:ind w:left="1500" w:firstLine="5"/>
        <w:spacing w:after="0" w:line="229" w:lineRule="auto"/>
        <w:tabs>
          <w:tab w:leader="none" w:pos="2103" w:val="left"/>
        </w:tabs>
        <w:numPr>
          <w:ilvl w:val="1"/>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Commencing in calendar year 2026, Executive’s target Annual Bonus will be 45%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3"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2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79" w:name="page280"/>
    <w:bookmarkEnd w:id="279"/>
    <w:p>
      <w:pPr>
        <w:jc w:val="center"/>
        <w:ind w:right="-59"/>
        <w:spacing w:after="0"/>
        <w:rPr>
          <w:sz w:val="20"/>
          <w:szCs w:val="20"/>
          <w:color w:val="auto"/>
        </w:rPr>
      </w:pPr>
      <w:r>
        <w:rPr>
          <w:rFonts w:ascii="Times New Roman" w:cs="Times New Roman" w:eastAsia="Times New Roman" w:hAnsi="Times New Roman"/>
          <w:sz w:val="22"/>
          <w:szCs w:val="22"/>
          <w:color w:val="auto"/>
        </w:rPr>
        <w:t>cannot be modified or amended except in writing signed by Executive and an authorized officer of the Company.</w:t>
      </w:r>
    </w:p>
    <w:p>
      <w:pPr>
        <w:spacing w:after="0" w:line="206" w:lineRule="exact"/>
        <w:rPr>
          <w:sz w:val="20"/>
          <w:szCs w:val="20"/>
          <w:color w:val="auto"/>
        </w:rPr>
      </w:pPr>
    </w:p>
    <w:p>
      <w:pPr>
        <w:ind w:firstLine="853"/>
        <w:spacing w:after="0" w:line="258" w:lineRule="auto"/>
        <w:rPr>
          <w:sz w:val="20"/>
          <w:szCs w:val="20"/>
          <w:color w:val="auto"/>
        </w:rPr>
      </w:pPr>
      <w:r>
        <w:rPr>
          <w:rFonts w:ascii="Times New Roman" w:cs="Times New Roman" w:eastAsia="Times New Roman" w:hAnsi="Times New Roman"/>
          <w:sz w:val="22"/>
          <w:szCs w:val="22"/>
          <w:color w:val="auto"/>
        </w:rPr>
        <w:t>The parties have executed this Second Amendment to the Employment Agreement of Julie Green on the day and year first written above.</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51">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William Duke</w:t>
      </w:r>
    </w:p>
    <w:p>
      <w:pPr>
        <w:ind w:left="48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u w:val="single" w:color="auto"/>
          <w:color w:val="auto"/>
        </w:rPr>
        <w:t>/s/ Julie Green</w:t>
      </w:r>
    </w:p>
    <w:p>
      <w:pPr>
        <w:spacing w:after="0" w:line="1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Julie Green</w:t>
      </w: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Julie Green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Julie Green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1/31/2026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0" w:name="page281"/>
    <w:bookmarkEnd w:id="280"/>
    <w:p>
      <w:pPr>
        <w:jc w:val="right"/>
        <w:spacing w:after="0"/>
        <w:rPr>
          <w:sz w:val="20"/>
          <w:szCs w:val="20"/>
          <w:color w:val="auto"/>
        </w:rPr>
      </w:pPr>
      <w:r>
        <w:rPr>
          <w:rFonts w:ascii="Times New Roman" w:cs="Times New Roman" w:eastAsia="Times New Roman" w:hAnsi="Times New Roman"/>
          <w:sz w:val="20"/>
          <w:szCs w:val="20"/>
          <w:b w:val="1"/>
          <w:bCs w:val="1"/>
          <w:color w:val="auto"/>
        </w:rPr>
        <w:t>Exhibit 10.16</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 THE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 OF TIMOTHY LEE</w:t>
      </w:r>
    </w:p>
    <w:p>
      <w:pPr>
        <w:spacing w:after="0" w:line="176" w:lineRule="exact"/>
        <w:rPr>
          <w:sz w:val="20"/>
          <w:szCs w:val="20"/>
          <w:color w:val="auto"/>
        </w:rPr>
      </w:pPr>
    </w:p>
    <w:p>
      <w:pPr>
        <w:jc w:val="both"/>
        <w:ind w:firstLine="853"/>
        <w:spacing w:after="0" w:line="249" w:lineRule="auto"/>
        <w:rPr>
          <w:sz w:val="20"/>
          <w:szCs w:val="20"/>
          <w:color w:val="auto"/>
        </w:rPr>
      </w:pPr>
      <w:r>
        <w:rPr>
          <w:rFonts w:ascii="Times New Roman" w:cs="Times New Roman" w:eastAsia="Times New Roman" w:hAnsi="Times New Roman"/>
          <w:sz w:val="22"/>
          <w:szCs w:val="22"/>
          <w:color w:val="auto"/>
        </w:rPr>
        <w:t>This F</w:t>
      </w:r>
      <w:r>
        <w:rPr>
          <w:rFonts w:ascii="Times New Roman" w:cs="Times New Roman" w:eastAsia="Times New Roman" w:hAnsi="Times New Roman"/>
          <w:sz w:val="14"/>
          <w:szCs w:val="14"/>
          <w:color w:val="auto"/>
        </w:rPr>
        <w:t>irst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mendment to the</w:t>
      </w:r>
      <w:r>
        <w:rPr>
          <w:rFonts w:ascii="Times New Roman" w:cs="Times New Roman" w:eastAsia="Times New Roman" w:hAnsi="Times New Roman"/>
          <w:sz w:val="22"/>
          <w:szCs w:val="22"/>
          <w:color w:val="auto"/>
        </w:rPr>
        <w:t xml:space="preserve"> E</w:t>
      </w:r>
      <w:r>
        <w:rPr>
          <w:rFonts w:ascii="Times New Roman" w:cs="Times New Roman" w:eastAsia="Times New Roman" w:hAnsi="Times New Roman"/>
          <w:sz w:val="14"/>
          <w:szCs w:val="14"/>
          <w:color w:val="auto"/>
        </w:rPr>
        <w:t>mployment</w:t>
      </w:r>
      <w:r>
        <w:rPr>
          <w:rFonts w:ascii="Times New Roman" w:cs="Times New Roman" w:eastAsia="Times New Roman" w:hAnsi="Times New Roman"/>
          <w:sz w:val="22"/>
          <w:szCs w:val="22"/>
          <w:color w:val="auto"/>
        </w:rPr>
        <w:t xml:space="preserve"> A</w:t>
      </w:r>
      <w:r>
        <w:rPr>
          <w:rFonts w:ascii="Times New Roman" w:cs="Times New Roman" w:eastAsia="Times New Roman" w:hAnsi="Times New Roman"/>
          <w:sz w:val="14"/>
          <w:szCs w:val="14"/>
          <w:color w:val="auto"/>
        </w:rPr>
        <w:t>greement of</w:t>
      </w:r>
      <w:r>
        <w:rPr>
          <w:rFonts w:ascii="Times New Roman" w:cs="Times New Roman" w:eastAsia="Times New Roman" w:hAnsi="Times New Roman"/>
          <w:sz w:val="22"/>
          <w:szCs w:val="22"/>
          <w:color w:val="auto"/>
        </w:rPr>
        <w:t xml:space="preserve"> T</w:t>
      </w:r>
      <w:r>
        <w:rPr>
          <w:rFonts w:ascii="Times New Roman" w:cs="Times New Roman" w:eastAsia="Times New Roman" w:hAnsi="Times New Roman"/>
          <w:sz w:val="14"/>
          <w:szCs w:val="14"/>
          <w:color w:val="auto"/>
        </w:rPr>
        <w:t>imothy</w:t>
      </w:r>
      <w:r>
        <w:rPr>
          <w:rFonts w:ascii="Times New Roman" w:cs="Times New Roman" w:eastAsia="Times New Roman" w:hAnsi="Times New Roman"/>
          <w:sz w:val="22"/>
          <w:szCs w:val="22"/>
          <w:color w:val="auto"/>
        </w:rPr>
        <w:t xml:space="preserve"> L</w:t>
      </w:r>
      <w:r>
        <w:rPr>
          <w:rFonts w:ascii="Times New Roman" w:cs="Times New Roman" w:eastAsia="Times New Roman" w:hAnsi="Times New Roman"/>
          <w:sz w:val="14"/>
          <w:szCs w:val="14"/>
          <w:color w:val="auto"/>
        </w:rPr>
        <w:t>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Amendment</w:t>
      </w:r>
      <w:r>
        <w:rPr>
          <w:rFonts w:ascii="Times New Roman" w:cs="Times New Roman" w:eastAsia="Times New Roman" w:hAnsi="Times New Roman"/>
          <w:sz w:val="22"/>
          <w:szCs w:val="22"/>
          <w:color w:val="auto"/>
        </w:rPr>
        <w:t>”) is entered into this January 31, 2026 (the “</w:t>
      </w:r>
      <w:r>
        <w:rPr>
          <w:rFonts w:ascii="Times New Roman" w:cs="Times New Roman" w:eastAsia="Times New Roman" w:hAnsi="Times New Roman"/>
          <w:sz w:val="22"/>
          <w:szCs w:val="22"/>
          <w:b w:val="1"/>
          <w:bCs w:val="1"/>
          <w:i w:val="1"/>
          <w:iCs w:val="1"/>
          <w:u w:val="single" w:color="auto"/>
          <w:color w:val="auto"/>
        </w:rPr>
        <w:t>Amendment Effective Date</w:t>
      </w:r>
      <w:r>
        <w:rPr>
          <w:rFonts w:ascii="Times New Roman" w:cs="Times New Roman" w:eastAsia="Times New Roman" w:hAnsi="Times New Roman"/>
          <w:sz w:val="22"/>
          <w:szCs w:val="22"/>
          <w:color w:val="auto"/>
        </w:rPr>
        <w:t xml:space="preserve">”), by and between </w:t>
      </w: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imothy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L</w:t>
      </w:r>
      <w:r>
        <w:rPr>
          <w:rFonts w:ascii="Times New Roman" w:cs="Times New Roman" w:eastAsia="Times New Roman" w:hAnsi="Times New Roman"/>
          <w:sz w:val="14"/>
          <w:szCs w:val="14"/>
          <w:b w:val="1"/>
          <w:bCs w:val="1"/>
          <w:color w:val="auto"/>
        </w:rPr>
        <w:t>ee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Executive</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nvivyd</w:t>
      </w:r>
      <w:r>
        <w:rPr>
          <w:rFonts w:ascii="Times New Roman" w:cs="Times New Roman" w:eastAsia="Times New Roman" w:hAnsi="Times New Roman"/>
          <w:sz w:val="22"/>
          <w:szCs w:val="22"/>
          <w:b w:val="1"/>
          <w:bCs w:val="1"/>
          <w:color w:val="auto"/>
        </w:rPr>
        <w:t>, I</w:t>
      </w:r>
      <w:r>
        <w:rPr>
          <w:rFonts w:ascii="Times New Roman" w:cs="Times New Roman" w:eastAsia="Times New Roman" w:hAnsi="Times New Roman"/>
          <w:sz w:val="14"/>
          <w:szCs w:val="14"/>
          <w:b w:val="1"/>
          <w:bCs w:val="1"/>
          <w:color w:val="auto"/>
        </w:rPr>
        <w:t>nc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u w:val="single" w:color="auto"/>
          <w:color w:val="auto"/>
        </w:rPr>
        <w:t>Company</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6" w:lineRule="exact"/>
        <w:rPr>
          <w:sz w:val="20"/>
          <w:szCs w:val="20"/>
          <w:color w:val="auto"/>
        </w:rPr>
      </w:pPr>
    </w:p>
    <w:p>
      <w:pPr>
        <w:ind w:right="20"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have entered into that certain Employment Agreement dated May 30, 2024</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w:t>
      </w:r>
      <w:r>
        <w:rPr>
          <w:rFonts w:ascii="Times New Roman" w:cs="Times New Roman" w:eastAsia="Times New Roman" w:hAnsi="Times New Roman"/>
          <w:sz w:val="22"/>
          <w:szCs w:val="22"/>
          <w:b w:val="1"/>
          <w:bCs w:val="1"/>
          <w:i w:val="1"/>
          <w:iCs w:val="1"/>
          <w:u w:val="single" w:color="auto"/>
          <w:color w:val="auto"/>
        </w:rPr>
        <w:t>Executive Agreement</w:t>
      </w:r>
      <w:r>
        <w:rPr>
          <w:rFonts w:ascii="Times New Roman" w:cs="Times New Roman" w:eastAsia="Times New Roman" w:hAnsi="Times New Roman"/>
          <w:sz w:val="22"/>
          <w:szCs w:val="22"/>
          <w:color w:val="auto"/>
        </w:rPr>
        <w:t>”); and</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2"/>
          <w:szCs w:val="22"/>
          <w:b w:val="1"/>
          <w:bCs w:val="1"/>
          <w:color w:val="auto"/>
        </w:rPr>
        <w:t xml:space="preserve">WHEREAS, </w:t>
      </w:r>
      <w:r>
        <w:rPr>
          <w:rFonts w:ascii="Times New Roman" w:cs="Times New Roman" w:eastAsia="Times New Roman" w:hAnsi="Times New Roman"/>
          <w:sz w:val="22"/>
          <w:szCs w:val="22"/>
          <w:color w:val="auto"/>
        </w:rPr>
        <w:t>the Company and Executive wish to amend the Executive Agreement as set forth in this Amendment.</w:t>
      </w:r>
    </w:p>
    <w:p>
      <w:pPr>
        <w:spacing w:after="0" w:line="206" w:lineRule="exact"/>
        <w:rPr>
          <w:sz w:val="20"/>
          <w:szCs w:val="20"/>
          <w:color w:val="auto"/>
        </w:rPr>
      </w:pPr>
    </w:p>
    <w:p>
      <w:pPr>
        <w:ind w:firstLine="853"/>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mutual covenants contained herein and other valid consideration,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is acknowledged, the parties hereto agree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06" w:lineRule="exact"/>
        <w:rPr>
          <w:sz w:val="20"/>
          <w:szCs w:val="20"/>
          <w:color w:val="auto"/>
        </w:rPr>
      </w:pPr>
    </w:p>
    <w:p>
      <w:pPr>
        <w:ind w:left="760" w:hanging="752"/>
        <w:spacing w:after="0" w:line="262" w:lineRule="auto"/>
        <w:tabs>
          <w:tab w:leader="none" w:pos="7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Amendment to Section 2(b)</w:t>
      </w:r>
      <w:r>
        <w:rPr>
          <w:rFonts w:ascii="Times New Roman" w:cs="Times New Roman" w:eastAsia="Times New Roman" w:hAnsi="Times New Roman"/>
          <w:sz w:val="22"/>
          <w:szCs w:val="22"/>
          <w:color w:val="auto"/>
        </w:rPr>
        <w:t>. Section 2(b) of the Executive Agreement is hereby amended by replacing Section 2(b)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its </w:t>
      </w:r>
      <w:r>
        <w:rPr>
          <w:rFonts w:ascii="Times New Roman" w:cs="Times New Roman" w:eastAsia="Times New Roman" w:hAnsi="Times New Roman"/>
          <w:sz w:val="22"/>
          <w:szCs w:val="22"/>
          <w:u w:val="single" w:color="auto"/>
          <w:color w:val="auto"/>
        </w:rPr>
        <w:t>entirety</w:t>
      </w:r>
      <w:r>
        <w:rPr>
          <w:rFonts w:ascii="Times New Roman" w:cs="Times New Roman" w:eastAsia="Times New Roman" w:hAnsi="Times New Roman"/>
          <w:sz w:val="22"/>
          <w:szCs w:val="22"/>
          <w:color w:val="auto"/>
        </w:rPr>
        <w:t xml:space="preserve"> with the following:</w:t>
      </w:r>
    </w:p>
    <w:p>
      <w:pPr>
        <w:spacing w:after="0" w:line="153" w:lineRule="exact"/>
        <w:rPr>
          <w:rFonts w:ascii="Times New Roman" w:cs="Times New Roman" w:eastAsia="Times New Roman" w:hAnsi="Times New Roman"/>
          <w:sz w:val="22"/>
          <w:szCs w:val="22"/>
          <w:color w:val="auto"/>
        </w:rPr>
      </w:pPr>
    </w:p>
    <w:p>
      <w:pPr>
        <w:jc w:val="both"/>
        <w:ind w:left="1500" w:firstLine="5"/>
        <w:spacing w:after="0" w:line="229" w:lineRule="auto"/>
        <w:tabs>
          <w:tab w:leader="none" w:pos="2103" w:val="left"/>
        </w:tabs>
        <w:numPr>
          <w:ilvl w:val="1"/>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Incentive Compensation</w:t>
      </w:r>
      <w:r>
        <w:rPr>
          <w:rFonts w:ascii="Times New Roman" w:cs="Times New Roman" w:eastAsia="Times New Roman" w:hAnsi="Times New Roman"/>
          <w:sz w:val="22"/>
          <w:szCs w:val="22"/>
          <w:color w:val="auto"/>
        </w:rPr>
        <w:t>. Executive shall be eligible to participate in an annual cash incentive compensation plan that the Company offers to its executive officers (the “</w:t>
      </w:r>
      <w:r>
        <w:rPr>
          <w:rFonts w:ascii="Times New Roman" w:cs="Times New Roman" w:eastAsia="Times New Roman" w:hAnsi="Times New Roman"/>
          <w:sz w:val="22"/>
          <w:szCs w:val="22"/>
          <w:b w:val="1"/>
          <w:bCs w:val="1"/>
          <w:i w:val="1"/>
          <w:iCs w:val="1"/>
          <w:u w:val="single" w:color="auto"/>
          <w:color w:val="auto"/>
        </w:rPr>
        <w:t>Annual Bonus Plan</w:t>
      </w:r>
      <w:r>
        <w:rPr>
          <w:rFonts w:ascii="Times New Roman" w:cs="Times New Roman" w:eastAsia="Times New Roman" w:hAnsi="Times New Roman"/>
          <w:sz w:val="22"/>
          <w:szCs w:val="22"/>
          <w:color w:val="auto"/>
        </w:rPr>
        <w:t>”). Executive will be eligible to earn an annual bonus for each full calendar year completed (the “</w:t>
      </w:r>
      <w:r>
        <w:rPr>
          <w:rFonts w:ascii="Times New Roman" w:cs="Times New Roman" w:eastAsia="Times New Roman" w:hAnsi="Times New Roman"/>
          <w:sz w:val="22"/>
          <w:szCs w:val="22"/>
          <w:b w:val="1"/>
          <w:bCs w:val="1"/>
          <w:i w:val="1"/>
          <w:iCs w:val="1"/>
          <w:u w:val="single" w:color="auto"/>
          <w:color w:val="auto"/>
        </w:rPr>
        <w:t>Annual Bonus</w:t>
      </w:r>
      <w:r>
        <w:rPr>
          <w:rFonts w:ascii="Times New Roman" w:cs="Times New Roman" w:eastAsia="Times New Roman" w:hAnsi="Times New Roman"/>
          <w:sz w:val="22"/>
          <w:szCs w:val="22"/>
          <w:color w:val="auto"/>
        </w:rPr>
        <w:t>”). Commencing in calendar year 2026, Executive’s target Annual Bonus will be 45% of Executive’s Base Salary (the “</w:t>
      </w:r>
      <w:r>
        <w:rPr>
          <w:rFonts w:ascii="Times New Roman" w:cs="Times New Roman" w:eastAsia="Times New Roman" w:hAnsi="Times New Roman"/>
          <w:sz w:val="22"/>
          <w:szCs w:val="22"/>
          <w:b w:val="1"/>
          <w:bCs w:val="1"/>
          <w:i w:val="1"/>
          <w:iCs w:val="1"/>
          <w:u w:val="single" w:color="auto"/>
          <w:color w:val="auto"/>
        </w:rPr>
        <w:t>Target Bonus</w:t>
      </w:r>
      <w:r>
        <w:rPr>
          <w:rFonts w:ascii="Times New Roman" w:cs="Times New Roman" w:eastAsia="Times New Roman" w:hAnsi="Times New Roman"/>
          <w:sz w:val="22"/>
          <w:szCs w:val="22"/>
          <w:color w:val="auto"/>
        </w:rPr>
        <w:t>”). The actual Annual Bonus payable to Executive with respect to a performance period will be determined by the Board or the Compensation Committee based on achieving performance goals and objectives for such calendar year as reasonably determined by the Compensation Committee. Executive’s Annual Bonus shall be paid as soon as administratively practicable after the end of the performance period, but in no event later than the March 15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immediately following such period; provided, that Executive must remain continuously employed by the Company through the date on which the Annual Bonus is paid, subject to any recoupment as set forth in Section 23 of this Agreement, in order to be eligible to earn and receive the Annual Bonus (except as otherwise provided in Section 4(c) or 5(a)).</w:t>
      </w:r>
    </w:p>
    <w:p>
      <w:pPr>
        <w:spacing w:after="0" w:line="183" w:lineRule="exact"/>
        <w:rPr>
          <w:rFonts w:ascii="Times New Roman" w:cs="Times New Roman" w:eastAsia="Times New Roman" w:hAnsi="Times New Roman"/>
          <w:sz w:val="22"/>
          <w:szCs w:val="22"/>
          <w:color w:val="auto"/>
        </w:rPr>
      </w:pPr>
    </w:p>
    <w:p>
      <w:pPr>
        <w:jc w:val="both"/>
        <w:ind w:left="760" w:hanging="752"/>
        <w:spacing w:after="0" w:line="238" w:lineRule="auto"/>
        <w:tabs>
          <w:tab w:leader="none" w:pos="760" w:val="left"/>
        </w:tabs>
        <w:numPr>
          <w:ilvl w:val="0"/>
          <w:numId w:val="2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modified or amended in this Amendment, no other term or provision of the Executive Agreement is amended or modified in any respect. Executive remains employed “at will.” The Executive Agreement and its exhibits, the Employee Proprietary Information and Inventions Assignment Agreement, and this Amendment, set forth the entire understanding between the parties with regard to the subject matter hereof and supersedes any prior oral discussions or written communications and agreements. This Amendment</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81" w:name="page282"/>
    <w:bookmarkEnd w:id="281"/>
    <w:p>
      <w:pPr>
        <w:jc w:val="center"/>
        <w:ind w:right="-59"/>
        <w:spacing w:after="0"/>
        <w:rPr>
          <w:sz w:val="20"/>
          <w:szCs w:val="20"/>
          <w:color w:val="auto"/>
        </w:rPr>
      </w:pPr>
      <w:r>
        <w:rPr>
          <w:rFonts w:ascii="Times New Roman" w:cs="Times New Roman" w:eastAsia="Times New Roman" w:hAnsi="Times New Roman"/>
          <w:sz w:val="22"/>
          <w:szCs w:val="22"/>
          <w:color w:val="auto"/>
        </w:rPr>
        <w:t>cannot be modified or amended except in writing signed by Executive and an authorized officer of the Company.</w:t>
      </w:r>
    </w:p>
    <w:p>
      <w:pPr>
        <w:spacing w:after="0" w:line="206" w:lineRule="exact"/>
        <w:rPr>
          <w:sz w:val="20"/>
          <w:szCs w:val="20"/>
          <w:color w:val="auto"/>
        </w:rPr>
      </w:pPr>
    </w:p>
    <w:p>
      <w:pPr>
        <w:ind w:firstLine="853"/>
        <w:spacing w:after="0" w:line="258" w:lineRule="auto"/>
        <w:rPr>
          <w:sz w:val="20"/>
          <w:szCs w:val="20"/>
          <w:color w:val="auto"/>
        </w:rPr>
      </w:pPr>
      <w:r>
        <w:rPr>
          <w:rFonts w:ascii="Times New Roman" w:cs="Times New Roman" w:eastAsia="Times New Roman" w:hAnsi="Times New Roman"/>
          <w:sz w:val="22"/>
          <w:szCs w:val="22"/>
          <w:color w:val="auto"/>
        </w:rPr>
        <w:t>The parties have executed this First Amendment to the Employment Agreement of Timothy Lee on the day and year first written above.</w:t>
      </w:r>
    </w:p>
    <w:p>
      <w:pPr>
        <w:spacing w:after="0" w:line="15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INVIVYD, INC.</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William Duke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4">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William Duke</w:t>
      </w:r>
    </w:p>
    <w:p>
      <w:pPr>
        <w:ind w:left="4880"/>
        <w:spacing w:after="0"/>
        <w:rPr>
          <w:sz w:val="20"/>
          <w:szCs w:val="20"/>
          <w:color w:val="auto"/>
        </w:rPr>
      </w:pPr>
      <w:r>
        <w:rPr>
          <w:rFonts w:ascii="Times New Roman" w:cs="Times New Roman" w:eastAsia="Times New Roman" w:hAnsi="Times New Roman"/>
          <w:sz w:val="22"/>
          <w:szCs w:val="22"/>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10"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3095625</wp:posOffset>
            </wp:positionH>
            <wp:positionV relativeFrom="paragraph">
              <wp:posOffset>-13970</wp:posOffset>
            </wp:positionV>
            <wp:extent cx="109728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5">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jc w:val="center"/>
        <w:ind w:right="380"/>
        <w:spacing w:after="0"/>
        <w:rPr>
          <w:sz w:val="20"/>
          <w:szCs w:val="20"/>
          <w:color w:val="auto"/>
        </w:rPr>
      </w:pPr>
      <w:r>
        <w:rPr>
          <w:rFonts w:ascii="Times New Roman" w:cs="Times New Roman" w:eastAsia="Times New Roman" w:hAnsi="Times New Roman"/>
          <w:sz w:val="22"/>
          <w:szCs w:val="22"/>
          <w:color w:val="auto"/>
        </w:rPr>
        <w:t>Timothy Lee</w:t>
      </w:r>
    </w:p>
    <w:p>
      <w:pPr>
        <w:spacing w:after="0" w:line="200" w:lineRule="exact"/>
        <w:rPr>
          <w:sz w:val="20"/>
          <w:szCs w:val="20"/>
          <w:color w:val="auto"/>
        </w:rPr>
      </w:pP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 hereby acknowledge and reaffirm my obligations pursuant to the Employee Proprietary Information and Inventions Assignment Agreement.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Timothy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109728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Timothy Lee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1/31/2026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0"/>
          <w:szCs w:val="20"/>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280670</wp:posOffset>
            </wp:positionV>
            <wp:extent cx="1259840" cy="18859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8">
                      <a:extLst>
                        <a:ext uri="{28A0092B-C50C-407E-A947-70E740481C1C}"/>
                      </a:extLst>
                    </a:blip>
                    <a:srcRect/>
                    <a:stretch>
                      <a:fillRect/>
                    </a:stretch>
                  </pic:blipFill>
                  <pic:spPr bwMode="auto">
                    <a:xfrm>
                      <a:off x="0" y="0"/>
                      <a:ext cx="125984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INSIDER TRADING PREVENTION POLICY</w:t>
      </w:r>
    </w:p>
    <w:p>
      <w:pPr>
        <w:spacing w:after="0" w:line="8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1.0</w:t>
      </w:r>
      <w:r>
        <w:rPr>
          <w:sz w:val="20"/>
          <w:szCs w:val="20"/>
          <w:color w:val="auto"/>
        </w:rPr>
        <w:tab/>
      </w:r>
      <w:r>
        <w:rPr>
          <w:rFonts w:ascii="Arial" w:cs="Arial" w:eastAsia="Arial" w:hAnsi="Arial"/>
          <w:sz w:val="20"/>
          <w:szCs w:val="20"/>
          <w:b w:val="1"/>
          <w:bCs w:val="1"/>
          <w:color w:val="auto"/>
        </w:rPr>
        <w:t>POLICY</w:t>
      </w:r>
    </w:p>
    <w:p>
      <w:pPr>
        <w:spacing w:after="0" w:line="75" w:lineRule="exact"/>
        <w:rPr>
          <w:sz w:val="20"/>
          <w:szCs w:val="20"/>
          <w:color w:val="auto"/>
        </w:rPr>
      </w:pPr>
    </w:p>
    <w:p>
      <w:pPr>
        <w:ind w:left="680" w:right="80"/>
        <w:spacing w:after="0" w:line="229" w:lineRule="auto"/>
        <w:rPr>
          <w:sz w:val="20"/>
          <w:szCs w:val="20"/>
          <w:color w:val="auto"/>
        </w:rPr>
      </w:pPr>
      <w:r>
        <w:rPr>
          <w:rFonts w:ascii="Arial" w:cs="Arial" w:eastAsia="Arial" w:hAnsi="Arial"/>
          <w:sz w:val="20"/>
          <w:szCs w:val="20"/>
          <w:color w:val="auto"/>
        </w:rPr>
        <w:t>It is the policy of Invivyd, Inc. and its subsidiaries (“</w:t>
      </w:r>
      <w:r>
        <w:rPr>
          <w:rFonts w:ascii="Arial" w:cs="Arial" w:eastAsia="Arial" w:hAnsi="Arial"/>
          <w:sz w:val="20"/>
          <w:szCs w:val="20"/>
          <w:b w:val="1"/>
          <w:bCs w:val="1"/>
          <w:i w:val="1"/>
          <w:iCs w:val="1"/>
          <w:color w:val="auto"/>
        </w:rPr>
        <w:t>Invivyd</w:t>
      </w:r>
      <w:r>
        <w:rPr>
          <w:rFonts w:ascii="Arial" w:cs="Arial" w:eastAsia="Arial" w:hAnsi="Arial"/>
          <w:sz w:val="20"/>
          <w:szCs w:val="20"/>
          <w:color w:val="auto"/>
        </w:rPr>
        <w:t>”) to prohibit insider trading, i.e., the purchase or sale of a company’s securities by anyone who is aware of Material Non-Public Information (as defined below) about that company. Taking advantage of this privileged information is considered a breach of the individual’s fiduciary duty to Invivyd, and accordingly Invivyd adopts this Insider Trading Prevention Policy (this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to provide guidance to Invivyd employees, officers, directors, and contractors and consultants who are advised that they are subject to this policy (“</w:t>
      </w:r>
      <w:r>
        <w:rPr>
          <w:rFonts w:ascii="Arial" w:cs="Arial" w:eastAsia="Arial" w:hAnsi="Arial"/>
          <w:sz w:val="20"/>
          <w:szCs w:val="20"/>
          <w:b w:val="1"/>
          <w:bCs w:val="1"/>
          <w:i w:val="1"/>
          <w:iCs w:val="1"/>
          <w:color w:val="auto"/>
        </w:rPr>
        <w:t>Invivyd Representatives</w:t>
      </w:r>
      <w:r>
        <w:rPr>
          <w:rFonts w:ascii="Arial" w:cs="Arial" w:eastAsia="Arial" w:hAnsi="Arial"/>
          <w:sz w:val="20"/>
          <w:szCs w:val="20"/>
          <w:color w:val="auto"/>
        </w:rPr>
        <w:t>”) regarding transactions in both Invivyd securities and the securities of publicly traded companies with whom Invivyd has a business relationship. Federal and state securities laws prohibit the purchase or sale of a company’s securities by anyone who is aware of Material Non-Public Information (as defined below) about that company. These laws also prohibit anyone who is aware of Material Non-Public Information from disclosing this information to others who may trade. Companies may also be subject to liability if they fail to take reasonable steps to prevent insider trading by their personnel.</w:t>
      </w:r>
    </w:p>
    <w:p>
      <w:pPr>
        <w:spacing w:after="0" w:line="178" w:lineRule="exact"/>
        <w:rPr>
          <w:sz w:val="20"/>
          <w:szCs w:val="20"/>
          <w:color w:val="auto"/>
        </w:rPr>
      </w:pPr>
    </w:p>
    <w:p>
      <w:pPr>
        <w:ind w:left="680" w:right="60"/>
        <w:spacing w:after="0" w:line="232" w:lineRule="auto"/>
        <w:rPr>
          <w:sz w:val="20"/>
          <w:szCs w:val="20"/>
          <w:color w:val="auto"/>
        </w:rPr>
      </w:pPr>
      <w:r>
        <w:rPr>
          <w:rFonts w:ascii="Arial" w:cs="Arial" w:eastAsia="Arial" w:hAnsi="Arial"/>
          <w:sz w:val="20"/>
          <w:szCs w:val="20"/>
          <w:color w:val="auto"/>
        </w:rPr>
        <w:t>This Policy is designed to prevent insider trading by Invivyd Representatives or even the allegations of insider trading, and to assist Invivyd Representatives in complying with their obligations under federal and state securities laws. Your strict adherence to this Policy can help safeguard Invivyd’s reputation and further ensure that Invivyd conducts its business with the highest level of integrity and in accordance with the highest ethical standards. Each Invivyd Representative is responsible for the consequences of his or her actions, and for understanding and complying with this Policy. Any violation of this Policy can result in disciplinary action up to and including termination of employment or other working relationship with Invivyd.</w:t>
      </w:r>
    </w:p>
    <w:p>
      <w:pPr>
        <w:spacing w:after="0" w:line="56"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2.0</w:t>
      </w:r>
      <w:r>
        <w:rPr>
          <w:sz w:val="20"/>
          <w:szCs w:val="20"/>
          <w:color w:val="auto"/>
        </w:rPr>
        <w:tab/>
      </w:r>
      <w:r>
        <w:rPr>
          <w:rFonts w:ascii="Arial" w:cs="Arial" w:eastAsia="Arial" w:hAnsi="Arial"/>
          <w:sz w:val="20"/>
          <w:szCs w:val="20"/>
          <w:b w:val="1"/>
          <w:bCs w:val="1"/>
          <w:color w:val="auto"/>
        </w:rPr>
        <w:t>SCOPE</w:t>
      </w:r>
    </w:p>
    <w:p>
      <w:pPr>
        <w:spacing w:after="0" w:line="75" w:lineRule="exact"/>
        <w:rPr>
          <w:sz w:val="20"/>
          <w:szCs w:val="20"/>
          <w:color w:val="auto"/>
        </w:rPr>
      </w:pPr>
    </w:p>
    <w:p>
      <w:pPr>
        <w:ind w:left="680" w:right="40"/>
        <w:spacing w:after="0" w:line="230" w:lineRule="auto"/>
        <w:rPr>
          <w:sz w:val="20"/>
          <w:szCs w:val="20"/>
          <w:color w:val="auto"/>
        </w:rPr>
      </w:pPr>
      <w:r>
        <w:rPr>
          <w:rFonts w:ascii="Arial" w:cs="Arial" w:eastAsia="Arial" w:hAnsi="Arial"/>
          <w:sz w:val="20"/>
          <w:szCs w:val="20"/>
          <w:color w:val="auto"/>
        </w:rPr>
        <w:t>This Policy applies to all Invivyd Representatives and to their “</w:t>
      </w:r>
      <w:r>
        <w:rPr>
          <w:rFonts w:ascii="Arial" w:cs="Arial" w:eastAsia="Arial" w:hAnsi="Arial"/>
          <w:sz w:val="20"/>
          <w:szCs w:val="20"/>
          <w:b w:val="1"/>
          <w:bCs w:val="1"/>
          <w:i w:val="1"/>
          <w:iCs w:val="1"/>
          <w:color w:val="auto"/>
        </w:rPr>
        <w:t>Family Members</w:t>
      </w:r>
      <w:r>
        <w:rPr>
          <w:rFonts w:ascii="Arial" w:cs="Arial" w:eastAsia="Arial" w:hAnsi="Arial"/>
          <w:sz w:val="20"/>
          <w:szCs w:val="20"/>
          <w:color w:val="auto"/>
        </w:rPr>
        <w:t>” (defined as members of their immediate families who reside with them or anyone else who lives in their household or who live elsewhere but whose transactions in Invivyd securities are directed by such Invivyd Representatives or subject to their influence and/or control (including, e.g., parents or children who consult with you before they trade in Invivyd securities)) and “</w:t>
      </w:r>
      <w:r>
        <w:rPr>
          <w:rFonts w:ascii="Arial" w:cs="Arial" w:eastAsia="Arial" w:hAnsi="Arial"/>
          <w:sz w:val="20"/>
          <w:szCs w:val="20"/>
          <w:b w:val="1"/>
          <w:bCs w:val="1"/>
          <w:i w:val="1"/>
          <w:iCs w:val="1"/>
          <w:color w:val="auto"/>
        </w:rPr>
        <w:t>Controlled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Entities</w:t>
      </w:r>
      <w:r>
        <w:rPr>
          <w:rFonts w:ascii="Arial" w:cs="Arial" w:eastAsia="Arial" w:hAnsi="Arial"/>
          <w:sz w:val="20"/>
          <w:szCs w:val="20"/>
          <w:color w:val="auto"/>
        </w:rPr>
        <w:t>” (defined as any corporation, limited liability company, partnership, trust, or any venture or other investment</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fund, if you influence, direct or control transactions by such entity). However, this Policy does not apply to any entity that invests in securities in the ordinary course of its business (e.g., a venture or other investment fund) if (and only if) such entity has certified to Invivyd that it has established its own insider trading controls and procedures in compliance with applicable securities laws (an “</w:t>
      </w:r>
      <w:r>
        <w:rPr>
          <w:rFonts w:ascii="Arial" w:cs="Arial" w:eastAsia="Arial" w:hAnsi="Arial"/>
          <w:sz w:val="20"/>
          <w:szCs w:val="20"/>
          <w:b w:val="1"/>
          <w:bCs w:val="1"/>
          <w:i w:val="1"/>
          <w:iCs w:val="1"/>
          <w:color w:val="auto"/>
        </w:rPr>
        <w:t>Excluded Entity</w:t>
      </w:r>
      <w:r>
        <w:rPr>
          <w:rFonts w:ascii="Arial" w:cs="Arial" w:eastAsia="Arial" w:hAnsi="Arial"/>
          <w:sz w:val="20"/>
          <w:szCs w:val="20"/>
          <w:color w:val="auto"/>
        </w:rPr>
        <w:t>”). For the avoidance of doubt, an Excluded Entity is not a Controlled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1070610</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83" w:name="page284"/>
    <w:bookmarkEnd w:id="283"/>
    <w:p>
      <w:pPr>
        <w:ind w:left="680"/>
        <w:spacing w:after="0" w:line="234" w:lineRule="auto"/>
        <w:rPr>
          <w:sz w:val="20"/>
          <w:szCs w:val="20"/>
          <w:color w:val="auto"/>
        </w:rPr>
      </w:pPr>
      <w:r>
        <w:rPr>
          <w:rFonts w:ascii="Arial" w:cs="Arial" w:eastAsia="Arial" w:hAnsi="Arial"/>
          <w:sz w:val="20"/>
          <w:szCs w:val="20"/>
          <w:color w:val="auto"/>
        </w:rPr>
        <w:t>This Policy generally applies to all transactions in Invivyd securities by Invivyd Representatives, their Family Members and their Controlled Entities, including transactions in common stock, restricted stock, restricted stock units, options and warrants to purchase common stock and any other debt or equity securities Invivyd may issue from time to time, such as bonds, preferred stock and convertible debentures, as well as to derivative securities relating to Invivyd’s securities, whether or not issued by Invivyd, such as exchange-traded options, except as specified herein.</w:t>
      </w:r>
    </w:p>
    <w:p>
      <w:pPr>
        <w:spacing w:after="0" w:line="59"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3.0</w:t>
      </w:r>
      <w:r>
        <w:rPr>
          <w:sz w:val="20"/>
          <w:szCs w:val="20"/>
          <w:color w:val="auto"/>
        </w:rPr>
        <w:tab/>
      </w:r>
      <w:r>
        <w:rPr>
          <w:rFonts w:ascii="Arial" w:cs="Arial" w:eastAsia="Arial" w:hAnsi="Arial"/>
          <w:sz w:val="20"/>
          <w:szCs w:val="20"/>
          <w:b w:val="1"/>
          <w:bCs w:val="1"/>
          <w:color w:val="auto"/>
        </w:rPr>
        <w:t>DEFINITION, EXAMPLES, AND CONFIDENTIALITY OF MATERIAL NON-PUBLIC INFORMATION</w:t>
      </w:r>
    </w:p>
    <w:p>
      <w:pPr>
        <w:spacing w:after="0" w:line="75" w:lineRule="exact"/>
        <w:rPr>
          <w:sz w:val="20"/>
          <w:szCs w:val="20"/>
          <w:color w:val="auto"/>
        </w:rPr>
      </w:pPr>
    </w:p>
    <w:p>
      <w:pPr>
        <w:ind w:left="680"/>
        <w:spacing w:after="0" w:line="229"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Non-Public Information</w:t>
      </w:r>
      <w:r>
        <w:rPr>
          <w:rFonts w:ascii="Arial" w:cs="Arial" w:eastAsia="Arial" w:hAnsi="Arial"/>
          <w:sz w:val="20"/>
          <w:szCs w:val="20"/>
          <w:color w:val="auto"/>
        </w:rPr>
        <w:t>” is any material information about Invivyd that has not been previously disclosed to the general public through a press release or securities filings and is otherwise not available to the general public. Information may still be non-public even though it is widely known within Invivyd. Information can be deemed “material” if a reasonable investor would likely consider it important in making a decision to buy, hold or sell securities. Any information that could reasonably be expected to affect the price of the security is material. The information may be positive or negative. Financial information is frequently material, even if it covers only part of a fiscal period or less than all of Invivyd’s operations, since either of these might convey enough information about Invivyd’s results to be considered material information. Please note that trading that becomes subject to government or other scrutiny will be evaluated after the fact of the trade with the benefit of hindsight, so if you are unsure whether any particular information is Material Non-Public Information, you should first consult with the Invivyd Legal Department or alternatively resolve the question in favor of deeming the information material and therefore avoid the trade.</w:t>
      </w:r>
    </w:p>
    <w:p>
      <w:pPr>
        <w:spacing w:after="0" w:line="178" w:lineRule="exact"/>
        <w:rPr>
          <w:sz w:val="20"/>
          <w:szCs w:val="20"/>
          <w:color w:val="auto"/>
        </w:rPr>
      </w:pPr>
    </w:p>
    <w:p>
      <w:pPr>
        <w:ind w:left="680" w:right="420"/>
        <w:spacing w:after="0" w:line="241" w:lineRule="auto"/>
        <w:rPr>
          <w:sz w:val="20"/>
          <w:szCs w:val="20"/>
          <w:color w:val="auto"/>
        </w:rPr>
      </w:pPr>
      <w:r>
        <w:rPr>
          <w:rFonts w:ascii="Arial" w:cs="Arial" w:eastAsia="Arial" w:hAnsi="Arial"/>
          <w:sz w:val="20"/>
          <w:szCs w:val="20"/>
          <w:color w:val="auto"/>
        </w:rPr>
        <w:t>It is not possible to list or define all categories of material information. However, there are various categories of information that are particularly sensitive and, as a general rule, should always be considered carefully to determine whether material. Examples of such information may include:</w:t>
      </w:r>
    </w:p>
    <w:p>
      <w:pPr>
        <w:spacing w:after="0" w:line="171" w:lineRule="exact"/>
        <w:rPr>
          <w:sz w:val="20"/>
          <w:szCs w:val="20"/>
          <w:color w:val="auto"/>
        </w:rPr>
      </w:pPr>
    </w:p>
    <w:p>
      <w:pPr>
        <w:ind w:left="1440" w:hanging="384"/>
        <w:spacing w:after="0"/>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Results of nonclinical studies or clinical trials;</w:t>
      </w:r>
    </w:p>
    <w:p>
      <w:pPr>
        <w:spacing w:after="0" w:line="16" w:lineRule="exact"/>
        <w:rPr>
          <w:rFonts w:ascii="Times New Roman" w:cs="Times New Roman" w:eastAsia="Times New Roman" w:hAnsi="Times New Roman"/>
          <w:sz w:val="20"/>
          <w:szCs w:val="20"/>
          <w:color w:val="auto"/>
        </w:rPr>
      </w:pP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Actions of FDA or other regulatory agencies;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research strategies;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business strategies;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results;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Gain or loss of a significant customer or supplier;</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product price or reimbursement changes;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Public or private debt or equity offerings;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Stock splits, dividends, and stock repurchase programs;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News of a pending or proposed acquisition or disposition of significant assets;</w:t>
      </w:r>
    </w:p>
    <w:p>
      <w:pPr>
        <w:ind w:left="1440" w:hanging="384"/>
        <w:spacing w:after="0" w:line="238" w:lineRule="auto"/>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News of a pending or proposed merger, acquisition, tender offer or disposition;</w:t>
      </w:r>
    </w:p>
    <w:p>
      <w:pPr>
        <w:ind w:left="1440" w:hanging="384"/>
        <w:spacing w:after="0"/>
        <w:tabs>
          <w:tab w:leader="none" w:pos="1440" w:val="left"/>
        </w:tabs>
        <w:numPr>
          <w:ilvl w:val="0"/>
          <w:numId w:val="257"/>
        </w:numPr>
        <w:rPr>
          <w:rFonts w:ascii="Times New Roman" w:cs="Times New Roman" w:eastAsia="Times New Roman" w:hAnsi="Times New Roman"/>
          <w:sz w:val="20"/>
          <w:szCs w:val="20"/>
          <w:color w:val="auto"/>
        </w:rPr>
      </w:pPr>
      <w:r>
        <w:rPr>
          <w:rFonts w:ascii="Arial" w:cs="Arial" w:eastAsia="Arial" w:hAnsi="Arial"/>
          <w:sz w:val="20"/>
          <w:szCs w:val="20"/>
          <w:color w:val="auto"/>
        </w:rPr>
        <w:t>Information regarding sales, revenues or earnings (including projections);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284" w:name="page285"/>
    <w:bookmarkEnd w:id="284"/>
    <w:p>
      <w:pPr>
        <w:ind w:left="1440" w:hanging="384"/>
        <w:spacing w:after="0" w:line="234" w:lineRule="auto"/>
        <w:tabs>
          <w:tab w:leader="none" w:pos="1440" w:val="left"/>
        </w:tabs>
        <w:numPr>
          <w:ilvl w:val="0"/>
          <w:numId w:val="258"/>
        </w:numPr>
        <w:rPr>
          <w:rFonts w:ascii="Times New Roman" w:cs="Times New Roman" w:eastAsia="Times New Roman" w:hAnsi="Times New Roman"/>
          <w:sz w:val="20"/>
          <w:szCs w:val="20"/>
          <w:color w:val="auto"/>
        </w:rPr>
      </w:pPr>
      <w:r>
        <w:rPr>
          <w:rFonts w:ascii="Arial" w:cs="Arial" w:eastAsia="Arial" w:hAnsi="Arial"/>
          <w:sz w:val="20"/>
          <w:szCs w:val="20"/>
          <w:color w:val="auto"/>
        </w:rPr>
        <w:t>Financial forecasts of any kind, including earnings estimates or changes in previously announced earnings estimates;</w:t>
      </w:r>
    </w:p>
    <w:p>
      <w:pPr>
        <w:ind w:left="1440" w:hanging="384"/>
        <w:spacing w:after="0" w:line="238" w:lineRule="auto"/>
        <w:tabs>
          <w:tab w:leader="none" w:pos="1440" w:val="left"/>
        </w:tabs>
        <w:numPr>
          <w:ilvl w:val="0"/>
          <w:numId w:val="258"/>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senior management;</w:t>
      </w:r>
    </w:p>
    <w:p>
      <w:pPr>
        <w:ind w:left="1440" w:hanging="384"/>
        <w:spacing w:after="0" w:line="238" w:lineRule="auto"/>
        <w:tabs>
          <w:tab w:leader="none" w:pos="1440" w:val="left"/>
        </w:tabs>
        <w:numPr>
          <w:ilvl w:val="0"/>
          <w:numId w:val="258"/>
        </w:numPr>
        <w:rPr>
          <w:rFonts w:ascii="Times New Roman" w:cs="Times New Roman" w:eastAsia="Times New Roman" w:hAnsi="Times New Roman"/>
          <w:sz w:val="20"/>
          <w:szCs w:val="20"/>
          <w:color w:val="auto"/>
        </w:rPr>
      </w:pPr>
      <w:r>
        <w:rPr>
          <w:rFonts w:ascii="Arial" w:cs="Arial" w:eastAsia="Arial" w:hAnsi="Arial"/>
          <w:sz w:val="20"/>
          <w:szCs w:val="20"/>
          <w:color w:val="auto"/>
        </w:rPr>
        <w:t>Impending bankruptcy or financial liquidity problems;</w:t>
      </w:r>
    </w:p>
    <w:p>
      <w:pPr>
        <w:ind w:left="1440" w:hanging="384"/>
        <w:spacing w:after="0" w:line="238" w:lineRule="auto"/>
        <w:tabs>
          <w:tab w:leader="none" w:pos="1440" w:val="left"/>
        </w:tabs>
        <w:numPr>
          <w:ilvl w:val="0"/>
          <w:numId w:val="25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litigation exposure due to actual or threatened litigation;</w:t>
      </w:r>
    </w:p>
    <w:p>
      <w:pPr>
        <w:ind w:left="1440" w:hanging="384"/>
        <w:spacing w:after="0" w:line="238" w:lineRule="auto"/>
        <w:tabs>
          <w:tab w:leader="none" w:pos="1440" w:val="left"/>
        </w:tabs>
        <w:numPr>
          <w:ilvl w:val="0"/>
          <w:numId w:val="258"/>
        </w:numPr>
        <w:rPr>
          <w:rFonts w:ascii="Times New Roman" w:cs="Times New Roman" w:eastAsia="Times New Roman" w:hAnsi="Times New Roman"/>
          <w:sz w:val="20"/>
          <w:szCs w:val="20"/>
          <w:color w:val="auto"/>
        </w:rPr>
      </w:pPr>
      <w:r>
        <w:rPr>
          <w:rFonts w:ascii="Arial" w:cs="Arial" w:eastAsia="Arial" w:hAnsi="Arial"/>
          <w:sz w:val="20"/>
          <w:szCs w:val="20"/>
          <w:color w:val="auto"/>
        </w:rPr>
        <w:t>Developments in significant litigation or government investigations; and</w:t>
      </w:r>
    </w:p>
    <w:p>
      <w:pPr>
        <w:ind w:left="1440" w:hanging="384"/>
        <w:spacing w:after="0"/>
        <w:tabs>
          <w:tab w:leader="none" w:pos="1440" w:val="left"/>
        </w:tabs>
        <w:numPr>
          <w:ilvl w:val="0"/>
          <w:numId w:val="258"/>
        </w:numPr>
        <w:rPr>
          <w:rFonts w:ascii="Times New Roman" w:cs="Times New Roman" w:eastAsia="Times New Roman" w:hAnsi="Times New Roman"/>
          <w:sz w:val="20"/>
          <w:szCs w:val="20"/>
          <w:color w:val="auto"/>
        </w:rPr>
      </w:pPr>
      <w:r>
        <w:rPr>
          <w:rFonts w:ascii="Arial" w:cs="Arial" w:eastAsia="Arial" w:hAnsi="Arial"/>
          <w:sz w:val="20"/>
          <w:szCs w:val="20"/>
          <w:color w:val="auto"/>
        </w:rPr>
        <w:t>Execution or termination of significant contracts.</w:t>
      </w:r>
    </w:p>
    <w:p>
      <w:pPr>
        <w:spacing w:after="0" w:line="197" w:lineRule="exact"/>
        <w:rPr>
          <w:sz w:val="20"/>
          <w:szCs w:val="20"/>
          <w:color w:val="auto"/>
        </w:rPr>
      </w:pPr>
    </w:p>
    <w:p>
      <w:pPr>
        <w:ind w:left="680" w:right="140"/>
        <w:spacing w:after="0" w:line="257" w:lineRule="auto"/>
        <w:rPr>
          <w:sz w:val="20"/>
          <w:szCs w:val="20"/>
          <w:color w:val="auto"/>
        </w:rPr>
      </w:pPr>
      <w:r>
        <w:rPr>
          <w:rFonts w:ascii="Arial" w:cs="Arial" w:eastAsia="Arial" w:hAnsi="Arial"/>
          <w:sz w:val="20"/>
          <w:szCs w:val="20"/>
          <w:color w:val="auto"/>
        </w:rPr>
        <w:t>Material Non-Public Information about Invivyd is confidential and is the property of Invivyd, and unauthorized disclosure or use of that information is prohibited.</w:t>
      </w:r>
    </w:p>
    <w:p>
      <w:pPr>
        <w:spacing w:after="0" w:line="4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4.0</w:t>
      </w:r>
      <w:r>
        <w:rPr>
          <w:sz w:val="20"/>
          <w:szCs w:val="20"/>
          <w:color w:val="auto"/>
        </w:rPr>
        <w:tab/>
      </w:r>
      <w:r>
        <w:rPr>
          <w:rFonts w:ascii="Arial" w:cs="Arial" w:eastAsia="Arial" w:hAnsi="Arial"/>
          <w:sz w:val="20"/>
          <w:szCs w:val="20"/>
          <w:b w:val="1"/>
          <w:bCs w:val="1"/>
          <w:color w:val="auto"/>
        </w:rPr>
        <w:t>INSIDER TRADING PROHIBITED</w:t>
      </w:r>
    </w:p>
    <w:p>
      <w:pPr>
        <w:spacing w:after="0" w:line="75" w:lineRule="exact"/>
        <w:rPr>
          <w:sz w:val="20"/>
          <w:szCs w:val="20"/>
          <w:color w:val="auto"/>
        </w:rPr>
      </w:pPr>
    </w:p>
    <w:p>
      <w:pPr>
        <w:ind w:left="680" w:right="40"/>
        <w:spacing w:after="0" w:line="233" w:lineRule="auto"/>
        <w:rPr>
          <w:sz w:val="20"/>
          <w:szCs w:val="20"/>
          <w:color w:val="auto"/>
        </w:rPr>
      </w:pPr>
      <w:r>
        <w:rPr>
          <w:rFonts w:ascii="Arial" w:cs="Arial" w:eastAsia="Arial" w:hAnsi="Arial"/>
          <w:sz w:val="20"/>
          <w:szCs w:val="20"/>
          <w:color w:val="auto"/>
        </w:rPr>
        <w:t>No Invivyd Representative shall engage in any transaction involving a purchase or sale of Invivyd’s securities, including any offer to purchase or offer to sell, during any period commencing on the date that he or she comes into possession of Material Non-Public Information concerning Invivyd and ending at the close of business on the first “trading day” (as defined below) following the date of public disclosure of that information, or at such time as such Material Non-Public Information is no longer material. For purposes of this Policy, the term “</w:t>
      </w:r>
      <w:r>
        <w:rPr>
          <w:rFonts w:ascii="Arial" w:cs="Arial" w:eastAsia="Arial" w:hAnsi="Arial"/>
          <w:sz w:val="20"/>
          <w:szCs w:val="20"/>
          <w:b w:val="1"/>
          <w:bCs w:val="1"/>
          <w:i w:val="1"/>
          <w:iCs w:val="1"/>
          <w:color w:val="auto"/>
        </w:rPr>
        <w:t>trading day</w:t>
      </w:r>
      <w:r>
        <w:rPr>
          <w:rFonts w:ascii="Arial" w:cs="Arial" w:eastAsia="Arial" w:hAnsi="Arial"/>
          <w:sz w:val="20"/>
          <w:szCs w:val="20"/>
          <w:color w:val="auto"/>
        </w:rPr>
        <w:t>” shall mean a day on which national stock exchanges are open for trading.</w:t>
      </w:r>
    </w:p>
    <w:p>
      <w:pPr>
        <w:spacing w:after="0" w:line="172" w:lineRule="exact"/>
        <w:rPr>
          <w:sz w:val="20"/>
          <w:szCs w:val="20"/>
          <w:color w:val="auto"/>
        </w:rPr>
      </w:pPr>
    </w:p>
    <w:p>
      <w:pPr>
        <w:ind w:left="680"/>
        <w:spacing w:after="0" w:line="237" w:lineRule="auto"/>
        <w:rPr>
          <w:sz w:val="20"/>
          <w:szCs w:val="20"/>
          <w:color w:val="auto"/>
        </w:rPr>
      </w:pPr>
      <w:r>
        <w:rPr>
          <w:rFonts w:ascii="Arial" w:cs="Arial" w:eastAsia="Arial" w:hAnsi="Arial"/>
          <w:sz w:val="20"/>
          <w:szCs w:val="20"/>
          <w:color w:val="auto"/>
        </w:rPr>
        <w:t>Invivyd may engage in business transactions with companies whose securities are publicly traded. Information learned in connection with these transactions or relationships may constitute Material Non-Public Information about the other company. You are prohibited from trading in the securities of these companies while aware of Material Non-Public Information about the companies and from communicating that information to any other person for such use.</w:t>
      </w:r>
    </w:p>
    <w:p>
      <w:pPr>
        <w:spacing w:after="0" w:line="56"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5.0</w:t>
      </w:r>
      <w:r>
        <w:rPr>
          <w:sz w:val="20"/>
          <w:szCs w:val="20"/>
          <w:color w:val="auto"/>
        </w:rPr>
        <w:tab/>
      </w:r>
      <w:r>
        <w:rPr>
          <w:rFonts w:ascii="Arial" w:cs="Arial" w:eastAsia="Arial" w:hAnsi="Arial"/>
          <w:sz w:val="20"/>
          <w:szCs w:val="20"/>
          <w:b w:val="1"/>
          <w:bCs w:val="1"/>
          <w:color w:val="auto"/>
        </w:rPr>
        <w:t>PENALTIES FOR INSIDER TRADING</w:t>
      </w:r>
    </w:p>
    <w:p>
      <w:pPr>
        <w:spacing w:after="0" w:line="75"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Any Invivyd Representative who engages in insider trading may be subject to penalties and sanctions, including:</w:t>
      </w:r>
    </w:p>
    <w:p>
      <w:pPr>
        <w:spacing w:after="0" w:line="3" w:lineRule="exact"/>
        <w:rPr>
          <w:sz w:val="20"/>
          <w:szCs w:val="20"/>
          <w:color w:val="auto"/>
        </w:rPr>
      </w:pPr>
    </w:p>
    <w:p>
      <w:pPr>
        <w:ind w:left="1440" w:hanging="384"/>
        <w:spacing w:after="0"/>
        <w:tabs>
          <w:tab w:leader="none" w:pos="1440" w:val="left"/>
        </w:tabs>
        <w:numPr>
          <w:ilvl w:val="0"/>
          <w:numId w:val="259"/>
        </w:numPr>
        <w:rPr>
          <w:rFonts w:ascii="Calibri" w:cs="Calibri" w:eastAsia="Calibri" w:hAnsi="Calibri"/>
          <w:sz w:val="20"/>
          <w:szCs w:val="20"/>
          <w:color w:val="auto"/>
        </w:rPr>
      </w:pPr>
      <w:r>
        <w:rPr>
          <w:rFonts w:ascii="Arial" w:cs="Arial" w:eastAsia="Arial" w:hAnsi="Arial"/>
          <w:sz w:val="20"/>
          <w:szCs w:val="20"/>
          <w:color w:val="auto"/>
        </w:rPr>
        <w:t>Prison for up to 20 years;</w:t>
      </w:r>
    </w:p>
    <w:p>
      <w:pPr>
        <w:ind w:left="1440" w:hanging="384"/>
        <w:spacing w:after="0"/>
        <w:tabs>
          <w:tab w:leader="none" w:pos="1440" w:val="left"/>
        </w:tabs>
        <w:numPr>
          <w:ilvl w:val="0"/>
          <w:numId w:val="259"/>
        </w:numPr>
        <w:rPr>
          <w:rFonts w:ascii="Calibri" w:cs="Calibri" w:eastAsia="Calibri" w:hAnsi="Calibri"/>
          <w:sz w:val="20"/>
          <w:szCs w:val="20"/>
          <w:color w:val="auto"/>
        </w:rPr>
      </w:pPr>
      <w:r>
        <w:rPr>
          <w:rFonts w:ascii="Arial" w:cs="Arial" w:eastAsia="Arial" w:hAnsi="Arial"/>
          <w:sz w:val="20"/>
          <w:szCs w:val="20"/>
          <w:color w:val="auto"/>
        </w:rPr>
        <w:t>A criminal fine of up to $5 million;</w:t>
      </w:r>
    </w:p>
    <w:p>
      <w:pPr>
        <w:spacing w:after="0" w:line="12" w:lineRule="exact"/>
        <w:rPr>
          <w:rFonts w:ascii="Calibri" w:cs="Calibri" w:eastAsia="Calibri" w:hAnsi="Calibri"/>
          <w:sz w:val="20"/>
          <w:szCs w:val="20"/>
          <w:color w:val="auto"/>
        </w:rPr>
      </w:pPr>
    </w:p>
    <w:p>
      <w:pPr>
        <w:ind w:left="1440" w:hanging="384"/>
        <w:spacing w:after="0"/>
        <w:tabs>
          <w:tab w:leader="none" w:pos="1440" w:val="left"/>
        </w:tabs>
        <w:numPr>
          <w:ilvl w:val="0"/>
          <w:numId w:val="259"/>
        </w:numPr>
        <w:rPr>
          <w:rFonts w:ascii="Calibri" w:cs="Calibri" w:eastAsia="Calibri" w:hAnsi="Calibri"/>
          <w:sz w:val="20"/>
          <w:szCs w:val="20"/>
          <w:color w:val="auto"/>
        </w:rPr>
      </w:pPr>
      <w:r>
        <w:rPr>
          <w:rFonts w:ascii="Arial" w:cs="Arial" w:eastAsia="Arial" w:hAnsi="Arial"/>
          <w:sz w:val="20"/>
          <w:szCs w:val="20"/>
          <w:color w:val="auto"/>
        </w:rPr>
        <w:t>A civil penalty of up to $1 million or, if greater, 3 times the profit gained or loss avoided;</w:t>
      </w:r>
    </w:p>
    <w:p>
      <w:pPr>
        <w:spacing w:after="0" w:line="12" w:lineRule="exact"/>
        <w:rPr>
          <w:rFonts w:ascii="Calibri" w:cs="Calibri" w:eastAsia="Calibri" w:hAnsi="Calibri"/>
          <w:sz w:val="20"/>
          <w:szCs w:val="20"/>
          <w:color w:val="auto"/>
        </w:rPr>
      </w:pPr>
    </w:p>
    <w:p>
      <w:pPr>
        <w:ind w:left="1440" w:hanging="384"/>
        <w:spacing w:after="0"/>
        <w:tabs>
          <w:tab w:leader="none" w:pos="1440" w:val="left"/>
        </w:tabs>
        <w:numPr>
          <w:ilvl w:val="0"/>
          <w:numId w:val="259"/>
        </w:numPr>
        <w:rPr>
          <w:rFonts w:ascii="Calibri" w:cs="Calibri" w:eastAsia="Calibri" w:hAnsi="Calibri"/>
          <w:sz w:val="20"/>
          <w:szCs w:val="20"/>
          <w:color w:val="auto"/>
        </w:rPr>
      </w:pPr>
      <w:r>
        <w:rPr>
          <w:rFonts w:ascii="Arial" w:cs="Arial" w:eastAsia="Arial" w:hAnsi="Arial"/>
          <w:sz w:val="20"/>
          <w:szCs w:val="20"/>
          <w:color w:val="auto"/>
        </w:rPr>
        <w:t>SEC civil enforcement injunctions; and</w:t>
      </w:r>
    </w:p>
    <w:p>
      <w:pPr>
        <w:spacing w:after="0" w:line="12" w:lineRule="exact"/>
        <w:rPr>
          <w:rFonts w:ascii="Calibri" w:cs="Calibri" w:eastAsia="Calibri" w:hAnsi="Calibri"/>
          <w:sz w:val="20"/>
          <w:szCs w:val="20"/>
          <w:color w:val="auto"/>
        </w:rPr>
      </w:pPr>
    </w:p>
    <w:p>
      <w:pPr>
        <w:ind w:left="1440" w:hanging="384"/>
        <w:spacing w:after="0" w:line="239" w:lineRule="auto"/>
        <w:tabs>
          <w:tab w:leader="none" w:pos="1440" w:val="left"/>
        </w:tabs>
        <w:numPr>
          <w:ilvl w:val="0"/>
          <w:numId w:val="259"/>
        </w:numPr>
        <w:rPr>
          <w:rFonts w:ascii="Calibri" w:cs="Calibri" w:eastAsia="Calibri" w:hAnsi="Calibri"/>
          <w:sz w:val="20"/>
          <w:szCs w:val="20"/>
          <w:color w:val="auto"/>
        </w:rPr>
      </w:pPr>
      <w:r>
        <w:rPr>
          <w:rFonts w:ascii="Arial" w:cs="Arial" w:eastAsia="Arial" w:hAnsi="Arial"/>
          <w:sz w:val="20"/>
          <w:szCs w:val="20"/>
          <w:color w:val="auto"/>
        </w:rPr>
        <w:t>Disciplinary action up to and including termination of employment or other working relationship with Invivyd for violation of this Policy.</w:t>
      </w:r>
    </w:p>
    <w:p>
      <w:pPr>
        <w:spacing w:after="0" w:line="55"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6.0</w:t>
      </w:r>
      <w:r>
        <w:rPr>
          <w:sz w:val="20"/>
          <w:szCs w:val="20"/>
          <w:color w:val="auto"/>
        </w:rPr>
        <w:tab/>
      </w:r>
      <w:r>
        <w:rPr>
          <w:rFonts w:ascii="Arial" w:cs="Arial" w:eastAsia="Arial" w:hAnsi="Arial"/>
          <w:sz w:val="20"/>
          <w:szCs w:val="20"/>
          <w:b w:val="1"/>
          <w:bCs w:val="1"/>
          <w:color w:val="auto"/>
        </w:rPr>
        <w:t>TIPPING PROHIBITED</w:t>
      </w:r>
    </w:p>
    <w:p>
      <w:pPr>
        <w:spacing w:after="0" w:line="75" w:lineRule="exact"/>
        <w:rPr>
          <w:sz w:val="20"/>
          <w:szCs w:val="20"/>
          <w:color w:val="auto"/>
        </w:rPr>
      </w:pPr>
    </w:p>
    <w:p>
      <w:pPr>
        <w:ind w:left="680" w:right="140"/>
        <w:spacing w:after="0" w:line="237" w:lineRule="auto"/>
        <w:rPr>
          <w:sz w:val="20"/>
          <w:szCs w:val="20"/>
          <w:color w:val="auto"/>
        </w:rPr>
      </w:pPr>
      <w:r>
        <w:rPr>
          <w:rFonts w:ascii="Arial" w:cs="Arial" w:eastAsia="Arial" w:hAnsi="Arial"/>
          <w:sz w:val="20"/>
          <w:szCs w:val="20"/>
          <w:color w:val="auto"/>
        </w:rPr>
        <w:t>Tipping is the disclosing or passing on of Material Non-Public Information about Invivyd or any other publicly traded company on to others, including Family Members or friends, or otherwise making unauthorized disclosure or use of this information, regardless of whether you profit or intend to profit by the tipping, disclosure, or use. Tipping is a violation of securities laws and can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85" w:name="page286"/>
    <w:bookmarkEnd w:id="285"/>
    <w:p>
      <w:pPr>
        <w:ind w:left="680" w:right="300"/>
        <w:spacing w:after="0" w:line="257" w:lineRule="auto"/>
        <w:rPr>
          <w:sz w:val="20"/>
          <w:szCs w:val="20"/>
          <w:color w:val="auto"/>
        </w:rPr>
      </w:pPr>
      <w:r>
        <w:rPr>
          <w:rFonts w:ascii="Arial" w:cs="Arial" w:eastAsia="Arial" w:hAnsi="Arial"/>
          <w:sz w:val="20"/>
          <w:szCs w:val="20"/>
          <w:color w:val="auto"/>
        </w:rPr>
        <w:t>result in the same civil and criminal penalties that apply to insider trading, even though you as the tipper did not trade and did not gain any benefit from another's trading.</w:t>
      </w:r>
    </w:p>
    <w:p>
      <w:pPr>
        <w:spacing w:after="0" w:line="155" w:lineRule="exact"/>
        <w:rPr>
          <w:sz w:val="20"/>
          <w:szCs w:val="20"/>
          <w:color w:val="auto"/>
        </w:rPr>
      </w:pPr>
    </w:p>
    <w:p>
      <w:pPr>
        <w:ind w:left="680" w:right="180"/>
        <w:spacing w:after="0" w:line="233" w:lineRule="auto"/>
        <w:rPr>
          <w:sz w:val="20"/>
          <w:szCs w:val="20"/>
          <w:color w:val="auto"/>
        </w:rPr>
      </w:pPr>
      <w:r>
        <w:rPr>
          <w:rFonts w:ascii="Arial" w:cs="Arial" w:eastAsia="Arial" w:hAnsi="Arial"/>
          <w:sz w:val="20"/>
          <w:szCs w:val="20"/>
          <w:color w:val="auto"/>
        </w:rPr>
        <w:t>Any Invivyd Representative who tips is called a “tipper” and the third party who receives the tip is called a “tippee.” Tippers may be liable for improper transactions by tippees to whom they have tipped Material Non-Public Information regarding Invivyd or any other publicly traded company, or to whom they have made recommendations or expressed opinions on the basis of such information as to trading in Invivyd securities or the securities of another publicly traded company. Tippers and tippees may be subject to the same penalties set forth in Section 5.0 even if the tipper or tippee did not profit from the trading.</w:t>
      </w:r>
    </w:p>
    <w:p>
      <w:pPr>
        <w:spacing w:after="0" w:line="57"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7.0</w:t>
      </w:r>
      <w:r>
        <w:rPr>
          <w:sz w:val="20"/>
          <w:szCs w:val="20"/>
          <w:color w:val="auto"/>
        </w:rPr>
        <w:tab/>
      </w:r>
      <w:r>
        <w:rPr>
          <w:rFonts w:ascii="Arial" w:cs="Arial" w:eastAsia="Arial" w:hAnsi="Arial"/>
          <w:sz w:val="20"/>
          <w:szCs w:val="20"/>
          <w:b w:val="1"/>
          <w:bCs w:val="1"/>
          <w:color w:val="auto"/>
        </w:rPr>
        <w:t>TRADING BLACKOUT PERIODS</w:t>
      </w:r>
    </w:p>
    <w:p>
      <w:pPr>
        <w:spacing w:after="0" w:line="75" w:lineRule="exact"/>
        <w:rPr>
          <w:sz w:val="20"/>
          <w:szCs w:val="20"/>
          <w:color w:val="auto"/>
        </w:rPr>
      </w:pPr>
    </w:p>
    <w:p>
      <w:pPr>
        <w:ind w:left="680" w:right="20"/>
        <w:spacing w:after="0" w:line="232" w:lineRule="auto"/>
        <w:rPr>
          <w:sz w:val="20"/>
          <w:szCs w:val="20"/>
          <w:color w:val="auto"/>
        </w:rPr>
      </w:pPr>
      <w:r>
        <w:rPr>
          <w:rFonts w:ascii="Arial" w:cs="Arial" w:eastAsia="Arial" w:hAnsi="Arial"/>
          <w:sz w:val="20"/>
          <w:szCs w:val="20"/>
          <w:color w:val="auto"/>
        </w:rPr>
        <w:t>In an effort to ensure compliance with this Policy and applicable federal securities laws, and to avoid even the appearance of trading on the basis of Material Non-Public Information, Invivyd requires that all Invivyd officers, directors and employees, others as may be identified by Invivyd’s Chief Financial Officer and/or Chief Legal Officer, and their Family Members and Controlled Entities (collectively, “</w:t>
      </w:r>
      <w:r>
        <w:rPr>
          <w:rFonts w:ascii="Arial" w:cs="Arial" w:eastAsia="Arial" w:hAnsi="Arial"/>
          <w:sz w:val="20"/>
          <w:szCs w:val="20"/>
          <w:b w:val="1"/>
          <w:bCs w:val="1"/>
          <w:i w:val="1"/>
          <w:iCs w:val="1"/>
          <w:color w:val="auto"/>
        </w:rPr>
        <w:t>Restricted Persons</w:t>
      </w:r>
      <w:r>
        <w:rPr>
          <w:rFonts w:ascii="Arial" w:cs="Arial" w:eastAsia="Arial" w:hAnsi="Arial"/>
          <w:sz w:val="20"/>
          <w:szCs w:val="20"/>
          <w:color w:val="auto"/>
        </w:rPr>
        <w:t>”), are to be subject to periodic blocks of time called “</w:t>
      </w:r>
      <w:r>
        <w:rPr>
          <w:rFonts w:ascii="Arial" w:cs="Arial" w:eastAsia="Arial" w:hAnsi="Arial"/>
          <w:sz w:val="20"/>
          <w:szCs w:val="20"/>
          <w:b w:val="1"/>
          <w:bCs w:val="1"/>
          <w:i w:val="1"/>
          <w:iCs w:val="1"/>
          <w:color w:val="auto"/>
        </w:rPr>
        <w:t>Blackout Periods</w:t>
      </w:r>
      <w:r>
        <w:rPr>
          <w:rFonts w:ascii="Arial" w:cs="Arial" w:eastAsia="Arial" w:hAnsi="Arial"/>
          <w:sz w:val="20"/>
          <w:szCs w:val="20"/>
          <w:color w:val="auto"/>
        </w:rPr>
        <w:t>” during which they must refrain from conducting transactions involving the purchase or sale of Invivyd’s securities. No Restricted Person may trade in Invivyd securities during a specified Blackout Period, regardless of whether they are then actually aware of Material Non-Public Information.</w:t>
      </w:r>
    </w:p>
    <w:p>
      <w:pPr>
        <w:spacing w:after="0" w:line="172" w:lineRule="exact"/>
        <w:rPr>
          <w:sz w:val="20"/>
          <w:szCs w:val="20"/>
          <w:color w:val="auto"/>
        </w:rPr>
      </w:pPr>
    </w:p>
    <w:p>
      <w:pPr>
        <w:ind w:left="680"/>
        <w:spacing w:after="0" w:line="229" w:lineRule="auto"/>
        <w:rPr>
          <w:sz w:val="20"/>
          <w:szCs w:val="20"/>
          <w:color w:val="auto"/>
        </w:rPr>
      </w:pPr>
      <w:r>
        <w:rPr>
          <w:rFonts w:ascii="Arial" w:cs="Arial" w:eastAsia="Arial" w:hAnsi="Arial"/>
          <w:sz w:val="20"/>
          <w:szCs w:val="20"/>
          <w:color w:val="auto"/>
        </w:rPr>
        <w:t>Invivyd has established quarterly Blackout Periods, which, unless otherwise communicated by the Approving Person (as defined below), will begin on the 16th day of the last month of each fiscal quarter (i.e., March 16, June 16, September 16 and December 16) and end after one full trading day has elapsed since the public dissemination of Invivyd’s financial results for such quarter, during which Restricted Persons must refrain from conducting transactions involving the purchase or sale of Invivyd’s securities. The quarterly Blackout Period may commence or terminate early or late, or may be extended upon a determination by the Chief Financial Officer and the Chief Legal Officer that such Blackout Period would be appropriate based on the facts and circumstances, including the existence of undisclosed information that would make trades by Restricted Persons inappropriate. It is important to note that the fact that the quarterly Blackout Period has commenced early or has been extended should be considered Material Non-Public Information that should not be communicated to any other person. Any exceptions to the quarterly Blackout Period must be approved by an Approving Person.</w:t>
      </w:r>
    </w:p>
    <w:p>
      <w:pPr>
        <w:spacing w:after="0" w:line="178" w:lineRule="exact"/>
        <w:rPr>
          <w:sz w:val="20"/>
          <w:szCs w:val="20"/>
          <w:color w:val="auto"/>
        </w:rPr>
      </w:pPr>
    </w:p>
    <w:p>
      <w:pPr>
        <w:ind w:left="680" w:right="140"/>
        <w:spacing w:after="0" w:line="234" w:lineRule="auto"/>
        <w:rPr>
          <w:sz w:val="20"/>
          <w:szCs w:val="20"/>
          <w:color w:val="auto"/>
        </w:rPr>
      </w:pPr>
      <w:r>
        <w:rPr>
          <w:rFonts w:ascii="Arial" w:cs="Arial" w:eastAsia="Arial" w:hAnsi="Arial"/>
          <w:sz w:val="20"/>
          <w:szCs w:val="20"/>
          <w:color w:val="auto"/>
        </w:rPr>
        <w:t>From time to time, an event (a “</w:t>
      </w:r>
      <w:r>
        <w:rPr>
          <w:rFonts w:ascii="Arial" w:cs="Arial" w:eastAsia="Arial" w:hAnsi="Arial"/>
          <w:sz w:val="20"/>
          <w:szCs w:val="20"/>
          <w:b w:val="1"/>
          <w:bCs w:val="1"/>
          <w:i w:val="1"/>
          <w:iCs w:val="1"/>
          <w:color w:val="auto"/>
        </w:rPr>
        <w:t>Special Event</w:t>
      </w:r>
      <w:r>
        <w:rPr>
          <w:rFonts w:ascii="Arial" w:cs="Arial" w:eastAsia="Arial" w:hAnsi="Arial"/>
          <w:sz w:val="20"/>
          <w:szCs w:val="20"/>
          <w:color w:val="auto"/>
        </w:rPr>
        <w:t>”) may occur that is material to Invivyd and is known by only a few directors, officers, employees and/or others as may be identified by Invivyd’s Chief Financial Officer and/or Chief Legal Officer, and their Family Members and Controlled Entities (collectively, “</w:t>
      </w:r>
      <w:r>
        <w:rPr>
          <w:rFonts w:ascii="Arial" w:cs="Arial" w:eastAsia="Arial" w:hAnsi="Arial"/>
          <w:sz w:val="20"/>
          <w:szCs w:val="20"/>
          <w:b w:val="1"/>
          <w:bCs w:val="1"/>
          <w:i w:val="1"/>
          <w:iCs w:val="1"/>
          <w:color w:val="auto"/>
        </w:rPr>
        <w:t>Designated Restricted Persons</w:t>
      </w:r>
      <w:r>
        <w:rPr>
          <w:rFonts w:ascii="Arial" w:cs="Arial" w:eastAsia="Arial" w:hAnsi="Arial"/>
          <w:sz w:val="20"/>
          <w:szCs w:val="20"/>
          <w:color w:val="auto"/>
        </w:rPr>
        <w:t>”). So long as the Special Event remains material and non-public, Designated Restricted Persons must refrain from conducting transactions involving the purchase or sale of Invivyd’s securities. In that situation, an Approving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866140</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286" w:name="page287"/>
    <w:bookmarkEnd w:id="286"/>
    <w:p>
      <w:pPr>
        <w:ind w:left="13" w:right="80"/>
        <w:spacing w:after="0" w:line="232" w:lineRule="auto"/>
        <w:rPr>
          <w:sz w:val="20"/>
          <w:szCs w:val="20"/>
          <w:color w:val="auto"/>
        </w:rPr>
      </w:pPr>
      <w:r>
        <w:rPr>
          <w:rFonts w:ascii="Arial" w:cs="Arial" w:eastAsia="Arial" w:hAnsi="Arial"/>
          <w:sz w:val="20"/>
          <w:szCs w:val="20"/>
          <w:color w:val="auto"/>
        </w:rPr>
        <w:t>Person will notify the Invivyd Representatives who are Designated Restricted Persons that they may not trade in Invivyd’s securities. The existence of a Special Event Blackout Period should also be considered Material Non-Public Information and should not be communicated to any other person, including any other Designated Restricted Person; provided that an Invivyd Representative is permitted to inform his or her own Family Members and Controlled Entities about the existence of a Special Event Blackout Period. Even if you have not been identified as a Designated Restricted Person who should not trade due to a Special Event Blackout Period, you should not trade while aware of Material Non-Public Information. Exceptions will not be granted during a Special Event Blackout Period.</w:t>
      </w:r>
    </w:p>
    <w:p>
      <w:pPr>
        <w:spacing w:after="0" w:line="172" w:lineRule="exact"/>
        <w:rPr>
          <w:sz w:val="20"/>
          <w:szCs w:val="20"/>
          <w:color w:val="auto"/>
        </w:rPr>
      </w:pPr>
    </w:p>
    <w:p>
      <w:pPr>
        <w:ind w:left="13" w:right="80"/>
        <w:spacing w:after="0" w:line="257" w:lineRule="auto"/>
        <w:rPr>
          <w:sz w:val="20"/>
          <w:szCs w:val="20"/>
          <w:color w:val="auto"/>
        </w:rPr>
      </w:pPr>
      <w:r>
        <w:rPr>
          <w:rFonts w:ascii="Arial" w:cs="Arial" w:eastAsia="Arial" w:hAnsi="Arial"/>
          <w:sz w:val="20"/>
          <w:szCs w:val="20"/>
          <w:color w:val="auto"/>
        </w:rPr>
        <w:t>The Blackout Periods described above and the trading pre-clearance requirement described in Section 9.0 below do not apply to the following transactions:</w:t>
      </w:r>
    </w:p>
    <w:p>
      <w:pPr>
        <w:spacing w:after="0" w:line="155" w:lineRule="exact"/>
        <w:rPr>
          <w:sz w:val="20"/>
          <w:szCs w:val="20"/>
          <w:color w:val="auto"/>
        </w:rPr>
      </w:pPr>
    </w:p>
    <w:p>
      <w:pPr>
        <w:ind w:left="473" w:hanging="473"/>
        <w:spacing w:after="0" w:line="227" w:lineRule="auto"/>
        <w:tabs>
          <w:tab w:leader="none" w:pos="473" w:val="left"/>
        </w:tabs>
        <w:numPr>
          <w:ilvl w:val="0"/>
          <w:numId w:val="260"/>
        </w:numPr>
        <w:rPr>
          <w:rFonts w:ascii="Calibri" w:cs="Calibri" w:eastAsia="Calibri" w:hAnsi="Calibri"/>
          <w:sz w:val="20"/>
          <w:szCs w:val="20"/>
          <w:color w:val="auto"/>
        </w:rPr>
      </w:pPr>
      <w:r>
        <w:rPr>
          <w:rFonts w:ascii="Arial" w:cs="Arial" w:eastAsia="Arial" w:hAnsi="Arial"/>
          <w:sz w:val="20"/>
          <w:szCs w:val="20"/>
          <w:color w:val="auto"/>
        </w:rPr>
        <w:t>Trades made pursuant to a trading plan that complies with Rule 10b5-1 (as defined below) and that has been adopted in accordance with the guidelines set forth in Section 10.0.</w:t>
      </w:r>
    </w:p>
    <w:p>
      <w:pPr>
        <w:spacing w:after="0" w:line="1" w:lineRule="exact"/>
        <w:rPr>
          <w:rFonts w:ascii="Calibri" w:cs="Calibri" w:eastAsia="Calibri" w:hAnsi="Calibri"/>
          <w:sz w:val="20"/>
          <w:szCs w:val="20"/>
          <w:color w:val="auto"/>
        </w:rPr>
      </w:pPr>
    </w:p>
    <w:p>
      <w:pPr>
        <w:ind w:left="473" w:hanging="473"/>
        <w:spacing w:after="0" w:line="238" w:lineRule="auto"/>
        <w:tabs>
          <w:tab w:leader="none" w:pos="473" w:val="left"/>
        </w:tabs>
        <w:numPr>
          <w:ilvl w:val="0"/>
          <w:numId w:val="260"/>
        </w:numPr>
        <w:rPr>
          <w:rFonts w:ascii="Calibri" w:cs="Calibri" w:eastAsia="Calibri" w:hAnsi="Calibri"/>
          <w:sz w:val="20"/>
          <w:szCs w:val="20"/>
          <w:color w:val="auto"/>
        </w:rPr>
      </w:pPr>
      <w:r>
        <w:rPr>
          <w:rFonts w:ascii="Arial" w:cs="Arial" w:eastAsia="Arial" w:hAnsi="Arial"/>
          <w:sz w:val="20"/>
          <w:szCs w:val="20"/>
          <w:color w:val="auto"/>
        </w:rPr>
        <w:t>The sale of shares pursuant to “eligible sell-to-cover” transactions described in Rule 10b5-1.</w:t>
      </w:r>
    </w:p>
    <w:p>
      <w:pPr>
        <w:spacing w:after="0" w:line="1" w:lineRule="exact"/>
        <w:rPr>
          <w:rFonts w:ascii="Calibri" w:cs="Calibri" w:eastAsia="Calibri" w:hAnsi="Calibri"/>
          <w:sz w:val="20"/>
          <w:szCs w:val="20"/>
          <w:color w:val="auto"/>
        </w:rPr>
      </w:pPr>
    </w:p>
    <w:p>
      <w:pPr>
        <w:jc w:val="both"/>
        <w:ind w:left="473" w:hanging="473"/>
        <w:spacing w:after="0" w:line="225" w:lineRule="auto"/>
        <w:tabs>
          <w:tab w:leader="none" w:pos="473" w:val="left"/>
        </w:tabs>
        <w:numPr>
          <w:ilvl w:val="0"/>
          <w:numId w:val="260"/>
        </w:numPr>
        <w:rPr>
          <w:rFonts w:ascii="Calibri" w:cs="Calibri" w:eastAsia="Calibri" w:hAnsi="Calibri"/>
          <w:sz w:val="20"/>
          <w:szCs w:val="20"/>
          <w:color w:val="auto"/>
        </w:rPr>
      </w:pPr>
      <w:r>
        <w:rPr>
          <w:rFonts w:ascii="Arial" w:cs="Arial" w:eastAsia="Arial" w:hAnsi="Arial"/>
          <w:sz w:val="20"/>
          <w:szCs w:val="20"/>
          <w:color w:val="auto"/>
        </w:rPr>
        <w:t>The withholding by Invivyd of shares or the surrender of shares to Invivyd in satisfaction of any tax withholding obligations arising exclusively from the vesting of an equity-based award in a manner permitted by the applicable equity award agreement. This Policy does apply, however, to any open market sale of vested shares, including to satisfy tax liabilities, unless covered by another exception set forth in this Policy (e.g., trades made pursuant to a trading plan that complies with Rule 10b5-1 adopted in accordance with the guidelines set forth in Section 10.0 or the sale of shares pursuant to “eligible sell-to-cover” transactions described in Rule 10b5-1).</w:t>
      </w:r>
    </w:p>
    <w:p>
      <w:pPr>
        <w:spacing w:after="0" w:line="2" w:lineRule="exact"/>
        <w:rPr>
          <w:rFonts w:ascii="Calibri" w:cs="Calibri" w:eastAsia="Calibri" w:hAnsi="Calibri"/>
          <w:sz w:val="20"/>
          <w:szCs w:val="20"/>
          <w:color w:val="auto"/>
        </w:rPr>
      </w:pPr>
    </w:p>
    <w:p>
      <w:pPr>
        <w:jc w:val="both"/>
        <w:ind w:left="473" w:hanging="473"/>
        <w:spacing w:after="0" w:line="220" w:lineRule="auto"/>
        <w:tabs>
          <w:tab w:leader="none" w:pos="473" w:val="left"/>
        </w:tabs>
        <w:numPr>
          <w:ilvl w:val="0"/>
          <w:numId w:val="260"/>
        </w:numPr>
        <w:rPr>
          <w:rFonts w:ascii="Calibri" w:cs="Calibri" w:eastAsia="Calibri" w:hAnsi="Calibri"/>
          <w:sz w:val="20"/>
          <w:szCs w:val="20"/>
          <w:color w:val="auto"/>
        </w:rPr>
      </w:pPr>
      <w:r>
        <w:rPr>
          <w:rFonts w:ascii="Arial" w:cs="Arial" w:eastAsia="Arial" w:hAnsi="Arial"/>
          <w:sz w:val="20"/>
          <w:szCs w:val="20"/>
          <w:color w:val="auto"/>
        </w:rPr>
        <w:t>The exercise of stock options under Invivyd’s stock option plans (but not the sale of the underlying stock). This Policy does apply to any sale of stock as part of a broker-assisted “cashless” exercise of an option, or any market sale for the purpose of generating the cash needed to pay the exercise price of an option.</w:t>
      </w:r>
    </w:p>
    <w:p>
      <w:pPr>
        <w:spacing w:after="0" w:line="2" w:lineRule="exact"/>
        <w:rPr>
          <w:rFonts w:ascii="Calibri" w:cs="Calibri" w:eastAsia="Calibri" w:hAnsi="Calibri"/>
          <w:sz w:val="20"/>
          <w:szCs w:val="20"/>
          <w:color w:val="auto"/>
        </w:rPr>
      </w:pPr>
    </w:p>
    <w:p>
      <w:pPr>
        <w:jc w:val="both"/>
        <w:ind w:left="473" w:hanging="473"/>
        <w:spacing w:after="0" w:line="223" w:lineRule="auto"/>
        <w:tabs>
          <w:tab w:leader="none" w:pos="473" w:val="left"/>
        </w:tabs>
        <w:numPr>
          <w:ilvl w:val="0"/>
          <w:numId w:val="260"/>
        </w:numPr>
        <w:rPr>
          <w:rFonts w:ascii="Calibri" w:cs="Calibri" w:eastAsia="Calibri" w:hAnsi="Calibri"/>
          <w:sz w:val="20"/>
          <w:szCs w:val="20"/>
          <w:color w:val="auto"/>
        </w:rPr>
      </w:pPr>
      <w:r>
        <w:rPr>
          <w:rFonts w:ascii="Arial" w:cs="Arial" w:eastAsia="Arial" w:hAnsi="Arial"/>
          <w:sz w:val="20"/>
          <w:szCs w:val="20"/>
          <w:color w:val="auto"/>
        </w:rPr>
        <w:t>Purchases of Invivyd stock in the Invivyd 401(k) plan resulting from periodic contributions of money to the plan pursuant to payroll deduction elections. This Policy does apply to certain elections that may be made under the 401(k) plan, including (a) an election to increase or decrease the percentage of periodic contributions that will be allocated to the Invivyd stock fund, if any; (b) an election to make an intra-plan transfer of an existing account balance into or out of the Invivyd stock fund; (c) an election to borrow money against a 401(k) plan account if the loan will result in a liquidation of some or all of a participant’s Invivyd stock fund balance; and (d) an election to pre-pay a plan loan if the pre-payment will result in allocation of loan proceeds to the Invivyd stock fund.</w:t>
      </w:r>
    </w:p>
    <w:p>
      <w:pPr>
        <w:spacing w:after="0" w:line="3" w:lineRule="exact"/>
        <w:rPr>
          <w:rFonts w:ascii="Calibri" w:cs="Calibri" w:eastAsia="Calibri" w:hAnsi="Calibri"/>
          <w:sz w:val="20"/>
          <w:szCs w:val="20"/>
          <w:color w:val="auto"/>
        </w:rPr>
      </w:pPr>
    </w:p>
    <w:p>
      <w:pPr>
        <w:jc w:val="both"/>
        <w:ind w:left="473" w:hanging="473"/>
        <w:spacing w:after="0" w:line="228" w:lineRule="auto"/>
        <w:tabs>
          <w:tab w:leader="none" w:pos="473" w:val="left"/>
        </w:tabs>
        <w:numPr>
          <w:ilvl w:val="0"/>
          <w:numId w:val="260"/>
        </w:numPr>
        <w:rPr>
          <w:rFonts w:ascii="Calibri" w:cs="Calibri" w:eastAsia="Calibri" w:hAnsi="Calibri"/>
          <w:sz w:val="20"/>
          <w:szCs w:val="20"/>
          <w:color w:val="auto"/>
        </w:rPr>
      </w:pPr>
      <w:r>
        <w:rPr>
          <w:rFonts w:ascii="Arial" w:cs="Arial" w:eastAsia="Arial" w:hAnsi="Arial"/>
          <w:sz w:val="20"/>
          <w:szCs w:val="20"/>
          <w:color w:val="auto"/>
        </w:rPr>
        <w:t>Purchases of Invivyd stock in the Invivyd Employee Stock Purchase Plan (the “</w:t>
      </w:r>
      <w:r>
        <w:rPr>
          <w:rFonts w:ascii="Arial" w:cs="Arial" w:eastAsia="Arial" w:hAnsi="Arial"/>
          <w:sz w:val="20"/>
          <w:szCs w:val="20"/>
          <w:b w:val="1"/>
          <w:bCs w:val="1"/>
          <w:i w:val="1"/>
          <w:iCs w:val="1"/>
          <w:color w:val="auto"/>
        </w:rPr>
        <w:t>ESPP</w:t>
      </w:r>
      <w:r>
        <w:rPr>
          <w:rFonts w:ascii="Arial" w:cs="Arial" w:eastAsia="Arial" w:hAnsi="Arial"/>
          <w:sz w:val="20"/>
          <w:szCs w:val="20"/>
          <w:color w:val="auto"/>
        </w:rPr>
        <w:t>”), if any, resulting from periodic contributions of money to the ESPP pursuant to the elections made at the time of enrollment in the ESPP. This Policy also does not apply to purchases of Invivyd stock resulting from lump sum contributions to the ESPP, provided that the participant elected to participate by lump-sum payment at the beginning of the applicable enrollment period. This Policy also does not apply to a participant’s election to participate in or to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wp:posOffset>
            </wp:positionH>
            <wp:positionV relativeFrom="paragraph">
              <wp:posOffset>864870</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73"/>
          </w:cols>
          <w:pgMar w:left="987" w:top="1414" w:right="339" w:bottom="1440" w:gutter="0" w:footer="0" w:header="0"/>
        </w:sectPr>
      </w:pPr>
    </w:p>
    <w:bookmarkStart w:id="287" w:name="page288"/>
    <w:bookmarkEnd w:id="287"/>
    <w:p>
      <w:pPr>
        <w:ind w:left="1140"/>
        <w:spacing w:after="0"/>
        <w:rPr>
          <w:sz w:val="20"/>
          <w:szCs w:val="20"/>
          <w:color w:val="auto"/>
        </w:rPr>
      </w:pPr>
      <w:r>
        <w:rPr>
          <w:rFonts w:ascii="Arial" w:cs="Arial" w:eastAsia="Arial" w:hAnsi="Arial"/>
          <w:sz w:val="20"/>
          <w:szCs w:val="20"/>
          <w:color w:val="auto"/>
        </w:rPr>
        <w:t>or decrease his or her participation in the ESPP, so long as such election is made in accordance with the ESPP.</w:t>
      </w:r>
    </w:p>
    <w:p>
      <w:pPr>
        <w:spacing w:after="0" w:line="4" w:lineRule="exact"/>
        <w:rPr>
          <w:sz w:val="20"/>
          <w:szCs w:val="20"/>
          <w:color w:val="auto"/>
        </w:rPr>
      </w:pPr>
    </w:p>
    <w:p>
      <w:pPr>
        <w:ind w:left="1140"/>
        <w:spacing w:after="0"/>
        <w:rPr>
          <w:sz w:val="20"/>
          <w:szCs w:val="20"/>
          <w:color w:val="auto"/>
        </w:rPr>
      </w:pPr>
      <w:r>
        <w:rPr>
          <w:rFonts w:ascii="Arial" w:cs="Arial" w:eastAsia="Arial" w:hAnsi="Arial"/>
          <w:sz w:val="20"/>
          <w:szCs w:val="20"/>
          <w:color w:val="auto"/>
        </w:rPr>
        <w:t>This Policy does apply to a participant’s sales of Invivyd stock purchased pursuant to the ESPP.</w:t>
      </w:r>
    </w:p>
    <w:p>
      <w:pPr>
        <w:spacing w:after="0" w:line="68"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8.0</w:t>
      </w:r>
      <w:r>
        <w:rPr>
          <w:sz w:val="20"/>
          <w:szCs w:val="20"/>
          <w:color w:val="auto"/>
        </w:rPr>
        <w:tab/>
      </w:r>
      <w:r>
        <w:rPr>
          <w:rFonts w:ascii="Arial" w:cs="Arial" w:eastAsia="Arial" w:hAnsi="Arial"/>
          <w:sz w:val="20"/>
          <w:szCs w:val="20"/>
          <w:b w:val="1"/>
          <w:bCs w:val="1"/>
          <w:color w:val="auto"/>
        </w:rPr>
        <w:t>GIFTS</w:t>
      </w:r>
    </w:p>
    <w:p>
      <w:pPr>
        <w:spacing w:after="0" w:line="75" w:lineRule="exact"/>
        <w:rPr>
          <w:sz w:val="20"/>
          <w:szCs w:val="20"/>
          <w:color w:val="auto"/>
        </w:rPr>
      </w:pPr>
    </w:p>
    <w:p>
      <w:pPr>
        <w:ind w:left="760" w:right="40"/>
        <w:spacing w:after="0" w:line="233" w:lineRule="auto"/>
        <w:rPr>
          <w:sz w:val="20"/>
          <w:szCs w:val="20"/>
          <w:color w:val="auto"/>
        </w:rPr>
      </w:pPr>
      <w:r>
        <w:rPr>
          <w:rFonts w:ascii="Arial" w:cs="Arial" w:eastAsia="Arial" w:hAnsi="Arial"/>
          <w:sz w:val="20"/>
          <w:szCs w:val="20"/>
          <w:color w:val="auto"/>
        </w:rPr>
        <w:t>Bona fide gifts of securities of Invivyd (including transfers of securities of Invivyd made to trusts for estate planning purposes, as well as charitable contributions) are not transactions restricted by this Policy, unless the person making the gift has reason to believe that the recipient intends to sell such securities while the person making the gift is aware of Material Non-Public Information, or unless the person making the gift is a Restricted Person and a sale of such securities by the recipient is likely to occur during a Blackout Period, provided that all gift transactions are subject to the pre-clearance requirements specified in Section 9.0 below.</w:t>
      </w:r>
    </w:p>
    <w:p>
      <w:pPr>
        <w:spacing w:after="0" w:line="124"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9.0</w:t>
      </w:r>
      <w:r>
        <w:rPr>
          <w:sz w:val="20"/>
          <w:szCs w:val="20"/>
          <w:color w:val="auto"/>
        </w:rPr>
        <w:tab/>
      </w:r>
      <w:r>
        <w:rPr>
          <w:rFonts w:ascii="Arial" w:cs="Arial" w:eastAsia="Arial" w:hAnsi="Arial"/>
          <w:sz w:val="20"/>
          <w:szCs w:val="20"/>
          <w:b w:val="1"/>
          <w:bCs w:val="1"/>
          <w:color w:val="auto"/>
        </w:rPr>
        <w:t>TRADING PRE-CLEARANCE</w:t>
      </w:r>
    </w:p>
    <w:p>
      <w:pPr>
        <w:spacing w:after="0" w:line="75" w:lineRule="exact"/>
        <w:rPr>
          <w:sz w:val="20"/>
          <w:szCs w:val="20"/>
          <w:color w:val="auto"/>
        </w:rPr>
      </w:pPr>
    </w:p>
    <w:p>
      <w:pPr>
        <w:ind w:left="680" w:right="20"/>
        <w:spacing w:after="0" w:line="232" w:lineRule="auto"/>
        <w:rPr>
          <w:sz w:val="20"/>
          <w:szCs w:val="20"/>
          <w:color w:val="auto"/>
        </w:rPr>
      </w:pPr>
      <w:r>
        <w:rPr>
          <w:rFonts w:ascii="Arial" w:cs="Arial" w:eastAsia="Arial" w:hAnsi="Arial"/>
          <w:sz w:val="20"/>
          <w:szCs w:val="20"/>
          <w:color w:val="auto"/>
        </w:rPr>
        <w:t>All Invivyd officers, directors and employees and others as may be identified by Invivyd’s Chief Financial Officer and/or Chief Legal Officer (a “</w:t>
      </w:r>
      <w:r>
        <w:rPr>
          <w:rFonts w:ascii="Arial" w:cs="Arial" w:eastAsia="Arial" w:hAnsi="Arial"/>
          <w:sz w:val="20"/>
          <w:szCs w:val="20"/>
          <w:b w:val="1"/>
          <w:bCs w:val="1"/>
          <w:i w:val="1"/>
          <w:iCs w:val="1"/>
          <w:color w:val="auto"/>
        </w:rPr>
        <w:t>Pre-Clearance Designee</w:t>
      </w:r>
      <w:r>
        <w:rPr>
          <w:rFonts w:ascii="Arial" w:cs="Arial" w:eastAsia="Arial" w:hAnsi="Arial"/>
          <w:sz w:val="20"/>
          <w:szCs w:val="20"/>
          <w:color w:val="auto"/>
        </w:rPr>
        <w:t>”) must obtain pre-clearance by the Chief Financial Officer and/or Invivyd’s Chief Legal Officer (each an “</w:t>
      </w:r>
      <w:r>
        <w:rPr>
          <w:rFonts w:ascii="Arial" w:cs="Arial" w:eastAsia="Arial" w:hAnsi="Arial"/>
          <w:sz w:val="20"/>
          <w:szCs w:val="20"/>
          <w:b w:val="1"/>
          <w:bCs w:val="1"/>
          <w:i w:val="1"/>
          <w:iCs w:val="1"/>
          <w:color w:val="auto"/>
        </w:rPr>
        <w:t>Approving Person</w:t>
      </w:r>
      <w:r>
        <w:rPr>
          <w:rFonts w:ascii="Arial" w:cs="Arial" w:eastAsia="Arial" w:hAnsi="Arial"/>
          <w:sz w:val="20"/>
          <w:szCs w:val="20"/>
          <w:color w:val="auto"/>
        </w:rPr>
        <w:t>”) before engaging in any transaction involving Invivyd securities, including, but not limited to, purchases, sales, and gifts. Pre-Clearance Designees will be notified from time to time by the Chief Financial Officer and/or the Chief Legal Officer of the applicable pre-clearance or other procedures applicable to them. Neither Approving Person may engage in a transaction in Invivyd securities unless the other Approving Person has pre-cleared the transaction.</w:t>
      </w:r>
    </w:p>
    <w:p>
      <w:pPr>
        <w:spacing w:after="0" w:line="172" w:lineRule="exact"/>
        <w:rPr>
          <w:sz w:val="20"/>
          <w:szCs w:val="20"/>
          <w:color w:val="auto"/>
        </w:rPr>
      </w:pPr>
    </w:p>
    <w:p>
      <w:pPr>
        <w:ind w:left="680"/>
        <w:spacing w:after="0" w:line="231" w:lineRule="auto"/>
        <w:rPr>
          <w:sz w:val="20"/>
          <w:szCs w:val="20"/>
          <w:color w:val="auto"/>
        </w:rPr>
      </w:pPr>
      <w:r>
        <w:rPr>
          <w:rFonts w:ascii="Arial" w:cs="Arial" w:eastAsia="Arial" w:hAnsi="Arial"/>
          <w:sz w:val="20"/>
          <w:szCs w:val="20"/>
          <w:color w:val="auto"/>
        </w:rPr>
        <w:t>The Approving Persons are under no obligation to approve a transaction submitted for pre-clearance and may determine not to permit a transaction, even if it would not violate the federal securities laws or a specific provision of this Policy. If a request for pre-clearance is approved, the Pre-Clearance Designee has two business days from the date of approval to effect the transaction (or, if sooner, before commencement of a Blackout Period). Under no circumstance may a Pre-Clearance Designee engage in any transaction involving Invivyd securities while aware of Material Non-Public Information, even if pre-cleared. Thus, if a Pre-Clearance Designee becomes aware of Material Non-Public Information after receiving pre-clearance, but before the trade has been executed, the Pre-Clearance Designee must not proceed with the pre-cleared transaction.</w:t>
      </w:r>
    </w:p>
    <w:p>
      <w:pPr>
        <w:spacing w:after="0" w:line="173" w:lineRule="exact"/>
        <w:rPr>
          <w:sz w:val="20"/>
          <w:szCs w:val="20"/>
          <w:color w:val="auto"/>
        </w:rPr>
      </w:pPr>
    </w:p>
    <w:p>
      <w:pPr>
        <w:jc w:val="both"/>
        <w:ind w:left="680" w:right="680"/>
        <w:spacing w:after="0" w:line="241" w:lineRule="auto"/>
        <w:rPr>
          <w:sz w:val="20"/>
          <w:szCs w:val="20"/>
          <w:color w:val="auto"/>
        </w:rPr>
      </w:pPr>
      <w:r>
        <w:rPr>
          <w:rFonts w:ascii="Arial" w:cs="Arial" w:eastAsia="Arial" w:hAnsi="Arial"/>
          <w:sz w:val="20"/>
          <w:szCs w:val="20"/>
          <w:color w:val="auto"/>
        </w:rPr>
        <w:t>Pre-clearance of any particular transaction does not insulate any Pre-Clearance Designee from liability under the securities laws. The ultimate responsibility for determining whether an individual is aware of Material Non-Public Information about Invivyd rests with that individual in all cases.</w:t>
      </w:r>
    </w:p>
    <w:p>
      <w:pPr>
        <w:spacing w:after="0" w:line="171" w:lineRule="exact"/>
        <w:rPr>
          <w:sz w:val="20"/>
          <w:szCs w:val="20"/>
          <w:color w:val="auto"/>
        </w:rPr>
      </w:pPr>
    </w:p>
    <w:p>
      <w:pPr>
        <w:ind w:left="680" w:right="40"/>
        <w:spacing w:after="0" w:line="257" w:lineRule="auto"/>
        <w:rPr>
          <w:sz w:val="20"/>
          <w:szCs w:val="20"/>
          <w:color w:val="auto"/>
        </w:rPr>
      </w:pPr>
      <w:r>
        <w:rPr>
          <w:rFonts w:ascii="Arial" w:cs="Arial" w:eastAsia="Arial" w:hAnsi="Arial"/>
          <w:sz w:val="20"/>
          <w:szCs w:val="20"/>
          <w:color w:val="auto"/>
        </w:rPr>
        <w:t>Regardless of the other provisions under this Policy, including whether pre-clearance is obtained, all Invivyd officers and directors must promptly report any purchases or sales or gifts of Invivyd’s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4" w:right="359" w:bottom="1440" w:gutter="0" w:footer="0" w:header="0"/>
        </w:sectPr>
      </w:pPr>
    </w:p>
    <w:bookmarkStart w:id="288" w:name="page289"/>
    <w:bookmarkEnd w:id="288"/>
    <w:p>
      <w:pPr>
        <w:ind w:left="680" w:right="860"/>
        <w:spacing w:after="0" w:line="257" w:lineRule="auto"/>
        <w:rPr>
          <w:sz w:val="20"/>
          <w:szCs w:val="20"/>
          <w:color w:val="auto"/>
        </w:rPr>
      </w:pPr>
      <w:r>
        <w:rPr>
          <w:rFonts w:ascii="Arial" w:cs="Arial" w:eastAsia="Arial" w:hAnsi="Arial"/>
          <w:sz w:val="20"/>
          <w:szCs w:val="20"/>
          <w:color w:val="auto"/>
        </w:rPr>
        <w:t>securities to the Chief Legal Officer to permit timely preparation of any necessary filings with the Securities and Exchange Commission.</w:t>
      </w:r>
    </w:p>
    <w:p>
      <w:pPr>
        <w:spacing w:after="0" w:line="40"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10.0</w:t>
      </w:r>
      <w:r>
        <w:rPr>
          <w:sz w:val="20"/>
          <w:szCs w:val="20"/>
          <w:color w:val="auto"/>
        </w:rPr>
        <w:tab/>
      </w:r>
      <w:r>
        <w:rPr>
          <w:rFonts w:ascii="Arial" w:cs="Arial" w:eastAsia="Arial" w:hAnsi="Arial"/>
          <w:sz w:val="20"/>
          <w:szCs w:val="20"/>
          <w:b w:val="1"/>
          <w:bCs w:val="1"/>
          <w:color w:val="auto"/>
        </w:rPr>
        <w:t>RULE 10B5-1 TRADING PLANS</w:t>
      </w:r>
    </w:p>
    <w:p>
      <w:pPr>
        <w:spacing w:after="0" w:line="75" w:lineRule="exact"/>
        <w:rPr>
          <w:sz w:val="20"/>
          <w:szCs w:val="20"/>
          <w:color w:val="auto"/>
        </w:rPr>
      </w:pPr>
    </w:p>
    <w:p>
      <w:pPr>
        <w:ind w:left="680" w:right="200"/>
        <w:spacing w:after="0" w:line="230" w:lineRule="auto"/>
        <w:rPr>
          <w:sz w:val="20"/>
          <w:szCs w:val="20"/>
          <w:color w:val="auto"/>
        </w:rPr>
      </w:pPr>
      <w:r>
        <w:rPr>
          <w:rFonts w:ascii="Arial" w:cs="Arial" w:eastAsia="Arial" w:hAnsi="Arial"/>
          <w:sz w:val="20"/>
          <w:szCs w:val="20"/>
          <w:color w:val="auto"/>
        </w:rPr>
        <w:t>This section sets forth guidelines for any trading plan (a “</w:t>
      </w:r>
      <w:r>
        <w:rPr>
          <w:rFonts w:ascii="Arial" w:cs="Arial" w:eastAsia="Arial" w:hAnsi="Arial"/>
          <w:sz w:val="20"/>
          <w:szCs w:val="20"/>
          <w:b w:val="1"/>
          <w:bCs w:val="1"/>
          <w:i w:val="1"/>
          <w:iCs w:val="1"/>
          <w:color w:val="auto"/>
        </w:rPr>
        <w:t>10b5-1 trading plan</w:t>
      </w:r>
      <w:r>
        <w:rPr>
          <w:rFonts w:ascii="Arial" w:cs="Arial" w:eastAsia="Arial" w:hAnsi="Arial"/>
          <w:sz w:val="20"/>
          <w:szCs w:val="20"/>
          <w:color w:val="auto"/>
        </w:rPr>
        <w:t>”) adopted under Rule 10b5-1 (“</w:t>
      </w:r>
      <w:r>
        <w:rPr>
          <w:rFonts w:ascii="Arial" w:cs="Arial" w:eastAsia="Arial" w:hAnsi="Arial"/>
          <w:sz w:val="20"/>
          <w:szCs w:val="20"/>
          <w:b w:val="1"/>
          <w:bCs w:val="1"/>
          <w:i w:val="1"/>
          <w:iCs w:val="1"/>
          <w:color w:val="auto"/>
        </w:rPr>
        <w:t>Rule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10b5-1</w:t>
      </w:r>
      <w:r>
        <w:rPr>
          <w:rFonts w:ascii="Arial" w:cs="Arial" w:eastAsia="Arial" w:hAnsi="Arial"/>
          <w:sz w:val="20"/>
          <w:szCs w:val="20"/>
          <w:color w:val="auto"/>
        </w:rPr>
        <w:t>”) of the Securities Exchange Act of 1934, as amended (the “</w:t>
      </w:r>
      <w:r>
        <w:rPr>
          <w:rFonts w:ascii="Arial" w:cs="Arial" w:eastAsia="Arial" w:hAnsi="Arial"/>
          <w:sz w:val="20"/>
          <w:szCs w:val="20"/>
          <w:b w:val="1"/>
          <w:bCs w:val="1"/>
          <w:i w:val="1"/>
          <w:iCs w:val="1"/>
          <w:color w:val="auto"/>
        </w:rPr>
        <w:t>Exchange Act</w:t>
      </w:r>
      <w:r>
        <w:rPr>
          <w:rFonts w:ascii="Arial" w:cs="Arial" w:eastAsia="Arial" w:hAnsi="Arial"/>
          <w:sz w:val="20"/>
          <w:szCs w:val="20"/>
          <w:color w:val="auto"/>
        </w:rPr>
        <w:t>”), covering publicly traded stock of</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Invivyd. In addition to honoring these guidelines, all 10b5-1 trading plans, along with any amendments or modifications to those plans, must comply with Rule 10b5-1.</w:t>
      </w:r>
    </w:p>
    <w:p>
      <w:pPr>
        <w:jc w:val="both"/>
        <w:ind w:left="1440" w:hanging="384"/>
        <w:spacing w:after="0" w:line="215" w:lineRule="auto"/>
        <w:tabs>
          <w:tab w:leader="none" w:pos="1440" w:val="left"/>
        </w:tabs>
        <w:numPr>
          <w:ilvl w:val="0"/>
          <w:numId w:val="261"/>
        </w:numPr>
        <w:rPr>
          <w:rFonts w:ascii="Calibri" w:cs="Calibri" w:eastAsia="Calibri" w:hAnsi="Calibri"/>
          <w:sz w:val="20"/>
          <w:szCs w:val="20"/>
          <w:color w:val="auto"/>
        </w:rPr>
      </w:pPr>
      <w:r>
        <w:rPr>
          <w:rFonts w:ascii="Arial" w:cs="Arial" w:eastAsia="Arial" w:hAnsi="Arial"/>
          <w:sz w:val="20"/>
          <w:szCs w:val="20"/>
          <w:b w:val="1"/>
          <w:bCs w:val="1"/>
          <w:color w:val="auto"/>
        </w:rPr>
        <w:t xml:space="preserve">Participants. </w:t>
      </w:r>
      <w:r>
        <w:rPr>
          <w:rFonts w:ascii="Arial" w:cs="Arial" w:eastAsia="Arial" w:hAnsi="Arial"/>
          <w:sz w:val="20"/>
          <w:szCs w:val="20"/>
          <w:color w:val="auto"/>
        </w:rPr>
        <w:t>Invivyd’s directors, executive officers and other employees at the vice president level and above</w:t>
      </w:r>
      <w:r>
        <w:rPr>
          <w:rFonts w:ascii="Arial" w:cs="Arial" w:eastAsia="Arial" w:hAnsi="Arial"/>
          <w:sz w:val="20"/>
          <w:szCs w:val="20"/>
          <w:b w:val="1"/>
          <w:bCs w:val="1"/>
          <w:color w:val="auto"/>
        </w:rPr>
        <w:t xml:space="preserve"> </w:t>
      </w:r>
      <w:r>
        <w:rPr>
          <w:rFonts w:ascii="Arial" w:cs="Arial" w:eastAsia="Arial" w:hAnsi="Arial"/>
          <w:sz w:val="20"/>
          <w:szCs w:val="20"/>
          <w:color w:val="auto"/>
        </w:rPr>
        <w:t>are encouraged to consider adopting a 10b5-1 trading plan to govern all trades they make involving Invivyd’s securities.</w:t>
      </w:r>
      <w:r>
        <w:rPr>
          <w:rFonts w:ascii="Arial" w:cs="Arial" w:eastAsia="Arial" w:hAnsi="Arial"/>
          <w:sz w:val="26"/>
          <w:szCs w:val="26"/>
          <w:color w:val="auto"/>
          <w:vertAlign w:val="superscript"/>
        </w:rPr>
        <w:t>1</w:t>
      </w:r>
      <w:r>
        <w:rPr>
          <w:rFonts w:ascii="Arial" w:cs="Arial" w:eastAsia="Arial" w:hAnsi="Arial"/>
          <w:sz w:val="20"/>
          <w:szCs w:val="20"/>
          <w:color w:val="auto"/>
        </w:rPr>
        <w:t xml:space="preserve"> For purposes of these guidelines, Invivyd’s directors and executive officers are collectively referred to as “directors and officers.” The Chief Legal Officer has the power to allow additional Invivyd employees to adopt a 10b5-1 trading plan.</w:t>
      </w:r>
    </w:p>
    <w:p>
      <w:pPr>
        <w:spacing w:after="0" w:line="2" w:lineRule="exact"/>
        <w:rPr>
          <w:rFonts w:ascii="Calibri" w:cs="Calibri" w:eastAsia="Calibri" w:hAnsi="Calibri"/>
          <w:sz w:val="20"/>
          <w:szCs w:val="20"/>
          <w:color w:val="auto"/>
        </w:rPr>
      </w:pPr>
    </w:p>
    <w:p>
      <w:pPr>
        <w:jc w:val="both"/>
        <w:ind w:left="1420" w:right="120" w:hanging="364"/>
        <w:spacing w:after="0" w:line="222" w:lineRule="auto"/>
        <w:tabs>
          <w:tab w:leader="none" w:pos="1420" w:val="left"/>
        </w:tabs>
        <w:numPr>
          <w:ilvl w:val="0"/>
          <w:numId w:val="261"/>
        </w:numPr>
        <w:rPr>
          <w:rFonts w:ascii="Calibri" w:cs="Calibri" w:eastAsia="Calibri" w:hAnsi="Calibri"/>
          <w:sz w:val="20"/>
          <w:szCs w:val="20"/>
          <w:color w:val="auto"/>
        </w:rPr>
      </w:pPr>
      <w:r>
        <w:rPr>
          <w:rFonts w:ascii="Arial" w:cs="Arial" w:eastAsia="Arial" w:hAnsi="Arial"/>
          <w:sz w:val="20"/>
          <w:szCs w:val="20"/>
          <w:b w:val="1"/>
          <w:bCs w:val="1"/>
          <w:color w:val="auto"/>
        </w:rPr>
        <w:t xml:space="preserve">Plan and Approval. </w:t>
      </w:r>
      <w:r>
        <w:rPr>
          <w:rFonts w:ascii="Arial" w:cs="Arial" w:eastAsia="Arial" w:hAnsi="Arial"/>
          <w:sz w:val="20"/>
          <w:szCs w:val="20"/>
          <w:color w:val="auto"/>
        </w:rPr>
        <w:t>All 10b5-1 trading plans must be submitted to the Chief Legal Officer for review and</w:t>
      </w:r>
      <w:r>
        <w:rPr>
          <w:rFonts w:ascii="Arial" w:cs="Arial" w:eastAsia="Arial" w:hAnsi="Arial"/>
          <w:sz w:val="20"/>
          <w:szCs w:val="20"/>
          <w:b w:val="1"/>
          <w:bCs w:val="1"/>
          <w:color w:val="auto"/>
        </w:rPr>
        <w:t xml:space="preserve"> </w:t>
      </w:r>
      <w:r>
        <w:rPr>
          <w:rFonts w:ascii="Arial" w:cs="Arial" w:eastAsia="Arial" w:hAnsi="Arial"/>
          <w:sz w:val="20"/>
          <w:szCs w:val="20"/>
          <w:color w:val="auto"/>
        </w:rPr>
        <w:t>approval at least five business days prior to adoption, modification, or termination (or such shorter period of time as determined by the Chief Legal Officer in his or her sole discretion). The 10b5-1 trading plan must be in writing and signed by the participant establishing the plan. Invivyd will keep a copy of each 10b5-1 trading plan.</w:t>
      </w:r>
    </w:p>
    <w:p>
      <w:pPr>
        <w:spacing w:after="0" w:line="3" w:lineRule="exact"/>
        <w:rPr>
          <w:rFonts w:ascii="Calibri" w:cs="Calibri" w:eastAsia="Calibri" w:hAnsi="Calibri"/>
          <w:sz w:val="20"/>
          <w:szCs w:val="20"/>
          <w:color w:val="auto"/>
        </w:rPr>
      </w:pPr>
    </w:p>
    <w:p>
      <w:pPr>
        <w:ind w:left="1440" w:hanging="384"/>
        <w:spacing w:after="0" w:line="224" w:lineRule="auto"/>
        <w:tabs>
          <w:tab w:leader="none" w:pos="1440" w:val="left"/>
        </w:tabs>
        <w:numPr>
          <w:ilvl w:val="0"/>
          <w:numId w:val="261"/>
        </w:numPr>
        <w:rPr>
          <w:rFonts w:ascii="Calibri" w:cs="Calibri" w:eastAsia="Calibri" w:hAnsi="Calibri"/>
          <w:sz w:val="20"/>
          <w:szCs w:val="20"/>
          <w:color w:val="auto"/>
        </w:rPr>
      </w:pPr>
      <w:r>
        <w:rPr>
          <w:rFonts w:ascii="Arial" w:cs="Arial" w:eastAsia="Arial" w:hAnsi="Arial"/>
          <w:sz w:val="20"/>
          <w:szCs w:val="20"/>
          <w:b w:val="1"/>
          <w:bCs w:val="1"/>
          <w:color w:val="auto"/>
        </w:rPr>
        <w:t xml:space="preserve">Timing and Term of a Plan. </w:t>
      </w:r>
      <w:r>
        <w:rPr>
          <w:rFonts w:ascii="Arial" w:cs="Arial" w:eastAsia="Arial" w:hAnsi="Arial"/>
          <w:sz w:val="20"/>
          <w:szCs w:val="20"/>
          <w:color w:val="auto"/>
        </w:rPr>
        <w:t>There are limits on when a 10b5-1 trading plan can be adopted, so plan ahead. In</w:t>
      </w:r>
      <w:r>
        <w:rPr>
          <w:rFonts w:ascii="Arial" w:cs="Arial" w:eastAsia="Arial" w:hAnsi="Arial"/>
          <w:sz w:val="20"/>
          <w:szCs w:val="20"/>
          <w:b w:val="1"/>
          <w:bCs w:val="1"/>
          <w:color w:val="auto"/>
        </w:rPr>
        <w:t xml:space="preserve"> </w:t>
      </w:r>
      <w:r>
        <w:rPr>
          <w:rFonts w:ascii="Arial" w:cs="Arial" w:eastAsia="Arial" w:hAnsi="Arial"/>
          <w:sz w:val="20"/>
          <w:szCs w:val="20"/>
          <w:color w:val="auto"/>
        </w:rPr>
        <w:t>short, there are two conditions that must exist when a participant sets up a plan: the trading window under this Policy is open and the participant does not possess Material Non-Public Information about Invivyd. Participants must enter into a plan in good faith and not as part of a plan or scheme to evade the prohibitions of Rule 10b5-1 under the Exchange Act. All 10b5-1 trading plans adopted by directors and officers of the company must include a certification that, at the time of adoption or modification, as applicable, such individual (i) does not possess any Material Non-Public Information about Invivyd or its securities and (ii) is adopting the 10b5-1 trading plan in good faith and not as part of a plan or scheme to evade insider trading prohibitions of Rule 10b-5 under the Exchange Act. With the exception of plans that cover only “eligible sell-to-cover” transactions described in Rule 10b5-1, no 10b5-1 trading plan may have a term longer than 24 months. However, 10b5-1 trading plans can provide for early termination in certain circumstances, such as if a participant’s employment or directorship ends, as approved by the Chief Legal Officer.</w:t>
      </w:r>
    </w:p>
    <w:p>
      <w:pPr>
        <w:spacing w:after="0" w:line="3" w:lineRule="exact"/>
        <w:rPr>
          <w:rFonts w:ascii="Calibri" w:cs="Calibri" w:eastAsia="Calibri" w:hAnsi="Calibri"/>
          <w:sz w:val="20"/>
          <w:szCs w:val="20"/>
          <w:color w:val="auto"/>
        </w:rPr>
      </w:pPr>
    </w:p>
    <w:p>
      <w:pPr>
        <w:ind w:left="1440" w:right="80" w:hanging="384"/>
        <w:spacing w:after="0" w:line="228" w:lineRule="auto"/>
        <w:tabs>
          <w:tab w:leader="none" w:pos="1440" w:val="left"/>
        </w:tabs>
        <w:numPr>
          <w:ilvl w:val="0"/>
          <w:numId w:val="261"/>
        </w:numPr>
        <w:rPr>
          <w:rFonts w:ascii="Calibri" w:cs="Calibri" w:eastAsia="Calibri" w:hAnsi="Calibri"/>
          <w:sz w:val="20"/>
          <w:szCs w:val="20"/>
          <w:color w:val="auto"/>
        </w:rPr>
      </w:pPr>
      <w:r>
        <w:rPr>
          <w:rFonts w:ascii="Arial" w:cs="Arial" w:eastAsia="Arial" w:hAnsi="Arial"/>
          <w:sz w:val="20"/>
          <w:szCs w:val="20"/>
          <w:b w:val="1"/>
          <w:bCs w:val="1"/>
          <w:color w:val="auto"/>
        </w:rPr>
        <w:t xml:space="preserve">Timing of a Plan Amendment or Modification. </w:t>
      </w:r>
      <w:r>
        <w:rPr>
          <w:rFonts w:ascii="Arial" w:cs="Arial" w:eastAsia="Arial" w:hAnsi="Arial"/>
          <w:sz w:val="20"/>
          <w:szCs w:val="20"/>
          <w:color w:val="auto"/>
        </w:rPr>
        <w:t>If the term of the 10b5-1 trading plan is at least 12 months (an</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Eligible Plan</w:t>
      </w:r>
      <w:r>
        <w:rPr>
          <w:rFonts w:ascii="Arial" w:cs="Arial" w:eastAsia="Arial" w:hAnsi="Arial"/>
          <w:sz w:val="20"/>
          <w:szCs w:val="20"/>
          <w:color w:val="auto"/>
        </w:rPr>
        <w:t>”), such Eligible Plan may be amended or modified but only during an open trading window and when the participant does not possess Material Non-Public Information about Invivyd. The amendment or modification to such Eligible Plan must include a certification to that effect. Each Eligible Plan shall be limited to a total of one modification. The modified trading plan must have a minimum duration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84455</wp:posOffset>
            </wp:positionV>
            <wp:extent cx="1688465" cy="508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5">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39" w:lineRule="exact"/>
        <w:rPr>
          <w:sz w:val="20"/>
          <w:szCs w:val="20"/>
          <w:color w:val="auto"/>
        </w:rPr>
      </w:pPr>
    </w:p>
    <w:p>
      <w:pPr>
        <w:ind w:left="120" w:hanging="112"/>
        <w:spacing w:after="0"/>
        <w:tabs>
          <w:tab w:leader="none" w:pos="120" w:val="left"/>
        </w:tabs>
        <w:numPr>
          <w:ilvl w:val="0"/>
          <w:numId w:val="262"/>
        </w:numPr>
        <w:rPr>
          <w:rFonts w:ascii="Arial" w:cs="Arial" w:eastAsia="Arial" w:hAnsi="Arial"/>
          <w:sz w:val="24"/>
          <w:szCs w:val="24"/>
          <w:color w:val="auto"/>
          <w:vertAlign w:val="superscript"/>
        </w:rPr>
      </w:pPr>
      <w:r>
        <w:rPr>
          <w:rFonts w:ascii="Arial" w:cs="Arial" w:eastAsia="Arial" w:hAnsi="Arial"/>
          <w:sz w:val="18"/>
          <w:szCs w:val="18"/>
          <w:color w:val="auto"/>
        </w:rPr>
        <w:t>Investment funds affiliated with directors of Invivyd are not subject to these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4" w:right="339" w:bottom="1440" w:gutter="0" w:footer="0" w:header="0"/>
        </w:sectPr>
      </w:pPr>
    </w:p>
    <w:bookmarkStart w:id="289" w:name="page290"/>
    <w:bookmarkEnd w:id="289"/>
    <w:p>
      <w:pPr>
        <w:ind w:left="384" w:right="100"/>
        <w:spacing w:after="0" w:line="237" w:lineRule="auto"/>
        <w:rPr>
          <w:sz w:val="20"/>
          <w:szCs w:val="20"/>
          <w:color w:val="auto"/>
        </w:rPr>
      </w:pPr>
      <w:r>
        <w:rPr>
          <w:rFonts w:ascii="Arial" w:cs="Arial" w:eastAsia="Arial" w:hAnsi="Arial"/>
          <w:sz w:val="20"/>
          <w:szCs w:val="20"/>
          <w:color w:val="auto"/>
        </w:rPr>
        <w:t>six months from the time when trades may first occur under the modified plan in accordance with these requirements. See “</w:t>
      </w:r>
      <w:r>
        <w:rPr>
          <w:rFonts w:ascii="Arial" w:cs="Arial" w:eastAsia="Arial" w:hAnsi="Arial"/>
          <w:sz w:val="20"/>
          <w:szCs w:val="20"/>
          <w:i w:val="1"/>
          <w:iCs w:val="1"/>
          <w:color w:val="auto"/>
        </w:rPr>
        <w:t>Cooling-Off Period and Other Requirements Upon Certain Amendments or Modifications to</w:t>
      </w:r>
      <w:r>
        <w:rPr>
          <w:rFonts w:ascii="Arial" w:cs="Arial" w:eastAsia="Arial" w:hAnsi="Arial"/>
          <w:sz w:val="20"/>
          <w:szCs w:val="20"/>
          <w:color w:val="auto"/>
        </w:rPr>
        <w:t xml:space="preserve"> </w:t>
      </w:r>
      <w:r>
        <w:rPr>
          <w:rFonts w:ascii="Arial" w:cs="Arial" w:eastAsia="Arial" w:hAnsi="Arial"/>
          <w:sz w:val="20"/>
          <w:szCs w:val="20"/>
          <w:i w:val="1"/>
          <w:iCs w:val="1"/>
          <w:color w:val="auto"/>
        </w:rPr>
        <w:t>an Existing 10b5-1 Trading Plan</w:t>
      </w:r>
      <w:r>
        <w:rPr>
          <w:rFonts w:ascii="Arial" w:cs="Arial" w:eastAsia="Arial" w:hAnsi="Arial"/>
          <w:sz w:val="20"/>
          <w:szCs w:val="20"/>
          <w:color w:val="auto"/>
        </w:rPr>
        <w:t>” below for details regarding cooling-off periods applicable to modified trading</w:t>
      </w:r>
      <w:r>
        <w:rPr>
          <w:rFonts w:ascii="Arial" w:cs="Arial" w:eastAsia="Arial" w:hAnsi="Arial"/>
          <w:sz w:val="20"/>
          <w:szCs w:val="20"/>
          <w:i w:val="1"/>
          <w:iCs w:val="1"/>
          <w:color w:val="auto"/>
        </w:rPr>
        <w:t xml:space="preserve"> </w:t>
      </w:r>
      <w:r>
        <w:rPr>
          <w:rFonts w:ascii="Arial" w:cs="Arial" w:eastAsia="Arial" w:hAnsi="Arial"/>
          <w:sz w:val="20"/>
          <w:szCs w:val="20"/>
          <w:color w:val="auto"/>
        </w:rPr>
        <w:t>plans.</w:t>
      </w:r>
    </w:p>
    <w:p>
      <w:pPr>
        <w:spacing w:after="0" w:line="129" w:lineRule="exact"/>
        <w:rPr>
          <w:sz w:val="20"/>
          <w:szCs w:val="20"/>
          <w:color w:val="auto"/>
        </w:rPr>
      </w:pPr>
    </w:p>
    <w:p>
      <w:pPr>
        <w:ind w:left="384" w:right="140" w:hanging="384"/>
        <w:spacing w:after="0" w:line="226" w:lineRule="auto"/>
        <w:tabs>
          <w:tab w:leader="none" w:pos="384" w:val="left"/>
        </w:tabs>
        <w:numPr>
          <w:ilvl w:val="0"/>
          <w:numId w:val="263"/>
        </w:numPr>
        <w:rPr>
          <w:rFonts w:ascii="Calibri" w:cs="Calibri" w:eastAsia="Calibri" w:hAnsi="Calibri"/>
          <w:sz w:val="20"/>
          <w:szCs w:val="20"/>
          <w:color w:val="auto"/>
        </w:rPr>
      </w:pPr>
      <w:r>
        <w:rPr>
          <w:rFonts w:ascii="Arial" w:cs="Arial" w:eastAsia="Arial" w:hAnsi="Arial"/>
          <w:sz w:val="20"/>
          <w:szCs w:val="20"/>
          <w:b w:val="1"/>
          <w:bCs w:val="1"/>
          <w:color w:val="auto"/>
        </w:rPr>
        <w:t xml:space="preserve">Termination. </w:t>
      </w:r>
      <w:r>
        <w:rPr>
          <w:rFonts w:ascii="Arial" w:cs="Arial" w:eastAsia="Arial" w:hAnsi="Arial"/>
          <w:sz w:val="20"/>
          <w:szCs w:val="20"/>
          <w:color w:val="auto"/>
        </w:rPr>
        <w:t>Voluntary termination of a 10b5-1 trading plan may only take place during an open trading</w:t>
      </w:r>
      <w:r>
        <w:rPr>
          <w:rFonts w:ascii="Arial" w:cs="Arial" w:eastAsia="Arial" w:hAnsi="Arial"/>
          <w:sz w:val="20"/>
          <w:szCs w:val="20"/>
          <w:b w:val="1"/>
          <w:bCs w:val="1"/>
          <w:color w:val="auto"/>
        </w:rPr>
        <w:t xml:space="preserve"> </w:t>
      </w:r>
      <w:r>
        <w:rPr>
          <w:rFonts w:ascii="Arial" w:cs="Arial" w:eastAsia="Arial" w:hAnsi="Arial"/>
          <w:sz w:val="20"/>
          <w:szCs w:val="20"/>
          <w:color w:val="auto"/>
        </w:rPr>
        <w:t>window when the participant is not in possession of Material Non-Public Information, and with the approval of the Chief Legal Officer. If a participant terminates their 10b5-1 trading plan early, they may not trade outside of a 10b5-1 plan for a period of at least 30 days, and may not enter into a new 10b5-1 trading plan until the later of:</w:t>
      </w:r>
    </w:p>
    <w:p>
      <w:pPr>
        <w:spacing w:after="0" w:line="3" w:lineRule="exact"/>
        <w:rPr>
          <w:rFonts w:ascii="Calibri" w:cs="Calibri" w:eastAsia="Calibri" w:hAnsi="Calibri"/>
          <w:sz w:val="20"/>
          <w:szCs w:val="20"/>
          <w:color w:val="auto"/>
        </w:rPr>
      </w:pPr>
    </w:p>
    <w:p>
      <w:pPr>
        <w:ind w:left="744" w:right="1020"/>
        <w:spacing w:after="0" w:line="238" w:lineRule="auto"/>
        <w:rPr>
          <w:rFonts w:ascii="Calibri" w:cs="Calibri" w:eastAsia="Calibri" w:hAnsi="Calibri"/>
          <w:sz w:val="20"/>
          <w:szCs w:val="20"/>
          <w:color w:val="auto"/>
        </w:rPr>
      </w:pPr>
      <w:r>
        <w:rPr>
          <w:rFonts w:ascii="Times New Roman" w:cs="Times New Roman" w:eastAsia="Times New Roman" w:hAnsi="Times New Roman"/>
          <w:sz w:val="20"/>
          <w:szCs w:val="20"/>
          <w:color w:val="auto"/>
        </w:rPr>
        <w:t xml:space="preserve">o </w:t>
      </w:r>
      <w:r>
        <w:rPr>
          <w:rFonts w:ascii="Arial" w:cs="Arial" w:eastAsia="Arial" w:hAnsi="Arial"/>
          <w:sz w:val="20"/>
          <w:szCs w:val="20"/>
          <w:color w:val="auto"/>
        </w:rPr>
        <w:t>The six-month anniversary of the date the terminated 10b5-1 trading plan was adopted; and</w:t>
      </w:r>
      <w:r>
        <w:rPr>
          <w:rFonts w:ascii="Times New Roman" w:cs="Times New Roman" w:eastAsia="Times New Roman" w:hAnsi="Times New Roman"/>
          <w:sz w:val="20"/>
          <w:szCs w:val="20"/>
          <w:color w:val="auto"/>
        </w:rPr>
        <w:t xml:space="preserve"> o </w:t>
      </w:r>
      <w:r>
        <w:rPr>
          <w:rFonts w:ascii="Arial" w:cs="Arial" w:eastAsia="Arial" w:hAnsi="Arial"/>
          <w:sz w:val="20"/>
          <w:szCs w:val="20"/>
          <w:color w:val="auto"/>
        </w:rPr>
        <w:t>The conclusion of the next quarterly Blackout Period.</w:t>
      </w:r>
    </w:p>
    <w:p>
      <w:pPr>
        <w:spacing w:after="0" w:line="1" w:lineRule="exact"/>
        <w:rPr>
          <w:rFonts w:ascii="Calibri" w:cs="Calibri" w:eastAsia="Calibri" w:hAnsi="Calibri"/>
          <w:sz w:val="20"/>
          <w:szCs w:val="20"/>
          <w:color w:val="auto"/>
        </w:rPr>
      </w:pPr>
    </w:p>
    <w:p>
      <w:pPr>
        <w:ind w:left="384" w:right="60" w:hanging="384"/>
        <w:spacing w:after="0" w:line="223" w:lineRule="auto"/>
        <w:tabs>
          <w:tab w:leader="none" w:pos="384" w:val="left"/>
        </w:tabs>
        <w:numPr>
          <w:ilvl w:val="0"/>
          <w:numId w:val="263"/>
        </w:numPr>
        <w:rPr>
          <w:rFonts w:ascii="Calibri" w:cs="Calibri" w:eastAsia="Calibri" w:hAnsi="Calibri"/>
          <w:sz w:val="20"/>
          <w:szCs w:val="20"/>
          <w:color w:val="auto"/>
        </w:rPr>
      </w:pPr>
      <w:r>
        <w:rPr>
          <w:rFonts w:ascii="Arial" w:cs="Arial" w:eastAsia="Arial" w:hAnsi="Arial"/>
          <w:sz w:val="20"/>
          <w:szCs w:val="20"/>
          <w:b w:val="1"/>
          <w:bCs w:val="1"/>
          <w:color w:val="auto"/>
        </w:rPr>
        <w:t xml:space="preserve">Delayed Effectiveness of Adoption (“Cooling-Off Period”). </w:t>
      </w:r>
      <w:r>
        <w:rPr>
          <w:rFonts w:ascii="Arial" w:cs="Arial" w:eastAsia="Arial" w:hAnsi="Arial"/>
          <w:sz w:val="20"/>
          <w:szCs w:val="20"/>
          <w:color w:val="auto"/>
        </w:rPr>
        <w:t>All 10b5-1 trading plans shall be subject to a</w:t>
      </w:r>
      <w:r>
        <w:rPr>
          <w:rFonts w:ascii="Arial" w:cs="Arial" w:eastAsia="Arial" w:hAnsi="Arial"/>
          <w:sz w:val="20"/>
          <w:szCs w:val="20"/>
          <w:b w:val="1"/>
          <w:bCs w:val="1"/>
          <w:color w:val="auto"/>
        </w:rPr>
        <w:t xml:space="preserve"> </w:t>
      </w:r>
      <w:r>
        <w:rPr>
          <w:rFonts w:ascii="Arial" w:cs="Arial" w:eastAsia="Arial" w:hAnsi="Arial"/>
          <w:sz w:val="20"/>
          <w:szCs w:val="20"/>
          <w:color w:val="auto"/>
        </w:rPr>
        <w:t>“cooling-off period” between the date of the establishment of the 10b5-1 trading plan and the first trade effected pursuant to such plan. For directors and officers, the first trade under a 10b5-1 trading plan cannot occur until after the later of (i) 90 days following the date of establishment of such plan and (ii) two business days following the filing of the Form 10-Q or Form 10-K for the fiscal quarter in which the plan was adopted, but, in any event, the maximum required cooling-off period is 120 days. For those who are not a director or officer, the first trade under a 10b5-1 trading plan cannot occur until after at least 30 days following the date of establishment of such plan.</w:t>
      </w:r>
    </w:p>
    <w:p>
      <w:pPr>
        <w:spacing w:after="0" w:line="5" w:lineRule="exact"/>
        <w:rPr>
          <w:rFonts w:ascii="Calibri" w:cs="Calibri" w:eastAsia="Calibri" w:hAnsi="Calibri"/>
          <w:sz w:val="20"/>
          <w:szCs w:val="20"/>
          <w:color w:val="auto"/>
        </w:rPr>
      </w:pPr>
    </w:p>
    <w:p>
      <w:pPr>
        <w:ind w:left="384" w:right="60" w:hanging="384"/>
        <w:spacing w:after="0" w:line="223" w:lineRule="auto"/>
        <w:tabs>
          <w:tab w:leader="none" w:pos="384" w:val="left"/>
        </w:tabs>
        <w:numPr>
          <w:ilvl w:val="0"/>
          <w:numId w:val="263"/>
        </w:numPr>
        <w:rPr>
          <w:rFonts w:ascii="Calibri" w:cs="Calibri" w:eastAsia="Calibri" w:hAnsi="Calibri"/>
          <w:sz w:val="20"/>
          <w:szCs w:val="20"/>
          <w:color w:val="auto"/>
        </w:rPr>
      </w:pPr>
      <w:r>
        <w:rPr>
          <w:rFonts w:ascii="Arial" w:cs="Arial" w:eastAsia="Arial" w:hAnsi="Arial"/>
          <w:sz w:val="20"/>
          <w:szCs w:val="20"/>
          <w:b w:val="1"/>
          <w:bCs w:val="1"/>
          <w:color w:val="auto"/>
        </w:rPr>
        <w:t xml:space="preserve">Cooling-Off Period and Other Requirements Upon Certain Amendments or Modifications to an Existing 10b5-1 Trading Plan. </w:t>
      </w:r>
      <w:r>
        <w:rPr>
          <w:rFonts w:ascii="Arial" w:cs="Arial" w:eastAsia="Arial" w:hAnsi="Arial"/>
          <w:sz w:val="20"/>
          <w:szCs w:val="20"/>
          <w:color w:val="auto"/>
        </w:rPr>
        <w:t>If a 10b5-1 trading plan is modified to change price, amount, or timing of the purchase or</w:t>
      </w:r>
      <w:r>
        <w:rPr>
          <w:rFonts w:ascii="Arial" w:cs="Arial" w:eastAsia="Arial" w:hAnsi="Arial"/>
          <w:sz w:val="20"/>
          <w:szCs w:val="20"/>
          <w:b w:val="1"/>
          <w:bCs w:val="1"/>
          <w:color w:val="auto"/>
        </w:rPr>
        <w:t xml:space="preserve"> </w:t>
      </w:r>
      <w:r>
        <w:rPr>
          <w:rFonts w:ascii="Arial" w:cs="Arial" w:eastAsia="Arial" w:hAnsi="Arial"/>
          <w:sz w:val="20"/>
          <w:szCs w:val="20"/>
          <w:color w:val="auto"/>
        </w:rPr>
        <w:t>sale of the securities underlying the trading plan (or a modification or change to a written formula or algorithm, or computer program that affects the amount, price or timing of the purchase or sale of the securities), such modification will be subject to all of the requirements of this Policy applicable to the adoption of a new trading plan.</w:t>
      </w:r>
    </w:p>
    <w:p>
      <w:pPr>
        <w:ind w:left="384" w:hanging="384"/>
        <w:spacing w:after="0" w:line="222" w:lineRule="auto"/>
        <w:tabs>
          <w:tab w:leader="none" w:pos="384" w:val="left"/>
        </w:tabs>
        <w:numPr>
          <w:ilvl w:val="0"/>
          <w:numId w:val="263"/>
        </w:numPr>
        <w:rPr>
          <w:rFonts w:ascii="Calibri" w:cs="Calibri" w:eastAsia="Calibri" w:hAnsi="Calibri"/>
          <w:sz w:val="20"/>
          <w:szCs w:val="20"/>
          <w:color w:val="auto"/>
        </w:rPr>
      </w:pPr>
      <w:r>
        <w:rPr>
          <w:rFonts w:ascii="Arial" w:cs="Arial" w:eastAsia="Arial" w:hAnsi="Arial"/>
          <w:sz w:val="20"/>
          <w:szCs w:val="20"/>
          <w:b w:val="1"/>
          <w:bCs w:val="1"/>
          <w:color w:val="auto"/>
        </w:rPr>
        <w:t xml:space="preserve">Relationships with Plan Broker; No Subsequent Influence. </w:t>
      </w:r>
      <w:r>
        <w:rPr>
          <w:rFonts w:ascii="Arial" w:cs="Arial" w:eastAsia="Arial" w:hAnsi="Arial"/>
          <w:sz w:val="20"/>
          <w:szCs w:val="20"/>
          <w:color w:val="auto"/>
        </w:rPr>
        <w:t>If the 10b5-1 trading plan allows a broker</w:t>
      </w:r>
      <w:r>
        <w:rPr>
          <w:rFonts w:ascii="Arial" w:cs="Arial" w:eastAsia="Arial" w:hAnsi="Arial"/>
          <w:sz w:val="20"/>
          <w:szCs w:val="20"/>
          <w:b w:val="1"/>
          <w:bCs w:val="1"/>
          <w:color w:val="auto"/>
        </w:rPr>
        <w:t xml:space="preserve"> </w:t>
      </w:r>
      <w:r>
        <w:rPr>
          <w:rFonts w:ascii="Arial" w:cs="Arial" w:eastAsia="Arial" w:hAnsi="Arial"/>
          <w:sz w:val="20"/>
          <w:szCs w:val="20"/>
          <w:color w:val="auto"/>
        </w:rPr>
        <w:t>discretion regarding the details of trading (e.g., timing, share amounts), the participant cannot communicate with the broker regarding Invivyd or its securities, or attempt to influence how the broker exercises its discretion. In addition, any individual who executes the participant’s 10b5-1 trading plan must be a different individual from the person who executes trades for the participant in other securities.</w:t>
      </w:r>
    </w:p>
    <w:p>
      <w:pPr>
        <w:spacing w:after="0" w:line="3" w:lineRule="exact"/>
        <w:rPr>
          <w:rFonts w:ascii="Calibri" w:cs="Calibri" w:eastAsia="Calibri" w:hAnsi="Calibri"/>
          <w:sz w:val="20"/>
          <w:szCs w:val="20"/>
          <w:color w:val="auto"/>
        </w:rPr>
      </w:pPr>
    </w:p>
    <w:p>
      <w:pPr>
        <w:ind w:left="384" w:hanging="384"/>
        <w:spacing w:after="0" w:line="222" w:lineRule="auto"/>
        <w:tabs>
          <w:tab w:leader="none" w:pos="384" w:val="left"/>
        </w:tabs>
        <w:numPr>
          <w:ilvl w:val="0"/>
          <w:numId w:val="263"/>
        </w:numPr>
        <w:rPr>
          <w:rFonts w:ascii="Calibri" w:cs="Calibri" w:eastAsia="Calibri" w:hAnsi="Calibri"/>
          <w:sz w:val="20"/>
          <w:szCs w:val="20"/>
          <w:color w:val="auto"/>
        </w:rPr>
      </w:pPr>
      <w:r>
        <w:rPr>
          <w:rFonts w:ascii="Arial" w:cs="Arial" w:eastAsia="Arial" w:hAnsi="Arial"/>
          <w:sz w:val="20"/>
          <w:szCs w:val="20"/>
          <w:b w:val="1"/>
          <w:bCs w:val="1"/>
          <w:color w:val="auto"/>
        </w:rPr>
        <w:t xml:space="preserve">Plan Specifications; Discretion Regarding Trades. </w:t>
      </w:r>
      <w:r>
        <w:rPr>
          <w:rFonts w:ascii="Arial" w:cs="Arial" w:eastAsia="Arial" w:hAnsi="Arial"/>
          <w:sz w:val="20"/>
          <w:szCs w:val="20"/>
          <w:color w:val="auto"/>
        </w:rPr>
        <w:t>The 10b5-1 trading plan must specify the amount of stock</w:t>
      </w:r>
      <w:r>
        <w:rPr>
          <w:rFonts w:ascii="Arial" w:cs="Arial" w:eastAsia="Arial" w:hAnsi="Arial"/>
          <w:sz w:val="20"/>
          <w:szCs w:val="20"/>
          <w:b w:val="1"/>
          <w:bCs w:val="1"/>
          <w:color w:val="auto"/>
        </w:rPr>
        <w:t xml:space="preserve"> </w:t>
      </w:r>
      <w:r>
        <w:rPr>
          <w:rFonts w:ascii="Arial" w:cs="Arial" w:eastAsia="Arial" w:hAnsi="Arial"/>
          <w:sz w:val="20"/>
          <w:szCs w:val="20"/>
          <w:color w:val="auto"/>
        </w:rPr>
        <w:t>to be purchased or sold, or specify or set an objective formula for determining the amount of stock to be purchased or sold. Transaction types such as market, limit, and VWAP orders are allowed. Each 10b5-1 trading plan should specify the timing of trading or allow for the broker to exercise its discretion regarding the timing of trading.</w:t>
      </w:r>
    </w:p>
    <w:p>
      <w:pPr>
        <w:spacing w:after="0" w:line="3" w:lineRule="exact"/>
        <w:rPr>
          <w:rFonts w:ascii="Calibri" w:cs="Calibri" w:eastAsia="Calibri" w:hAnsi="Calibri"/>
          <w:sz w:val="20"/>
          <w:szCs w:val="20"/>
          <w:color w:val="auto"/>
        </w:rPr>
      </w:pPr>
    </w:p>
    <w:p>
      <w:pPr>
        <w:ind w:left="384" w:right="680" w:hanging="384"/>
        <w:spacing w:after="0" w:line="232" w:lineRule="auto"/>
        <w:tabs>
          <w:tab w:leader="none" w:pos="384" w:val="left"/>
        </w:tabs>
        <w:numPr>
          <w:ilvl w:val="0"/>
          <w:numId w:val="263"/>
        </w:numPr>
        <w:rPr>
          <w:rFonts w:ascii="Calibri" w:cs="Calibri" w:eastAsia="Calibri" w:hAnsi="Calibri"/>
          <w:sz w:val="20"/>
          <w:szCs w:val="20"/>
          <w:color w:val="auto"/>
        </w:rPr>
      </w:pPr>
      <w:r>
        <w:rPr>
          <w:rFonts w:ascii="Arial" w:cs="Arial" w:eastAsia="Arial" w:hAnsi="Arial"/>
          <w:sz w:val="20"/>
          <w:szCs w:val="20"/>
          <w:b w:val="1"/>
          <w:bCs w:val="1"/>
          <w:color w:val="auto"/>
        </w:rPr>
        <w:t xml:space="preserve">Other Trades. </w:t>
      </w:r>
      <w:r>
        <w:rPr>
          <w:rFonts w:ascii="Arial" w:cs="Arial" w:eastAsia="Arial" w:hAnsi="Arial"/>
          <w:sz w:val="20"/>
          <w:szCs w:val="20"/>
          <w:color w:val="auto"/>
        </w:rPr>
        <w:t>Trading Invivyd’s securities outside of a participant’s 10b5-1 trading plan could, in certain</w:t>
      </w:r>
      <w:r>
        <w:rPr>
          <w:rFonts w:ascii="Arial" w:cs="Arial" w:eastAsia="Arial" w:hAnsi="Arial"/>
          <w:sz w:val="20"/>
          <w:szCs w:val="20"/>
          <w:b w:val="1"/>
          <w:bCs w:val="1"/>
          <w:color w:val="auto"/>
        </w:rPr>
        <w:t xml:space="preserve"> </w:t>
      </w:r>
      <w:r>
        <w:rPr>
          <w:rFonts w:ascii="Arial" w:cs="Arial" w:eastAsia="Arial" w:hAnsi="Arial"/>
          <w:sz w:val="20"/>
          <w:szCs w:val="20"/>
          <w:color w:val="auto"/>
        </w:rPr>
        <w:t>circumstances, jeopardize the validity of a participant’s plan. Therefore,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984250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4"/>
          </w:cols>
          <w:pgMar w:left="1376" w:top="1414" w:right="359" w:bottom="1440" w:gutter="0" w:footer="0" w:header="0"/>
        </w:sectPr>
      </w:pPr>
    </w:p>
    <w:bookmarkStart w:id="290" w:name="page291"/>
    <w:bookmarkEnd w:id="290"/>
    <w:p>
      <w:pPr>
        <w:jc w:val="both"/>
        <w:ind w:left="384" w:right="40"/>
        <w:spacing w:after="0" w:line="241" w:lineRule="auto"/>
        <w:rPr>
          <w:sz w:val="20"/>
          <w:szCs w:val="20"/>
          <w:color w:val="auto"/>
        </w:rPr>
      </w:pPr>
      <w:r>
        <w:rPr>
          <w:rFonts w:ascii="Arial" w:cs="Arial" w:eastAsia="Arial" w:hAnsi="Arial"/>
          <w:sz w:val="20"/>
          <w:szCs w:val="20"/>
          <w:color w:val="auto"/>
        </w:rPr>
        <w:t>except as may be approved in advance by the Chief Legal Officer, no participant entering into a 10b5-1 trading plan (other than a plan that covers only “eligible sell-to-cover” transactions described in Rule 10b5-1) may make open-market purchases or sales of Invivyd’s securities while such 10b5-1 trading plan is in effect.</w:t>
      </w:r>
    </w:p>
    <w:p>
      <w:pPr>
        <w:spacing w:after="0" w:line="129" w:lineRule="exact"/>
        <w:rPr>
          <w:sz w:val="20"/>
          <w:szCs w:val="20"/>
          <w:color w:val="auto"/>
        </w:rPr>
      </w:pPr>
    </w:p>
    <w:p>
      <w:pPr>
        <w:ind w:left="384" w:right="40" w:hanging="384"/>
        <w:spacing w:after="0" w:line="225" w:lineRule="auto"/>
        <w:tabs>
          <w:tab w:leader="none" w:pos="384" w:val="left"/>
        </w:tabs>
        <w:numPr>
          <w:ilvl w:val="0"/>
          <w:numId w:val="264"/>
        </w:numPr>
        <w:rPr>
          <w:rFonts w:ascii="Calibri" w:cs="Calibri" w:eastAsia="Calibri" w:hAnsi="Calibri"/>
          <w:sz w:val="20"/>
          <w:szCs w:val="20"/>
          <w:color w:val="auto"/>
        </w:rPr>
      </w:pPr>
      <w:r>
        <w:rPr>
          <w:rFonts w:ascii="Arial" w:cs="Arial" w:eastAsia="Arial" w:hAnsi="Arial"/>
          <w:sz w:val="20"/>
          <w:szCs w:val="20"/>
          <w:b w:val="1"/>
          <w:bCs w:val="1"/>
          <w:color w:val="auto"/>
        </w:rPr>
        <w:t xml:space="preserve">Only One Active Plan at Any Time. </w:t>
      </w:r>
      <w:r>
        <w:rPr>
          <w:rFonts w:ascii="Arial" w:cs="Arial" w:eastAsia="Arial" w:hAnsi="Arial"/>
          <w:sz w:val="20"/>
          <w:szCs w:val="20"/>
          <w:color w:val="auto"/>
        </w:rPr>
        <w:t>A participant may have only one 10b5-1 trading plan in effect at any time,</w:t>
      </w:r>
      <w:r>
        <w:rPr>
          <w:rFonts w:ascii="Arial" w:cs="Arial" w:eastAsia="Arial" w:hAnsi="Arial"/>
          <w:sz w:val="20"/>
          <w:szCs w:val="20"/>
          <w:b w:val="1"/>
          <w:bCs w:val="1"/>
          <w:color w:val="auto"/>
        </w:rPr>
        <w:t xml:space="preserve"> </w:t>
      </w:r>
      <w:r>
        <w:rPr>
          <w:rFonts w:ascii="Arial" w:cs="Arial" w:eastAsia="Arial" w:hAnsi="Arial"/>
          <w:sz w:val="20"/>
          <w:szCs w:val="20"/>
          <w:color w:val="auto"/>
        </w:rPr>
        <w:t>with the exception of: (i) plans that cover only “eligible sell-to-cover” transactions related to the sale of only such securities as are necessary to satisfy tax withholding obligations arising exclusively from the vesting of a compensatory award, such as restricted stock, restricted stock units or stock appreciation rights (note, options are not included in this exception), and the participant does not otherwise exercise control over the timing of the sales; (ii) substitution of a new broker to execute an existing plan with identical sales instructions; and (iii) executing a sequenced plan where trading in the later-effective plan does not commence until after all trades under the earlier-commencing plan are completed or expired without execution (however, if the earlier-commencing plan is terminated early, the first trade under the later-commencing plan must not be scheduled to occur until after the applicable cooling-off period set forth above, as measured from such termination date of the earlier-effective plan). For clarity with respect to (iii) in the preceding sentence, if the earlier-commencing plan is not terminated early, the cooling-off period for the later-commencing plan is measured from the date of adoption of such later-commencing plan.</w:t>
      </w:r>
    </w:p>
    <w:p>
      <w:pPr>
        <w:spacing w:after="0" w:line="11" w:lineRule="exact"/>
        <w:rPr>
          <w:rFonts w:ascii="Calibri" w:cs="Calibri" w:eastAsia="Calibri" w:hAnsi="Calibri"/>
          <w:sz w:val="20"/>
          <w:szCs w:val="20"/>
          <w:color w:val="auto"/>
        </w:rPr>
      </w:pPr>
    </w:p>
    <w:p>
      <w:pPr>
        <w:ind w:left="384" w:hanging="384"/>
        <w:spacing w:after="0" w:line="233" w:lineRule="auto"/>
        <w:tabs>
          <w:tab w:leader="none" w:pos="384" w:val="left"/>
        </w:tabs>
        <w:numPr>
          <w:ilvl w:val="0"/>
          <w:numId w:val="264"/>
        </w:numPr>
        <w:rPr>
          <w:rFonts w:ascii="Calibri" w:cs="Calibri" w:eastAsia="Calibri" w:hAnsi="Calibri"/>
          <w:sz w:val="19"/>
          <w:szCs w:val="19"/>
          <w:color w:val="auto"/>
        </w:rPr>
      </w:pPr>
      <w:r>
        <w:rPr>
          <w:rFonts w:ascii="Arial" w:cs="Arial" w:eastAsia="Arial" w:hAnsi="Arial"/>
          <w:sz w:val="19"/>
          <w:szCs w:val="19"/>
          <w:b w:val="1"/>
          <w:bCs w:val="1"/>
          <w:color w:val="auto"/>
        </w:rPr>
        <w:t xml:space="preserve">Limitation on Single-Trade Plans. </w:t>
      </w:r>
      <w:r>
        <w:rPr>
          <w:rFonts w:ascii="Arial" w:cs="Arial" w:eastAsia="Arial" w:hAnsi="Arial"/>
          <w:sz w:val="19"/>
          <w:szCs w:val="19"/>
          <w:color w:val="auto"/>
        </w:rPr>
        <w:t>Individuals subject to this Policy may only adopt one single-trade 10b5-1</w:t>
      </w:r>
      <w:r>
        <w:rPr>
          <w:rFonts w:ascii="Arial" w:cs="Arial" w:eastAsia="Arial" w:hAnsi="Arial"/>
          <w:sz w:val="19"/>
          <w:szCs w:val="19"/>
          <w:b w:val="1"/>
          <w:bCs w:val="1"/>
          <w:color w:val="auto"/>
        </w:rPr>
        <w:t xml:space="preserve"> </w:t>
      </w:r>
      <w:r>
        <w:rPr>
          <w:rFonts w:ascii="Arial" w:cs="Arial" w:eastAsia="Arial" w:hAnsi="Arial"/>
          <w:sz w:val="19"/>
          <w:szCs w:val="19"/>
          <w:color w:val="auto"/>
        </w:rPr>
        <w:t>trading plan during any consecutive twelve-month period (other than plans that cover only “eligible sell-to-cover” transactions described in Rule 10b5-1). A single-trade plan for these purposes means a 10b5-1 trading plan that provides for the purchase or sale of all of the securities under the plan to occur in a single transaction.</w:t>
      </w:r>
    </w:p>
    <w:p>
      <w:pPr>
        <w:spacing w:after="0" w:line="2" w:lineRule="exact"/>
        <w:rPr>
          <w:rFonts w:ascii="Calibri" w:cs="Calibri" w:eastAsia="Calibri" w:hAnsi="Calibri"/>
          <w:sz w:val="19"/>
          <w:szCs w:val="19"/>
          <w:color w:val="auto"/>
        </w:rPr>
      </w:pPr>
    </w:p>
    <w:p>
      <w:pPr>
        <w:ind w:left="384" w:right="200" w:hanging="384"/>
        <w:spacing w:after="0" w:line="222" w:lineRule="auto"/>
        <w:tabs>
          <w:tab w:leader="none" w:pos="384" w:val="left"/>
        </w:tabs>
        <w:numPr>
          <w:ilvl w:val="0"/>
          <w:numId w:val="264"/>
        </w:numPr>
        <w:rPr>
          <w:rFonts w:ascii="Calibri" w:cs="Calibri" w:eastAsia="Calibri" w:hAnsi="Calibri"/>
          <w:sz w:val="20"/>
          <w:szCs w:val="20"/>
          <w:color w:val="auto"/>
        </w:rPr>
      </w:pPr>
      <w:r>
        <w:rPr>
          <w:rFonts w:ascii="Arial" w:cs="Arial" w:eastAsia="Arial" w:hAnsi="Arial"/>
          <w:sz w:val="20"/>
          <w:szCs w:val="20"/>
          <w:b w:val="1"/>
          <w:bCs w:val="1"/>
          <w:color w:val="auto"/>
        </w:rPr>
        <w:t>No Hedging</w:t>
      </w:r>
      <w:r>
        <w:rPr>
          <w:rFonts w:ascii="Arial" w:cs="Arial" w:eastAsia="Arial" w:hAnsi="Arial"/>
          <w:sz w:val="20"/>
          <w:szCs w:val="20"/>
          <w:color w:val="auto"/>
        </w:rPr>
        <w:t>. Individuals subject to this Policy are prohibited from engaging in any hedging or similar</w:t>
      </w:r>
      <w:r>
        <w:rPr>
          <w:rFonts w:ascii="Arial" w:cs="Arial" w:eastAsia="Arial" w:hAnsi="Arial"/>
          <w:sz w:val="20"/>
          <w:szCs w:val="20"/>
          <w:b w:val="1"/>
          <w:bCs w:val="1"/>
          <w:color w:val="auto"/>
        </w:rPr>
        <w:t xml:space="preserve"> </w:t>
      </w:r>
      <w:r>
        <w:rPr>
          <w:rFonts w:ascii="Arial" w:cs="Arial" w:eastAsia="Arial" w:hAnsi="Arial"/>
          <w:sz w:val="20"/>
          <w:szCs w:val="20"/>
          <w:color w:val="auto"/>
        </w:rPr>
        <w:t>transactions designed to decrease the risks associated with holding Invivyd’s securities. Likewise, before adopting a 10b5-1 trading plan, the participant may not have entered into a transaction or position that has yet to settle with respect to the securities subject to the 10b5-1 trading plan. Additionally, the participant may not enter into any such transaction while the 10b5-1 trading plan is in effect.</w:t>
      </w:r>
    </w:p>
    <w:p>
      <w:pPr>
        <w:spacing w:after="0" w:line="3" w:lineRule="exact"/>
        <w:rPr>
          <w:rFonts w:ascii="Calibri" w:cs="Calibri" w:eastAsia="Calibri" w:hAnsi="Calibri"/>
          <w:sz w:val="20"/>
          <w:szCs w:val="20"/>
          <w:color w:val="auto"/>
        </w:rPr>
      </w:pPr>
    </w:p>
    <w:p>
      <w:pPr>
        <w:ind w:left="384" w:right="400" w:hanging="384"/>
        <w:spacing w:after="0" w:line="222" w:lineRule="auto"/>
        <w:tabs>
          <w:tab w:leader="none" w:pos="384" w:val="left"/>
        </w:tabs>
        <w:numPr>
          <w:ilvl w:val="0"/>
          <w:numId w:val="264"/>
        </w:numPr>
        <w:rPr>
          <w:rFonts w:ascii="Calibri" w:cs="Calibri" w:eastAsia="Calibri" w:hAnsi="Calibri"/>
          <w:sz w:val="20"/>
          <w:szCs w:val="20"/>
          <w:color w:val="auto"/>
        </w:rPr>
      </w:pPr>
      <w:r>
        <w:rPr>
          <w:rFonts w:ascii="Arial" w:cs="Arial" w:eastAsia="Arial" w:hAnsi="Arial"/>
          <w:sz w:val="20"/>
          <w:szCs w:val="20"/>
          <w:b w:val="1"/>
          <w:bCs w:val="1"/>
          <w:color w:val="auto"/>
        </w:rPr>
        <w:t xml:space="preserve">Mandatory Suspension. </w:t>
      </w:r>
      <w:r>
        <w:rPr>
          <w:rFonts w:ascii="Arial" w:cs="Arial" w:eastAsia="Arial" w:hAnsi="Arial"/>
          <w:sz w:val="20"/>
          <w:szCs w:val="20"/>
          <w:color w:val="auto"/>
        </w:rPr>
        <w:t>Each 10b5-1 trading plan must suspend trades or terminate if legal, regulatory, or</w:t>
      </w:r>
      <w:r>
        <w:rPr>
          <w:rFonts w:ascii="Arial" w:cs="Arial" w:eastAsia="Arial" w:hAnsi="Arial"/>
          <w:sz w:val="20"/>
          <w:szCs w:val="20"/>
          <w:b w:val="1"/>
          <w:bCs w:val="1"/>
          <w:color w:val="auto"/>
        </w:rPr>
        <w:t xml:space="preserve"> </w:t>
      </w:r>
      <w:r>
        <w:rPr>
          <w:rFonts w:ascii="Arial" w:cs="Arial" w:eastAsia="Arial" w:hAnsi="Arial"/>
          <w:sz w:val="20"/>
          <w:szCs w:val="20"/>
          <w:color w:val="auto"/>
        </w:rPr>
        <w:t>contractual restrictions are imposed on the participant, or other events occur that would prohibit sales under such a plan. For example, trading would need to be suspended or the plan terminated if this Policy were amended to preclude that particular sort of trade. Likewise, trading would need to be suspended or the plan terminated if it could create a material adverse consequence for Invivyd.</w:t>
      </w:r>
    </w:p>
    <w:p>
      <w:pPr>
        <w:spacing w:after="0" w:line="3" w:lineRule="exact"/>
        <w:rPr>
          <w:rFonts w:ascii="Calibri" w:cs="Calibri" w:eastAsia="Calibri" w:hAnsi="Calibri"/>
          <w:sz w:val="20"/>
          <w:szCs w:val="20"/>
          <w:color w:val="auto"/>
        </w:rPr>
      </w:pPr>
    </w:p>
    <w:p>
      <w:pPr>
        <w:ind w:left="384" w:right="20" w:hanging="384"/>
        <w:spacing w:after="0" w:line="243" w:lineRule="auto"/>
        <w:tabs>
          <w:tab w:leader="none" w:pos="384" w:val="left"/>
        </w:tabs>
        <w:numPr>
          <w:ilvl w:val="0"/>
          <w:numId w:val="264"/>
        </w:numPr>
        <w:rPr>
          <w:rFonts w:ascii="Calibri" w:cs="Calibri" w:eastAsia="Calibri" w:hAnsi="Calibri"/>
          <w:sz w:val="19"/>
          <w:szCs w:val="19"/>
          <w:color w:val="auto"/>
        </w:rPr>
      </w:pPr>
      <w:r>
        <w:rPr>
          <w:rFonts w:ascii="Arial" w:cs="Arial" w:eastAsia="Arial" w:hAnsi="Arial"/>
          <w:sz w:val="19"/>
          <w:szCs w:val="19"/>
          <w:b w:val="1"/>
          <w:bCs w:val="1"/>
          <w:color w:val="auto"/>
        </w:rPr>
        <w:t xml:space="preserve">Compliance with Rule 144. </w:t>
      </w:r>
      <w:r>
        <w:rPr>
          <w:rFonts w:ascii="Arial" w:cs="Arial" w:eastAsia="Arial" w:hAnsi="Arial"/>
          <w:sz w:val="19"/>
          <w:szCs w:val="19"/>
          <w:color w:val="auto"/>
        </w:rPr>
        <w:t>Each 10b5-1 trading plan must provide for specific procedures to comply with Rule</w:t>
      </w:r>
      <w:r>
        <w:rPr>
          <w:rFonts w:ascii="Arial" w:cs="Arial" w:eastAsia="Arial" w:hAnsi="Arial"/>
          <w:sz w:val="19"/>
          <w:szCs w:val="19"/>
          <w:b w:val="1"/>
          <w:bCs w:val="1"/>
          <w:color w:val="auto"/>
        </w:rPr>
        <w:t xml:space="preserve"> </w:t>
      </w:r>
      <w:r>
        <w:rPr>
          <w:rFonts w:ascii="Arial" w:cs="Arial" w:eastAsia="Arial" w:hAnsi="Arial"/>
          <w:sz w:val="19"/>
          <w:szCs w:val="19"/>
          <w:color w:val="auto"/>
        </w:rPr>
        <w:t>144 (“</w:t>
      </w:r>
      <w:r>
        <w:rPr>
          <w:rFonts w:ascii="Arial" w:cs="Arial" w:eastAsia="Arial" w:hAnsi="Arial"/>
          <w:sz w:val="19"/>
          <w:szCs w:val="19"/>
          <w:b w:val="1"/>
          <w:bCs w:val="1"/>
          <w:i w:val="1"/>
          <w:iCs w:val="1"/>
          <w:color w:val="auto"/>
        </w:rPr>
        <w:t>Rule 144</w:t>
      </w:r>
      <w:r>
        <w:rPr>
          <w:rFonts w:ascii="Arial" w:cs="Arial" w:eastAsia="Arial" w:hAnsi="Arial"/>
          <w:sz w:val="19"/>
          <w:szCs w:val="19"/>
          <w:color w:val="auto"/>
        </w:rPr>
        <w:t>”) under the Securities Act of 1933, as amended, including the filing of any Form 144, if applicable. If you need additional information on Rule 144 and Form 144, please contact the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-677545</wp:posOffset>
            </wp:positionH>
            <wp:positionV relativeFrom="paragraph">
              <wp:posOffset>982345</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84"/>
          </w:cols>
          <w:pgMar w:left="1376" w:top="1414" w:right="339" w:bottom="1440" w:gutter="0" w:footer="0" w:header="0"/>
        </w:sectPr>
      </w:pPr>
    </w:p>
    <w:bookmarkStart w:id="291" w:name="page292"/>
    <w:bookmarkEnd w:id="291"/>
    <w:p>
      <w:pPr>
        <w:jc w:val="both"/>
        <w:ind w:left="1440" w:right="140" w:hanging="384"/>
        <w:spacing w:after="0" w:line="227" w:lineRule="auto"/>
        <w:tabs>
          <w:tab w:leader="none" w:pos="1440" w:val="left"/>
        </w:tabs>
        <w:numPr>
          <w:ilvl w:val="0"/>
          <w:numId w:val="265"/>
        </w:numPr>
        <w:rPr>
          <w:rFonts w:ascii="Calibri" w:cs="Calibri" w:eastAsia="Calibri" w:hAnsi="Calibri"/>
          <w:sz w:val="20"/>
          <w:szCs w:val="20"/>
          <w:color w:val="auto"/>
        </w:rPr>
      </w:pPr>
      <w:r>
        <w:rPr>
          <w:rFonts w:ascii="Arial" w:cs="Arial" w:eastAsia="Arial" w:hAnsi="Arial"/>
          <w:sz w:val="20"/>
          <w:szCs w:val="20"/>
          <w:b w:val="1"/>
          <w:bCs w:val="1"/>
          <w:color w:val="auto"/>
        </w:rPr>
        <w:t xml:space="preserve">Broker Obligation to Provide Notice of Trades. </w:t>
      </w:r>
      <w:r>
        <w:rPr>
          <w:rFonts w:ascii="Arial" w:cs="Arial" w:eastAsia="Arial" w:hAnsi="Arial"/>
          <w:sz w:val="20"/>
          <w:szCs w:val="20"/>
          <w:color w:val="auto"/>
        </w:rPr>
        <w:t>Each 10b5-1 trading plan adopted by an Invivyd director or</w:t>
      </w:r>
      <w:r>
        <w:rPr>
          <w:rFonts w:ascii="Arial" w:cs="Arial" w:eastAsia="Arial" w:hAnsi="Arial"/>
          <w:sz w:val="20"/>
          <w:szCs w:val="20"/>
          <w:b w:val="1"/>
          <w:bCs w:val="1"/>
          <w:color w:val="auto"/>
        </w:rPr>
        <w:t xml:space="preserve"> </w:t>
      </w:r>
      <w:r>
        <w:rPr>
          <w:rFonts w:ascii="Arial" w:cs="Arial" w:eastAsia="Arial" w:hAnsi="Arial"/>
          <w:sz w:val="20"/>
          <w:szCs w:val="20"/>
          <w:color w:val="auto"/>
        </w:rPr>
        <w:t>officer must provide that the broker will promptly notify the participant and Invivyd of any trades under the plan so that the Invivyd director or officer can make timely filings under the Exchange Act.</w:t>
      </w:r>
    </w:p>
    <w:p>
      <w:pPr>
        <w:spacing w:after="0" w:line="2" w:lineRule="exact"/>
        <w:rPr>
          <w:rFonts w:ascii="Calibri" w:cs="Calibri" w:eastAsia="Calibri" w:hAnsi="Calibri"/>
          <w:sz w:val="20"/>
          <w:szCs w:val="20"/>
          <w:color w:val="auto"/>
        </w:rPr>
      </w:pPr>
    </w:p>
    <w:p>
      <w:pPr>
        <w:ind w:left="1440" w:right="120" w:hanging="384"/>
        <w:spacing w:after="0" w:line="221" w:lineRule="auto"/>
        <w:tabs>
          <w:tab w:leader="none" w:pos="1440" w:val="left"/>
        </w:tabs>
        <w:numPr>
          <w:ilvl w:val="0"/>
          <w:numId w:val="265"/>
        </w:numPr>
        <w:rPr>
          <w:rFonts w:ascii="Calibri" w:cs="Calibri" w:eastAsia="Calibri" w:hAnsi="Calibri"/>
          <w:sz w:val="20"/>
          <w:szCs w:val="20"/>
          <w:color w:val="auto"/>
        </w:rPr>
      </w:pPr>
      <w:r>
        <w:rPr>
          <w:rFonts w:ascii="Arial" w:cs="Arial" w:eastAsia="Arial" w:hAnsi="Arial"/>
          <w:sz w:val="20"/>
          <w:szCs w:val="20"/>
          <w:b w:val="1"/>
          <w:bCs w:val="1"/>
          <w:color w:val="auto"/>
        </w:rPr>
        <w:t xml:space="preserve">Participant Obligation to Make Exchange Act Filings. </w:t>
      </w:r>
      <w:r>
        <w:rPr>
          <w:rFonts w:ascii="Arial" w:cs="Arial" w:eastAsia="Arial" w:hAnsi="Arial"/>
          <w:sz w:val="20"/>
          <w:szCs w:val="20"/>
          <w:color w:val="auto"/>
        </w:rPr>
        <w:t>Each 10b5-1 trading plan adopted by an Invivyd</w:t>
      </w:r>
      <w:r>
        <w:rPr>
          <w:rFonts w:ascii="Arial" w:cs="Arial" w:eastAsia="Arial" w:hAnsi="Arial"/>
          <w:sz w:val="20"/>
          <w:szCs w:val="20"/>
          <w:b w:val="1"/>
          <w:bCs w:val="1"/>
          <w:color w:val="auto"/>
        </w:rPr>
        <w:t xml:space="preserve"> </w:t>
      </w:r>
      <w:r>
        <w:rPr>
          <w:rFonts w:ascii="Arial" w:cs="Arial" w:eastAsia="Arial" w:hAnsi="Arial"/>
          <w:sz w:val="20"/>
          <w:szCs w:val="20"/>
          <w:color w:val="auto"/>
        </w:rPr>
        <w:t>director or officer must contain an explicit acknowledgement by the director or officer that all filings required by the Exchange Act, as a result of or in connection with trades under the plan, are the sole obligation of the director or officer and not Invivyd.</w:t>
      </w:r>
    </w:p>
    <w:p>
      <w:pPr>
        <w:spacing w:after="0" w:line="3" w:lineRule="exact"/>
        <w:rPr>
          <w:rFonts w:ascii="Calibri" w:cs="Calibri" w:eastAsia="Calibri" w:hAnsi="Calibri"/>
          <w:sz w:val="20"/>
          <w:szCs w:val="20"/>
          <w:color w:val="auto"/>
        </w:rPr>
      </w:pPr>
    </w:p>
    <w:p>
      <w:pPr>
        <w:ind w:left="1440" w:right="220" w:hanging="384"/>
        <w:spacing w:after="0" w:line="218" w:lineRule="auto"/>
        <w:tabs>
          <w:tab w:leader="none" w:pos="1440" w:val="left"/>
        </w:tabs>
        <w:numPr>
          <w:ilvl w:val="0"/>
          <w:numId w:val="265"/>
        </w:numPr>
        <w:rPr>
          <w:rFonts w:ascii="Calibri" w:cs="Calibri" w:eastAsia="Calibri" w:hAnsi="Calibri"/>
          <w:sz w:val="20"/>
          <w:szCs w:val="20"/>
          <w:color w:val="auto"/>
        </w:rPr>
      </w:pPr>
      <w:r>
        <w:rPr>
          <w:rFonts w:ascii="Arial" w:cs="Arial" w:eastAsia="Arial" w:hAnsi="Arial"/>
          <w:sz w:val="20"/>
          <w:szCs w:val="20"/>
          <w:b w:val="1"/>
          <w:bCs w:val="1"/>
          <w:color w:val="auto"/>
        </w:rPr>
        <w:t xml:space="preserve">Required Footnote Disclosure. </w:t>
      </w:r>
      <w:r>
        <w:rPr>
          <w:rFonts w:ascii="Arial" w:cs="Arial" w:eastAsia="Arial" w:hAnsi="Arial"/>
          <w:sz w:val="20"/>
          <w:szCs w:val="20"/>
          <w:color w:val="auto"/>
        </w:rPr>
        <w:t>Invivyd directors and officers must footnote trades disclosed on Form 4 and</w:t>
      </w:r>
      <w:r>
        <w:rPr>
          <w:rFonts w:ascii="Arial" w:cs="Arial" w:eastAsia="Arial" w:hAnsi="Arial"/>
          <w:sz w:val="20"/>
          <w:szCs w:val="20"/>
          <w:b w:val="1"/>
          <w:bCs w:val="1"/>
          <w:color w:val="auto"/>
        </w:rPr>
        <w:t xml:space="preserve"> </w:t>
      </w:r>
      <w:r>
        <w:rPr>
          <w:rFonts w:ascii="Arial" w:cs="Arial" w:eastAsia="Arial" w:hAnsi="Arial"/>
          <w:sz w:val="20"/>
          <w:szCs w:val="20"/>
          <w:color w:val="auto"/>
        </w:rPr>
        <w:t>Form 144 to indicate that the trades were made pursuant to a 10b5-1 trading plan.</w:t>
      </w:r>
    </w:p>
    <w:p>
      <w:pPr>
        <w:spacing w:after="0" w:line="1" w:lineRule="exact"/>
        <w:rPr>
          <w:rFonts w:ascii="Calibri" w:cs="Calibri" w:eastAsia="Calibri" w:hAnsi="Calibri"/>
          <w:sz w:val="20"/>
          <w:szCs w:val="20"/>
          <w:color w:val="auto"/>
        </w:rPr>
      </w:pPr>
    </w:p>
    <w:p>
      <w:pPr>
        <w:ind w:left="1440" w:right="20" w:hanging="384"/>
        <w:spacing w:after="0" w:line="218" w:lineRule="auto"/>
        <w:tabs>
          <w:tab w:leader="none" w:pos="1440" w:val="left"/>
        </w:tabs>
        <w:numPr>
          <w:ilvl w:val="0"/>
          <w:numId w:val="265"/>
        </w:numPr>
        <w:rPr>
          <w:rFonts w:ascii="Calibri" w:cs="Calibri" w:eastAsia="Calibri" w:hAnsi="Calibri"/>
          <w:sz w:val="20"/>
          <w:szCs w:val="20"/>
          <w:color w:val="auto"/>
        </w:rPr>
      </w:pPr>
      <w:r>
        <w:rPr>
          <w:rFonts w:ascii="Arial" w:cs="Arial" w:eastAsia="Arial" w:hAnsi="Arial"/>
          <w:sz w:val="20"/>
          <w:szCs w:val="20"/>
          <w:b w:val="1"/>
          <w:bCs w:val="1"/>
          <w:color w:val="auto"/>
        </w:rPr>
        <w:t xml:space="preserve">Designated Brokers. </w:t>
      </w:r>
      <w:r>
        <w:rPr>
          <w:rFonts w:ascii="Arial" w:cs="Arial" w:eastAsia="Arial" w:hAnsi="Arial"/>
          <w:sz w:val="20"/>
          <w:szCs w:val="20"/>
          <w:color w:val="auto"/>
        </w:rPr>
        <w:t>All 10b5-1 trading plans must be established using a broker designated and approved by</w:t>
      </w:r>
      <w:r>
        <w:rPr>
          <w:rFonts w:ascii="Arial" w:cs="Arial" w:eastAsia="Arial" w:hAnsi="Arial"/>
          <w:sz w:val="20"/>
          <w:szCs w:val="20"/>
          <w:b w:val="1"/>
          <w:bCs w:val="1"/>
          <w:color w:val="auto"/>
        </w:rPr>
        <w:t xml:space="preserve"> </w:t>
      </w:r>
      <w:r>
        <w:rPr>
          <w:rFonts w:ascii="Arial" w:cs="Arial" w:eastAsia="Arial" w:hAnsi="Arial"/>
          <w:sz w:val="20"/>
          <w:szCs w:val="20"/>
          <w:color w:val="auto"/>
        </w:rPr>
        <w:t>Invivyd.</w:t>
      </w:r>
    </w:p>
    <w:p>
      <w:pPr>
        <w:spacing w:after="0" w:line="1" w:lineRule="exact"/>
        <w:rPr>
          <w:rFonts w:ascii="Calibri" w:cs="Calibri" w:eastAsia="Calibri" w:hAnsi="Calibri"/>
          <w:sz w:val="20"/>
          <w:szCs w:val="20"/>
          <w:color w:val="auto"/>
        </w:rPr>
      </w:pPr>
    </w:p>
    <w:p>
      <w:pPr>
        <w:ind w:left="1440" w:right="200" w:hanging="384"/>
        <w:spacing w:after="0" w:line="221" w:lineRule="auto"/>
        <w:tabs>
          <w:tab w:leader="none" w:pos="1440" w:val="left"/>
        </w:tabs>
        <w:numPr>
          <w:ilvl w:val="0"/>
          <w:numId w:val="265"/>
        </w:numPr>
        <w:rPr>
          <w:rFonts w:ascii="Calibri" w:cs="Calibri" w:eastAsia="Calibri" w:hAnsi="Calibri"/>
          <w:sz w:val="20"/>
          <w:szCs w:val="20"/>
          <w:color w:val="auto"/>
        </w:rPr>
      </w:pPr>
      <w:r>
        <w:rPr>
          <w:rFonts w:ascii="Arial" w:cs="Arial" w:eastAsia="Arial" w:hAnsi="Arial"/>
          <w:sz w:val="20"/>
          <w:szCs w:val="20"/>
          <w:b w:val="1"/>
          <w:bCs w:val="1"/>
          <w:color w:val="auto"/>
        </w:rPr>
        <w:t xml:space="preserve">Other Requirements. </w:t>
      </w:r>
      <w:r>
        <w:rPr>
          <w:rFonts w:ascii="Arial" w:cs="Arial" w:eastAsia="Arial" w:hAnsi="Arial"/>
          <w:sz w:val="20"/>
          <w:szCs w:val="20"/>
          <w:color w:val="auto"/>
        </w:rPr>
        <w:t>All 10b5-1 trading plans must meet such other requirements as the Chief Legal Officer</w:t>
      </w:r>
      <w:r>
        <w:rPr>
          <w:rFonts w:ascii="Arial" w:cs="Arial" w:eastAsia="Arial" w:hAnsi="Arial"/>
          <w:sz w:val="20"/>
          <w:szCs w:val="20"/>
          <w:b w:val="1"/>
          <w:bCs w:val="1"/>
          <w:color w:val="auto"/>
        </w:rPr>
        <w:t xml:space="preserve"> </w:t>
      </w:r>
      <w:r>
        <w:rPr>
          <w:rFonts w:ascii="Arial" w:cs="Arial" w:eastAsia="Arial" w:hAnsi="Arial"/>
          <w:sz w:val="20"/>
          <w:szCs w:val="20"/>
          <w:color w:val="auto"/>
        </w:rPr>
        <w:t>may determine from time to time.</w:t>
      </w:r>
    </w:p>
    <w:p>
      <w:pPr>
        <w:spacing w:after="0"/>
        <w:tabs>
          <w:tab w:leader="none" w:pos="740" w:val="left"/>
        </w:tabs>
        <w:rPr>
          <w:sz w:val="20"/>
          <w:szCs w:val="20"/>
          <w:color w:val="auto"/>
        </w:rPr>
      </w:pPr>
      <w:r>
        <w:rPr>
          <w:rFonts w:ascii="Calibri" w:cs="Calibri" w:eastAsia="Calibri" w:hAnsi="Calibri"/>
          <w:sz w:val="21"/>
          <w:szCs w:val="21"/>
          <w:b w:val="1"/>
          <w:bCs w:val="1"/>
          <w:color w:val="auto"/>
        </w:rPr>
        <w:t>11.0</w:t>
      </w:r>
      <w:r>
        <w:rPr>
          <w:sz w:val="20"/>
          <w:szCs w:val="20"/>
          <w:color w:val="auto"/>
        </w:rPr>
        <w:tab/>
      </w:r>
      <w:r>
        <w:rPr>
          <w:rFonts w:ascii="Arial" w:cs="Arial" w:eastAsia="Arial" w:hAnsi="Arial"/>
          <w:sz w:val="20"/>
          <w:szCs w:val="20"/>
          <w:b w:val="1"/>
          <w:bCs w:val="1"/>
          <w:color w:val="auto"/>
        </w:rPr>
        <w:t>OTHER PROHIBITED ACTIVITIES</w:t>
      </w:r>
    </w:p>
    <w:p>
      <w:pPr>
        <w:spacing w:after="0" w:line="62" w:lineRule="exact"/>
        <w:rPr>
          <w:sz w:val="20"/>
          <w:szCs w:val="20"/>
          <w:color w:val="auto"/>
        </w:rPr>
      </w:pPr>
    </w:p>
    <w:p>
      <w:pPr>
        <w:jc w:val="both"/>
        <w:ind w:left="1060" w:right="80" w:hanging="378"/>
        <w:spacing w:after="0" w:line="227" w:lineRule="auto"/>
        <w:tabs>
          <w:tab w:leader="none" w:pos="1060" w:val="left"/>
        </w:tabs>
        <w:numPr>
          <w:ilvl w:val="0"/>
          <w:numId w:val="266"/>
        </w:numPr>
        <w:rPr>
          <w:rFonts w:ascii="Calibri" w:cs="Calibri" w:eastAsia="Calibri" w:hAnsi="Calibri"/>
          <w:sz w:val="20"/>
          <w:szCs w:val="20"/>
          <w:color w:val="auto"/>
        </w:rPr>
      </w:pPr>
      <w:r>
        <w:rPr>
          <w:rFonts w:ascii="Arial" w:cs="Arial" w:eastAsia="Arial" w:hAnsi="Arial"/>
          <w:sz w:val="20"/>
          <w:szCs w:val="20"/>
          <w:b w:val="1"/>
          <w:bCs w:val="1"/>
          <w:color w:val="auto"/>
        </w:rPr>
        <w:t xml:space="preserve">Short Sales of Invivyd Securities. </w:t>
      </w:r>
      <w:r>
        <w:rPr>
          <w:rFonts w:ascii="Arial" w:cs="Arial" w:eastAsia="Arial" w:hAnsi="Arial"/>
          <w:sz w:val="20"/>
          <w:szCs w:val="20"/>
          <w:color w:val="auto"/>
        </w:rPr>
        <w:t>Short sales are transactions whereby a person seeks to benefit from a decline</w:t>
      </w:r>
      <w:r>
        <w:rPr>
          <w:rFonts w:ascii="Arial" w:cs="Arial" w:eastAsia="Arial" w:hAnsi="Arial"/>
          <w:sz w:val="20"/>
          <w:szCs w:val="20"/>
          <w:b w:val="1"/>
          <w:bCs w:val="1"/>
          <w:color w:val="auto"/>
        </w:rPr>
        <w:t xml:space="preserve"> </w:t>
      </w:r>
      <w:r>
        <w:rPr>
          <w:rFonts w:ascii="Arial" w:cs="Arial" w:eastAsia="Arial" w:hAnsi="Arial"/>
          <w:sz w:val="20"/>
          <w:szCs w:val="20"/>
          <w:color w:val="auto"/>
        </w:rPr>
        <w:t>in the price of the securities. No Invivyd Representative is permitted to engage in these transactions with respect to Invivyd securities.</w:t>
      </w:r>
    </w:p>
    <w:p>
      <w:pPr>
        <w:spacing w:after="0" w:line="2" w:lineRule="exact"/>
        <w:rPr>
          <w:rFonts w:ascii="Calibri" w:cs="Calibri" w:eastAsia="Calibri" w:hAnsi="Calibri"/>
          <w:sz w:val="20"/>
          <w:szCs w:val="20"/>
          <w:color w:val="auto"/>
        </w:rPr>
      </w:pPr>
    </w:p>
    <w:p>
      <w:pPr>
        <w:ind w:left="1060" w:right="160" w:hanging="378"/>
        <w:spacing w:after="0" w:line="218" w:lineRule="auto"/>
        <w:tabs>
          <w:tab w:leader="none" w:pos="1060" w:val="left"/>
        </w:tabs>
        <w:numPr>
          <w:ilvl w:val="0"/>
          <w:numId w:val="266"/>
        </w:numPr>
        <w:rPr>
          <w:rFonts w:ascii="Calibri" w:cs="Calibri" w:eastAsia="Calibri" w:hAnsi="Calibri"/>
          <w:sz w:val="20"/>
          <w:szCs w:val="20"/>
          <w:color w:val="auto"/>
        </w:rPr>
      </w:pPr>
      <w:r>
        <w:rPr>
          <w:rFonts w:ascii="Arial" w:cs="Arial" w:eastAsia="Arial" w:hAnsi="Arial"/>
          <w:sz w:val="20"/>
          <w:szCs w:val="20"/>
          <w:b w:val="1"/>
          <w:bCs w:val="1"/>
          <w:color w:val="auto"/>
        </w:rPr>
        <w:t xml:space="preserve">Trading in Derivatives of Invivyd Securities. </w:t>
      </w:r>
      <w:r>
        <w:rPr>
          <w:rFonts w:ascii="Arial" w:cs="Arial" w:eastAsia="Arial" w:hAnsi="Arial"/>
          <w:sz w:val="20"/>
          <w:szCs w:val="20"/>
          <w:color w:val="auto"/>
        </w:rPr>
        <w:t>No Invivyd Representative is permitted to trade in derivatives of an</w:t>
      </w:r>
      <w:r>
        <w:rPr>
          <w:rFonts w:ascii="Arial" w:cs="Arial" w:eastAsia="Arial" w:hAnsi="Arial"/>
          <w:sz w:val="20"/>
          <w:szCs w:val="20"/>
          <w:b w:val="1"/>
          <w:bCs w:val="1"/>
          <w:color w:val="auto"/>
        </w:rPr>
        <w:t xml:space="preserve"> </w:t>
      </w:r>
      <w:r>
        <w:rPr>
          <w:rFonts w:ascii="Arial" w:cs="Arial" w:eastAsia="Arial" w:hAnsi="Arial"/>
          <w:sz w:val="20"/>
          <w:szCs w:val="20"/>
          <w:color w:val="auto"/>
        </w:rPr>
        <w:t>Invivyd security, such as exchange-traded put or call options and forward transactions.</w:t>
      </w:r>
    </w:p>
    <w:p>
      <w:pPr>
        <w:spacing w:after="0" w:line="1" w:lineRule="exact"/>
        <w:rPr>
          <w:rFonts w:ascii="Calibri" w:cs="Calibri" w:eastAsia="Calibri" w:hAnsi="Calibri"/>
          <w:sz w:val="20"/>
          <w:szCs w:val="20"/>
          <w:color w:val="auto"/>
        </w:rPr>
      </w:pPr>
    </w:p>
    <w:p>
      <w:pPr>
        <w:ind w:left="1060" w:right="40" w:hanging="378"/>
        <w:spacing w:after="0" w:line="223" w:lineRule="auto"/>
        <w:tabs>
          <w:tab w:leader="none" w:pos="1060" w:val="left"/>
        </w:tabs>
        <w:numPr>
          <w:ilvl w:val="0"/>
          <w:numId w:val="266"/>
        </w:numPr>
        <w:rPr>
          <w:rFonts w:ascii="Calibri" w:cs="Calibri" w:eastAsia="Calibri" w:hAnsi="Calibri"/>
          <w:sz w:val="20"/>
          <w:szCs w:val="20"/>
          <w:color w:val="auto"/>
        </w:rPr>
      </w:pPr>
      <w:r>
        <w:rPr>
          <w:rFonts w:ascii="Arial" w:cs="Arial" w:eastAsia="Arial" w:hAnsi="Arial"/>
          <w:sz w:val="20"/>
          <w:szCs w:val="20"/>
          <w:b w:val="1"/>
          <w:bCs w:val="1"/>
          <w:color w:val="auto"/>
        </w:rPr>
        <w:t xml:space="preserve">Hedging or Monetization Transactions. </w:t>
      </w:r>
      <w:r>
        <w:rPr>
          <w:rFonts w:ascii="Arial" w:cs="Arial" w:eastAsia="Arial" w:hAnsi="Arial"/>
          <w:sz w:val="20"/>
          <w:szCs w:val="20"/>
          <w:color w:val="auto"/>
        </w:rPr>
        <w:t>Certain forms of hedging or monetization transactions, such as zero-cost</w:t>
      </w:r>
      <w:r>
        <w:rPr>
          <w:rFonts w:ascii="Arial" w:cs="Arial" w:eastAsia="Arial" w:hAnsi="Arial"/>
          <w:sz w:val="20"/>
          <w:szCs w:val="20"/>
          <w:b w:val="1"/>
          <w:bCs w:val="1"/>
          <w:color w:val="auto"/>
        </w:rPr>
        <w:t xml:space="preserve"> </w:t>
      </w:r>
      <w:r>
        <w:rPr>
          <w:rFonts w:ascii="Arial" w:cs="Arial" w:eastAsia="Arial" w:hAnsi="Arial"/>
          <w:sz w:val="20"/>
          <w:szCs w:val="20"/>
          <w:color w:val="auto"/>
        </w:rPr>
        <w:t>collars and forward sale contracts, allow one to lock in much of the value of stock holdings, often in exchange for all or part of the potential for upside appreciation in the stock. These transactions would allow one to continue to own the covered securities, but without the full risks and rewards of ownership. When that occurs, their interests and the interests of Invivyd and its shareholders may be misaligned and may signal a message to the trading market that may not be in the best interests of Invivyd and its shareholders at the time it is conveyed. Accordingly, no Invivyd Representative may engage in hedging transactions or any other form of monetization transactions in Invivyd securities.</w:t>
      </w:r>
    </w:p>
    <w:p>
      <w:pPr>
        <w:spacing w:after="0" w:line="5" w:lineRule="exact"/>
        <w:rPr>
          <w:rFonts w:ascii="Calibri" w:cs="Calibri" w:eastAsia="Calibri" w:hAnsi="Calibri"/>
          <w:sz w:val="20"/>
          <w:szCs w:val="20"/>
          <w:color w:val="auto"/>
        </w:rPr>
      </w:pPr>
    </w:p>
    <w:p>
      <w:pPr>
        <w:ind w:left="1060" w:hanging="378"/>
        <w:spacing w:after="0" w:line="223" w:lineRule="auto"/>
        <w:tabs>
          <w:tab w:leader="none" w:pos="1060" w:val="left"/>
        </w:tabs>
        <w:numPr>
          <w:ilvl w:val="0"/>
          <w:numId w:val="266"/>
        </w:numPr>
        <w:rPr>
          <w:rFonts w:ascii="Calibri" w:cs="Calibri" w:eastAsia="Calibri" w:hAnsi="Calibri"/>
          <w:sz w:val="20"/>
          <w:szCs w:val="20"/>
          <w:color w:val="auto"/>
        </w:rPr>
      </w:pPr>
      <w:r>
        <w:rPr>
          <w:rFonts w:ascii="Arial" w:cs="Arial" w:eastAsia="Arial" w:hAnsi="Arial"/>
          <w:sz w:val="20"/>
          <w:szCs w:val="20"/>
          <w:b w:val="1"/>
          <w:bCs w:val="1"/>
          <w:color w:val="auto"/>
        </w:rPr>
        <w:t xml:space="preserve">Publicly Traded Options. </w:t>
      </w:r>
      <w:r>
        <w:rPr>
          <w:rFonts w:ascii="Arial" w:cs="Arial" w:eastAsia="Arial" w:hAnsi="Arial"/>
          <w:sz w:val="20"/>
          <w:szCs w:val="20"/>
          <w:color w:val="auto"/>
        </w:rPr>
        <w:t>A transaction in options is essentially a bet on the short-term movement of Invivyd stock</w:t>
      </w:r>
      <w:r>
        <w:rPr>
          <w:rFonts w:ascii="Arial" w:cs="Arial" w:eastAsia="Arial" w:hAnsi="Arial"/>
          <w:sz w:val="20"/>
          <w:szCs w:val="20"/>
          <w:b w:val="1"/>
          <w:bCs w:val="1"/>
          <w:color w:val="auto"/>
        </w:rPr>
        <w:t xml:space="preserve"> </w:t>
      </w:r>
      <w:r>
        <w:rPr>
          <w:rFonts w:ascii="Arial" w:cs="Arial" w:eastAsia="Arial" w:hAnsi="Arial"/>
          <w:sz w:val="20"/>
          <w:szCs w:val="20"/>
          <w:color w:val="auto"/>
        </w:rPr>
        <w:t>and therefore creates the appearance that the Invivyd Representative is trading based on Material Non-Public Information. Transactions in options also may focus the trader’s attention on short-term performance at the expense of Invivyd’s long-term objectives. Accordingly, Invivyd Representatives are prohibited from engaging in transactions in puts, calls or other derivative securities, on an exchange or in any other organized market, pertaining to Invivyd securities.</w:t>
      </w:r>
    </w:p>
    <w:p>
      <w:pPr>
        <w:ind w:left="1060" w:right="920" w:hanging="378"/>
        <w:spacing w:after="0" w:line="232" w:lineRule="auto"/>
        <w:tabs>
          <w:tab w:leader="none" w:pos="1060" w:val="left"/>
        </w:tabs>
        <w:numPr>
          <w:ilvl w:val="0"/>
          <w:numId w:val="266"/>
        </w:numPr>
        <w:rPr>
          <w:rFonts w:ascii="Calibri" w:cs="Calibri" w:eastAsia="Calibri" w:hAnsi="Calibri"/>
          <w:sz w:val="20"/>
          <w:szCs w:val="20"/>
          <w:color w:val="auto"/>
        </w:rPr>
      </w:pPr>
      <w:r>
        <w:rPr>
          <w:rFonts w:ascii="Arial" w:cs="Arial" w:eastAsia="Arial" w:hAnsi="Arial"/>
          <w:sz w:val="20"/>
          <w:szCs w:val="20"/>
          <w:b w:val="1"/>
          <w:bCs w:val="1"/>
          <w:color w:val="auto"/>
        </w:rPr>
        <w:t xml:space="preserve">Margin Accounts or Pledges. </w:t>
      </w:r>
      <w:r>
        <w:rPr>
          <w:rFonts w:ascii="Arial" w:cs="Arial" w:eastAsia="Arial" w:hAnsi="Arial"/>
          <w:sz w:val="20"/>
          <w:szCs w:val="20"/>
          <w:color w:val="auto"/>
        </w:rPr>
        <w:t>Securities held in a margin account may be sold by the broker without the</w:t>
      </w:r>
      <w:r>
        <w:rPr>
          <w:rFonts w:ascii="Arial" w:cs="Arial" w:eastAsia="Arial" w:hAnsi="Arial"/>
          <w:sz w:val="20"/>
          <w:szCs w:val="20"/>
          <w:b w:val="1"/>
          <w:bCs w:val="1"/>
          <w:color w:val="auto"/>
        </w:rPr>
        <w:t xml:space="preserve"> </w:t>
      </w:r>
      <w:r>
        <w:rPr>
          <w:rFonts w:ascii="Arial" w:cs="Arial" w:eastAsia="Arial" w:hAnsi="Arial"/>
          <w:sz w:val="20"/>
          <w:szCs w:val="20"/>
          <w:color w:val="auto"/>
        </w:rPr>
        <w:t>customer’s consent if the customer fails to meet a margin call. Similarly,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864235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2" w:right="399" w:bottom="1440" w:gutter="0" w:footer="0" w:header="0"/>
        </w:sectPr>
      </w:pPr>
    </w:p>
    <w:bookmarkStart w:id="292" w:name="page293"/>
    <w:bookmarkEnd w:id="292"/>
    <w:p>
      <w:pPr>
        <w:ind w:left="1060" w:right="140"/>
        <w:spacing w:after="0" w:line="234" w:lineRule="auto"/>
        <w:rPr>
          <w:sz w:val="20"/>
          <w:szCs w:val="20"/>
          <w:color w:val="auto"/>
        </w:rPr>
      </w:pPr>
      <w:r>
        <w:rPr>
          <w:rFonts w:ascii="Arial" w:cs="Arial" w:eastAsia="Arial" w:hAnsi="Arial"/>
          <w:sz w:val="20"/>
          <w:szCs w:val="20"/>
          <w:color w:val="auto"/>
        </w:rPr>
        <w:t>securities pledged as collateral for a loan may be sold in foreclosure if the borrower defaults on the loan. A margin sale or foreclosure sale may occur at a time when the pledgor is aware of Material Non-Public Information or otherwise is not permitted to trade in Invivyd securities pursuant to Blackout Period restrictions. Thus, Invivyd Representatives are prohibited from pledging Invivyd securities as collateral for a loan, and shares of Invivyd stock may not be held in a margin account.</w:t>
      </w:r>
    </w:p>
    <w:p>
      <w:pPr>
        <w:spacing w:after="0" w:line="59"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12.0</w:t>
      </w:r>
      <w:r>
        <w:rPr>
          <w:sz w:val="20"/>
          <w:szCs w:val="20"/>
          <w:color w:val="auto"/>
        </w:rPr>
        <w:tab/>
      </w:r>
      <w:r>
        <w:rPr>
          <w:rFonts w:ascii="Arial" w:cs="Arial" w:eastAsia="Arial" w:hAnsi="Arial"/>
          <w:sz w:val="20"/>
          <w:szCs w:val="20"/>
          <w:b w:val="1"/>
          <w:bCs w:val="1"/>
          <w:color w:val="auto"/>
        </w:rPr>
        <w:t>POST-EMPLOYMENT TRANSACTIONS</w:t>
      </w:r>
    </w:p>
    <w:p>
      <w:pPr>
        <w:spacing w:after="0" w:line="75" w:lineRule="exact"/>
        <w:rPr>
          <w:sz w:val="20"/>
          <w:szCs w:val="20"/>
          <w:color w:val="auto"/>
        </w:rPr>
      </w:pPr>
    </w:p>
    <w:p>
      <w:pPr>
        <w:ind w:left="680" w:right="160"/>
        <w:spacing w:after="0" w:line="231" w:lineRule="auto"/>
        <w:rPr>
          <w:sz w:val="20"/>
          <w:szCs w:val="20"/>
          <w:color w:val="auto"/>
        </w:rPr>
      </w:pPr>
      <w:r>
        <w:rPr>
          <w:rFonts w:ascii="Arial" w:cs="Arial" w:eastAsia="Arial" w:hAnsi="Arial"/>
          <w:sz w:val="20"/>
          <w:szCs w:val="20"/>
          <w:color w:val="auto"/>
        </w:rPr>
        <w:t>This Policy continues to apply to transactions in Invivyd securities even after an Invivyd Representative resigns or otherwise separates from Invivyd; provided however that the pre-clearance procedures described in Section 9.0 above cease to apply once an Invivyd Representative has left Invivyd. If an Invivyd Representative who resigns or separates from Invivyd is in possession of Material Non-Public Information at that time, he or she may not trade in Invivyd securities until that information has become public or is no longer material. Furthermore, if an Invivyd Representative resigns or separates from Invivyd during a Blackout Period, then, unless otherwise determined by Invivyd’s Chief Financial Officer and/or Invivyd’s Chief Legal Officer, he or she must refrain from conducting transactions involving the purchase or sale of Invivyd’s securities until the applicable Blackout Period has ended.</w:t>
      </w:r>
    </w:p>
    <w:p>
      <w:pPr>
        <w:spacing w:after="0" w:line="57" w:lineRule="exact"/>
        <w:rPr>
          <w:sz w:val="20"/>
          <w:szCs w:val="20"/>
          <w:color w:val="auto"/>
        </w:rPr>
      </w:pPr>
    </w:p>
    <w:p>
      <w:pPr>
        <w:spacing w:after="0"/>
        <w:tabs>
          <w:tab w:leader="none" w:pos="740" w:val="left"/>
        </w:tabs>
        <w:rPr>
          <w:sz w:val="20"/>
          <w:szCs w:val="20"/>
          <w:color w:val="auto"/>
        </w:rPr>
      </w:pPr>
      <w:r>
        <w:rPr>
          <w:rFonts w:ascii="Calibri" w:cs="Calibri" w:eastAsia="Calibri" w:hAnsi="Calibri"/>
          <w:sz w:val="21"/>
          <w:szCs w:val="21"/>
          <w:b w:val="1"/>
          <w:bCs w:val="1"/>
          <w:color w:val="auto"/>
        </w:rPr>
        <w:t>13.0</w:t>
      </w:r>
      <w:r>
        <w:rPr>
          <w:sz w:val="20"/>
          <w:szCs w:val="20"/>
          <w:color w:val="auto"/>
        </w:rPr>
        <w:tab/>
      </w:r>
      <w:r>
        <w:rPr>
          <w:rFonts w:ascii="Arial" w:cs="Arial" w:eastAsia="Arial" w:hAnsi="Arial"/>
          <w:sz w:val="20"/>
          <w:szCs w:val="20"/>
          <w:b w:val="1"/>
          <w:bCs w:val="1"/>
          <w:color w:val="auto"/>
        </w:rPr>
        <w:t>COMMUNICATIONS WITH THE PUBLIC</w:t>
      </w:r>
    </w:p>
    <w:p>
      <w:pPr>
        <w:spacing w:after="0" w:line="75" w:lineRule="exact"/>
        <w:rPr>
          <w:sz w:val="20"/>
          <w:szCs w:val="20"/>
          <w:color w:val="auto"/>
        </w:rPr>
      </w:pPr>
    </w:p>
    <w:p>
      <w:pPr>
        <w:ind w:left="680"/>
        <w:spacing w:after="0" w:line="230" w:lineRule="auto"/>
        <w:rPr>
          <w:sz w:val="20"/>
          <w:szCs w:val="20"/>
          <w:color w:val="auto"/>
        </w:rPr>
      </w:pPr>
      <w:r>
        <w:rPr>
          <w:rFonts w:ascii="Arial" w:cs="Arial" w:eastAsia="Arial" w:hAnsi="Arial"/>
          <w:sz w:val="20"/>
          <w:szCs w:val="20"/>
          <w:color w:val="auto"/>
        </w:rPr>
        <w:t>Invivyd is subject to the SEC’s Regulation FD and must avoid selective disclosure of Material Non-Public Information. Invivyd will release such information in a manner that is designed to achieve broad public dissemination of that information immediately upon its release. Accordingly, only specific company spokespersons who have been authorized to engage in communications with the public may disclose information to the public regarding Invivyd, its business activities and financial affairs. The public includes, without limitation, research analysts, portfolio managers, financial and business reporters, news media and investors. Any Invivyd Representative who believes they may have inadvertently disclosed any Material Non-Public Information must immediately advise the Chief Legal Officer so that Invivyd can assess its obligations under Regulation FD and other applicable securities laws. Please review Invivyd’s Corporate Disclosure Policy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1107440</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4" w:right="379" w:bottom="1440" w:gutter="0" w:footer="0" w:header="0"/>
        </w:sectPr>
      </w:pPr>
    </w:p>
    <w:bookmarkStart w:id="293" w:name="page294"/>
    <w:bookmarkEnd w:id="293"/>
    <w:p>
      <w:pPr>
        <w:jc w:val="right"/>
        <w:spacing w:after="0"/>
        <w:rPr>
          <w:sz w:val="20"/>
          <w:szCs w:val="20"/>
          <w:color w:val="auto"/>
        </w:rPr>
      </w:pPr>
      <w:r>
        <w:rPr>
          <w:rFonts w:ascii="Times New Roman" w:cs="Times New Roman" w:eastAsia="Times New Roman" w:hAnsi="Times New Roman"/>
          <w:sz w:val="20"/>
          <w:szCs w:val="20"/>
          <w:b w:val="1"/>
          <w:bCs w:val="1"/>
          <w:color w:val="auto"/>
        </w:rPr>
        <w:t>Exhibit 21.1</w:t>
      </w:r>
    </w:p>
    <w:p>
      <w:pPr>
        <w:spacing w:after="0" w:line="200" w:lineRule="exact"/>
        <w:rPr>
          <w:sz w:val="20"/>
          <w:szCs w:val="20"/>
          <w:color w:val="auto"/>
        </w:rPr>
      </w:pPr>
    </w:p>
    <w:p>
      <w:pPr>
        <w:spacing w:after="0" w:line="223"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4180" w:type="dxa"/>
            <w:vAlign w:val="bottom"/>
          </w:tcPr>
          <w:p>
            <w:pPr>
              <w:spacing w:after="0"/>
              <w:rPr>
                <w:sz w:val="20"/>
                <w:szCs w:val="20"/>
                <w:color w:val="auto"/>
              </w:rPr>
            </w:pPr>
          </w:p>
        </w:tc>
        <w:tc>
          <w:tcPr>
            <w:tcW w:w="706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Invivyd, Inc.</w:t>
            </w:r>
          </w:p>
        </w:tc>
      </w:tr>
      <w:tr>
        <w:trPr>
          <w:trHeight w:val="432"/>
        </w:trPr>
        <w:tc>
          <w:tcPr>
            <w:tcW w:w="4180" w:type="dxa"/>
            <w:vAlign w:val="bottom"/>
          </w:tcPr>
          <w:p>
            <w:pPr>
              <w:spacing w:after="0"/>
              <w:rPr>
                <w:sz w:val="24"/>
                <w:szCs w:val="24"/>
                <w:color w:val="auto"/>
              </w:rPr>
            </w:pPr>
          </w:p>
        </w:tc>
        <w:tc>
          <w:tcPr>
            <w:tcW w:w="706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Subsidiaries</w:t>
            </w:r>
          </w:p>
        </w:tc>
      </w:tr>
      <w:tr>
        <w:trPr>
          <w:trHeight w:val="253"/>
        </w:trPr>
        <w:tc>
          <w:tcPr>
            <w:tcW w:w="418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5620" w:type="dxa"/>
            <w:vAlign w:val="bottom"/>
            <w:tcBorders>
              <w:bottom w:val="single" w:sz="8" w:color="auto"/>
            </w:tcBorders>
          </w:tcPr>
          <w:p>
            <w:pPr>
              <w:spacing w:after="0"/>
              <w:rPr>
                <w:sz w:val="21"/>
                <w:szCs w:val="21"/>
                <w:color w:val="auto"/>
              </w:rPr>
            </w:pPr>
          </w:p>
        </w:tc>
      </w:tr>
      <w:tr>
        <w:trPr>
          <w:trHeight w:val="198"/>
        </w:trPr>
        <w:tc>
          <w:tcPr>
            <w:tcW w:w="4180" w:type="dxa"/>
            <w:vAlign w:val="bottom"/>
            <w:tcBorders>
              <w:left w:val="single" w:sz="8" w:color="auto"/>
            </w:tcBorders>
          </w:tcPr>
          <w:p>
            <w:pPr>
              <w:ind w:left="2400"/>
              <w:spacing w:after="0" w:line="198" w:lineRule="exact"/>
              <w:rPr>
                <w:sz w:val="20"/>
                <w:szCs w:val="20"/>
                <w:color w:val="auto"/>
              </w:rPr>
            </w:pPr>
            <w:r>
              <w:rPr>
                <w:rFonts w:ascii="Times New Roman" w:cs="Times New Roman" w:eastAsia="Times New Roman" w:hAnsi="Times New Roman"/>
                <w:sz w:val="18"/>
                <w:szCs w:val="18"/>
                <w:b w:val="1"/>
                <w:bCs w:val="1"/>
                <w:color w:val="auto"/>
              </w:rPr>
              <w:t>Subsidiary</w:t>
            </w:r>
          </w:p>
        </w:tc>
        <w:tc>
          <w:tcPr>
            <w:tcW w:w="1440" w:type="dxa"/>
            <w:vAlign w:val="bottom"/>
            <w:tcBorders>
              <w:right w:val="single" w:sz="8" w:color="auto"/>
            </w:tcBorders>
          </w:tcPr>
          <w:p>
            <w:pPr>
              <w:spacing w:after="0"/>
              <w:rPr>
                <w:sz w:val="17"/>
                <w:szCs w:val="17"/>
                <w:color w:val="auto"/>
              </w:rPr>
            </w:pPr>
          </w:p>
        </w:tc>
        <w:tc>
          <w:tcPr>
            <w:tcW w:w="5620" w:type="dxa"/>
            <w:vAlign w:val="bottom"/>
            <w:tcBorders>
              <w:right w:val="single" w:sz="8" w:color="auto"/>
            </w:tcBorders>
          </w:tcPr>
          <w:p>
            <w:pPr>
              <w:ind w:left="1680"/>
              <w:spacing w:after="0" w:line="198" w:lineRule="exact"/>
              <w:rPr>
                <w:sz w:val="20"/>
                <w:szCs w:val="20"/>
                <w:color w:val="auto"/>
              </w:rPr>
            </w:pPr>
            <w:r>
              <w:rPr>
                <w:rFonts w:ascii="Times New Roman" w:cs="Times New Roman" w:eastAsia="Times New Roman" w:hAnsi="Times New Roman"/>
                <w:sz w:val="18"/>
                <w:szCs w:val="18"/>
                <w:b w:val="1"/>
                <w:bCs w:val="1"/>
                <w:color w:val="auto"/>
              </w:rPr>
              <w:t>Jurisdiction of Incorporation</w:t>
            </w:r>
          </w:p>
        </w:tc>
      </w:tr>
      <w:tr>
        <w:trPr>
          <w:trHeight w:val="227"/>
        </w:trPr>
        <w:tc>
          <w:tcPr>
            <w:tcW w:w="4180" w:type="dxa"/>
            <w:vAlign w:val="bottom"/>
            <w:tcBorders>
              <w:left w:val="single" w:sz="8" w:color="auto"/>
              <w:bottom w:val="single" w:sz="8" w:color="auto"/>
            </w:tcBorders>
          </w:tcPr>
          <w:p>
            <w:pPr>
              <w:spacing w:after="0"/>
              <w:rPr>
                <w:sz w:val="19"/>
                <w:szCs w:val="19"/>
                <w:color w:val="auto"/>
              </w:rPr>
            </w:pPr>
          </w:p>
        </w:tc>
        <w:tc>
          <w:tcPr>
            <w:tcW w:w="1440" w:type="dxa"/>
            <w:vAlign w:val="bottom"/>
            <w:tcBorders>
              <w:bottom w:val="single" w:sz="8" w:color="auto"/>
              <w:right w:val="single" w:sz="8" w:color="auto"/>
            </w:tcBorders>
          </w:tcPr>
          <w:p>
            <w:pPr>
              <w:spacing w:after="0"/>
              <w:rPr>
                <w:sz w:val="19"/>
                <w:szCs w:val="19"/>
                <w:color w:val="auto"/>
              </w:rPr>
            </w:pPr>
          </w:p>
        </w:tc>
        <w:tc>
          <w:tcPr>
            <w:tcW w:w="5620" w:type="dxa"/>
            <w:vAlign w:val="bottom"/>
            <w:tcBorders>
              <w:bottom w:val="single" w:sz="8" w:color="auto"/>
              <w:right w:val="single" w:sz="8" w:color="auto"/>
            </w:tcBorders>
          </w:tcPr>
          <w:p>
            <w:pPr>
              <w:spacing w:after="0"/>
              <w:rPr>
                <w:sz w:val="19"/>
                <w:szCs w:val="19"/>
                <w:color w:val="auto"/>
              </w:rPr>
            </w:pPr>
          </w:p>
        </w:tc>
      </w:tr>
      <w:tr>
        <w:trPr>
          <w:trHeight w:val="194"/>
        </w:trPr>
        <w:tc>
          <w:tcPr>
            <w:tcW w:w="4180" w:type="dxa"/>
            <w:vAlign w:val="bottom"/>
            <w:tcBorders>
              <w:left w:val="single" w:sz="8" w:color="auto"/>
            </w:tcBorders>
          </w:tcPr>
          <w:p>
            <w:pPr>
              <w:ind w:left="120"/>
              <w:spacing w:after="0" w:line="195" w:lineRule="exact"/>
              <w:rPr>
                <w:sz w:val="20"/>
                <w:szCs w:val="20"/>
                <w:color w:val="auto"/>
              </w:rPr>
            </w:pPr>
            <w:r>
              <w:rPr>
                <w:rFonts w:ascii="Times New Roman" w:cs="Times New Roman" w:eastAsia="Times New Roman" w:hAnsi="Times New Roman"/>
                <w:sz w:val="18"/>
                <w:szCs w:val="18"/>
                <w:color w:val="auto"/>
              </w:rPr>
              <w:t>Invivyd Security Corporation</w:t>
            </w:r>
          </w:p>
        </w:tc>
        <w:tc>
          <w:tcPr>
            <w:tcW w:w="1440" w:type="dxa"/>
            <w:vAlign w:val="bottom"/>
            <w:tcBorders>
              <w:right w:val="single" w:sz="8" w:color="auto"/>
            </w:tcBorders>
          </w:tcPr>
          <w:p>
            <w:pPr>
              <w:spacing w:after="0"/>
              <w:rPr>
                <w:sz w:val="16"/>
                <w:szCs w:val="16"/>
                <w:color w:val="auto"/>
              </w:rPr>
            </w:pPr>
          </w:p>
        </w:tc>
        <w:tc>
          <w:tcPr>
            <w:tcW w:w="5620" w:type="dxa"/>
            <w:vAlign w:val="bottom"/>
            <w:tcBorders>
              <w:right w:val="single" w:sz="8" w:color="auto"/>
            </w:tcBorders>
          </w:tcPr>
          <w:p>
            <w:pPr>
              <w:ind w:left="100"/>
              <w:spacing w:after="0" w:line="195" w:lineRule="exact"/>
              <w:rPr>
                <w:sz w:val="20"/>
                <w:szCs w:val="20"/>
                <w:color w:val="auto"/>
              </w:rPr>
            </w:pPr>
            <w:r>
              <w:rPr>
                <w:rFonts w:ascii="Times New Roman" w:cs="Times New Roman" w:eastAsia="Times New Roman" w:hAnsi="Times New Roman"/>
                <w:sz w:val="18"/>
                <w:szCs w:val="18"/>
                <w:color w:val="auto"/>
              </w:rPr>
              <w:t>Massachusetts</w:t>
            </w:r>
          </w:p>
        </w:tc>
      </w:tr>
      <w:tr>
        <w:trPr>
          <w:trHeight w:val="194"/>
        </w:trPr>
        <w:tc>
          <w:tcPr>
            <w:tcW w:w="4180" w:type="dxa"/>
            <w:vAlign w:val="bottom"/>
            <w:tcBorders>
              <w:left w:val="single" w:sz="8" w:color="auto"/>
              <w:bottom w:val="single" w:sz="8" w:color="auto"/>
            </w:tcBorders>
          </w:tcPr>
          <w:p>
            <w:pPr>
              <w:spacing w:after="0"/>
              <w:rPr>
                <w:sz w:val="16"/>
                <w:szCs w:val="16"/>
                <w:color w:val="auto"/>
              </w:rPr>
            </w:pPr>
          </w:p>
        </w:tc>
        <w:tc>
          <w:tcPr>
            <w:tcW w:w="1440" w:type="dxa"/>
            <w:vAlign w:val="bottom"/>
            <w:tcBorders>
              <w:bottom w:val="single" w:sz="8" w:color="auto"/>
              <w:right w:val="single" w:sz="8" w:color="auto"/>
            </w:tcBorders>
          </w:tcPr>
          <w:p>
            <w:pPr>
              <w:spacing w:after="0"/>
              <w:rPr>
                <w:sz w:val="16"/>
                <w:szCs w:val="16"/>
                <w:color w:val="auto"/>
              </w:rPr>
            </w:pPr>
          </w:p>
        </w:tc>
        <w:tc>
          <w:tcPr>
            <w:tcW w:w="5620" w:type="dxa"/>
            <w:vAlign w:val="bottom"/>
            <w:tcBorders>
              <w:bottom w:val="single" w:sz="8" w:color="auto"/>
              <w:right w:val="single" w:sz="8" w:color="auto"/>
            </w:tcBorders>
          </w:tcPr>
          <w:p>
            <w:pPr>
              <w:spacing w:after="0"/>
              <w:rPr>
                <w:sz w:val="16"/>
                <w:szCs w:val="16"/>
                <w:color w:val="auto"/>
              </w:rPr>
            </w:pPr>
          </w:p>
        </w:tc>
      </w:tr>
      <w:tr>
        <w:trPr>
          <w:trHeight w:val="228"/>
        </w:trPr>
        <w:tc>
          <w:tcPr>
            <w:tcW w:w="418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Invivyd Netherlands B.V.</w:t>
            </w:r>
          </w:p>
        </w:tc>
        <w:tc>
          <w:tcPr>
            <w:tcW w:w="1440" w:type="dxa"/>
            <w:vAlign w:val="bottom"/>
            <w:tcBorders>
              <w:right w:val="single" w:sz="8" w:color="auto"/>
            </w:tcBorders>
          </w:tcPr>
          <w:p>
            <w:pPr>
              <w:spacing w:after="0"/>
              <w:rPr>
                <w:sz w:val="19"/>
                <w:szCs w:val="19"/>
                <w:color w:val="auto"/>
              </w:rPr>
            </w:pPr>
          </w:p>
        </w:tc>
        <w:tc>
          <w:tcPr>
            <w:tcW w:w="56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Netherlands</w:t>
            </w:r>
          </w:p>
        </w:tc>
      </w:tr>
      <w:tr>
        <w:trPr>
          <w:trHeight w:val="198"/>
        </w:trPr>
        <w:tc>
          <w:tcPr>
            <w:tcW w:w="4180" w:type="dxa"/>
            <w:vAlign w:val="bottom"/>
            <w:tcBorders>
              <w:left w:val="single" w:sz="8" w:color="auto"/>
              <w:bottom w:val="single" w:sz="8" w:color="auto"/>
            </w:tcBorders>
          </w:tcPr>
          <w:p>
            <w:pPr>
              <w:spacing w:after="0"/>
              <w:rPr>
                <w:sz w:val="17"/>
                <w:szCs w:val="17"/>
                <w:color w:val="auto"/>
              </w:rPr>
            </w:pPr>
          </w:p>
        </w:tc>
        <w:tc>
          <w:tcPr>
            <w:tcW w:w="1440" w:type="dxa"/>
            <w:vAlign w:val="bottom"/>
            <w:tcBorders>
              <w:bottom w:val="single" w:sz="8" w:color="auto"/>
              <w:right w:val="single" w:sz="8" w:color="auto"/>
            </w:tcBorders>
          </w:tcPr>
          <w:p>
            <w:pPr>
              <w:spacing w:after="0"/>
              <w:rPr>
                <w:sz w:val="17"/>
                <w:szCs w:val="17"/>
                <w:color w:val="auto"/>
              </w:rPr>
            </w:pPr>
          </w:p>
        </w:tc>
        <w:tc>
          <w:tcPr>
            <w:tcW w:w="5620" w:type="dxa"/>
            <w:vAlign w:val="bottom"/>
            <w:tcBorders>
              <w:bottom w:val="single" w:sz="8" w:color="auto"/>
              <w:right w:val="single" w:sz="8" w:color="auto"/>
            </w:tcBorders>
          </w:tcPr>
          <w:p>
            <w:pPr>
              <w:spacing w:after="0"/>
              <w:rPr>
                <w:sz w:val="17"/>
                <w:szCs w:val="17"/>
                <w:color w:val="auto"/>
              </w:rPr>
            </w:pPr>
          </w:p>
        </w:tc>
      </w:tr>
      <w:tr>
        <w:trPr>
          <w:trHeight w:val="1837"/>
        </w:trPr>
        <w:tc>
          <w:tcPr>
            <w:tcW w:w="418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4" w:name="page295"/>
    <w:bookmarkEnd w:id="294"/>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60" w:lineRule="exact"/>
        <w:rPr>
          <w:sz w:val="20"/>
          <w:szCs w:val="20"/>
          <w:color w:val="auto"/>
        </w:rPr>
      </w:pPr>
    </w:p>
    <w:p>
      <w:pPr>
        <w:jc w:val="both"/>
        <w:ind w:left="20" w:right="180" w:hanging="9"/>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(Nos. 333-267643, 333-276986 and 333-290685) and Form S-8 (Nos. 333-259008, 333-264920, and 333-279268) of Invivyd, Inc. of our report dated March 5, 2026 relating to the financial statements, which appears in this Form 10-K.</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756285</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5" w:name="page296"/>
    <w:bookmarkEnd w:id="295"/>
    <w:p>
      <w:pPr>
        <w:ind w:left="10180"/>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Duke, Jr., certify that:</w:t>
      </w:r>
    </w:p>
    <w:p>
      <w:pPr>
        <w:spacing w:after="0" w:line="225" w:lineRule="exact"/>
        <w:rPr>
          <w:sz w:val="20"/>
          <w:szCs w:val="20"/>
          <w:color w:val="auto"/>
        </w:rPr>
      </w:pPr>
    </w:p>
    <w:p>
      <w:pPr>
        <w:ind w:left="520" w:hanging="512"/>
        <w:spacing w:after="0"/>
        <w:tabs>
          <w:tab w:leader="none" w:pos="5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Invivyd, Inc.;</w:t>
      </w:r>
    </w:p>
    <w:p>
      <w:pPr>
        <w:spacing w:after="0" w:line="225"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1"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00" w:hanging="503"/>
        <w:spacing w:after="0" w:line="266" w:lineRule="auto"/>
        <w:tabs>
          <w:tab w:leader="none" w:pos="10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60" w:hanging="503"/>
        <w:spacing w:after="0" w:line="282" w:lineRule="auto"/>
        <w:tabs>
          <w:tab w:leader="none" w:pos="10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0" w:hanging="512"/>
        <w:spacing w:after="0" w:line="282" w:lineRule="auto"/>
        <w:tabs>
          <w:tab w:leader="none" w:pos="520"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00" w:hanging="503"/>
        <w:spacing w:after="0" w:line="282" w:lineRule="auto"/>
        <w:tabs>
          <w:tab w:leader="none" w:pos="1020"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4">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1158875</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1" w:right="359" w:bottom="1440" w:gutter="0" w:footer="0" w:header="0"/>
        </w:sectPr>
      </w:pPr>
    </w:p>
    <w:bookmarkStart w:id="296" w:name="page297"/>
    <w:bookmarkEnd w:id="296"/>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Invivyd, Inc. (the “Company”) on Form 10-K for the period ended December 31, 2025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1020" w:hanging="503"/>
        <w:spacing w:after="0"/>
        <w:tabs>
          <w:tab w:leader="none" w:pos="10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p>
      <w:pPr>
        <w:spacing w:after="0"/>
        <w:tabs>
          <w:tab w:leader="none" w:pos="5680" w:val="left"/>
          <w:tab w:leader="none" w:pos="7860" w:val="left"/>
        </w:tabs>
        <w:rPr>
          <w:sz w:val="20"/>
          <w:szCs w:val="20"/>
          <w:color w:val="auto"/>
        </w:rPr>
      </w:pPr>
      <w:r>
        <w:rPr>
          <w:rFonts w:ascii="Times New Roman" w:cs="Times New Roman" w:eastAsia="Times New Roman" w:hAnsi="Times New Roman"/>
          <w:sz w:val="18"/>
          <w:szCs w:val="18"/>
          <w:color w:val="auto"/>
        </w:rPr>
        <w:t>Date: March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Duke,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6">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William Duke, Jr.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960"/>
        <w:spacing w:after="0"/>
        <w:rPr>
          <w:sz w:val="20"/>
          <w:szCs w:val="20"/>
          <w:color w:val="auto"/>
        </w:rPr>
      </w:pPr>
      <w:r>
        <w:rPr>
          <w:rFonts w:ascii="Times New Roman" w:cs="Times New Roman" w:eastAsia="Times New Roman" w:hAnsi="Times New Roman"/>
          <w:sz w:val="18"/>
          <w:szCs w:val="18"/>
          <w:b w:val="1"/>
          <w:bCs w:val="1"/>
          <w:i w:val="1"/>
          <w:iCs w:val="1"/>
          <w:color w:val="auto"/>
        </w:rPr>
        <w:t>(Principal Executive Officer, Principal Financial Officer and</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Accounting Officer)</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Report to which it relates, is not deemed filed with the Securities and Exchange Commission and is not to be incorporated by reference into any of the Company’s filings under the Securities Act of 1933, as amended, or the Securities Exchange Act of 1934, as amended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297" w:name="page298"/>
    <w:bookmarkEnd w:id="29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57D2F10E"/>
    <w:multiLevelType w:val="hybridMultilevel"/>
    <w:lvl w:ilvl="0">
      <w:lvlJc w:val="left"/>
      <w:lvlText w:val="☒"/>
      <w:numFmt w:val="bullet"/>
      <w:start w:val="1"/>
    </w:lvl>
  </w:abstractNum>
  <w:abstractNum w:abstractNumId="1">
    <w:nsid w:val="BFFAE18"/>
    <w:multiLevelType w:val="hybridMultilevel"/>
    <w:lvl w:ilvl="0">
      <w:lvlJc w:val="left"/>
      <w:lvlText w:val="☐"/>
      <w:numFmt w:val="bullet"/>
      <w:start w:val="1"/>
    </w:lvl>
  </w:abstractNum>
  <w:abstractNum w:abstractNumId="2">
    <w:nsid w:val="E3E47A8"/>
    <w:multiLevelType w:val="hybridMultilevel"/>
    <w:lvl w:ilvl="0">
      <w:lvlJc w:val="left"/>
      <w:lvlText w:val="•"/>
      <w:numFmt w:val="bullet"/>
      <w:start w:val="1"/>
    </w:lvl>
  </w:abstractNum>
  <w:abstractNum w:abstractNumId="3">
    <w:nsid w:val="2E48F044"/>
    <w:multiLevelType w:val="hybridMultilevel"/>
    <w:lvl w:ilvl="0">
      <w:lvlJc w:val="left"/>
      <w:lvlText w:val="•"/>
      <w:numFmt w:val="bullet"/>
      <w:start w:val="1"/>
    </w:lvl>
  </w:abstractNum>
  <w:abstractNum w:abstractNumId="4">
    <w:nsid w:val="49D0FEAC"/>
    <w:multiLevelType w:val="hybridMultilevel"/>
    <w:lvl w:ilvl="0">
      <w:lvlJc w:val="left"/>
      <w:lvlText w:val="•"/>
      <w:numFmt w:val="bullet"/>
      <w:start w:val="1"/>
    </w:lvl>
  </w:abstractNum>
  <w:abstractNum w:abstractNumId="5">
    <w:nsid w:val="4BEE5A5B"/>
    <w:multiLevelType w:val="hybridMultilevel"/>
    <w:lvl w:ilvl="0">
      <w:lvlJc w:val="left"/>
      <w:lvlText w:val="•"/>
      <w:numFmt w:val="bullet"/>
      <w:start w:val="1"/>
    </w:lvl>
  </w:abstractNum>
  <w:abstractNum w:abstractNumId="6">
    <w:nsid w:val="5551B9F3"/>
    <w:multiLevelType w:val="hybridMultilevel"/>
    <w:lvl w:ilvl="0">
      <w:lvlJc w:val="left"/>
      <w:lvlText w:val="•"/>
      <w:numFmt w:val="bullet"/>
      <w:start w:val="1"/>
    </w:lvl>
  </w:abstractNum>
  <w:abstractNum w:abstractNumId="7">
    <w:nsid w:val="24F6AB8E"/>
    <w:multiLevelType w:val="hybridMultilevel"/>
    <w:lvl w:ilvl="0">
      <w:lvlJc w:val="left"/>
      <w:lvlText w:val="•"/>
      <w:numFmt w:val="bullet"/>
      <w:start w:val="1"/>
    </w:lvl>
  </w:abstractNum>
  <w:abstractNum w:abstractNumId="8">
    <w:nsid w:val="634C574C"/>
    <w:multiLevelType w:val="hybridMultilevel"/>
    <w:lvl w:ilvl="0">
      <w:lvlJc w:val="left"/>
      <w:lvlText w:val="•"/>
      <w:numFmt w:val="bullet"/>
      <w:start w:val="1"/>
    </w:lvl>
  </w:abstractNum>
  <w:abstractNum w:abstractNumId="9">
    <w:nsid w:val="24E99DD7"/>
    <w:multiLevelType w:val="hybridMultilevel"/>
    <w:lvl w:ilvl="0">
      <w:lvlJc w:val="left"/>
      <w:lvlText w:val="•"/>
      <w:numFmt w:val="bullet"/>
      <w:start w:val="1"/>
    </w:lvl>
  </w:abstractNum>
  <w:abstractNum w:abstractNumId="10">
    <w:nsid w:val="2A31B62D"/>
    <w:multiLevelType w:val="hybridMultilevel"/>
    <w:lvl w:ilvl="0">
      <w:lvlJc w:val="left"/>
      <w:lvlText w:val="•"/>
      <w:numFmt w:val="bullet"/>
      <w:start w:val="1"/>
    </w:lvl>
  </w:abstractNum>
  <w:abstractNum w:abstractNumId="11">
    <w:nsid w:val="1849C29B"/>
    <w:multiLevelType w:val="hybridMultilevel"/>
    <w:lvl w:ilvl="0">
      <w:lvlJc w:val="left"/>
      <w:lvlText w:val="•"/>
      <w:numFmt w:val="bullet"/>
      <w:start w:val="1"/>
    </w:lvl>
  </w:abstractNum>
  <w:abstractNum w:abstractNumId="12">
    <w:nsid w:val="7DFF9D09"/>
    <w:multiLevelType w:val="hybridMultilevel"/>
    <w:lvl w:ilvl="0">
      <w:lvlJc w:val="left"/>
      <w:lvlText w:val="•"/>
      <w:numFmt w:val="bullet"/>
      <w:start w:val="1"/>
    </w:lvl>
  </w:abstractNum>
  <w:abstractNum w:abstractNumId="13">
    <w:nsid w:val="754342"/>
    <w:multiLevelType w:val="hybridMultilevel"/>
    <w:lvl w:ilvl="0">
      <w:lvlJc w:val="left"/>
      <w:lvlText w:val="•"/>
      <w:numFmt w:val="bullet"/>
      <w:start w:val="1"/>
    </w:lvl>
  </w:abstractNum>
  <w:abstractNum w:abstractNumId="14">
    <w:nsid w:val="69E7F3E5"/>
    <w:multiLevelType w:val="hybridMultilevel"/>
    <w:lvl w:ilvl="0">
      <w:lvlJc w:val="left"/>
      <w:lvlText w:val="•"/>
      <w:numFmt w:val="bullet"/>
      <w:start w:val="1"/>
    </w:lvl>
  </w:abstractNum>
  <w:abstractNum w:abstractNumId="15">
    <w:nsid w:val="2A6DE806"/>
    <w:multiLevelType w:val="hybridMultilevel"/>
    <w:lvl w:ilvl="0">
      <w:lvlJc w:val="left"/>
      <w:lvlText w:val="•"/>
      <w:numFmt w:val="bullet"/>
      <w:start w:val="1"/>
    </w:lvl>
  </w:abstractNum>
  <w:abstractNum w:abstractNumId="16">
    <w:nsid w:val="1816F8C4"/>
    <w:multiLevelType w:val="hybridMultilevel"/>
    <w:lvl w:ilvl="0">
      <w:lvlJc w:val="left"/>
      <w:lvlText w:val="•"/>
      <w:numFmt w:val="bullet"/>
      <w:start w:val="1"/>
    </w:lvl>
  </w:abstractNum>
  <w:abstractNum w:abstractNumId="17">
    <w:nsid w:val="37DF2233"/>
    <w:multiLevelType w:val="hybridMultilevel"/>
    <w:lvl w:ilvl="0">
      <w:lvlJc w:val="left"/>
      <w:lvlText w:val="•"/>
      <w:numFmt w:val="bullet"/>
      <w:start w:val="1"/>
    </w:lvl>
  </w:abstractNum>
  <w:abstractNum w:abstractNumId="18">
    <w:nsid w:val="7AB49DAF"/>
    <w:multiLevelType w:val="hybridMultilevel"/>
    <w:lvl w:ilvl="0">
      <w:lvlJc w:val="left"/>
      <w:lvlText w:val="•"/>
      <w:numFmt w:val="bullet"/>
      <w:start w:val="1"/>
    </w:lvl>
  </w:abstractNum>
  <w:abstractNum w:abstractNumId="19">
    <w:nsid w:val="759F82CD"/>
    <w:multiLevelType w:val="hybridMultilevel"/>
    <w:lvl w:ilvl="0">
      <w:lvlJc w:val="left"/>
      <w:lvlText w:val="(%1)"/>
      <w:numFmt w:val="decimal"/>
      <w:start w:val="3"/>
    </w:lvl>
  </w:abstractNum>
  <w:abstractNum w:abstractNumId="20">
    <w:nsid w:val="61E74EA3"/>
    <w:multiLevelType w:val="hybridMultilevel"/>
    <w:lvl w:ilvl="0">
      <w:lvlJc w:val="left"/>
      <w:lvlText w:val="•"/>
      <w:numFmt w:val="bullet"/>
      <w:start w:val="1"/>
    </w:lvl>
  </w:abstractNum>
  <w:abstractNum w:abstractNumId="21">
    <w:nsid w:val="597B4D84"/>
    <w:multiLevelType w:val="hybridMultilevel"/>
    <w:lvl w:ilvl="0">
      <w:lvlJc w:val="left"/>
      <w:lvlText w:val="•"/>
      <w:numFmt w:val="bullet"/>
      <w:start w:val="1"/>
    </w:lvl>
  </w:abstractNum>
  <w:abstractNum w:abstractNumId="22">
    <w:nsid w:val="F819E7F"/>
    <w:multiLevelType w:val="hybridMultilevel"/>
    <w:lvl w:ilvl="0">
      <w:lvlJc w:val="left"/>
      <w:lvlText w:val="•"/>
      <w:numFmt w:val="bullet"/>
      <w:start w:val="1"/>
    </w:lvl>
  </w:abstractNum>
  <w:abstractNum w:abstractNumId="23">
    <w:nsid w:val="57C7D42D"/>
    <w:multiLevelType w:val="hybridMultilevel"/>
    <w:lvl w:ilvl="0">
      <w:lvlJc w:val="left"/>
      <w:lvlText w:val="•"/>
      <w:numFmt w:val="bullet"/>
      <w:start w:val="1"/>
    </w:lvl>
  </w:abstractNum>
  <w:abstractNum w:abstractNumId="24">
    <w:nsid w:val="312167AD"/>
    <w:multiLevelType w:val="hybridMultilevel"/>
    <w:lvl w:ilvl="0">
      <w:lvlJc w:val="left"/>
      <w:lvlText w:val="•"/>
      <w:numFmt w:val="bullet"/>
      <w:start w:val="1"/>
    </w:lvl>
  </w:abstractNum>
  <w:abstractNum w:abstractNumId="25">
    <w:nsid w:val="631B64D4"/>
    <w:multiLevelType w:val="hybridMultilevel"/>
    <w:lvl w:ilvl="0">
      <w:lvlJc w:val="left"/>
      <w:lvlText w:val="•"/>
      <w:numFmt w:val="bullet"/>
      <w:start w:val="1"/>
    </w:lvl>
  </w:abstractNum>
  <w:abstractNum w:abstractNumId="26">
    <w:nsid w:val="78B5E776"/>
    <w:multiLevelType w:val="hybridMultilevel"/>
    <w:lvl w:ilvl="0">
      <w:lvlJc w:val="left"/>
      <w:lvlText w:val="•"/>
      <w:numFmt w:val="bullet"/>
      <w:start w:val="1"/>
    </w:lvl>
  </w:abstractNum>
  <w:abstractNum w:abstractNumId="27">
    <w:nsid w:val="75486E47"/>
    <w:multiLevelType w:val="hybridMultilevel"/>
    <w:lvl w:ilvl="0">
      <w:lvlJc w:val="left"/>
      <w:lvlText w:val="•"/>
      <w:numFmt w:val="bullet"/>
      <w:start w:val="1"/>
    </w:lvl>
  </w:abstractNum>
  <w:abstractNum w:abstractNumId="28">
    <w:nsid w:val="6E534CDE"/>
    <w:multiLevelType w:val="hybridMultilevel"/>
    <w:lvl w:ilvl="0">
      <w:lvlJc w:val="left"/>
      <w:lvlText w:val="•"/>
      <w:numFmt w:val="bullet"/>
      <w:start w:val="1"/>
    </w:lvl>
  </w:abstractNum>
  <w:abstractNum w:abstractNumId="29">
    <w:nsid w:val="1A0DDE32"/>
    <w:multiLevelType w:val="hybridMultilevel"/>
    <w:lvl w:ilvl="0">
      <w:lvlJc w:val="left"/>
      <w:lvlText w:val="•"/>
      <w:numFmt w:val="bullet"/>
      <w:start w:val="1"/>
    </w:lvl>
  </w:abstractNum>
  <w:abstractNum w:abstractNumId="30">
    <w:nsid w:val="65968C1C"/>
    <w:multiLevelType w:val="hybridMultilevel"/>
    <w:lvl w:ilvl="0">
      <w:lvlJc w:val="left"/>
      <w:lvlText w:val="•"/>
      <w:numFmt w:val="bullet"/>
      <w:start w:val="1"/>
    </w:lvl>
  </w:abstractNum>
  <w:abstractNum w:abstractNumId="31">
    <w:nsid w:val="46263DEC"/>
    <w:multiLevelType w:val="hybridMultilevel"/>
    <w:lvl w:ilvl="0">
      <w:lvlJc w:val="left"/>
      <w:lvlText w:val="•"/>
      <w:numFmt w:val="bullet"/>
      <w:start w:val="1"/>
    </w:lvl>
  </w:abstractNum>
  <w:abstractNum w:abstractNumId="32">
    <w:nsid w:val="260D8C4A"/>
    <w:multiLevelType w:val="hybridMultilevel"/>
    <w:lvl w:ilvl="0">
      <w:lvlJc w:val="left"/>
      <w:lvlText w:val="•"/>
      <w:numFmt w:val="bullet"/>
      <w:start w:val="1"/>
    </w:lvl>
  </w:abstractNum>
  <w:abstractNum w:abstractNumId="33">
    <w:nsid w:val="73D4D3C4"/>
    <w:multiLevelType w:val="hybridMultilevel"/>
    <w:lvl w:ilvl="0">
      <w:lvlJc w:val="left"/>
      <w:lvlText w:val="•"/>
      <w:numFmt w:val="bullet"/>
      <w:start w:val="1"/>
    </w:lvl>
  </w:abstractNum>
  <w:abstractNum w:abstractNumId="34">
    <w:nsid w:val="746F2E30"/>
    <w:multiLevelType w:val="hybridMultilevel"/>
    <w:lvl w:ilvl="0">
      <w:lvlJc w:val="left"/>
      <w:lvlText w:val="•"/>
      <w:numFmt w:val="bullet"/>
      <w:start w:val="1"/>
    </w:lvl>
  </w:abstractNum>
  <w:abstractNum w:abstractNumId="35">
    <w:nsid w:val="6FDE8AF6"/>
    <w:multiLevelType w:val="hybridMultilevel"/>
    <w:lvl w:ilvl="0">
      <w:lvlJc w:val="left"/>
      <w:lvlText w:val="•"/>
      <w:numFmt w:val="bullet"/>
      <w:start w:val="1"/>
    </w:lvl>
  </w:abstractNum>
  <w:abstractNum w:abstractNumId="36">
    <w:nsid w:val="3FC32E20"/>
    <w:multiLevelType w:val="hybridMultilevel"/>
    <w:lvl w:ilvl="0">
      <w:lvlJc w:val="left"/>
      <w:lvlText w:val="•"/>
      <w:numFmt w:val="bullet"/>
      <w:start w:val="1"/>
    </w:lvl>
  </w:abstractNum>
  <w:abstractNum w:abstractNumId="37">
    <w:nsid w:val="49C0E823"/>
    <w:multiLevelType w:val="hybridMultilevel"/>
    <w:lvl w:ilvl="0">
      <w:lvlJc w:val="left"/>
      <w:lvlText w:val="(%1)"/>
      <w:numFmt w:val="lowerRoman"/>
      <w:start w:val="1"/>
    </w:lvl>
  </w:abstractNum>
  <w:abstractNum w:abstractNumId="38">
    <w:nsid w:val="14D53685"/>
    <w:multiLevelType w:val="hybridMultilevel"/>
    <w:lvl w:ilvl="0">
      <w:lvlJc w:val="left"/>
      <w:lvlText w:val="•"/>
      <w:numFmt w:val="bullet"/>
      <w:start w:val="1"/>
    </w:lvl>
  </w:abstractNum>
  <w:abstractNum w:abstractNumId="39">
    <w:nsid w:val="230F856C"/>
    <w:multiLevelType w:val="hybridMultilevel"/>
    <w:lvl w:ilvl="0">
      <w:lvlJc w:val="left"/>
      <w:lvlText w:val="•"/>
      <w:numFmt w:val="bullet"/>
      <w:start w:val="1"/>
    </w:lvl>
  </w:abstractNum>
  <w:abstractNum w:abstractNumId="40">
    <w:nsid w:val="6EAA85FB"/>
    <w:multiLevelType w:val="hybridMultilevel"/>
    <w:lvl w:ilvl="0">
      <w:lvlJc w:val="left"/>
      <w:lvlText w:val="•"/>
      <w:numFmt w:val="bullet"/>
      <w:start w:val="1"/>
    </w:lvl>
  </w:abstractNum>
  <w:abstractNum w:abstractNumId="41">
    <w:nsid w:val="3F06ECB2"/>
    <w:multiLevelType w:val="hybridMultilevel"/>
    <w:lvl w:ilvl="0">
      <w:lvlJc w:val="left"/>
      <w:lvlText w:val="•"/>
      <w:numFmt w:val="bullet"/>
      <w:start w:val="1"/>
    </w:lvl>
  </w:abstractNum>
  <w:abstractNum w:abstractNumId="42">
    <w:nsid w:val="3B594807"/>
    <w:multiLevelType w:val="hybridMultilevel"/>
    <w:lvl w:ilvl="0">
      <w:lvlJc w:val="left"/>
      <w:lvlText w:val="•"/>
      <w:numFmt w:val="bullet"/>
      <w:start w:val="1"/>
    </w:lvl>
  </w:abstractNum>
  <w:abstractNum w:abstractNumId="43">
    <w:nsid w:val="6CAA2304"/>
    <w:multiLevelType w:val="hybridMultilevel"/>
    <w:lvl w:ilvl="0">
      <w:lvlJc w:val="left"/>
      <w:lvlText w:val="•"/>
      <w:numFmt w:val="bullet"/>
      <w:start w:val="1"/>
    </w:lvl>
  </w:abstractNum>
  <w:abstractNum w:abstractNumId="44">
    <w:nsid w:val="3F7C2FF4"/>
    <w:multiLevelType w:val="hybridMultilevel"/>
    <w:lvl w:ilvl="0">
      <w:lvlJc w:val="left"/>
      <w:lvlText w:val="•"/>
      <w:numFmt w:val="bullet"/>
      <w:start w:val="1"/>
    </w:lvl>
  </w:abstractNum>
  <w:abstractNum w:abstractNumId="45">
    <w:nsid w:val="25413BEC"/>
    <w:multiLevelType w:val="hybridMultilevel"/>
    <w:lvl w:ilvl="0">
      <w:lvlJc w:val="left"/>
      <w:lvlText w:val="•"/>
      <w:numFmt w:val="bullet"/>
      <w:start w:val="1"/>
    </w:lvl>
  </w:abstractNum>
  <w:abstractNum w:abstractNumId="46">
    <w:nsid w:val="17180B0B"/>
    <w:multiLevelType w:val="hybridMultilevel"/>
    <w:lvl w:ilvl="0">
      <w:lvlJc w:val="left"/>
      <w:lvlText w:val="•"/>
      <w:numFmt w:val="bullet"/>
      <w:start w:val="1"/>
    </w:lvl>
  </w:abstractNum>
  <w:abstractNum w:abstractNumId="47">
    <w:nsid w:val="579328B9"/>
    <w:multiLevelType w:val="hybridMultilevel"/>
    <w:lvl w:ilvl="0">
      <w:lvlJc w:val="left"/>
      <w:lvlText w:val="•"/>
      <w:numFmt w:val="bullet"/>
      <w:start w:val="1"/>
    </w:lvl>
  </w:abstractNum>
  <w:abstractNum w:abstractNumId="48">
    <w:nsid w:val="5D205E20"/>
    <w:multiLevelType w:val="hybridMultilevel"/>
    <w:lvl w:ilvl="0">
      <w:lvlJc w:val="left"/>
      <w:lvlText w:val="•"/>
      <w:numFmt w:val="bullet"/>
      <w:start w:val="1"/>
    </w:lvl>
  </w:abstractNum>
  <w:abstractNum w:abstractNumId="49">
    <w:nsid w:val="11CCA8BA"/>
    <w:multiLevelType w:val="hybridMultilevel"/>
    <w:lvl w:ilvl="0">
      <w:lvlJc w:val="left"/>
      <w:lvlText w:val="•"/>
      <w:numFmt w:val="bullet"/>
      <w:start w:val="1"/>
    </w:lvl>
  </w:abstractNum>
  <w:abstractNum w:abstractNumId="50">
    <w:nsid w:val="4D32AB86"/>
    <w:multiLevelType w:val="hybridMultilevel"/>
    <w:lvl w:ilvl="0">
      <w:lvlJc w:val="left"/>
      <w:lvlText w:val="•"/>
      <w:numFmt w:val="bullet"/>
      <w:start w:val="1"/>
    </w:lvl>
  </w:abstractNum>
  <w:abstractNum w:abstractNumId="51">
    <w:nsid w:val="3F07ACC3"/>
    <w:multiLevelType w:val="hybridMultilevel"/>
    <w:lvl w:ilvl="0">
      <w:lvlJc w:val="left"/>
      <w:lvlText w:val="•"/>
      <w:numFmt w:val="bullet"/>
      <w:start w:val="1"/>
    </w:lvl>
  </w:abstractNum>
  <w:abstractNum w:abstractNumId="52">
    <w:nsid w:val="6B47F63E"/>
    <w:multiLevelType w:val="hybridMultilevel"/>
    <w:lvl w:ilvl="0">
      <w:lvlJc w:val="left"/>
      <w:lvlText w:val="•"/>
      <w:numFmt w:val="bullet"/>
      <w:start w:val="1"/>
    </w:lvl>
  </w:abstractNum>
  <w:abstractNum w:abstractNumId="53">
    <w:nsid w:val="5CB44A05"/>
    <w:multiLevelType w:val="hybridMultilevel"/>
    <w:lvl w:ilvl="0">
      <w:lvlJc w:val="left"/>
      <w:lvlText w:val="•"/>
      <w:numFmt w:val="bullet"/>
      <w:start w:val="1"/>
    </w:lvl>
  </w:abstractNum>
  <w:abstractNum w:abstractNumId="54">
    <w:nsid w:val="16CF80F1"/>
    <w:multiLevelType w:val="hybridMultilevel"/>
    <w:lvl w:ilvl="0">
      <w:lvlJc w:val="left"/>
      <w:lvlText w:val="•"/>
      <w:numFmt w:val="bullet"/>
      <w:start w:val="1"/>
    </w:lvl>
  </w:abstractNum>
  <w:abstractNum w:abstractNumId="55">
    <w:nsid w:val="1C695DEC"/>
    <w:multiLevelType w:val="hybridMultilevel"/>
    <w:lvl w:ilvl="0">
      <w:lvlJc w:val="left"/>
      <w:lvlText w:val="•"/>
      <w:numFmt w:val="bullet"/>
      <w:start w:val="1"/>
    </w:lvl>
  </w:abstractNum>
  <w:abstractNum w:abstractNumId="56">
    <w:nsid w:val="3FCFAED9"/>
    <w:multiLevelType w:val="hybridMultilevel"/>
    <w:lvl w:ilvl="0">
      <w:lvlJc w:val="left"/>
      <w:lvlText w:val="•"/>
      <w:numFmt w:val="bullet"/>
      <w:start w:val="1"/>
    </w:lvl>
  </w:abstractNum>
  <w:abstractNum w:abstractNumId="57">
    <w:nsid w:val="F856867"/>
    <w:multiLevelType w:val="hybridMultilevel"/>
    <w:lvl w:ilvl="0">
      <w:lvlJc w:val="left"/>
      <w:lvlText w:val="•"/>
      <w:numFmt w:val="bullet"/>
      <w:start w:val="1"/>
    </w:lvl>
  </w:abstractNum>
  <w:abstractNum w:abstractNumId="58">
    <w:nsid w:val="11B1CC33"/>
    <w:multiLevelType w:val="hybridMultilevel"/>
    <w:lvl w:ilvl="0">
      <w:lvlJc w:val="left"/>
      <w:lvlText w:val="•"/>
      <w:numFmt w:val="bullet"/>
      <w:start w:val="1"/>
    </w:lvl>
  </w:abstractNum>
  <w:abstractNum w:abstractNumId="59">
    <w:nsid w:val="2E22FBB7"/>
    <w:multiLevelType w:val="hybridMultilevel"/>
    <w:lvl w:ilvl="0">
      <w:lvlJc w:val="left"/>
      <w:lvlText w:val="•"/>
      <w:numFmt w:val="bullet"/>
      <w:start w:val="1"/>
    </w:lvl>
  </w:abstractNum>
  <w:abstractNum w:abstractNumId="60">
    <w:nsid w:val="29934699"/>
    <w:multiLevelType w:val="hybridMultilevel"/>
    <w:lvl w:ilvl="0">
      <w:lvlJc w:val="left"/>
      <w:lvlText w:val="•"/>
      <w:numFmt w:val="bullet"/>
      <w:start w:val="1"/>
    </w:lvl>
  </w:abstractNum>
  <w:abstractNum w:abstractNumId="61">
    <w:nsid w:val="77485850"/>
    <w:multiLevelType w:val="hybridMultilevel"/>
    <w:lvl w:ilvl="0">
      <w:lvlJc w:val="left"/>
      <w:lvlText w:val="•"/>
      <w:numFmt w:val="bullet"/>
      <w:start w:val="1"/>
    </w:lvl>
  </w:abstractNum>
  <w:abstractNum w:abstractNumId="62">
    <w:nsid w:val="744939A3"/>
    <w:multiLevelType w:val="hybridMultilevel"/>
    <w:lvl w:ilvl="0">
      <w:lvlJc w:val="left"/>
      <w:lvlText w:val="•"/>
      <w:numFmt w:val="bullet"/>
      <w:start w:val="1"/>
    </w:lvl>
  </w:abstractNum>
  <w:abstractNum w:abstractNumId="63">
    <w:nsid w:val="4FA0D2E3"/>
    <w:multiLevelType w:val="hybridMultilevel"/>
    <w:lvl w:ilvl="0">
      <w:lvlJc w:val="left"/>
      <w:lvlText w:val="•"/>
      <w:numFmt w:val="bullet"/>
      <w:start w:val="1"/>
    </w:lvl>
  </w:abstractNum>
  <w:abstractNum w:abstractNumId="64">
    <w:nsid w:val="6B1D2C14"/>
    <w:multiLevelType w:val="hybridMultilevel"/>
    <w:lvl w:ilvl="0">
      <w:lvlJc w:val="left"/>
      <w:lvlText w:val="•"/>
      <w:numFmt w:val="bullet"/>
      <w:start w:val="1"/>
    </w:lvl>
  </w:abstractNum>
  <w:abstractNum w:abstractNumId="65">
    <w:nsid w:val="68B867D3"/>
    <w:multiLevelType w:val="hybridMultilevel"/>
    <w:lvl w:ilvl="0">
      <w:lvlJc w:val="left"/>
      <w:lvlText w:val="•"/>
      <w:numFmt w:val="bullet"/>
      <w:start w:val="1"/>
    </w:lvl>
  </w:abstractNum>
  <w:abstractNum w:abstractNumId="66">
    <w:nsid w:val="3F7F5DD9"/>
    <w:multiLevelType w:val="hybridMultilevel"/>
    <w:lvl w:ilvl="0">
      <w:lvlJc w:val="left"/>
      <w:lvlText w:val="•"/>
      <w:numFmt w:val="bullet"/>
      <w:start w:val="1"/>
    </w:lvl>
  </w:abstractNum>
  <w:abstractNum w:abstractNumId="67">
    <w:nsid w:val="2AE05A34"/>
    <w:multiLevelType w:val="hybridMultilevel"/>
    <w:lvl w:ilvl="0">
      <w:lvlJc w:val="left"/>
      <w:lvlText w:val="(%1)"/>
      <w:numFmt w:val="decimal"/>
      <w:start w:val="1"/>
    </w:lvl>
  </w:abstractNum>
  <w:abstractNum w:abstractNumId="68">
    <w:nsid w:val="32794FF7"/>
    <w:multiLevelType w:val="hybridMultilevel"/>
    <w:lvl w:ilvl="0">
      <w:lvlJc w:val="left"/>
      <w:lvlText w:val="(%1)"/>
      <w:numFmt w:val="decimal"/>
      <w:start w:val="3"/>
    </w:lvl>
  </w:abstractNum>
  <w:abstractNum w:abstractNumId="69">
    <w:nsid w:val="5454945E"/>
    <w:multiLevelType w:val="hybridMultilevel"/>
    <w:lvl w:ilvl="0">
      <w:lvlJc w:val="left"/>
      <w:lvlText w:val="•"/>
      <w:numFmt w:val="bullet"/>
      <w:start w:val="1"/>
    </w:lvl>
  </w:abstractNum>
  <w:abstractNum w:abstractNumId="70">
    <w:nsid w:val="4DEFDFA0"/>
    <w:multiLevelType w:val="hybridMultilevel"/>
    <w:lvl w:ilvl="0">
      <w:lvlJc w:val="left"/>
      <w:lvlText w:val="•"/>
      <w:numFmt w:val="bullet"/>
      <w:start w:val="1"/>
    </w:lvl>
  </w:abstractNum>
  <w:abstractNum w:abstractNumId="71">
    <w:nsid w:val="2123D5F2"/>
    <w:multiLevelType w:val="hybridMultilevel"/>
    <w:lvl w:ilvl="0">
      <w:lvlJc w:val="left"/>
      <w:lvlText w:val="(%1)"/>
      <w:numFmt w:val="lowerLetter"/>
      <w:start w:val="3"/>
    </w:lvl>
  </w:abstractNum>
  <w:abstractNum w:abstractNumId="72">
    <w:nsid w:val="135B8110"/>
    <w:multiLevelType w:val="hybridMultilevel"/>
    <w:lvl w:ilvl="0">
      <w:lvlJc w:val="left"/>
      <w:lvlText w:val="•"/>
      <w:numFmt w:val="bullet"/>
      <w:start w:val="1"/>
    </w:lvl>
  </w:abstractNum>
  <w:abstractNum w:abstractNumId="73">
    <w:nsid w:val="94927A8"/>
    <w:multiLevelType w:val="hybridMultilevel"/>
    <w:lvl w:ilvl="0">
      <w:lvlJc w:val="left"/>
      <w:lvlText w:val="(%1)"/>
      <w:numFmt w:val="lowerRoman"/>
      <w:start w:val="1"/>
    </w:lvl>
  </w:abstractNum>
  <w:abstractNum w:abstractNumId="74">
    <w:nsid w:val="DCDF8F6"/>
    <w:multiLevelType w:val="hybridMultilevel"/>
    <w:lvl w:ilvl="0">
      <w:lvlJc w:val="left"/>
      <w:lvlText w:val="•"/>
      <w:numFmt w:val="bullet"/>
      <w:start w:val="1"/>
    </w:lvl>
  </w:abstractNum>
  <w:abstractNum w:abstractNumId="75">
    <w:nsid w:val="52D7B105"/>
    <w:multiLevelType w:val="hybridMultilevel"/>
    <w:lvl w:ilvl="0">
      <w:lvlJc w:val="left"/>
      <w:lvlText w:val="•"/>
      <w:numFmt w:val="bullet"/>
      <w:start w:val="1"/>
    </w:lvl>
  </w:abstractNum>
  <w:abstractNum w:abstractNumId="76">
    <w:nsid w:val="2E8A6394"/>
    <w:multiLevelType w:val="hybridMultilevel"/>
    <w:lvl w:ilvl="0">
      <w:lvlJc w:val="left"/>
      <w:lvlText w:val="*"/>
      <w:numFmt w:val="bullet"/>
      <w:start w:val="1"/>
    </w:lvl>
  </w:abstractNum>
  <w:abstractNum w:abstractNumId="77">
    <w:nsid w:val="24E60401"/>
    <w:multiLevelType w:val="hybridMultilevel"/>
    <w:lvl w:ilvl="0">
      <w:lvlJc w:val="left"/>
      <w:lvlText w:val="+"/>
      <w:numFmt w:val="bullet"/>
      <w:start w:val="1"/>
    </w:lvl>
  </w:abstractNum>
  <w:abstractNum w:abstractNumId="78">
    <w:nsid w:val="2A6AD9BE"/>
    <w:multiLevelType w:val="hybridMultilevel"/>
    <w:lvl w:ilvl="0">
      <w:lvlJc w:val="left"/>
      <w:lvlText w:val="†"/>
      <w:numFmt w:val="bullet"/>
      <w:start w:val="1"/>
    </w:lvl>
  </w:abstractNum>
  <w:abstractNum w:abstractNumId="79">
    <w:nsid w:val="BAAC1B4"/>
    <w:multiLevelType w:val="hybridMultilevel"/>
    <w:lvl w:ilvl="0">
      <w:lvlJc w:val="left"/>
      <w:lvlText w:val="#"/>
      <w:numFmt w:val="bullet"/>
      <w:start w:val="1"/>
    </w:lvl>
  </w:abstractNum>
  <w:abstractNum w:abstractNumId="80">
    <w:nsid w:val="36B2ACBC"/>
    <w:multiLevelType w:val="hybridMultilevel"/>
    <w:lvl w:ilvl="0">
      <w:lvlJc w:val="left"/>
      <w:lvlText w:val="^"/>
      <w:numFmt w:val="bullet"/>
      <w:start w:val="1"/>
    </w:lvl>
  </w:abstractNum>
  <w:abstractNum w:abstractNumId="81">
    <w:nsid w:val="779D8544"/>
    <w:multiLevelType w:val="hybridMultilevel"/>
    <w:lvl w:ilvl="0">
      <w:lvlJc w:val="left"/>
      <w:lvlText w:val="(%1)"/>
      <w:numFmt w:val="decimal"/>
      <w:start w:val="1"/>
    </w:lvl>
  </w:abstractNum>
  <w:abstractNum w:abstractNumId="82">
    <w:nsid w:val="4AB26E78"/>
    <w:multiLevelType w:val="hybridMultilevel"/>
    <w:lvl w:ilvl="0">
      <w:lvlJc w:val="left"/>
      <w:lvlText w:val="(%1)"/>
      <w:numFmt w:val="decimal"/>
      <w:start w:val="1"/>
    </w:lvl>
  </w:abstractNum>
  <w:abstractNum w:abstractNumId="83">
    <w:nsid w:val="21FAA2FA"/>
    <w:multiLevelType w:val="hybridMultilevel"/>
    <w:lvl w:ilvl="0">
      <w:lvlJc w:val="left"/>
      <w:lvlText w:val="•"/>
      <w:numFmt w:val="bullet"/>
      <w:start w:val="1"/>
    </w:lvl>
  </w:abstractNum>
  <w:abstractNum w:abstractNumId="84">
    <w:nsid w:val="5451CF49"/>
    <w:multiLevelType w:val="hybridMultilevel"/>
    <w:lvl w:ilvl="0">
      <w:lvlJc w:val="left"/>
      <w:lvlText w:val="•"/>
      <w:numFmt w:val="bullet"/>
      <w:start w:val="1"/>
    </w:lvl>
  </w:abstractNum>
  <w:abstractNum w:abstractNumId="85">
    <w:nsid w:val="6181EF69"/>
    <w:multiLevelType w:val="hybridMultilevel"/>
    <w:lvl w:ilvl="0">
      <w:lvlJc w:val="left"/>
      <w:lvlText w:val="%1."/>
      <w:numFmt w:val="decimal"/>
      <w:start w:val="9"/>
    </w:lvl>
  </w:abstractNum>
  <w:abstractNum w:abstractNumId="86">
    <w:nsid w:val="3E6400E6"/>
    <w:multiLevelType w:val="hybridMultilevel"/>
    <w:lvl w:ilvl="0">
      <w:lvlJc w:val="left"/>
      <w:lvlText w:val="(%1)"/>
      <w:numFmt w:val="lowerRoman"/>
      <w:start w:val="2"/>
    </w:lvl>
  </w:abstractNum>
  <w:abstractNum w:abstractNumId="87">
    <w:nsid w:val="14217E23"/>
    <w:multiLevelType w:val="hybridMultilevel"/>
    <w:lvl w:ilvl="0">
      <w:lvlJc w:val="left"/>
      <w:lvlText w:val="%1."/>
      <w:numFmt w:val="decimal"/>
      <w:start w:val="11"/>
    </w:lvl>
  </w:abstractNum>
  <w:abstractNum w:abstractNumId="88">
    <w:nsid w:val="710757D0"/>
    <w:multiLevelType w:val="hybridMultilevel"/>
    <w:lvl w:ilvl="0">
      <w:lvlJc w:val="left"/>
      <w:lvlText w:val="(%1)"/>
      <w:numFmt w:val="decimal"/>
      <w:start w:val="1"/>
    </w:lvl>
  </w:abstractNum>
  <w:abstractNum w:abstractNumId="89">
    <w:nsid w:val="5015CD1A"/>
    <w:multiLevelType w:val="hybridMultilevel"/>
    <w:lvl w:ilvl="0">
      <w:lvlJc w:val="left"/>
      <w:lvlText w:val="•"/>
      <w:numFmt w:val="bullet"/>
      <w:start w:val="1"/>
    </w:lvl>
  </w:abstractNum>
  <w:abstractNum w:abstractNumId="90">
    <w:nsid w:val="424479DA"/>
    <w:multiLevelType w:val="hybridMultilevel"/>
    <w:lvl w:ilvl="0">
      <w:lvlJc w:val="left"/>
      <w:lvlText w:val="•"/>
      <w:numFmt w:val="bullet"/>
      <w:start w:val="1"/>
    </w:lvl>
  </w:abstractNum>
  <w:abstractNum w:abstractNumId="91">
    <w:nsid w:val="1A9A9E69"/>
    <w:multiLevelType w:val="hybridMultilevel"/>
    <w:lvl w:ilvl="0">
      <w:lvlJc w:val="left"/>
      <w:lvlText w:val="•"/>
      <w:numFmt w:val="bullet"/>
      <w:start w:val="1"/>
    </w:lvl>
  </w:abstractNum>
  <w:abstractNum w:abstractNumId="92">
    <w:nsid w:val="475E256A"/>
    <w:multiLevelType w:val="hybridMultilevel"/>
    <w:lvl w:ilvl="0">
      <w:lvlJc w:val="left"/>
      <w:lvlText w:val="•"/>
      <w:numFmt w:val="bullet"/>
      <w:start w:val="1"/>
    </w:lvl>
  </w:abstractNum>
  <w:abstractNum w:abstractNumId="93">
    <w:nsid w:val="368DB37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94">
    <w:nsid w:val="6A3B714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5">
    <w:nsid w:val="327B517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96">
    <w:nsid w:val="1F461B51"/>
    <w:multiLevelType w:val="hybridMultilevel"/>
    <w:lvl w:ilvl="0">
      <w:lvlJc w:val="left"/>
      <w:lvlText w:val="%1."/>
      <w:numFmt w:val="decimal"/>
      <w:start w:val="4"/>
    </w:lvl>
  </w:abstractNum>
  <w:abstractNum w:abstractNumId="97">
    <w:nsid w:val="29BACF25"/>
    <w:multiLevelType w:val="hybridMultilevel"/>
    <w:lvl w:ilvl="0">
      <w:lvlJc w:val="left"/>
      <w:lvlText w:val="(%1)"/>
      <w:numFmt w:val="lowerLetter"/>
      <w:start w:val="1"/>
    </w:lvl>
    <w:lvl w:ilvl="1">
      <w:lvlJc w:val="left"/>
      <w:lvlText w:val="(%2)"/>
      <w:numFmt w:val="lowerRoman"/>
      <w:start w:val="1"/>
    </w:lvl>
  </w:abstractNum>
  <w:abstractNum w:abstractNumId="98">
    <w:nsid w:val="5D5BABB3"/>
    <w:multiLevelType w:val="hybridMultilevel"/>
    <w:lvl w:ilvl="0">
      <w:lvlJc w:val="left"/>
      <w:lvlText w:val="(%1)"/>
      <w:numFmt w:val="lowerLetter"/>
      <w:start w:val="4"/>
    </w:lvl>
    <w:lvl w:ilvl="1">
      <w:lvlJc w:val="left"/>
      <w:lvlText w:val="(%2)"/>
      <w:numFmt w:val="lowerRoman"/>
      <w:start w:val="1"/>
    </w:lvl>
  </w:abstractNum>
  <w:abstractNum w:abstractNumId="99">
    <w:nsid w:val="51BF6B48"/>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lvl w:ilvl="3">
      <w:lvlJc w:val="left"/>
      <w:lvlText w:val="%4"/>
      <w:numFmt w:val="decimal"/>
      <w:start w:val="1"/>
    </w:lvl>
  </w:abstractNum>
  <w:abstractNum w:abstractNumId="100">
    <w:nsid w:val="7E0F6384"/>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01">
    <w:nsid w:val="2B4B8B53"/>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2"/>
    </w:lvl>
    <w:lvl w:ilvl="3">
      <w:lvlJc w:val="left"/>
      <w:lvlText w:val="(%4)"/>
      <w:numFmt w:val="decimal"/>
      <w:start w:val="1"/>
    </w:lvl>
  </w:abstractNum>
  <w:abstractNum w:abstractNumId="102">
    <w:nsid w:val="72E3413A"/>
    <w:multiLevelType w:val="hybridMultilevel"/>
    <w:lvl w:ilvl="0">
      <w:lvlJc w:val="left"/>
      <w:lvlText w:val="(%1)"/>
      <w:numFmt w:val="lowerRoman"/>
      <w:start w:val="3"/>
    </w:lvl>
    <w:lvl w:ilvl="1">
      <w:lvlJc w:val="left"/>
      <w:lvlText w:val="(%2)"/>
      <w:numFmt w:val="lowerRoman"/>
      <w:start w:val="6"/>
    </w:lvl>
    <w:lvl w:ilvl="2">
      <w:lvlJc w:val="left"/>
      <w:lvlText w:val="%3"/>
      <w:numFmt w:val="lowerRoman"/>
      <w:start w:val="1"/>
    </w:lvl>
    <w:lvl w:ilvl="3">
      <w:lvlJc w:val="left"/>
      <w:lvlText w:val="%4"/>
      <w:numFmt w:val="decimal"/>
      <w:start w:val="1"/>
    </w:lvl>
  </w:abstractNum>
  <w:abstractNum w:abstractNumId="103">
    <w:nsid w:val="116AE494"/>
    <w:multiLevelType w:val="hybridMultilevel"/>
    <w:lvl w:ilvl="0">
      <w:lvlJc w:val="left"/>
      <w:lvlText w:val="%1"/>
      <w:numFmt w:val="decimal"/>
      <w:start w:val="1"/>
    </w:lvl>
    <w:lvl w:ilvl="1">
      <w:lvlJc w:val="left"/>
      <w:lvlText w:val="(%2)"/>
      <w:numFmt w:val="lowerLetter"/>
      <w:start w:val="2"/>
    </w:lvl>
  </w:abstractNum>
  <w:abstractNum w:abstractNumId="104">
    <w:nsid w:val="3494B2FB"/>
    <w:multiLevelType w:val="hybridMultilevel"/>
    <w:lvl w:ilvl="0">
      <w:lvlJc w:val="left"/>
      <w:lvlText w:val="%1."/>
      <w:numFmt w:val="decimal"/>
      <w:start w:val="6"/>
    </w:lvl>
    <w:lvl w:ilvl="1">
      <w:lvlJc w:val="left"/>
      <w:lvlText w:val="(%2)"/>
      <w:numFmt w:val="lowerLetter"/>
      <w:start w:val="1"/>
    </w:lvl>
  </w:abstractNum>
  <w:abstractNum w:abstractNumId="105">
    <w:nsid w:val="B13A31"/>
    <w:multiLevelType w:val="hybridMultilevel"/>
    <w:lvl w:ilvl="0">
      <w:lvlJc w:val="left"/>
      <w:lvlText w:val="(%1)"/>
      <w:numFmt w:val="lowerLetter"/>
      <w:start w:val="2"/>
    </w:lvl>
    <w:lvl w:ilvl="1">
      <w:lvlJc w:val="left"/>
      <w:lvlText w:val="(%2)"/>
      <w:numFmt w:val="lowerRoman"/>
      <w:start w:val="1"/>
    </w:lvl>
  </w:abstractNum>
  <w:abstractNum w:abstractNumId="106">
    <w:nsid w:val="6442959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07">
    <w:nsid w:val="631F1690"/>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8">
    <w:nsid w:val="25973E3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09">
    <w:nsid w:val="EAD6F57"/>
    <w:multiLevelType w:val="hybridMultilevel"/>
    <w:lvl w:ilvl="0">
      <w:lvlJc w:val="left"/>
      <w:lvlText w:val="%1"/>
      <w:numFmt w:val="lowerLetter"/>
      <w:start w:val="1"/>
    </w:lvl>
    <w:lvl w:ilvl="1">
      <w:lvlJc w:val="left"/>
      <w:lvlText w:val="(%2)"/>
      <w:numFmt w:val="lowerRoman"/>
      <w:start w:val="6"/>
    </w:lvl>
  </w:abstractNum>
  <w:abstractNum w:abstractNumId="110">
    <w:nsid w:val="6EC9D844"/>
    <w:multiLevelType w:val="hybridMultilevel"/>
    <w:lvl w:ilvl="0">
      <w:lvlJc w:val="left"/>
      <w:lvlText w:val="(%1)"/>
      <w:numFmt w:val="lowerLetter"/>
      <w:start w:val="3"/>
    </w:lvl>
    <w:lvl w:ilvl="1">
      <w:lvlJc w:val="left"/>
      <w:lvlText w:val="(%2)"/>
      <w:numFmt w:val="lowerRoman"/>
      <w:start w:val="1"/>
    </w:lvl>
  </w:abstractNum>
  <w:abstractNum w:abstractNumId="111">
    <w:nsid w:val="5C49EAEE"/>
    <w:multiLevelType w:val="hybridMultilevel"/>
    <w:lvl w:ilvl="0">
      <w:lvlJc w:val="left"/>
      <w:lvlText w:val="%1"/>
      <w:numFmt w:val="decimal"/>
      <w:start w:val="1"/>
    </w:lvl>
    <w:lvl w:ilvl="1">
      <w:lvlJc w:val="left"/>
      <w:lvlText w:val="(%2)"/>
      <w:numFmt w:val="lowerLetter"/>
      <w:start w:val="4"/>
    </w:lvl>
  </w:abstractNum>
  <w:abstractNum w:abstractNumId="112">
    <w:nsid w:val="64AF49B"/>
    <w:multiLevelType w:val="hybridMultilevel"/>
    <w:lvl w:ilvl="0">
      <w:lvlJc w:val="left"/>
      <w:lvlText w:val="%1."/>
      <w:numFmt w:val="decimal"/>
      <w:start w:val="8"/>
    </w:lvl>
    <w:lvl w:ilvl="1">
      <w:lvlJc w:val="left"/>
      <w:lvlText w:val="(%2)"/>
      <w:numFmt w:val="lowerLetter"/>
      <w:start w:val="1"/>
    </w:lvl>
  </w:abstractNum>
  <w:abstractNum w:abstractNumId="113">
    <w:nsid w:val="397C46BC"/>
    <w:multiLevelType w:val="hybridMultilevel"/>
    <w:lvl w:ilvl="0">
      <w:lvlJc w:val="left"/>
      <w:lvlText w:val="%1."/>
      <w:numFmt w:val="decimal"/>
      <w:start w:val="9"/>
    </w:lvl>
    <w:lvl w:ilvl="1">
      <w:lvlJc w:val="left"/>
      <w:lvlText w:val="(%2)"/>
      <w:numFmt w:val="lowerLetter"/>
      <w:start w:val="1"/>
    </w:lvl>
  </w:abstractNum>
  <w:abstractNum w:abstractNumId="114">
    <w:nsid w:val="7E448DE9"/>
    <w:multiLevelType w:val="hybridMultilevel"/>
    <w:lvl w:ilvl="0">
      <w:lvlJc w:val="left"/>
      <w:lvlText w:val="(%1)"/>
      <w:numFmt w:val="lowerLetter"/>
      <w:start w:val="9"/>
    </w:lvl>
  </w:abstractNum>
  <w:abstractNum w:abstractNumId="115">
    <w:nsid w:val="5A9CC3E5"/>
    <w:multiLevelType w:val="hybridMultilevel"/>
    <w:lvl w:ilvl="0">
      <w:lvlJc w:val="left"/>
      <w:lvlText w:val="%1"/>
      <w:numFmt w:val="decimal"/>
      <w:start w:val="1"/>
    </w:lvl>
    <w:lvl w:ilvl="1">
      <w:lvlJc w:val="left"/>
      <w:lvlText w:val="(%2)"/>
      <w:numFmt w:val="lowerLetter"/>
      <w:start w:val="15"/>
    </w:lvl>
  </w:abstractNum>
  <w:abstractNum w:abstractNumId="116">
    <w:nsid w:val="1AFE3625"/>
    <w:multiLevelType w:val="hybridMultilevel"/>
    <w:lvl w:ilvl="0">
      <w:lvlJc w:val="left"/>
      <w:lvlText w:val="%1."/>
      <w:numFmt w:val="decimal"/>
      <w:start w:val="10"/>
    </w:lvl>
    <w:lvl w:ilvl="1">
      <w:lvlJc w:val="left"/>
      <w:lvlText w:val="%2"/>
      <w:numFmt w:val="lowerLetter"/>
      <w:start w:val="1"/>
    </w:lvl>
  </w:abstractNum>
  <w:abstractNum w:abstractNumId="117">
    <w:nsid w:val="3CA88EC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18">
    <w:nsid w:val="6EBE4208"/>
    <w:multiLevelType w:val="hybridMultilevel"/>
    <w:lvl w:ilvl="0">
      <w:lvlJc w:val="left"/>
      <w:lvlText w:val="(%1)"/>
      <w:numFmt w:val="lowerRoman"/>
      <w:start w:val="1"/>
    </w:lvl>
  </w:abstractNum>
  <w:abstractNum w:abstractNumId="119">
    <w:nsid w:val="C058DF5"/>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20">
    <w:nsid w:val="CBE5BE9"/>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21">
    <w:nsid w:val="3102BBE2"/>
    <w:multiLevelType w:val="hybridMultilevel"/>
    <w:lvl w:ilvl="0">
      <w:lvlJc w:val="left"/>
      <w:lvlText w:val="(%1)"/>
      <w:numFmt w:val="lowerLetter"/>
      <w:start w:val="4"/>
    </w:lvl>
    <w:lvl w:ilvl="1">
      <w:lvlJc w:val="left"/>
      <w:lvlText w:val="(%2)"/>
      <w:numFmt w:val="lowerLetter"/>
      <w:start w:val="9"/>
    </w:lvl>
    <w:lvl w:ilvl="2">
      <w:lvlJc w:val="left"/>
      <w:lvlText w:val="%3"/>
      <w:numFmt w:val="decimal"/>
      <w:start w:val="1"/>
    </w:lvl>
  </w:abstractNum>
  <w:abstractNum w:abstractNumId="122">
    <w:nsid w:val="26A02C5E"/>
    <w:multiLevelType w:val="hybridMultilevel"/>
    <w:lvl w:ilvl="0">
      <w:lvlJc w:val="left"/>
      <w:lvlText w:val="%1"/>
      <w:numFmt w:val="lowerLetter"/>
      <w:start w:val="1"/>
    </w:lvl>
    <w:lvl w:ilvl="1">
      <w:lvlJc w:val="left"/>
      <w:lvlText w:val="(%2)"/>
      <w:numFmt w:val="lowerLetter"/>
      <w:start w:val="35"/>
    </w:lvl>
  </w:abstractNum>
  <w:abstractNum w:abstractNumId="123">
    <w:nsid w:val="541C8153"/>
    <w:multiLevelType w:val="hybridMultilevel"/>
    <w:lvl w:ilvl="0">
      <w:lvlJc w:val="left"/>
      <w:lvlText w:val="(%1)"/>
      <w:numFmt w:val="lowerLetter"/>
      <w:start w:val="5"/>
    </w:lvl>
    <w:lvl w:ilvl="1">
      <w:lvlJc w:val="left"/>
      <w:lvlText w:val="(%2)"/>
      <w:numFmt w:val="lowerLetter"/>
      <w:start w:val="9"/>
    </w:lvl>
  </w:abstractNum>
  <w:abstractNum w:abstractNumId="124">
    <w:nsid w:val="67906F60"/>
    <w:multiLevelType w:val="hybridMultilevel"/>
    <w:lvl w:ilvl="0">
      <w:lvlJc w:val="left"/>
      <w:lvlText w:val="(%1)"/>
      <w:numFmt w:val="lowerRoman"/>
      <w:start w:val="2"/>
    </w:lvl>
  </w:abstractNum>
  <w:abstractNum w:abstractNumId="125">
    <w:nsid w:val="10DB9DAA"/>
    <w:multiLevelType w:val="hybridMultilevel"/>
    <w:lvl w:ilvl="0">
      <w:lvlJc w:val="left"/>
      <w:lvlText w:val="%1."/>
      <w:numFmt w:val="decimal"/>
      <w:start w:val="12"/>
    </w:lvl>
  </w:abstractNum>
  <w:abstractNum w:abstractNumId="126">
    <w:nsid w:val="697D2D2"/>
    <w:multiLevelType w:val="hybridMultilevel"/>
    <w:lvl w:ilvl="0">
      <w:lvlJc w:val="left"/>
      <w:lvlText w:val="%1."/>
      <w:numFmt w:val="decimal"/>
      <w:start w:val="13"/>
    </w:lvl>
  </w:abstractNum>
  <w:abstractNum w:abstractNumId="127">
    <w:nsid w:val="6D68AB2"/>
    <w:multiLevelType w:val="hybridMultilevel"/>
    <w:lvl w:ilvl="0">
      <w:lvlJc w:val="left"/>
      <w:lvlText w:val="(%1)"/>
      <w:numFmt w:val="lowerRoman"/>
      <w:start w:val="1"/>
    </w:lvl>
  </w:abstractNum>
  <w:abstractNum w:abstractNumId="128">
    <w:nsid w:val="3A966CD0"/>
    <w:multiLevelType w:val="hybridMultilevel"/>
    <w:lvl w:ilvl="0">
      <w:lvlJc w:val="left"/>
      <w:lvlText w:val="%1."/>
      <w:numFmt w:val="decimal"/>
      <w:start w:val="14"/>
    </w:lvl>
  </w:abstractNum>
  <w:abstractNum w:abstractNumId="129">
    <w:nsid w:val="63F37E85"/>
    <w:multiLevelType w:val="hybridMultilevel"/>
    <w:lvl w:ilvl="0">
      <w:lvlJc w:val="left"/>
      <w:lvlText w:val="(%1)"/>
      <w:numFmt w:val="lowerLetter"/>
      <w:start w:val="1"/>
    </w:lvl>
  </w:abstractNum>
  <w:abstractNum w:abstractNumId="130">
    <w:nsid w:val="5895F5FA"/>
    <w:multiLevelType w:val="hybridMultilevel"/>
    <w:lvl w:ilvl="0">
      <w:lvlJc w:val="left"/>
      <w:lvlText w:val="(%1)"/>
      <w:numFmt w:val="lowerLetter"/>
      <w:start w:val="10"/>
    </w:lvl>
    <w:lvl w:ilvl="1">
      <w:lvlJc w:val="left"/>
      <w:lvlText w:val="(%2)"/>
      <w:numFmt w:val="lowerRoman"/>
      <w:start w:val="1"/>
    </w:lvl>
  </w:abstractNum>
  <w:abstractNum w:abstractNumId="131">
    <w:nsid w:val="38A5D054"/>
    <w:multiLevelType w:val="hybridMultilevel"/>
    <w:lvl w:ilvl="0">
      <w:lvlJc w:val="left"/>
      <w:lvlText w:val="(%1)"/>
      <w:numFmt w:val="lowerLetter"/>
      <w:start w:val="11"/>
    </w:lvl>
  </w:abstractNum>
  <w:abstractNum w:abstractNumId="132">
    <w:nsid w:val="F3F09D8"/>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33">
    <w:nsid w:val="4B793735"/>
    <w:multiLevelType w:val="hybridMultilevel"/>
    <w:lvl w:ilvl="0">
      <w:lvlJc w:val="left"/>
      <w:lvlText w:val="(%1)"/>
      <w:numFmt w:val="lowerLetter"/>
      <w:start w:val="9"/>
    </w:lvl>
    <w:lvl w:ilvl="1">
      <w:lvlJc w:val="left"/>
      <w:lvlText w:val="(%2)"/>
      <w:numFmt w:val="lowerLetter"/>
      <w:start w:val="18"/>
    </w:lvl>
    <w:lvl w:ilvl="2">
      <w:lvlJc w:val="left"/>
      <w:lvlText w:val="(%3)"/>
      <w:numFmt w:val="lowerRoman"/>
      <w:start w:val="1"/>
    </w:lvl>
  </w:abstractNum>
  <w:abstractNum w:abstractNumId="134">
    <w:nsid w:val="4A10B4E8"/>
    <w:multiLevelType w:val="hybridMultilevel"/>
    <w:lvl w:ilvl="0">
      <w:lvlJc w:val="left"/>
      <w:lvlText w:val="(%1)"/>
      <w:numFmt w:val="lowerLetter"/>
      <w:start w:val="19"/>
    </w:lvl>
  </w:abstractNum>
  <w:abstractNum w:abstractNumId="135">
    <w:nsid w:val="43D3BCD4"/>
    <w:multiLevelType w:val="hybridMultilevel"/>
    <w:lvl w:ilvl="0">
      <w:lvlJc w:val="left"/>
      <w:lvlText w:val="(%1)"/>
      <w:numFmt w:val="lowerLetter"/>
      <w:start w:val="27"/>
    </w:lvl>
    <w:lvl w:ilvl="1">
      <w:lvlJc w:val="left"/>
      <w:lvlText w:val="(%2)"/>
      <w:numFmt w:val="lowerRoman"/>
      <w:start w:val="1"/>
    </w:lvl>
  </w:abstractNum>
  <w:abstractNum w:abstractNumId="136">
    <w:nsid w:val="4C2A7166"/>
    <w:multiLevelType w:val="hybridMultilevel"/>
    <w:lvl w:ilvl="0">
      <w:lvlJc w:val="left"/>
      <w:lvlText w:val="(%1)"/>
      <w:numFmt w:val="lowerLetter"/>
      <w:start w:val="31"/>
    </w:lvl>
  </w:abstractNum>
  <w:abstractNum w:abstractNumId="137">
    <w:nsid w:val="2E534A82"/>
    <w:multiLevelType w:val="hybridMultilevel"/>
    <w:lvl w:ilvl="0">
      <w:lvlJc w:val="left"/>
      <w:lvlText w:val="(%1)"/>
      <w:numFmt w:val="lowerLetter"/>
      <w:start w:val="42"/>
    </w:lvl>
  </w:abstractNum>
  <w:abstractNum w:abstractNumId="138">
    <w:nsid w:val="26F2D364"/>
    <w:multiLevelType w:val="hybridMultilevel"/>
    <w:lvl w:ilvl="0">
      <w:lvlJc w:val="left"/>
      <w:lvlText w:val="(%1)"/>
      <w:numFmt w:val="lowerLetter"/>
      <w:start w:val="50"/>
    </w:lvl>
  </w:abstractNum>
  <w:abstractNum w:abstractNumId="139">
    <w:nsid w:val="71C1AF98"/>
    <w:multiLevelType w:val="hybridMultilevel"/>
    <w:lvl w:ilvl="0">
      <w:lvlJc w:val="left"/>
      <w:lvlText w:val="(%1)"/>
      <w:numFmt w:val="lowerLetter"/>
      <w:start w:val="53"/>
    </w:lvl>
  </w:abstractNum>
  <w:abstractNum w:abstractNumId="140">
    <w:nsid w:val="3D00B9D9"/>
    <w:multiLevelType w:val="hybridMultilevel"/>
    <w:lvl w:ilvl="0">
      <w:lvlJc w:val="left"/>
      <w:lvlText w:val="(%1)"/>
      <w:numFmt w:val="lowerLetter"/>
      <w:start w:val="61"/>
    </w:lvl>
  </w:abstractNum>
  <w:abstractNum w:abstractNumId="141">
    <w:nsid w:val="15BCABA8"/>
    <w:multiLevelType w:val="hybridMultilevel"/>
    <w:lvl w:ilvl="0">
      <w:lvlJc w:val="left"/>
      <w:lvlText w:val="%1."/>
      <w:numFmt w:val="decimal"/>
      <w:start w:val="1"/>
    </w:lvl>
  </w:abstractNum>
  <w:abstractNum w:abstractNumId="142">
    <w:nsid w:val="4E0B9A87"/>
    <w:multiLevelType w:val="hybridMultilevel"/>
    <w:lvl w:ilvl="0">
      <w:lvlJc w:val="left"/>
      <w:lvlText w:val="•"/>
      <w:numFmt w:val="bullet"/>
      <w:start w:val="1"/>
    </w:lvl>
  </w:abstractNum>
  <w:abstractNum w:abstractNumId="143">
    <w:nsid w:val="434BAE75"/>
    <w:multiLevelType w:val="hybridMultilevel"/>
    <w:lvl w:ilvl="0">
      <w:lvlJc w:val="left"/>
      <w:lvlText w:val="•"/>
      <w:numFmt w:val="bullet"/>
      <w:start w:val="1"/>
    </w:lvl>
  </w:abstractNum>
  <w:abstractNum w:abstractNumId="144">
    <w:nsid w:val="4F38F265"/>
    <w:multiLevelType w:val="hybridMultilevel"/>
    <w:lvl w:ilvl="0">
      <w:lvlJc w:val="left"/>
      <w:lvlText w:val="%1."/>
      <w:numFmt w:val="decimal"/>
      <w:start w:val="1"/>
    </w:lvl>
    <w:lvl w:ilvl="1">
      <w:lvlJc w:val="left"/>
      <w:lvlText w:val="(%2)"/>
      <w:numFmt w:val="lowerLetter"/>
      <w:start w:val="1"/>
    </w:lvl>
  </w:abstractNum>
  <w:abstractNum w:abstractNumId="145">
    <w:nsid w:val="4C502870"/>
    <w:multiLevelType w:val="hybridMultilevel"/>
    <w:lvl w:ilvl="0">
      <w:lvlJc w:val="left"/>
      <w:lvlText w:val="%1."/>
      <w:numFmt w:val="decimal"/>
      <w:start w:val="2"/>
    </w:lvl>
  </w:abstractNum>
  <w:abstractNum w:abstractNumId="146">
    <w:nsid w:val="1DE8725A"/>
    <w:multiLevelType w:val="hybridMultilevel"/>
    <w:lvl w:ilvl="0">
      <w:lvlJc w:val="left"/>
      <w:lvlText w:val="(%1)"/>
      <w:numFmt w:val="lowerLetter"/>
      <w:start w:val="1"/>
    </w:lvl>
    <w:lvl w:ilvl="1">
      <w:lvlJc w:val="left"/>
      <w:lvlText w:val="(%2)"/>
      <w:numFmt w:val="lowerRoman"/>
      <w:start w:val="1"/>
    </w:lvl>
  </w:abstractNum>
  <w:abstractNum w:abstractNumId="147">
    <w:nsid w:val="6A37288A"/>
    <w:multiLevelType w:val="hybridMultilevel"/>
    <w:lvl w:ilvl="0">
      <w:lvlJc w:val="left"/>
      <w:lvlText w:val="%1."/>
      <w:numFmt w:val="decimal"/>
      <w:start w:val="3"/>
    </w:lvl>
    <w:lvl w:ilvl="1">
      <w:lvlJc w:val="left"/>
      <w:lvlText w:val="(%2)"/>
      <w:numFmt w:val="lowerLetter"/>
      <w:start w:val="1"/>
    </w:lvl>
  </w:abstractNum>
  <w:abstractNum w:abstractNumId="148">
    <w:nsid w:val="8F8B73F"/>
    <w:multiLevelType w:val="hybridMultilevel"/>
    <w:lvl w:ilvl="0">
      <w:lvlJc w:val="left"/>
      <w:lvlText w:val="%1."/>
      <w:numFmt w:val="decimal"/>
      <w:start w:val="4"/>
    </w:lvl>
  </w:abstractNum>
  <w:abstractNum w:abstractNumId="149">
    <w:nsid w:val="CA6B462"/>
    <w:multiLevelType w:val="hybridMultilevel"/>
    <w:lvl w:ilvl="0">
      <w:lvlJc w:val="left"/>
      <w:lvlText w:val="%1"/>
      <w:numFmt w:val="decimal"/>
      <w:start w:val="1"/>
    </w:lvl>
    <w:lvl w:ilvl="1">
      <w:lvlJc w:val="left"/>
      <w:lvlText w:val="%2."/>
      <w:numFmt w:val="decimal"/>
      <w:start w:val="6"/>
    </w:lvl>
    <w:lvl w:ilvl="2">
      <w:lvlJc w:val="left"/>
      <w:lvlText w:val="*"/>
      <w:numFmt w:val="bullet"/>
      <w:start w:val="1"/>
    </w:lvl>
  </w:abstractNum>
  <w:abstractNum w:abstractNumId="150">
    <w:nsid w:val="763CB680"/>
    <w:multiLevelType w:val="hybridMultilevel"/>
    <w:lvl w:ilvl="0">
      <w:lvlJc w:val="left"/>
      <w:lvlText w:val="(%1)"/>
      <w:numFmt w:val="decimal"/>
      <w:start w:val="1"/>
    </w:lvl>
    <w:lvl w:ilvl="1">
      <w:lvlJc w:val="left"/>
      <w:lvlText w:val="%2."/>
      <w:numFmt w:val="decimal"/>
      <w:start w:val="11"/>
    </w:lvl>
    <w:lvl w:ilvl="2">
      <w:lvlJc w:val="left"/>
      <w:lvlText w:val="*"/>
      <w:numFmt w:val="bullet"/>
      <w:start w:val="1"/>
    </w:lvl>
  </w:abstractNum>
  <w:abstractNum w:abstractNumId="151">
    <w:nsid w:val="15B71329"/>
    <w:multiLevelType w:val="hybridMultilevel"/>
    <w:lvl w:ilvl="0">
      <w:lvlJc w:val="left"/>
      <w:lvlText w:val="•"/>
      <w:numFmt w:val="bullet"/>
      <w:start w:val="1"/>
    </w:lvl>
  </w:abstractNum>
  <w:abstractNum w:abstractNumId="152">
    <w:nsid w:val="3DA97044"/>
    <w:multiLevelType w:val="hybridMultilevel"/>
    <w:lvl w:ilvl="0">
      <w:lvlJc w:val="left"/>
      <w:lvlText w:val="•"/>
      <w:numFmt w:val="bullet"/>
      <w:start w:val="1"/>
    </w:lvl>
  </w:abstractNum>
  <w:abstractNum w:abstractNumId="153">
    <w:nsid w:val="1CDCE2DE"/>
    <w:multiLevelType w:val="hybridMultilevel"/>
    <w:lvl w:ilvl="0">
      <w:lvlJc w:val="left"/>
      <w:lvlText w:val="%1."/>
      <w:numFmt w:val="decimal"/>
      <w:start w:val="1"/>
    </w:lvl>
    <w:lvl w:ilvl="1">
      <w:lvlJc w:val="left"/>
      <w:lvlText w:val="(%2)"/>
      <w:numFmt w:val="lowerLetter"/>
      <w:start w:val="1"/>
    </w:lvl>
  </w:abstractNum>
  <w:abstractNum w:abstractNumId="154">
    <w:nsid w:val="69D3947C"/>
    <w:multiLevelType w:val="hybridMultilevel"/>
    <w:lvl w:ilvl="0">
      <w:lvlJc w:val="left"/>
      <w:lvlText w:val="%1."/>
      <w:numFmt w:val="decimal"/>
      <w:start w:val="2"/>
    </w:lvl>
    <w:lvl w:ilvl="1">
      <w:lvlJc w:val="left"/>
      <w:lvlText w:val="(%2)"/>
      <w:numFmt w:val="lowerLetter"/>
      <w:start w:val="1"/>
    </w:lvl>
  </w:abstractNum>
  <w:abstractNum w:abstractNumId="155">
    <w:nsid w:val="2539DFA5"/>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56">
    <w:nsid w:val="2DB88089"/>
    <w:multiLevelType w:val="hybridMultilevel"/>
    <w:lvl w:ilvl="0">
      <w:lvlJc w:val="left"/>
      <w:lvlText w:val="(%1)"/>
      <w:numFmt w:val="lowerLetter"/>
      <w:start w:val="1"/>
    </w:lvl>
  </w:abstractNum>
  <w:abstractNum w:abstractNumId="157">
    <w:nsid w:val="706B674E"/>
    <w:multiLevelType w:val="hybridMultilevel"/>
    <w:lvl w:ilvl="0">
      <w:lvlJc w:val="left"/>
      <w:lvlText w:val="(%1)"/>
      <w:numFmt w:val="lowerLetter"/>
      <w:start w:val="4"/>
    </w:lvl>
  </w:abstractNum>
  <w:abstractNum w:abstractNumId="158">
    <w:nsid w:val="2C106A57"/>
    <w:multiLevelType w:val="hybridMultilevel"/>
    <w:lvl w:ilvl="0">
      <w:lvlJc w:val="left"/>
      <w:lvlText w:val="(%1)"/>
      <w:numFmt w:val="lowerLetter"/>
      <w:start w:val="5"/>
    </w:lvl>
  </w:abstractNum>
  <w:abstractNum w:abstractNumId="159">
    <w:nsid w:val="684EED59"/>
    <w:multiLevelType w:val="hybridMultilevel"/>
    <w:lvl w:ilvl="0">
      <w:lvlJc w:val="left"/>
      <w:lvlText w:val="%1"/>
      <w:numFmt w:val="decimal"/>
      <w:start w:val="1"/>
    </w:lvl>
    <w:lvl w:ilvl="1">
      <w:lvlJc w:val="left"/>
      <w:lvlText w:val="%2."/>
      <w:numFmt w:val="decimal"/>
      <w:start w:val="5"/>
    </w:lvl>
  </w:abstractNum>
  <w:abstractNum w:abstractNumId="160">
    <w:nsid w:val="545EE5D3"/>
    <w:multiLevelType w:val="hybridMultilevel"/>
    <w:lvl w:ilvl="0">
      <w:lvlJc w:val="left"/>
      <w:lvlText w:val="(%1)"/>
      <w:numFmt w:val="decimal"/>
      <w:start w:val="1"/>
    </w:lvl>
    <w:lvl w:ilvl="1">
      <w:lvlJc w:val="left"/>
      <w:lvlText w:val="%2."/>
      <w:numFmt w:val="decimal"/>
      <w:start w:val="11"/>
    </w:lvl>
  </w:abstractNum>
  <w:abstractNum w:abstractNumId="161">
    <w:nsid w:val="4A66051"/>
    <w:multiLevelType w:val="hybridMultilevel"/>
    <w:lvl w:ilvl="0">
      <w:lvlJc w:val="left"/>
      <w:lvlText w:val="•"/>
      <w:numFmt w:val="bullet"/>
      <w:start w:val="1"/>
    </w:lvl>
  </w:abstractNum>
  <w:abstractNum w:abstractNumId="162">
    <w:nsid w:val="20F4BDAD"/>
    <w:multiLevelType w:val="hybridMultilevel"/>
    <w:lvl w:ilvl="0">
      <w:lvlJc w:val="left"/>
      <w:lvlText w:val="%1."/>
      <w:numFmt w:val="decimal"/>
      <w:start w:val="1"/>
    </w:lvl>
    <w:lvl w:ilvl="1">
      <w:lvlJc w:val="left"/>
      <w:lvlText w:val="(%2)"/>
      <w:numFmt w:val="lowerLetter"/>
      <w:start w:val="1"/>
    </w:lvl>
  </w:abstractNum>
  <w:abstractNum w:abstractNumId="163">
    <w:nsid w:val="639DEFAC"/>
    <w:multiLevelType w:val="hybridMultilevel"/>
    <w:lvl w:ilvl="0">
      <w:lvlJc w:val="left"/>
      <w:lvlText w:val="%1."/>
      <w:numFmt w:val="decimal"/>
      <w:start w:val="2"/>
    </w:lvl>
  </w:abstractNum>
  <w:abstractNum w:abstractNumId="164">
    <w:nsid w:val="501F9786"/>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65">
    <w:nsid w:val="6B057295"/>
    <w:multiLevelType w:val="hybridMultilevel"/>
    <w:lvl w:ilvl="0">
      <w:lvlJc w:val="left"/>
      <w:lvlText w:val="%1"/>
      <w:numFmt w:val="decimal"/>
      <w:start w:val="1"/>
    </w:lvl>
    <w:lvl w:ilvl="1">
      <w:lvlJc w:val="left"/>
      <w:lvlText w:val="(%2)"/>
      <w:numFmt w:val="lowerLetter"/>
      <w:start w:val="3"/>
    </w:lvl>
  </w:abstractNum>
  <w:abstractNum w:abstractNumId="166">
    <w:nsid w:val="2771AC80"/>
    <w:multiLevelType w:val="hybridMultilevel"/>
    <w:lvl w:ilvl="0">
      <w:lvlJc w:val="left"/>
      <w:lvlText w:val="%1."/>
      <w:numFmt w:val="decimal"/>
      <w:start w:val="6"/>
    </w:lvl>
    <w:lvl w:ilvl="1">
      <w:lvlJc w:val="left"/>
      <w:lvlText w:val="%2"/>
      <w:numFmt w:val="lowerLetter"/>
      <w:start w:val="1"/>
    </w:lvl>
  </w:abstractNum>
  <w:abstractNum w:abstractNumId="167">
    <w:nsid w:val="1C4A08EC"/>
    <w:multiLevelType w:val="hybridMultilevel"/>
    <w:lvl w:ilvl="0">
      <w:lvlJc w:val="left"/>
      <w:lvlText w:val="%1"/>
      <w:numFmt w:val="decimal"/>
      <w:start w:val="1"/>
    </w:lvl>
    <w:lvl w:ilvl="1">
      <w:lvlJc w:val="left"/>
      <w:lvlText w:val="%2."/>
      <w:numFmt w:val="decimal"/>
      <w:start w:val="10"/>
    </w:lvl>
  </w:abstractNum>
  <w:abstractNum w:abstractNumId="168">
    <w:nsid w:val="1958BD17"/>
    <w:multiLevelType w:val="hybridMultilevel"/>
    <w:lvl w:ilvl="0">
      <w:lvlJc w:val="left"/>
      <w:lvlText w:val="(%1)"/>
      <w:numFmt w:val="decimal"/>
      <w:start w:val="1"/>
    </w:lvl>
    <w:lvl w:ilvl="1">
      <w:lvlJc w:val="left"/>
      <w:lvlText w:val="%2."/>
      <w:numFmt w:val="decimal"/>
      <w:start w:val="11"/>
    </w:lvl>
  </w:abstractNum>
  <w:abstractNum w:abstractNumId="169">
    <w:nsid w:val="4E647FE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0">
    <w:nsid w:val="E0BB885"/>
    <w:multiLevelType w:val="hybridMultilevel"/>
    <w:lvl w:ilvl="0">
      <w:lvlJc w:val="left"/>
      <w:lvlText w:val="%1."/>
      <w:numFmt w:val="decimal"/>
      <w:start w:val="3"/>
    </w:lvl>
  </w:abstractNum>
  <w:abstractNum w:abstractNumId="171">
    <w:nsid w:val="565976F1"/>
    <w:multiLevelType w:val="hybridMultilevel"/>
    <w:lvl w:ilvl="0">
      <w:lvlJc w:val="left"/>
      <w:lvlText w:val="%1."/>
      <w:numFmt w:val="decimal"/>
      <w:start w:val="4"/>
    </w:lvl>
  </w:abstractNum>
  <w:abstractNum w:abstractNumId="172">
    <w:nsid w:val="64212B8C"/>
    <w:multiLevelType w:val="hybridMultilevel"/>
    <w:lvl w:ilvl="0">
      <w:lvlJc w:val="left"/>
      <w:lvlText w:val="(%1)"/>
      <w:numFmt w:val="lowerLetter"/>
      <w:start w:val="1"/>
    </w:lvl>
    <w:lvl w:ilvl="1">
      <w:lvlJc w:val="left"/>
      <w:lvlText w:val="(%2)"/>
      <w:numFmt w:val="lowerRoman"/>
      <w:start w:val="1"/>
    </w:lvl>
  </w:abstractNum>
  <w:abstractNum w:abstractNumId="173">
    <w:nsid w:val="5C17530C"/>
    <w:multiLevelType w:val="hybridMultilevel"/>
    <w:lvl w:ilvl="0">
      <w:lvlJc w:val="left"/>
      <w:lvlText w:val="%1"/>
      <w:numFmt w:val="lowerLetter"/>
      <w:start w:val="1"/>
    </w:lvl>
    <w:lvl w:ilvl="1">
      <w:lvlJc w:val="left"/>
      <w:lvlText w:val="(%2)"/>
      <w:numFmt w:val="lowerRoman"/>
      <w:start w:val="4"/>
    </w:lvl>
  </w:abstractNum>
  <w:abstractNum w:abstractNumId="174">
    <w:nsid w:val="19A52566"/>
    <w:multiLevelType w:val="hybridMultilevel"/>
    <w:lvl w:ilvl="0">
      <w:lvlJc w:val="left"/>
      <w:lvlText w:val="(%1)"/>
      <w:numFmt w:val="lowerLetter"/>
      <w:start w:val="4"/>
    </w:lvl>
    <w:lvl w:ilvl="1">
      <w:lvlJc w:val="left"/>
      <w:lvlText w:val="(%2)"/>
      <w:numFmt w:val="lowerRoman"/>
      <w:start w:val="1"/>
    </w:lvl>
  </w:abstractNum>
  <w:abstractNum w:abstractNumId="175">
    <w:nsid w:val="335A1DF1"/>
    <w:multiLevelType w:val="hybridMultilevel"/>
    <w:lvl w:ilvl="0">
      <w:lvlJc w:val="left"/>
      <w:lvlText w:val="(%1)"/>
      <w:numFmt w:val="lowerLetter"/>
      <w:start w:val="7"/>
    </w:lvl>
    <w:lvl w:ilvl="1">
      <w:lvlJc w:val="left"/>
      <w:lvlText w:val="(%2)"/>
      <w:numFmt w:val="lowerRoman"/>
      <w:start w:val="1"/>
    </w:lvl>
  </w:abstractNum>
  <w:abstractNum w:abstractNumId="176">
    <w:nsid w:val="28677B7C"/>
    <w:multiLevelType w:val="hybridMultilevel"/>
    <w:lvl w:ilvl="0">
      <w:lvlJc w:val="left"/>
      <w:lvlText w:val="%1"/>
      <w:numFmt w:val="lowerLetter"/>
      <w:start w:val="1"/>
    </w:lvl>
    <w:lvl w:ilvl="1">
      <w:lvlJc w:val="left"/>
      <w:lvlText w:val="(%2)"/>
      <w:numFmt w:val="lowerLetter"/>
      <w:start w:val="9"/>
    </w:lvl>
  </w:abstractNum>
  <w:abstractNum w:abstractNumId="177">
    <w:nsid w:val="378D97C0"/>
    <w:multiLevelType w:val="hybridMultilevel"/>
    <w:lvl w:ilvl="0">
      <w:lvlJc w:val="left"/>
      <w:lvlText w:val="(%1)"/>
      <w:numFmt w:val="lowerLetter"/>
      <w:start w:val="9"/>
    </w:lvl>
    <w:lvl w:ilvl="1">
      <w:lvlJc w:val="left"/>
      <w:lvlText w:val="(%2)"/>
      <w:numFmt w:val="lowerLetter"/>
      <w:start w:val="10"/>
    </w:lvl>
  </w:abstractNum>
  <w:abstractNum w:abstractNumId="178">
    <w:nsid w:val="1D91467C"/>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decimal"/>
      <w:start w:val="1"/>
    </w:lvl>
  </w:abstractNum>
  <w:abstractNum w:abstractNumId="179">
    <w:nsid w:val="316032B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80">
    <w:nsid w:val="44344C2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1">
    <w:nsid w:val="13CDFCF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82">
    <w:nsid w:val="471745E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3">
    <w:nsid w:val="1DDBC66"/>
    <w:multiLevelType w:val="hybridMultilevel"/>
    <w:lvl w:ilvl="0">
      <w:lvlJc w:val="left"/>
      <w:lvlText w:val="(%1)"/>
      <w:numFmt w:val="lowerLetter"/>
      <w:start w:val="2"/>
    </w:lvl>
    <w:lvl w:ilvl="1">
      <w:lvlJc w:val="left"/>
      <w:lvlText w:val="(%2)"/>
      <w:numFmt w:val="lowerRoman"/>
      <w:start w:val="1"/>
    </w:lvl>
  </w:abstractNum>
  <w:abstractNum w:abstractNumId="184">
    <w:nsid w:val="30AADFD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85">
    <w:nsid w:val="30EADA61"/>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86">
    <w:nsid w:val="27179C0B"/>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87">
    <w:nsid w:val="5E636063"/>
    <w:multiLevelType w:val="hybridMultilevel"/>
    <w:lvl w:ilvl="0">
      <w:lvlJc w:val="left"/>
      <w:lvlText w:val="(%1)"/>
      <w:numFmt w:val="lowerRoman"/>
      <w:start w:val="2"/>
    </w:lvl>
  </w:abstractNum>
  <w:abstractNum w:abstractNumId="188">
    <w:nsid w:val="215641AF"/>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89">
    <w:nsid w:val="5328066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90">
    <w:nsid w:val="46B24DBC"/>
    <w:multiLevelType w:val="hybridMultilevel"/>
    <w:lvl w:ilvl="0">
      <w:lvlJc w:val="left"/>
      <w:lvlText w:val="%1"/>
      <w:numFmt w:val="decimal"/>
      <w:start w:val="1"/>
    </w:lvl>
    <w:lvl w:ilvl="1">
      <w:lvlJc w:val="left"/>
      <w:lvlText w:val="(%2)"/>
      <w:numFmt w:val="lowerLetter"/>
      <w:start w:val="2"/>
    </w:lvl>
  </w:abstractNum>
  <w:abstractNum w:abstractNumId="191">
    <w:nsid w:val="75B52783"/>
    <w:multiLevelType w:val="hybridMultilevel"/>
    <w:lvl w:ilvl="0">
      <w:lvlJc w:val="left"/>
      <w:lvlText w:val="%1."/>
      <w:numFmt w:val="decimal"/>
      <w:start w:val="9"/>
    </w:lvl>
    <w:lvl w:ilvl="1">
      <w:lvlJc w:val="left"/>
      <w:lvlText w:val="(%2)"/>
      <w:numFmt w:val="lowerLetter"/>
      <w:start w:val="1"/>
    </w:lvl>
  </w:abstractNum>
  <w:abstractNum w:abstractNumId="192">
    <w:nsid w:val="57CE66B4"/>
    <w:multiLevelType w:val="hybridMultilevel"/>
    <w:lvl w:ilvl="0">
      <w:lvlJc w:val="left"/>
      <w:lvlText w:val="(%1)"/>
      <w:numFmt w:val="lowerLetter"/>
      <w:start w:val="4"/>
    </w:lvl>
  </w:abstractNum>
  <w:abstractNum w:abstractNumId="193">
    <w:nsid w:val="67A70B69"/>
    <w:multiLevelType w:val="hybridMultilevel"/>
    <w:lvl w:ilvl="0">
      <w:lvlJc w:val="left"/>
      <w:lvlText w:val="(%1)"/>
      <w:numFmt w:val="lowerLetter"/>
      <w:start w:val="9"/>
    </w:lvl>
  </w:abstractNum>
  <w:abstractNum w:abstractNumId="194">
    <w:nsid w:val="5953172F"/>
    <w:multiLevelType w:val="hybridMultilevel"/>
    <w:lvl w:ilvl="0">
      <w:lvlJc w:val="left"/>
      <w:lvlText w:val="(%1)"/>
      <w:numFmt w:val="lowerLetter"/>
      <w:start w:val="14"/>
    </w:lvl>
  </w:abstractNum>
  <w:abstractNum w:abstractNumId="195">
    <w:nsid w:val="27EDFE3A"/>
    <w:multiLevelType w:val="hybridMultilevel"/>
    <w:lvl w:ilvl="0">
      <w:lvlJc w:val="left"/>
      <w:lvlText w:val="%1"/>
      <w:numFmt w:val="decimal"/>
      <w:start w:val="1"/>
    </w:lvl>
    <w:lvl w:ilvl="1">
      <w:lvlJc w:val="left"/>
      <w:lvlText w:val="(%2)"/>
      <w:numFmt w:val="lowerLetter"/>
      <w:start w:val="15"/>
    </w:lvl>
  </w:abstractNum>
  <w:abstractNum w:abstractNumId="196">
    <w:nsid w:val="52AC7DFF"/>
    <w:multiLevelType w:val="hybridMultilevel"/>
    <w:lvl w:ilvl="0">
      <w:lvlJc w:val="left"/>
      <w:lvlText w:val="%1."/>
      <w:numFmt w:val="decimal"/>
      <w:start w:val="10"/>
    </w:lvl>
    <w:lvl w:ilvl="1">
      <w:lvlJc w:val="left"/>
      <w:lvlText w:val="%2"/>
      <w:numFmt w:val="lowerLetter"/>
      <w:start w:val="1"/>
    </w:lvl>
  </w:abstractNum>
  <w:abstractNum w:abstractNumId="197">
    <w:nsid w:val="C4C3AF"/>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98">
    <w:nsid w:val="44380727"/>
    <w:multiLevelType w:val="hybridMultilevel"/>
    <w:lvl w:ilvl="0">
      <w:lvlJc w:val="left"/>
      <w:lvlText w:val="%1"/>
      <w:numFmt w:val="lowerLetter"/>
      <w:start w:val="1"/>
    </w:lvl>
    <w:lvl w:ilvl="1">
      <w:lvlJc w:val="left"/>
      <w:lvlText w:val="(%2)"/>
      <w:numFmt w:val="lowerLetter"/>
      <w:start w:val="61"/>
    </w:lvl>
    <w:lvl w:ilvl="2">
      <w:lvlJc w:val="left"/>
      <w:lvlText w:val="%3"/>
      <w:numFmt w:val="decimal"/>
      <w:start w:val="1"/>
    </w:lvl>
  </w:abstractNum>
  <w:abstractNum w:abstractNumId="199">
    <w:nsid w:val="6C053B16"/>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200">
    <w:nsid w:val="4F294393"/>
    <w:multiLevelType w:val="hybridMultilevel"/>
    <w:lvl w:ilvl="0">
      <w:lvlJc w:val="left"/>
      <w:lvlText w:val="(%1)"/>
      <w:numFmt w:val="lowerRoman"/>
      <w:start w:val="2"/>
    </w:lvl>
    <w:lvl w:ilvl="1">
      <w:lvlJc w:val="left"/>
      <w:lvlText w:val="(%2)"/>
      <w:numFmt w:val="decimal"/>
      <w:start w:val="1"/>
    </w:lvl>
  </w:abstractNum>
  <w:abstractNum w:abstractNumId="201">
    <w:nsid w:val="5243BFA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decimal"/>
      <w:start w:val="2"/>
    </w:lvl>
  </w:abstractNum>
  <w:abstractNum w:abstractNumId="202">
    <w:nsid w:val="425EB207"/>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lvl w:ilvl="3">
      <w:lvlJc w:val="left"/>
      <w:lvlText w:val="(%4)"/>
      <w:numFmt w:val="decimal"/>
      <w:start w:val="3"/>
    </w:lvl>
  </w:abstractNum>
  <w:abstractNum w:abstractNumId="203">
    <w:nsid w:val="334A6F1F"/>
    <w:multiLevelType w:val="hybridMultilevel"/>
    <w:lvl w:ilvl="0">
      <w:lvlJc w:val="left"/>
      <w:lvlText w:val="(%1)"/>
      <w:numFmt w:val="lowerLetter"/>
      <w:start w:val="1"/>
    </w:lvl>
  </w:abstractNum>
  <w:abstractNum w:abstractNumId="204">
    <w:nsid w:val="2E5B12B8"/>
    <w:multiLevelType w:val="hybridMultilevel"/>
    <w:lvl w:ilvl="0">
      <w:lvlJc w:val="left"/>
      <w:lvlText w:val="%1"/>
      <w:numFmt w:val="upperLetter"/>
      <w:start w:val="1"/>
    </w:lvl>
    <w:lvl w:ilvl="1">
      <w:lvlJc w:val="left"/>
      <w:lvlText w:val="(%2)"/>
      <w:numFmt w:val="lowerLetter"/>
      <w:start w:val="8"/>
    </w:lvl>
    <w:lvl w:ilvl="2">
      <w:lvlJc w:val="left"/>
      <w:lvlText w:val="%3"/>
      <w:numFmt w:val="lowerRoman"/>
      <w:start w:val="1"/>
    </w:lvl>
  </w:abstractNum>
  <w:abstractNum w:abstractNumId="205">
    <w:nsid w:val="5C03D76D"/>
    <w:multiLevelType w:val="hybridMultilevel"/>
    <w:lvl w:ilvl="0">
      <w:lvlJc w:val="left"/>
      <w:lvlText w:val="(%1)"/>
      <w:numFmt w:val="upperLetter"/>
      <w:start w:val="2"/>
    </w:lvl>
    <w:lvl w:ilvl="1">
      <w:lvlJc w:val="left"/>
      <w:lvlText w:val="(%2)"/>
      <w:numFmt w:val="lowerLetter"/>
      <w:start w:val="9"/>
    </w:lvl>
    <w:lvl w:ilvl="2">
      <w:lvlJc w:val="left"/>
      <w:lvlText w:val="(%3)"/>
      <w:numFmt w:val="lowerRoman"/>
      <w:start w:val="1"/>
    </w:lvl>
  </w:abstractNum>
  <w:abstractNum w:abstractNumId="206">
    <w:nsid w:val="66A48D11"/>
    <w:multiLevelType w:val="hybridMultilevel"/>
    <w:lvl w:ilvl="0">
      <w:lvlJc w:val="left"/>
      <w:lvlText w:val="(%1)"/>
      <w:numFmt w:val="lowerRoman"/>
      <w:start w:val="4"/>
    </w:lvl>
  </w:abstractNum>
  <w:abstractNum w:abstractNumId="207">
    <w:nsid w:val="56C28E34"/>
    <w:multiLevelType w:val="hybridMultilevel"/>
    <w:lvl w:ilvl="0">
      <w:lvlJc w:val="left"/>
      <w:lvlText w:val="(%1)"/>
      <w:numFmt w:val="lowerLetter"/>
      <w:start w:val="10"/>
    </w:lvl>
  </w:abstractNum>
  <w:abstractNum w:abstractNumId="208">
    <w:nsid w:val="13916F2D"/>
    <w:multiLevelType w:val="hybridMultilevel"/>
    <w:lvl w:ilvl="0">
      <w:lvlJc w:val="left"/>
      <w:lvlText w:val="(%1)"/>
      <w:numFmt w:val="lowerLetter"/>
      <w:start w:val="14"/>
    </w:lvl>
  </w:abstractNum>
  <w:abstractNum w:abstractNumId="209">
    <w:nsid w:val="435D38D"/>
    <w:multiLevelType w:val="hybridMultilevel"/>
    <w:lvl w:ilvl="0">
      <w:lvlJc w:val="left"/>
      <w:lvlText w:val="(%1)"/>
      <w:numFmt w:val="lowerLetter"/>
      <w:start w:val="17"/>
    </w:lvl>
    <w:lvl w:ilvl="1">
      <w:lvlJc w:val="left"/>
      <w:lvlText w:val="(%2)"/>
      <w:numFmt w:val="lowerRoman"/>
      <w:start w:val="1"/>
    </w:lvl>
  </w:abstractNum>
  <w:abstractNum w:abstractNumId="210">
    <w:nsid w:val="822C0EF"/>
    <w:multiLevelType w:val="hybridMultilevel"/>
    <w:lvl w:ilvl="0">
      <w:lvlJc w:val="left"/>
      <w:lvlText w:val="(%1)"/>
      <w:numFmt w:val="lowerLetter"/>
      <w:start w:val="18"/>
    </w:lvl>
  </w:abstractNum>
  <w:abstractNum w:abstractNumId="211">
    <w:nsid w:val="57C5BB4F"/>
    <w:multiLevelType w:val="hybridMultilevel"/>
    <w:lvl w:ilvl="0">
      <w:lvlJc w:val="left"/>
      <w:lvlText w:val="(%1)"/>
      <w:numFmt w:val="lowerLetter"/>
      <w:start w:val="21"/>
    </w:lvl>
  </w:abstractNum>
  <w:abstractNum w:abstractNumId="212">
    <w:nsid w:val="1803D089"/>
    <w:multiLevelType w:val="hybridMultilevel"/>
    <w:lvl w:ilvl="0">
      <w:lvlJc w:val="left"/>
      <w:lvlText w:val="(%1)"/>
      <w:numFmt w:val="lowerLetter"/>
      <w:start w:val="24"/>
    </w:lvl>
  </w:abstractNum>
  <w:abstractNum w:abstractNumId="213">
    <w:nsid w:val="4F3A06D4"/>
    <w:multiLevelType w:val="hybridMultilevel"/>
    <w:lvl w:ilvl="0">
      <w:lvlJc w:val="left"/>
      <w:lvlText w:val="(%1)"/>
      <w:numFmt w:val="lowerRoman"/>
      <w:start w:val="1"/>
    </w:lvl>
  </w:abstractNum>
  <w:abstractNum w:abstractNumId="214">
    <w:nsid w:val="59A377B6"/>
    <w:multiLevelType w:val="hybridMultilevel"/>
    <w:lvl w:ilvl="0">
      <w:lvlJc w:val="left"/>
      <w:lvlText w:val="(%1)"/>
      <w:numFmt w:val="lowerRoman"/>
      <w:start w:val="2"/>
    </w:lvl>
  </w:abstractNum>
  <w:abstractNum w:abstractNumId="215">
    <w:nsid w:val="48AEB063"/>
    <w:multiLevelType w:val="hybridMultilevel"/>
    <w:lvl w:ilvl="0">
      <w:lvlJc w:val="left"/>
      <w:lvlText w:val="(%1)"/>
      <w:numFmt w:val="lowerLetter"/>
      <w:start w:val="38"/>
    </w:lvl>
  </w:abstractNum>
  <w:abstractNum w:abstractNumId="216">
    <w:nsid w:val="24E135"/>
    <w:multiLevelType w:val="hybridMultilevel"/>
    <w:lvl w:ilvl="0">
      <w:lvlJc w:val="left"/>
      <w:lvlText w:val="•"/>
      <w:numFmt w:val="bullet"/>
      <w:start w:val="1"/>
    </w:lvl>
  </w:abstractNum>
  <w:abstractNum w:abstractNumId="217">
    <w:nsid w:val="BB13C1"/>
    <w:multiLevelType w:val="hybridMultilevel"/>
    <w:lvl w:ilvl="0">
      <w:lvlJc w:val="left"/>
      <w:lvlText w:val="•"/>
      <w:numFmt w:val="bullet"/>
      <w:start w:val="1"/>
    </w:lvl>
  </w:abstractNum>
  <w:abstractNum w:abstractNumId="218">
    <w:nsid w:val="271210C7"/>
    <w:multiLevelType w:val="hybridMultilevel"/>
    <w:lvl w:ilvl="0">
      <w:lvlJc w:val="left"/>
      <w:lvlText w:val="%1."/>
      <w:numFmt w:val="decimal"/>
      <w:start w:val="1"/>
    </w:lvl>
    <w:lvl w:ilvl="1">
      <w:lvlJc w:val="left"/>
      <w:lvlText w:val="(%2)"/>
      <w:numFmt w:val="lowerLetter"/>
      <w:start w:val="1"/>
    </w:lvl>
  </w:abstractNum>
  <w:abstractNum w:abstractNumId="219">
    <w:nsid w:val="217B22E4"/>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220">
    <w:nsid w:val="53E31A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221">
    <w:nsid w:val="6DC45E83"/>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22">
    <w:nsid w:val="17304A67"/>
    <w:multiLevelType w:val="hybridMultilevel"/>
    <w:lvl w:ilvl="0">
      <w:lvlJc w:val="left"/>
      <w:lvlText w:val="%1."/>
      <w:numFmt w:val="decimal"/>
      <w:start w:val="4"/>
    </w:lvl>
  </w:abstractNum>
  <w:abstractNum w:abstractNumId="223">
    <w:nsid w:val="2BB180D8"/>
    <w:multiLevelType w:val="hybridMultilevel"/>
    <w:lvl w:ilvl="0">
      <w:lvlJc w:val="left"/>
      <w:lvlText w:val="%1."/>
      <w:numFmt w:val="decimal"/>
      <w:start w:val="7"/>
    </w:lvl>
    <w:lvl w:ilvl="1">
      <w:lvlJc w:val="left"/>
      <w:lvlText w:val="*"/>
      <w:numFmt w:val="bullet"/>
      <w:start w:val="1"/>
    </w:lvl>
  </w:abstractNum>
  <w:abstractNum w:abstractNumId="224">
    <w:nsid w:val="556B69ED"/>
    <w:multiLevelType w:val="hybridMultilevel"/>
    <w:lvl w:ilvl="0">
      <w:lvlJc w:val="left"/>
      <w:lvlText w:val="•"/>
      <w:numFmt w:val="bullet"/>
      <w:start w:val="1"/>
    </w:lvl>
  </w:abstractNum>
  <w:abstractNum w:abstractNumId="225">
    <w:nsid w:val="70836196"/>
    <w:multiLevelType w:val="hybridMultilevel"/>
    <w:lvl w:ilvl="0">
      <w:lvlJc w:val="left"/>
      <w:lvlText w:val="%1."/>
      <w:numFmt w:val="decimal"/>
      <w:start w:val="1"/>
    </w:lvl>
    <w:lvl w:ilvl="1">
      <w:lvlJc w:val="left"/>
      <w:lvlText w:val="(%2)"/>
      <w:numFmt w:val="lowerLetter"/>
      <w:start w:val="1"/>
    </w:lvl>
  </w:abstractNum>
  <w:abstractNum w:abstractNumId="226">
    <w:nsid w:val="539F7F12"/>
    <w:multiLevelType w:val="hybridMultilevel"/>
    <w:lvl w:ilvl="0">
      <w:lvlJc w:val="left"/>
      <w:lvlText w:val="%1."/>
      <w:numFmt w:val="decimal"/>
      <w:start w:val="2"/>
    </w:lvl>
  </w:abstractNum>
  <w:abstractNum w:abstractNumId="227">
    <w:nsid w:val="2817E7E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28">
    <w:nsid w:val="71482545"/>
    <w:multiLevelType w:val="hybridMultilevel"/>
    <w:lvl w:ilvl="0">
      <w:lvlJc w:val="left"/>
      <w:lvlText w:val="(%1)"/>
      <w:numFmt w:val="lowerLetter"/>
      <w:start w:val="3"/>
    </w:lvl>
  </w:abstractNum>
  <w:abstractNum w:abstractNumId="229">
    <w:nsid w:val="17D78639"/>
    <w:multiLevelType w:val="hybridMultilevel"/>
    <w:lvl w:ilvl="0">
      <w:lvlJc w:val="left"/>
      <w:lvlText w:val="%1."/>
      <w:numFmt w:val="decimal"/>
      <w:start w:val="6"/>
    </w:lvl>
  </w:abstractNum>
  <w:abstractNum w:abstractNumId="230">
    <w:nsid w:val="141D230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1">
    <w:nsid w:val="407168D8"/>
    <w:multiLevelType w:val="hybridMultilevel"/>
    <w:lvl w:ilvl="0">
      <w:lvlJc w:val="left"/>
      <w:lvlText w:val="(%1)"/>
      <w:numFmt w:val="lowerRoman"/>
      <w:start w:val="4"/>
    </w:lvl>
  </w:abstractNum>
  <w:abstractNum w:abstractNumId="232">
    <w:nsid w:val="6A1B45E5"/>
    <w:multiLevelType w:val="hybridMultilevel"/>
    <w:lvl w:ilvl="0">
      <w:lvlJc w:val="left"/>
      <w:lvlText w:val="%1"/>
      <w:numFmt w:val="lowerLetter"/>
      <w:start w:val="1"/>
    </w:lvl>
    <w:lvl w:ilvl="1">
      <w:lvlJc w:val="left"/>
      <w:lvlText w:val="(%2)"/>
      <w:numFmt w:val="decimal"/>
      <w:start w:val="1"/>
    </w:lvl>
  </w:abstractNum>
  <w:abstractNum w:abstractNumId="233">
    <w:nsid w:val="567BD50A"/>
    <w:multiLevelType w:val="hybridMultilevel"/>
    <w:lvl w:ilvl="0">
      <w:lvlJc w:val="left"/>
      <w:lvlText w:val="(%1)"/>
      <w:numFmt w:val="lowerLetter"/>
      <w:start w:val="2"/>
    </w:lvl>
    <w:lvl w:ilvl="1">
      <w:lvlJc w:val="left"/>
      <w:lvlText w:val="%2"/>
      <w:numFmt w:val="decimal"/>
      <w:start w:val="1"/>
    </w:lvl>
  </w:abstractNum>
  <w:abstractNum w:abstractNumId="234">
    <w:nsid w:val="73BBD7F8"/>
    <w:multiLevelType w:val="hybridMultilevel"/>
    <w:lvl w:ilvl="0">
      <w:lvlJc w:val="left"/>
      <w:lvlText w:val="%1"/>
      <w:numFmt w:val="decimal"/>
      <w:start w:val="1"/>
    </w:lvl>
    <w:lvl w:ilvl="1">
      <w:lvlJc w:val="left"/>
      <w:lvlText w:val="(%2)"/>
      <w:numFmt w:val="lowerLetter"/>
      <w:start w:val="7"/>
    </w:lvl>
  </w:abstractNum>
  <w:abstractNum w:abstractNumId="235">
    <w:nsid w:val="1876589D"/>
    <w:multiLevelType w:val="hybridMultilevel"/>
    <w:lvl w:ilvl="0">
      <w:lvlJc w:val="left"/>
      <w:lvlText w:val="%1."/>
      <w:numFmt w:val="decimal"/>
      <w:start w:val="2"/>
    </w:lvl>
    <w:lvl w:ilvl="1">
      <w:lvlJc w:val="left"/>
      <w:lvlText w:val="%2"/>
      <w:numFmt w:val="lowerLetter"/>
      <w:start w:val="1"/>
    </w:lvl>
  </w:abstractNum>
  <w:abstractNum w:abstractNumId="236">
    <w:nsid w:val="327FAC77"/>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37">
    <w:nsid w:val="5A606509"/>
    <w:multiLevelType w:val="hybridMultilevel"/>
    <w:lvl w:ilvl="0">
      <w:lvlJc w:val="left"/>
      <w:lvlText w:val="%1"/>
      <w:numFmt w:val="decimal"/>
      <w:start w:val="1"/>
    </w:lvl>
    <w:lvl w:ilvl="1">
      <w:lvlJc w:val="left"/>
      <w:lvlText w:val="(%2)"/>
      <w:numFmt w:val="lowerLetter"/>
      <w:start w:val="1"/>
    </w:lvl>
  </w:abstractNum>
  <w:abstractNum w:abstractNumId="238">
    <w:nsid w:val="6F38E6D1"/>
    <w:multiLevelType w:val="hybridMultilevel"/>
    <w:lvl w:ilvl="0">
      <w:lvlJc w:val="left"/>
      <w:lvlText w:val="%1."/>
      <w:numFmt w:val="decimal"/>
      <w:start w:val="8"/>
    </w:lvl>
    <w:lvl w:ilvl="1">
      <w:lvlJc w:val="left"/>
      <w:lvlText w:val="(%2)"/>
      <w:numFmt w:val="lowerLetter"/>
      <w:start w:val="1"/>
    </w:lvl>
  </w:abstractNum>
  <w:abstractNum w:abstractNumId="239">
    <w:nsid w:val="46111BA5"/>
    <w:multiLevelType w:val="hybridMultilevel"/>
    <w:lvl w:ilvl="0">
      <w:lvlJc w:val="left"/>
      <w:lvlText w:val="%1"/>
      <w:numFmt w:val="decimal"/>
      <w:start w:val="1"/>
    </w:lvl>
    <w:lvl w:ilvl="1">
      <w:lvlJc w:val="left"/>
      <w:lvlText w:val="(%2)"/>
      <w:numFmt w:val="lowerLetter"/>
      <w:start w:val="2"/>
    </w:lvl>
  </w:abstractNum>
  <w:abstractNum w:abstractNumId="240">
    <w:nsid w:val="5E963896"/>
    <w:multiLevelType w:val="hybridMultilevel"/>
    <w:lvl w:ilvl="0">
      <w:lvlJc w:val="left"/>
      <w:lvlText w:val="%1."/>
      <w:numFmt w:val="decimal"/>
      <w:start w:val="10"/>
    </w:lvl>
    <w:lvl w:ilvl="1">
      <w:lvlJc w:val="left"/>
      <w:lvlText w:val="(%2)"/>
      <w:numFmt w:val="lowerLetter"/>
      <w:start w:val="1"/>
    </w:lvl>
  </w:abstractNum>
  <w:abstractNum w:abstractNumId="241">
    <w:nsid w:val="775BA7C1"/>
    <w:multiLevelType w:val="hybridMultilevel"/>
    <w:lvl w:ilvl="0">
      <w:lvlJc w:val="left"/>
      <w:lvlText w:val="%1"/>
      <w:numFmt w:val="decimal"/>
      <w:start w:val="1"/>
    </w:lvl>
    <w:lvl w:ilvl="1">
      <w:lvlJc w:val="left"/>
      <w:lvlText w:val="(%2)"/>
      <w:numFmt w:val="lowerLetter"/>
      <w:start w:val="3"/>
    </w:lvl>
  </w:abstractNum>
  <w:abstractNum w:abstractNumId="242">
    <w:nsid w:val="1DD6D6F4"/>
    <w:multiLevelType w:val="hybridMultilevel"/>
    <w:lvl w:ilvl="0">
      <w:lvlJc w:val="left"/>
      <w:lvlText w:val="%1."/>
      <w:numFmt w:val="decimal"/>
      <w:start w:val="11"/>
    </w:lvl>
    <w:lvl w:ilvl="1">
      <w:lvlJc w:val="left"/>
      <w:lvlText w:val="(%2)"/>
      <w:numFmt w:val="lowerLetter"/>
      <w:start w:val="1"/>
    </w:lvl>
  </w:abstractNum>
  <w:abstractNum w:abstractNumId="243">
    <w:nsid w:val="769A091F"/>
    <w:multiLevelType w:val="hybridMultilevel"/>
    <w:lvl w:ilvl="0">
      <w:lvlJc w:val="left"/>
      <w:lvlText w:val="%1"/>
      <w:numFmt w:val="decimal"/>
      <w:start w:val="1"/>
    </w:lvl>
    <w:lvl w:ilvl="1">
      <w:lvlJc w:val="left"/>
      <w:lvlText w:val="(%2)"/>
      <w:numFmt w:val="lowerLetter"/>
      <w:start w:val="2"/>
    </w:lvl>
  </w:abstractNum>
  <w:abstractNum w:abstractNumId="244">
    <w:nsid w:val="4695AE95"/>
    <w:multiLevelType w:val="hybridMultilevel"/>
    <w:lvl w:ilvl="0">
      <w:lvlJc w:val="left"/>
      <w:lvlText w:val="%1."/>
      <w:numFmt w:val="decimal"/>
      <w:start w:val="12"/>
    </w:lvl>
    <w:lvl w:ilvl="1">
      <w:lvlJc w:val="left"/>
      <w:lvlText w:val="(%2)"/>
      <w:numFmt w:val="lowerLetter"/>
      <w:start w:val="1"/>
    </w:lvl>
  </w:abstractNum>
  <w:abstractNum w:abstractNumId="245">
    <w:nsid w:val="777A4EA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46">
    <w:nsid w:val="3F48B982"/>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247">
    <w:nsid w:val="46BA8FCA"/>
    <w:multiLevelType w:val="hybridMultilevel"/>
    <w:lvl w:ilvl="0">
      <w:lvlJc w:val="left"/>
      <w:lvlText w:val="%1."/>
      <w:numFmt w:val="decimal"/>
      <w:start w:val="15"/>
    </w:lvl>
  </w:abstractNum>
  <w:abstractNum w:abstractNumId="248">
    <w:nsid w:val="7835626C"/>
    <w:multiLevelType w:val="hybridMultilevel"/>
    <w:lvl w:ilvl="0">
      <w:lvlJc w:val="left"/>
      <w:lvlText w:val="%1."/>
      <w:numFmt w:val="decimal"/>
      <w:start w:val="20"/>
    </w:lvl>
  </w:abstractNum>
  <w:abstractNum w:abstractNumId="249">
    <w:nsid w:val="665ACA49"/>
    <w:multiLevelType w:val="hybridMultilevel"/>
    <w:lvl w:ilvl="0">
      <w:lvlJc w:val="left"/>
      <w:lvlText w:val="%1."/>
      <w:numFmt w:val="decimal"/>
      <w:start w:val="26"/>
    </w:lvl>
    <w:lvl w:ilvl="1">
      <w:lvlJc w:val="left"/>
      <w:lvlText w:val="(%2)"/>
      <w:numFmt w:val="lowerLetter"/>
      <w:start w:val="1"/>
    </w:lvl>
  </w:abstractNum>
  <w:abstractNum w:abstractNumId="250">
    <w:nsid w:val="6835B2AE"/>
    <w:multiLevelType w:val="hybridMultilevel"/>
    <w:lvl w:ilvl="0">
      <w:lvlJc w:val="left"/>
      <w:lvlText w:val="%1."/>
      <w:numFmt w:val="decimal"/>
      <w:start w:val="27"/>
    </w:lvl>
  </w:abstractNum>
  <w:abstractNum w:abstractNumId="251">
    <w:nsid w:val="4C187C90"/>
    <w:multiLevelType w:val="hybridMultilevel"/>
    <w:lvl w:ilvl="0">
      <w:lvlJc w:val="left"/>
      <w:lvlText w:val="%1."/>
      <w:numFmt w:val="decimal"/>
      <w:start w:val="1"/>
    </w:lvl>
    <w:lvl w:ilvl="1">
      <w:lvlJc w:val="left"/>
      <w:lvlText w:val="(%2)"/>
      <w:numFmt w:val="lowerLetter"/>
      <w:start w:val="2"/>
    </w:lvl>
  </w:abstractNum>
  <w:abstractNum w:abstractNumId="252">
    <w:nsid w:val="541F28CD"/>
    <w:multiLevelType w:val="hybridMultilevel"/>
    <w:lvl w:ilvl="0">
      <w:lvlJc w:val="left"/>
      <w:lvlText w:val="%1."/>
      <w:numFmt w:val="decimal"/>
      <w:start w:val="1"/>
    </w:lvl>
    <w:lvl w:ilvl="1">
      <w:lvlJc w:val="left"/>
      <w:lvlText w:val="(%2)"/>
      <w:numFmt w:val="lowerLetter"/>
      <w:start w:val="3"/>
    </w:lvl>
  </w:abstractNum>
  <w:abstractNum w:abstractNumId="253">
    <w:nsid w:val="7F65FD16"/>
    <w:multiLevelType w:val="hybridMultilevel"/>
    <w:lvl w:ilvl="0">
      <w:lvlJc w:val="left"/>
      <w:lvlText w:val="%1."/>
      <w:numFmt w:val="decimal"/>
      <w:start w:val="1"/>
    </w:lvl>
    <w:lvl w:ilvl="1">
      <w:lvlJc w:val="left"/>
      <w:lvlText w:val="(%2)"/>
      <w:numFmt w:val="lowerLetter"/>
      <w:start w:val="3"/>
    </w:lvl>
  </w:abstractNum>
  <w:abstractNum w:abstractNumId="254">
    <w:nsid w:val="77C9FD68"/>
    <w:multiLevelType w:val="hybridMultilevel"/>
    <w:lvl w:ilvl="0">
      <w:lvlJc w:val="left"/>
      <w:lvlText w:val="%1."/>
      <w:numFmt w:val="decimal"/>
      <w:start w:val="1"/>
    </w:lvl>
    <w:lvl w:ilvl="1">
      <w:lvlJc w:val="left"/>
      <w:lvlText w:val="(%2)"/>
      <w:numFmt w:val="lowerLetter"/>
      <w:start w:val="2"/>
    </w:lvl>
  </w:abstractNum>
  <w:abstractNum w:abstractNumId="255">
    <w:nsid w:val="298A92BA"/>
    <w:multiLevelType w:val="hybridMultilevel"/>
    <w:lvl w:ilvl="0">
      <w:lvlJc w:val="left"/>
      <w:lvlText w:val="%1."/>
      <w:numFmt w:val="decimal"/>
      <w:start w:val="1"/>
    </w:lvl>
    <w:lvl w:ilvl="1">
      <w:lvlJc w:val="left"/>
      <w:lvlText w:val="(%2)"/>
      <w:numFmt w:val="lowerLetter"/>
      <w:start w:val="2"/>
    </w:lvl>
  </w:abstractNum>
  <w:abstractNum w:abstractNumId="256">
    <w:nsid w:val="6FE95EAC"/>
    <w:multiLevelType w:val="hybridMultilevel"/>
    <w:lvl w:ilvl="0">
      <w:lvlJc w:val="left"/>
      <w:lvlText w:val="•"/>
      <w:numFmt w:val="bullet"/>
      <w:start w:val="1"/>
    </w:lvl>
  </w:abstractNum>
  <w:abstractNum w:abstractNumId="257">
    <w:nsid w:val="4B697C7A"/>
    <w:multiLevelType w:val="hybridMultilevel"/>
    <w:lvl w:ilvl="0">
      <w:lvlJc w:val="left"/>
      <w:lvlText w:val="•"/>
      <w:numFmt w:val="bullet"/>
      <w:start w:val="1"/>
    </w:lvl>
  </w:abstractNum>
  <w:abstractNum w:abstractNumId="258">
    <w:nsid w:val="51A27AA6"/>
    <w:multiLevelType w:val="hybridMultilevel"/>
    <w:lvl w:ilvl="0">
      <w:lvlJc w:val="left"/>
      <w:lvlText w:val="%1."/>
      <w:numFmt w:val="decimal"/>
      <w:start w:val="1"/>
    </w:lvl>
  </w:abstractNum>
  <w:abstractNum w:abstractNumId="259">
    <w:nsid w:val="613183F2"/>
    <w:multiLevelType w:val="hybridMultilevel"/>
    <w:lvl w:ilvl="0">
      <w:lvlJc w:val="left"/>
      <w:lvlText w:val="%1."/>
      <w:numFmt w:val="decimal"/>
      <w:start w:val="1"/>
    </w:lvl>
  </w:abstractNum>
  <w:abstractNum w:abstractNumId="260">
    <w:nsid w:val="634102B4"/>
    <w:multiLevelType w:val="hybridMultilevel"/>
    <w:lvl w:ilvl="0">
      <w:lvlJc w:val="left"/>
      <w:lvlText w:val="%1."/>
      <w:numFmt w:val="decimal"/>
      <w:start w:val="1"/>
    </w:lvl>
  </w:abstractNum>
  <w:abstractNum w:abstractNumId="261">
    <w:nsid w:val="65BF9DA8"/>
    <w:multiLevelType w:val="hybridMultilevel"/>
    <w:lvl w:ilvl="0">
      <w:lvlJc w:val="left"/>
      <w:lvlText w:val="1"/>
      <w:numFmt w:val="bullet"/>
      <w:start w:val="1"/>
    </w:lvl>
  </w:abstractNum>
  <w:abstractNum w:abstractNumId="262">
    <w:nsid w:val="21A2ECCA"/>
    <w:multiLevelType w:val="hybridMultilevel"/>
    <w:lvl w:ilvl="0">
      <w:lvlJc w:val="left"/>
      <w:lvlText w:val="%1."/>
      <w:numFmt w:val="decimal"/>
      <w:start w:val="5"/>
    </w:lvl>
  </w:abstractNum>
  <w:abstractNum w:abstractNumId="263">
    <w:nsid w:val="4D5C4899"/>
    <w:multiLevelType w:val="hybridMultilevel"/>
    <w:lvl w:ilvl="0">
      <w:lvlJc w:val="left"/>
      <w:lvlText w:val="%1."/>
      <w:numFmt w:val="decimal"/>
      <w:start w:val="11"/>
    </w:lvl>
  </w:abstractNum>
  <w:abstractNum w:abstractNumId="264">
    <w:nsid w:val="3C3B72B2"/>
    <w:multiLevelType w:val="hybridMultilevel"/>
    <w:lvl w:ilvl="0">
      <w:lvlJc w:val="left"/>
      <w:lvlText w:val="%1."/>
      <w:numFmt w:val="decimal"/>
      <w:start w:val="16"/>
    </w:lvl>
  </w:abstractNum>
  <w:abstractNum w:abstractNumId="265">
    <w:nsid w:val="155EC4C2"/>
    <w:multiLevelType w:val="hybridMultilevel"/>
    <w:lvl w:ilvl="0">
      <w:lvlJc w:val="left"/>
      <w:lvlText w:val="%1."/>
      <w:numFmt w:val="decimal"/>
      <w:start w:val="1"/>
    </w:lvl>
  </w:abstractNum>
  <w:abstractNum w:abstractNumId="266">
    <w:nsid w:val="65D2A137"/>
    <w:multiLevelType w:val="hybridMultilevel"/>
    <w:lvl w:ilvl="0">
      <w:lvlJc w:val="left"/>
      <w:lvlText w:val="%1."/>
      <w:numFmt w:val="decimal"/>
      <w:start w:val="1"/>
    </w:lvl>
    <w:lvl w:ilvl="1">
      <w:lvlJc w:val="left"/>
      <w:lvlText w:val="(%2)"/>
      <w:numFmt w:val="lowerLetter"/>
      <w:start w:val="1"/>
    </w:lvl>
  </w:abstractNum>
  <w:abstractNum w:abstractNumId="267">
    <w:nsid w:val="6EBB1F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210" Type="http://schemas.openxmlformats.org/officeDocument/2006/relationships/image" Target="media/image176.png"/><Relationship Id="rId211" Type="http://schemas.openxmlformats.org/officeDocument/2006/relationships/image" Target="media/image177.png"/><Relationship Id="rId216" Type="http://schemas.openxmlformats.org/officeDocument/2006/relationships/image" Target="media/image178.png"/><Relationship Id="rId217" Type="http://schemas.openxmlformats.org/officeDocument/2006/relationships/image" Target="media/image179.png"/><Relationship Id="rId218" Type="http://schemas.openxmlformats.org/officeDocument/2006/relationships/image" Target="media/image180.png"/><Relationship Id="rId219" Type="http://schemas.openxmlformats.org/officeDocument/2006/relationships/image" Target="media/image181.png"/><Relationship Id="rId220" Type="http://schemas.openxmlformats.org/officeDocument/2006/relationships/image" Target="media/image182.png"/><Relationship Id="rId221" Type="http://schemas.openxmlformats.org/officeDocument/2006/relationships/image" Target="media/image183.png"/><Relationship Id="rId222" Type="http://schemas.openxmlformats.org/officeDocument/2006/relationships/image" Target="media/image184.png"/><Relationship Id="rId223" Type="http://schemas.openxmlformats.org/officeDocument/2006/relationships/image" Target="media/image185.png"/><Relationship Id="rId224" Type="http://schemas.openxmlformats.org/officeDocument/2006/relationships/image" Target="media/image186.png"/><Relationship Id="rId225" Type="http://schemas.openxmlformats.org/officeDocument/2006/relationships/image" Target="media/image187.png"/><Relationship Id="rId226" Type="http://schemas.openxmlformats.org/officeDocument/2006/relationships/image" Target="media/image188.png"/><Relationship Id="rId227" Type="http://schemas.openxmlformats.org/officeDocument/2006/relationships/image" Target="media/image189.png"/><Relationship Id="rId228" Type="http://schemas.openxmlformats.org/officeDocument/2006/relationships/image" Target="media/image190.png"/><Relationship Id="rId229" Type="http://schemas.openxmlformats.org/officeDocument/2006/relationships/image" Target="media/image191.png"/><Relationship Id="rId230" Type="http://schemas.openxmlformats.org/officeDocument/2006/relationships/image" Target="media/image192.png"/><Relationship Id="rId231" Type="http://schemas.openxmlformats.org/officeDocument/2006/relationships/image" Target="media/image193.png"/><Relationship Id="rId232" Type="http://schemas.openxmlformats.org/officeDocument/2006/relationships/image" Target="media/image194.png"/><Relationship Id="rId233" Type="http://schemas.openxmlformats.org/officeDocument/2006/relationships/image" Target="media/image195.png"/><Relationship Id="rId234" Type="http://schemas.openxmlformats.org/officeDocument/2006/relationships/image" Target="media/image196.png"/><Relationship Id="rId235" Type="http://schemas.openxmlformats.org/officeDocument/2006/relationships/image" Target="media/image197.png"/><Relationship Id="rId236" Type="http://schemas.openxmlformats.org/officeDocument/2006/relationships/image" Target="media/image198.png"/><Relationship Id="rId237" Type="http://schemas.openxmlformats.org/officeDocument/2006/relationships/image" Target="media/image199.png"/><Relationship Id="rId238" Type="http://schemas.openxmlformats.org/officeDocument/2006/relationships/image" Target="media/image200.png"/><Relationship Id="rId239" Type="http://schemas.openxmlformats.org/officeDocument/2006/relationships/image" Target="media/image201.png"/><Relationship Id="rId240" Type="http://schemas.openxmlformats.org/officeDocument/2006/relationships/image" Target="media/image202.png"/><Relationship Id="rId241"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49" Type="http://schemas.openxmlformats.org/officeDocument/2006/relationships/image" Target="media/image211.png"/><Relationship Id="rId250" Type="http://schemas.openxmlformats.org/officeDocument/2006/relationships/image" Target="media/image212.png"/><Relationship Id="rId251" Type="http://schemas.openxmlformats.org/officeDocument/2006/relationships/image" Target="media/image213.png"/><Relationship Id="rId252" Type="http://schemas.openxmlformats.org/officeDocument/2006/relationships/image" Target="media/image214.png"/><Relationship Id="rId253" Type="http://schemas.openxmlformats.org/officeDocument/2006/relationships/image" Target="media/image215.png"/><Relationship Id="rId254" Type="http://schemas.openxmlformats.org/officeDocument/2006/relationships/image" Target="media/image216.png"/><Relationship Id="rId255" Type="http://schemas.openxmlformats.org/officeDocument/2006/relationships/image" Target="media/image217.png"/><Relationship Id="rId256" Type="http://schemas.openxmlformats.org/officeDocument/2006/relationships/image" Target="media/image218.png"/><Relationship Id="rId257" Type="http://schemas.openxmlformats.org/officeDocument/2006/relationships/image" Target="media/image219.png"/><Relationship Id="rId258" Type="http://schemas.openxmlformats.org/officeDocument/2006/relationships/image" Target="media/image220.png"/><Relationship Id="rId259" Type="http://schemas.openxmlformats.org/officeDocument/2006/relationships/image" Target="media/image221.png"/><Relationship Id="rId260" Type="http://schemas.openxmlformats.org/officeDocument/2006/relationships/image" Target="media/image222.png"/><Relationship Id="rId261" Type="http://schemas.openxmlformats.org/officeDocument/2006/relationships/image" Target="media/image223.png"/><Relationship Id="rId262" Type="http://schemas.openxmlformats.org/officeDocument/2006/relationships/image" Target="media/image224.png"/><Relationship Id="rId263" Type="http://schemas.openxmlformats.org/officeDocument/2006/relationships/image" Target="media/image225.png"/><Relationship Id="rId264" Type="http://schemas.openxmlformats.org/officeDocument/2006/relationships/image" Target="media/image226.png"/><Relationship Id="rId265" Type="http://schemas.openxmlformats.org/officeDocument/2006/relationships/image" Target="media/image227.png"/><Relationship Id="rId266" Type="http://schemas.openxmlformats.org/officeDocument/2006/relationships/image" Target="media/image228.png"/><Relationship Id="rId267" Type="http://schemas.openxmlformats.org/officeDocument/2006/relationships/image" Target="media/image229.png"/><Relationship Id="rId268" Type="http://schemas.openxmlformats.org/officeDocument/2006/relationships/image" Target="media/image230.png"/><Relationship Id="rId269" Type="http://schemas.openxmlformats.org/officeDocument/2006/relationships/image" Target="media/image231.png"/><Relationship Id="rId270" Type="http://schemas.openxmlformats.org/officeDocument/2006/relationships/image" Target="media/image232.png"/><Relationship Id="rId271" Type="http://schemas.openxmlformats.org/officeDocument/2006/relationships/image" Target="media/image233.png"/><Relationship Id="rId272" Type="http://schemas.openxmlformats.org/officeDocument/2006/relationships/image" Target="media/image234.png"/><Relationship Id="rId273" Type="http://schemas.openxmlformats.org/officeDocument/2006/relationships/image" Target="media/image235.png"/><Relationship Id="rId274" Type="http://schemas.openxmlformats.org/officeDocument/2006/relationships/image" Target="media/image236.png"/><Relationship Id="rId275" Type="http://schemas.openxmlformats.org/officeDocument/2006/relationships/image" Target="media/image237.png"/><Relationship Id="rId276" Type="http://schemas.openxmlformats.org/officeDocument/2006/relationships/image" Target="media/image238.png"/><Relationship Id="rId277" Type="http://schemas.openxmlformats.org/officeDocument/2006/relationships/image" Target="media/image239.png"/><Relationship Id="rId278" Type="http://schemas.openxmlformats.org/officeDocument/2006/relationships/image" Target="media/image240.png"/><Relationship Id="rId279" Type="http://schemas.openxmlformats.org/officeDocument/2006/relationships/image" Target="media/image241.png"/><Relationship Id="rId280" Type="http://schemas.openxmlformats.org/officeDocument/2006/relationships/image" Target="media/image242.png"/><Relationship Id="rId281" Type="http://schemas.openxmlformats.org/officeDocument/2006/relationships/image" Target="media/image243.png"/><Relationship Id="rId282" Type="http://schemas.openxmlformats.org/officeDocument/2006/relationships/image" Target="media/image244.png"/><Relationship Id="rId283" Type="http://schemas.openxmlformats.org/officeDocument/2006/relationships/image" Target="media/image245.png"/><Relationship Id="rId284" Type="http://schemas.openxmlformats.org/officeDocument/2006/relationships/image" Target="media/image246.png"/><Relationship Id="rId285" Type="http://schemas.openxmlformats.org/officeDocument/2006/relationships/image" Target="media/image247.png"/><Relationship Id="rId286" Type="http://schemas.openxmlformats.org/officeDocument/2006/relationships/image" Target="media/image248.png"/><Relationship Id="rId287" Type="http://schemas.openxmlformats.org/officeDocument/2006/relationships/image" Target="media/image249.png"/><Relationship Id="rId288" Type="http://schemas.openxmlformats.org/officeDocument/2006/relationships/image" Target="media/image250.png"/><Relationship Id="rId289" Type="http://schemas.openxmlformats.org/officeDocument/2006/relationships/image" Target="media/image251.png"/><Relationship Id="rId290" Type="http://schemas.openxmlformats.org/officeDocument/2006/relationships/image" Target="media/image252.png"/><Relationship Id="rId291" Type="http://schemas.openxmlformats.org/officeDocument/2006/relationships/image" Target="media/image253.png"/><Relationship Id="rId292" Type="http://schemas.openxmlformats.org/officeDocument/2006/relationships/image" Target="media/image254.png"/><Relationship Id="rId293" Type="http://schemas.openxmlformats.org/officeDocument/2006/relationships/image" Target="media/image255.png"/><Relationship Id="rId294" Type="http://schemas.openxmlformats.org/officeDocument/2006/relationships/image" Target="media/image256.png"/><Relationship Id="rId295" Type="http://schemas.openxmlformats.org/officeDocument/2006/relationships/image" Target="media/image257.png"/><Relationship Id="rId296" Type="http://schemas.openxmlformats.org/officeDocument/2006/relationships/image" Target="media/image258.png"/><Relationship Id="rId297" Type="http://schemas.openxmlformats.org/officeDocument/2006/relationships/image" Target="media/image259.png"/><Relationship Id="rId298" Type="http://schemas.openxmlformats.org/officeDocument/2006/relationships/image" Target="media/image260.png"/><Relationship Id="rId299" Type="http://schemas.openxmlformats.org/officeDocument/2006/relationships/image" Target="media/image261.png"/><Relationship Id="rId300" Type="http://schemas.openxmlformats.org/officeDocument/2006/relationships/image" Target="media/image262.png"/><Relationship Id="rId301" Type="http://schemas.openxmlformats.org/officeDocument/2006/relationships/image" Target="media/image263.png"/><Relationship Id="rId302" Type="http://schemas.openxmlformats.org/officeDocument/2006/relationships/image" Target="media/image264.png"/><Relationship Id="rId303" Type="http://schemas.openxmlformats.org/officeDocument/2006/relationships/image" Target="media/image265.png"/><Relationship Id="rId304" Type="http://schemas.openxmlformats.org/officeDocument/2006/relationships/image" Target="media/image266.png"/><Relationship Id="rId305" Type="http://schemas.openxmlformats.org/officeDocument/2006/relationships/image" Target="media/image267.png"/><Relationship Id="rId306" Type="http://schemas.openxmlformats.org/officeDocument/2006/relationships/image" Target="media/image268.png"/><Relationship Id="rId307" Type="http://schemas.openxmlformats.org/officeDocument/2006/relationships/image" Target="media/image269.png"/><Relationship Id="rId308" Type="http://schemas.openxmlformats.org/officeDocument/2006/relationships/image" Target="media/image270.png"/><Relationship Id="rId309" Type="http://schemas.openxmlformats.org/officeDocument/2006/relationships/image" Target="media/image271.png"/><Relationship Id="rId310" Type="http://schemas.openxmlformats.org/officeDocument/2006/relationships/image" Target="media/image272.png"/><Relationship Id="rId311" Type="http://schemas.openxmlformats.org/officeDocument/2006/relationships/image" Target="media/image273.png"/><Relationship Id="rId312" Type="http://schemas.openxmlformats.org/officeDocument/2006/relationships/image" Target="media/image274.png"/><Relationship Id="rId313" Type="http://schemas.openxmlformats.org/officeDocument/2006/relationships/image" Target="media/image275.png"/><Relationship Id="rId314" Type="http://schemas.openxmlformats.org/officeDocument/2006/relationships/image" Target="media/image276.png"/><Relationship Id="rId315" Type="http://schemas.openxmlformats.org/officeDocument/2006/relationships/image" Target="media/image277.png"/><Relationship Id="rId316" Type="http://schemas.openxmlformats.org/officeDocument/2006/relationships/image" Target="media/image278.png"/><Relationship Id="rId317" Type="http://schemas.openxmlformats.org/officeDocument/2006/relationships/image" Target="media/image279.png"/><Relationship Id="rId318" Type="http://schemas.openxmlformats.org/officeDocument/2006/relationships/image" Target="media/image280.png"/><Relationship Id="rId319" Type="http://schemas.openxmlformats.org/officeDocument/2006/relationships/image" Target="media/image281.png"/><Relationship Id="rId320" Type="http://schemas.openxmlformats.org/officeDocument/2006/relationships/image" Target="media/image282.png"/><Relationship Id="rId321" Type="http://schemas.openxmlformats.org/officeDocument/2006/relationships/image" Target="media/image283.png"/><Relationship Id="rId322" Type="http://schemas.openxmlformats.org/officeDocument/2006/relationships/image" Target="media/image284.png"/><Relationship Id="rId323" Type="http://schemas.openxmlformats.org/officeDocument/2006/relationships/image" Target="media/image285.png"/><Relationship Id="rId324" Type="http://schemas.openxmlformats.org/officeDocument/2006/relationships/image" Target="media/image286.png"/><Relationship Id="rId325" Type="http://schemas.openxmlformats.org/officeDocument/2006/relationships/image" Target="media/image287.png"/><Relationship Id="rId326" Type="http://schemas.openxmlformats.org/officeDocument/2006/relationships/image" Target="media/image288.png"/><Relationship Id="rId327" Type="http://schemas.openxmlformats.org/officeDocument/2006/relationships/image" Target="media/image289.png"/><Relationship Id="rId328" Type="http://schemas.openxmlformats.org/officeDocument/2006/relationships/image" Target="media/image290.png"/><Relationship Id="rId329" Type="http://schemas.openxmlformats.org/officeDocument/2006/relationships/image" Target="media/image291.png"/><Relationship Id="rId330" Type="http://schemas.openxmlformats.org/officeDocument/2006/relationships/image" Target="media/image292.png"/><Relationship Id="rId331" Type="http://schemas.openxmlformats.org/officeDocument/2006/relationships/image" Target="media/image293.png"/><Relationship Id="rId332" Type="http://schemas.openxmlformats.org/officeDocument/2006/relationships/image" Target="media/image294.png"/><Relationship Id="rId333" Type="http://schemas.openxmlformats.org/officeDocument/2006/relationships/image" Target="media/image295.png"/><Relationship Id="rId334" Type="http://schemas.openxmlformats.org/officeDocument/2006/relationships/image" Target="media/image296.png"/><Relationship Id="rId335" Type="http://schemas.openxmlformats.org/officeDocument/2006/relationships/image" Target="media/image297.png"/><Relationship Id="rId336" Type="http://schemas.openxmlformats.org/officeDocument/2006/relationships/image" Target="media/image298.png"/><Relationship Id="rId337" Type="http://schemas.openxmlformats.org/officeDocument/2006/relationships/image" Target="media/image299.png"/><Relationship Id="rId338" Type="http://schemas.openxmlformats.org/officeDocument/2006/relationships/image" Target="media/image300.png"/><Relationship Id="rId339" Type="http://schemas.openxmlformats.org/officeDocument/2006/relationships/image" Target="media/image301.png"/><Relationship Id="rId340" Type="http://schemas.openxmlformats.org/officeDocument/2006/relationships/image" Target="media/image302.png"/><Relationship Id="rId341" Type="http://schemas.openxmlformats.org/officeDocument/2006/relationships/image" Target="media/image303.png"/><Relationship Id="rId342" Type="http://schemas.openxmlformats.org/officeDocument/2006/relationships/image" Target="media/image304.png"/><Relationship Id="rId343" Type="http://schemas.openxmlformats.org/officeDocument/2006/relationships/image" Target="media/image305.png"/><Relationship Id="rId344" Type="http://schemas.openxmlformats.org/officeDocument/2006/relationships/image" Target="media/image306.png"/><Relationship Id="rId345" Type="http://schemas.openxmlformats.org/officeDocument/2006/relationships/image" Target="media/image307.png"/><Relationship Id="rId346" Type="http://schemas.openxmlformats.org/officeDocument/2006/relationships/image" Target="media/image308.png"/><Relationship Id="rId347" Type="http://schemas.openxmlformats.org/officeDocument/2006/relationships/image" Target="media/image309.png"/><Relationship Id="rId348" Type="http://schemas.openxmlformats.org/officeDocument/2006/relationships/image" Target="media/image310.png"/><Relationship Id="rId349" Type="http://schemas.openxmlformats.org/officeDocument/2006/relationships/image" Target="media/image311.png"/><Relationship Id="rId350" Type="http://schemas.openxmlformats.org/officeDocument/2006/relationships/image" Target="media/image312.png"/><Relationship Id="rId351" Type="http://schemas.openxmlformats.org/officeDocument/2006/relationships/image" Target="media/image313.png"/><Relationship Id="rId352" Type="http://schemas.openxmlformats.org/officeDocument/2006/relationships/image" Target="media/image314.png"/><Relationship Id="rId353" Type="http://schemas.openxmlformats.org/officeDocument/2006/relationships/image" Target="media/image315.png"/><Relationship Id="rId354" Type="http://schemas.openxmlformats.org/officeDocument/2006/relationships/image" Target="media/image316.png"/><Relationship Id="rId355" Type="http://schemas.openxmlformats.org/officeDocument/2006/relationships/image" Target="media/image317.png"/><Relationship Id="rId356" Type="http://schemas.openxmlformats.org/officeDocument/2006/relationships/image" Target="media/image318.png"/><Relationship Id="rId357" Type="http://schemas.openxmlformats.org/officeDocument/2006/relationships/image" Target="media/image319.png"/><Relationship Id="rId358" Type="http://schemas.openxmlformats.org/officeDocument/2006/relationships/image" Target="media/image320.png"/><Relationship Id="rId359" Type="http://schemas.openxmlformats.org/officeDocument/2006/relationships/image" Target="media/image321.png"/><Relationship Id="rId360" Type="http://schemas.openxmlformats.org/officeDocument/2006/relationships/image" Target="media/image322.png"/><Relationship Id="rId361" Type="http://schemas.openxmlformats.org/officeDocument/2006/relationships/image" Target="media/image323.png"/><Relationship Id="rId362" Type="http://schemas.openxmlformats.org/officeDocument/2006/relationships/image" Target="media/image324.png"/><Relationship Id="rId363" Type="http://schemas.openxmlformats.org/officeDocument/2006/relationships/image" Target="media/image325.png"/><Relationship Id="rId364" Type="http://schemas.openxmlformats.org/officeDocument/2006/relationships/image" Target="media/image326.png"/><Relationship Id="rId365" Type="http://schemas.openxmlformats.org/officeDocument/2006/relationships/image" Target="media/image327.png"/><Relationship Id="rId366" Type="http://schemas.openxmlformats.org/officeDocument/2006/relationships/image" Target="media/image328.png"/><Relationship Id="rId367" Type="http://schemas.openxmlformats.org/officeDocument/2006/relationships/image" Target="media/image329.png"/><Relationship Id="rId368" Type="http://schemas.openxmlformats.org/officeDocument/2006/relationships/image" Target="media/image330.png"/><Relationship Id="rId369" Type="http://schemas.openxmlformats.org/officeDocument/2006/relationships/image" Target="media/image331.png"/><Relationship Id="rId370" Type="http://schemas.openxmlformats.org/officeDocument/2006/relationships/image" Target="media/image332.png"/><Relationship Id="rId371" Type="http://schemas.openxmlformats.org/officeDocument/2006/relationships/image" Target="media/image333.png"/><Relationship Id="rId372" Type="http://schemas.openxmlformats.org/officeDocument/2006/relationships/image" Target="media/image334.png"/><Relationship Id="rId373" Type="http://schemas.openxmlformats.org/officeDocument/2006/relationships/image" Target="media/image335.png"/><Relationship Id="rId374" Type="http://schemas.openxmlformats.org/officeDocument/2006/relationships/image" Target="media/image336.png"/><Relationship Id="rId375" Type="http://schemas.openxmlformats.org/officeDocument/2006/relationships/image" Target="media/image337.png"/><Relationship Id="rId376" Type="http://schemas.openxmlformats.org/officeDocument/2006/relationships/image" Target="media/image338.png"/><Relationship Id="rId377" Type="http://schemas.openxmlformats.org/officeDocument/2006/relationships/image" Target="media/image339.png"/><Relationship Id="rId378" Type="http://schemas.openxmlformats.org/officeDocument/2006/relationships/image" Target="media/image340.png"/><Relationship Id="rId379" Type="http://schemas.openxmlformats.org/officeDocument/2006/relationships/image" Target="media/image341.png"/><Relationship Id="rId380" Type="http://schemas.openxmlformats.org/officeDocument/2006/relationships/image" Target="media/image342.png"/><Relationship Id="rId381" Type="http://schemas.openxmlformats.org/officeDocument/2006/relationships/image" Target="media/image343.png"/><Relationship Id="rId382" Type="http://schemas.openxmlformats.org/officeDocument/2006/relationships/image" Target="media/image344.png"/><Relationship Id="rId383" Type="http://schemas.openxmlformats.org/officeDocument/2006/relationships/image" Target="media/image345.png"/><Relationship Id="rId384" Type="http://schemas.openxmlformats.org/officeDocument/2006/relationships/image" Target="media/image346.png"/><Relationship Id="rId385" Type="http://schemas.openxmlformats.org/officeDocument/2006/relationships/image" Target="media/image347.png"/><Relationship Id="rId386" Type="http://schemas.openxmlformats.org/officeDocument/2006/relationships/image" Target="media/image348.png"/><Relationship Id="rId387" Type="http://schemas.openxmlformats.org/officeDocument/2006/relationships/image" Target="media/image349.png"/><Relationship Id="rId388" Type="http://schemas.openxmlformats.org/officeDocument/2006/relationships/image" Target="media/image350.png"/><Relationship Id="rId389" Type="http://schemas.openxmlformats.org/officeDocument/2006/relationships/image" Target="media/image351.png"/><Relationship Id="rId390" Type="http://schemas.openxmlformats.org/officeDocument/2006/relationships/image" Target="media/image352.png"/><Relationship Id="rId391" Type="http://schemas.openxmlformats.org/officeDocument/2006/relationships/image" Target="media/image353.png"/><Relationship Id="rId392" Type="http://schemas.openxmlformats.org/officeDocument/2006/relationships/image" Target="media/image354.png"/><Relationship Id="rId393" Type="http://schemas.openxmlformats.org/officeDocument/2006/relationships/image" Target="media/image355.png"/><Relationship Id="rId394" Type="http://schemas.openxmlformats.org/officeDocument/2006/relationships/image" Target="media/image356.png"/><Relationship Id="rId395" Type="http://schemas.openxmlformats.org/officeDocument/2006/relationships/image" Target="media/image357.png"/><Relationship Id="rId396" Type="http://schemas.openxmlformats.org/officeDocument/2006/relationships/image" Target="media/image358.png"/><Relationship Id="rId397" Type="http://schemas.openxmlformats.org/officeDocument/2006/relationships/image" Target="media/image359.png"/><Relationship Id="rId398" Type="http://schemas.openxmlformats.org/officeDocument/2006/relationships/image" Target="media/image360.png"/><Relationship Id="rId399" Type="http://schemas.openxmlformats.org/officeDocument/2006/relationships/image" Target="media/image361.png"/><Relationship Id="rId400" Type="http://schemas.openxmlformats.org/officeDocument/2006/relationships/image" Target="media/image362.png"/><Relationship Id="rId401" Type="http://schemas.openxmlformats.org/officeDocument/2006/relationships/image" Target="media/image363.png"/><Relationship Id="rId402" Type="http://schemas.openxmlformats.org/officeDocument/2006/relationships/image" Target="media/image364.png"/><Relationship Id="rId403" Type="http://schemas.openxmlformats.org/officeDocument/2006/relationships/image" Target="media/image365.png"/><Relationship Id="rId404" Type="http://schemas.openxmlformats.org/officeDocument/2006/relationships/image" Target="media/image366.png"/><Relationship Id="rId405" Type="http://schemas.openxmlformats.org/officeDocument/2006/relationships/image" Target="media/image367.png"/><Relationship Id="rId406" Type="http://schemas.openxmlformats.org/officeDocument/2006/relationships/image" Target="media/image368.png"/><Relationship Id="rId407" Type="http://schemas.openxmlformats.org/officeDocument/2006/relationships/image" Target="media/image369.png"/><Relationship Id="rId408" Type="http://schemas.openxmlformats.org/officeDocument/2006/relationships/image" Target="media/image370.png"/><Relationship Id="rId409" Type="http://schemas.openxmlformats.org/officeDocument/2006/relationships/image" Target="media/image371.png"/><Relationship Id="rId410" Type="http://schemas.openxmlformats.org/officeDocument/2006/relationships/image" Target="media/image372.png"/><Relationship Id="rId411" Type="http://schemas.openxmlformats.org/officeDocument/2006/relationships/image" Target="media/image373.png"/><Relationship Id="rId412" Type="http://schemas.openxmlformats.org/officeDocument/2006/relationships/image" Target="media/image374.png"/><Relationship Id="rId413" Type="http://schemas.openxmlformats.org/officeDocument/2006/relationships/image" Target="media/image375.png"/><Relationship Id="rId414" Type="http://schemas.openxmlformats.org/officeDocument/2006/relationships/image" Target="media/image376.png"/><Relationship Id="rId415" Type="http://schemas.openxmlformats.org/officeDocument/2006/relationships/image" Target="media/image377.png"/><Relationship Id="rId416" Type="http://schemas.openxmlformats.org/officeDocument/2006/relationships/image" Target="media/image378.png"/><Relationship Id="rId417" Type="http://schemas.openxmlformats.org/officeDocument/2006/relationships/image" Target="media/image379.png"/><Relationship Id="rId418" Type="http://schemas.openxmlformats.org/officeDocument/2006/relationships/image" Target="media/image380.png"/><Relationship Id="rId419" Type="http://schemas.openxmlformats.org/officeDocument/2006/relationships/image" Target="media/image381.png"/><Relationship Id="rId420" Type="http://schemas.openxmlformats.org/officeDocument/2006/relationships/image" Target="media/image382.png"/><Relationship Id="rId421" Type="http://schemas.openxmlformats.org/officeDocument/2006/relationships/image" Target="media/image383.png"/><Relationship Id="rId422" Type="http://schemas.openxmlformats.org/officeDocument/2006/relationships/image" Target="media/image384.png"/><Relationship Id="rId423" Type="http://schemas.openxmlformats.org/officeDocument/2006/relationships/image" Target="media/image385.png"/><Relationship Id="rId424" Type="http://schemas.openxmlformats.org/officeDocument/2006/relationships/image" Target="media/image386.png"/><Relationship Id="rId425" Type="http://schemas.openxmlformats.org/officeDocument/2006/relationships/image" Target="media/image387.png"/><Relationship Id="rId426" Type="http://schemas.openxmlformats.org/officeDocument/2006/relationships/image" Target="media/image388.png"/><Relationship Id="rId427" Type="http://schemas.openxmlformats.org/officeDocument/2006/relationships/image" Target="media/image389.png"/><Relationship Id="rId428" Type="http://schemas.openxmlformats.org/officeDocument/2006/relationships/image" Target="media/image390.png"/><Relationship Id="rId429" Type="http://schemas.openxmlformats.org/officeDocument/2006/relationships/image" Target="media/image391.png"/><Relationship Id="rId430" Type="http://schemas.openxmlformats.org/officeDocument/2006/relationships/image" Target="media/image392.png"/><Relationship Id="rId431" Type="http://schemas.openxmlformats.org/officeDocument/2006/relationships/image" Target="media/image393.png"/><Relationship Id="rId432" Type="http://schemas.openxmlformats.org/officeDocument/2006/relationships/image" Target="media/image394.png"/><Relationship Id="rId433" Type="http://schemas.openxmlformats.org/officeDocument/2006/relationships/image" Target="media/image395.png"/><Relationship Id="rId434" Type="http://schemas.openxmlformats.org/officeDocument/2006/relationships/image" Target="media/image396.png"/><Relationship Id="rId435" Type="http://schemas.openxmlformats.org/officeDocument/2006/relationships/image" Target="media/image397.png"/><Relationship Id="rId436" Type="http://schemas.openxmlformats.org/officeDocument/2006/relationships/image" Target="media/image398.png"/><Relationship Id="rId437" Type="http://schemas.openxmlformats.org/officeDocument/2006/relationships/image" Target="media/image399.png"/><Relationship Id="rId438" Type="http://schemas.openxmlformats.org/officeDocument/2006/relationships/image" Target="media/image400.png"/><Relationship Id="rId439" Type="http://schemas.openxmlformats.org/officeDocument/2006/relationships/image" Target="media/image401.png"/><Relationship Id="rId440" Type="http://schemas.openxmlformats.org/officeDocument/2006/relationships/image" Target="media/image402.png"/><Relationship Id="rId441" Type="http://schemas.openxmlformats.org/officeDocument/2006/relationships/image" Target="media/image403.png"/><Relationship Id="rId442" Type="http://schemas.openxmlformats.org/officeDocument/2006/relationships/image" Target="media/image404.png"/><Relationship Id="rId443" Type="http://schemas.openxmlformats.org/officeDocument/2006/relationships/image" Target="media/image405.png"/><Relationship Id="rId444" Type="http://schemas.openxmlformats.org/officeDocument/2006/relationships/image" Target="media/image406.png"/><Relationship Id="rId445" Type="http://schemas.openxmlformats.org/officeDocument/2006/relationships/image" Target="media/image407.png"/><Relationship Id="rId446" Type="http://schemas.openxmlformats.org/officeDocument/2006/relationships/image" Target="media/image408.png"/><Relationship Id="rId447" Type="http://schemas.openxmlformats.org/officeDocument/2006/relationships/image" Target="media/image409.png"/><Relationship Id="rId448" Type="http://schemas.openxmlformats.org/officeDocument/2006/relationships/image" Target="media/image410.png"/><Relationship Id="rId449" Type="http://schemas.openxmlformats.org/officeDocument/2006/relationships/image" Target="media/image411.png"/><Relationship Id="rId450" Type="http://schemas.openxmlformats.org/officeDocument/2006/relationships/image" Target="media/image412.png"/><Relationship Id="rId451" Type="http://schemas.openxmlformats.org/officeDocument/2006/relationships/image" Target="media/image413.png"/><Relationship Id="rId452" Type="http://schemas.openxmlformats.org/officeDocument/2006/relationships/image" Target="media/image414.png"/><Relationship Id="rId453" Type="http://schemas.openxmlformats.org/officeDocument/2006/relationships/image" Target="media/image415.png"/><Relationship Id="rId454" Type="http://schemas.openxmlformats.org/officeDocument/2006/relationships/image" Target="media/image416.png"/><Relationship Id="rId455" Type="http://schemas.openxmlformats.org/officeDocument/2006/relationships/image" Target="media/image417.png"/><Relationship Id="rId456" Type="http://schemas.openxmlformats.org/officeDocument/2006/relationships/image" Target="media/image418.png"/><Relationship Id="rId457" Type="http://schemas.openxmlformats.org/officeDocument/2006/relationships/image" Target="media/image419.png"/><Relationship Id="rId458" Type="http://schemas.openxmlformats.org/officeDocument/2006/relationships/image" Target="media/image420.png"/><Relationship Id="rId459" Type="http://schemas.openxmlformats.org/officeDocument/2006/relationships/image" Target="media/image421.png"/><Relationship Id="rId460" Type="http://schemas.openxmlformats.org/officeDocument/2006/relationships/image" Target="media/image422.png"/><Relationship Id="rId461" Type="http://schemas.openxmlformats.org/officeDocument/2006/relationships/image" Target="media/image423.png"/><Relationship Id="rId462" Type="http://schemas.openxmlformats.org/officeDocument/2006/relationships/image" Target="media/image424.png"/><Relationship Id="rId463" Type="http://schemas.openxmlformats.org/officeDocument/2006/relationships/image" Target="media/image425.png"/><Relationship Id="rId464" Type="http://schemas.openxmlformats.org/officeDocument/2006/relationships/image" Target="media/image426.png"/><Relationship Id="rId465" Type="http://schemas.openxmlformats.org/officeDocument/2006/relationships/image" Target="media/image427.png"/><Relationship Id="rId466" Type="http://schemas.openxmlformats.org/officeDocument/2006/relationships/image" Target="media/image428.png"/><Relationship Id="rId467" Type="http://schemas.openxmlformats.org/officeDocument/2006/relationships/image" Target="media/image429.png"/><Relationship Id="rId468" Type="http://schemas.openxmlformats.org/officeDocument/2006/relationships/image" Target="media/image430.png"/><Relationship Id="rId469" Type="http://schemas.openxmlformats.org/officeDocument/2006/relationships/image" Target="media/image431.png"/><Relationship Id="rId470" Type="http://schemas.openxmlformats.org/officeDocument/2006/relationships/image" Target="media/image432.png"/><Relationship Id="rId471" Type="http://schemas.openxmlformats.org/officeDocument/2006/relationships/image" Target="media/image433.png"/><Relationship Id="rId472" Type="http://schemas.openxmlformats.org/officeDocument/2006/relationships/image" Target="media/image434.png"/><Relationship Id="rId473" Type="http://schemas.openxmlformats.org/officeDocument/2006/relationships/image" Target="media/image435.png"/><Relationship Id="rId474" Type="http://schemas.openxmlformats.org/officeDocument/2006/relationships/image" Target="media/image436.png"/><Relationship Id="rId475" Type="http://schemas.openxmlformats.org/officeDocument/2006/relationships/image" Target="media/image437.png"/><Relationship Id="rId476" Type="http://schemas.openxmlformats.org/officeDocument/2006/relationships/image" Target="media/image438.png"/><Relationship Id="rId477" Type="http://schemas.openxmlformats.org/officeDocument/2006/relationships/image" Target="media/image439.png"/><Relationship Id="rId478" Type="http://schemas.openxmlformats.org/officeDocument/2006/relationships/image" Target="media/image440.png"/><Relationship Id="rId479" Type="http://schemas.openxmlformats.org/officeDocument/2006/relationships/image" Target="media/image441.png"/><Relationship Id="rId480" Type="http://schemas.openxmlformats.org/officeDocument/2006/relationships/image" Target="media/image442.png"/><Relationship Id="rId481" Type="http://schemas.openxmlformats.org/officeDocument/2006/relationships/image" Target="media/image443.png"/><Relationship Id="rId482" Type="http://schemas.openxmlformats.org/officeDocument/2006/relationships/image" Target="media/image444.png"/><Relationship Id="rId483" Type="http://schemas.openxmlformats.org/officeDocument/2006/relationships/image" Target="media/image445.png"/><Relationship Id="rId484" Type="http://schemas.openxmlformats.org/officeDocument/2006/relationships/image" Target="media/image446.png"/><Relationship Id="rId485" Type="http://schemas.openxmlformats.org/officeDocument/2006/relationships/image" Target="media/image447.png"/><Relationship Id="rId486" Type="http://schemas.openxmlformats.org/officeDocument/2006/relationships/image" Target="media/image448.png"/><Relationship Id="rId487" Type="http://schemas.openxmlformats.org/officeDocument/2006/relationships/image" Target="media/image449.png"/><Relationship Id="rId488" Type="http://schemas.openxmlformats.org/officeDocument/2006/relationships/image" Target="media/image450.png"/><Relationship Id="rId489" Type="http://schemas.openxmlformats.org/officeDocument/2006/relationships/image" Target="media/image451.png"/><Relationship Id="rId490" Type="http://schemas.openxmlformats.org/officeDocument/2006/relationships/image" Target="media/image452.png"/><Relationship Id="rId491" Type="http://schemas.openxmlformats.org/officeDocument/2006/relationships/image" Target="media/image453.png"/><Relationship Id="rId492" Type="http://schemas.openxmlformats.org/officeDocument/2006/relationships/image" Target="media/image454.png"/><Relationship Id="rId493" Type="http://schemas.openxmlformats.org/officeDocument/2006/relationships/image" Target="media/image455.png"/><Relationship Id="rId494" Type="http://schemas.openxmlformats.org/officeDocument/2006/relationships/image" Target="media/image456.png"/><Relationship Id="rId495" Type="http://schemas.openxmlformats.org/officeDocument/2006/relationships/image" Target="media/image457.png"/><Relationship Id="rId496" Type="http://schemas.openxmlformats.org/officeDocument/2006/relationships/image" Target="media/image458.png"/><Relationship Id="rId497" Type="http://schemas.openxmlformats.org/officeDocument/2006/relationships/image" Target="media/image459.png"/><Relationship Id="rId498" Type="http://schemas.openxmlformats.org/officeDocument/2006/relationships/image" Target="media/image460.png"/><Relationship Id="rId499" Type="http://schemas.openxmlformats.org/officeDocument/2006/relationships/image" Target="media/image461.png"/><Relationship Id="rId500" Type="http://schemas.openxmlformats.org/officeDocument/2006/relationships/image" Target="media/image462.png"/><Relationship Id="rId501" Type="http://schemas.openxmlformats.org/officeDocument/2006/relationships/image" Target="media/image463.png"/><Relationship Id="rId502" Type="http://schemas.openxmlformats.org/officeDocument/2006/relationships/image" Target="media/image464.png"/><Relationship Id="rId503" Type="http://schemas.openxmlformats.org/officeDocument/2006/relationships/image" Target="media/image465.png"/><Relationship Id="rId504" Type="http://schemas.openxmlformats.org/officeDocument/2006/relationships/image" Target="media/image466.png"/><Relationship Id="rId505" Type="http://schemas.openxmlformats.org/officeDocument/2006/relationships/image" Target="media/image467.png"/><Relationship Id="rId506" Type="http://schemas.openxmlformats.org/officeDocument/2006/relationships/image" Target="media/image468.png"/><Relationship Id="rId507" Type="http://schemas.openxmlformats.org/officeDocument/2006/relationships/image" Target="media/image469.png"/><Relationship Id="rId508" Type="http://schemas.openxmlformats.org/officeDocument/2006/relationships/image" Target="media/image470.png"/><Relationship Id="rId509" Type="http://schemas.openxmlformats.org/officeDocument/2006/relationships/image" Target="media/image471.png"/><Relationship Id="rId510" Type="http://schemas.openxmlformats.org/officeDocument/2006/relationships/image" Target="media/image472.png"/><Relationship Id="rId511" Type="http://schemas.openxmlformats.org/officeDocument/2006/relationships/image" Target="media/image473.png"/><Relationship Id="rId512" Type="http://schemas.openxmlformats.org/officeDocument/2006/relationships/image" Target="media/image474.png"/><Relationship Id="rId513" Type="http://schemas.openxmlformats.org/officeDocument/2006/relationships/image" Target="media/image475.png"/><Relationship Id="rId514" Type="http://schemas.openxmlformats.org/officeDocument/2006/relationships/image" Target="media/image476.png"/><Relationship Id="rId515" Type="http://schemas.openxmlformats.org/officeDocument/2006/relationships/image" Target="media/image477.png"/><Relationship Id="rId516" Type="http://schemas.openxmlformats.org/officeDocument/2006/relationships/image" Target="media/image478.png"/><Relationship Id="rId517" Type="http://schemas.openxmlformats.org/officeDocument/2006/relationships/image" Target="media/image479.png"/><Relationship Id="rId518" Type="http://schemas.openxmlformats.org/officeDocument/2006/relationships/image" Target="media/image480.png"/><Relationship Id="rId519" Type="http://schemas.openxmlformats.org/officeDocument/2006/relationships/image" Target="media/image481.png"/><Relationship Id="rId520" Type="http://schemas.openxmlformats.org/officeDocument/2006/relationships/image" Target="media/image482.png"/><Relationship Id="rId521" Type="http://schemas.openxmlformats.org/officeDocument/2006/relationships/image" Target="media/image483.png"/><Relationship Id="rId522" Type="http://schemas.openxmlformats.org/officeDocument/2006/relationships/image" Target="media/image484.png"/><Relationship Id="rId523" Type="http://schemas.openxmlformats.org/officeDocument/2006/relationships/image" Target="media/image485.png"/><Relationship Id="rId524" Type="http://schemas.openxmlformats.org/officeDocument/2006/relationships/image" Target="media/image486.png"/><Relationship Id="rId525" Type="http://schemas.openxmlformats.org/officeDocument/2006/relationships/image" Target="media/image487.png"/><Relationship Id="rId526" Type="http://schemas.openxmlformats.org/officeDocument/2006/relationships/image" Target="media/image488.png"/><Relationship Id="rId527" Type="http://schemas.openxmlformats.org/officeDocument/2006/relationships/image" Target="media/image489.png"/><Relationship Id="rId528" Type="http://schemas.openxmlformats.org/officeDocument/2006/relationships/image" Target="media/image490.png"/><Relationship Id="rId529" Type="http://schemas.openxmlformats.org/officeDocument/2006/relationships/image" Target="media/image491.png"/><Relationship Id="rId530" Type="http://schemas.openxmlformats.org/officeDocument/2006/relationships/image" Target="media/image492.png"/><Relationship Id="rId531" Type="http://schemas.openxmlformats.org/officeDocument/2006/relationships/image" Target="media/image493.png"/><Relationship Id="rId532" Type="http://schemas.openxmlformats.org/officeDocument/2006/relationships/image" Target="media/image494.png"/><Relationship Id="rId533" Type="http://schemas.openxmlformats.org/officeDocument/2006/relationships/image" Target="media/image495.png"/><Relationship Id="rId534" Type="http://schemas.openxmlformats.org/officeDocument/2006/relationships/image" Target="media/image496.png"/><Relationship Id="rId535" Type="http://schemas.openxmlformats.org/officeDocument/2006/relationships/image" Target="media/image497.png"/><Relationship Id="rId536" Type="http://schemas.openxmlformats.org/officeDocument/2006/relationships/image" Target="media/image498.png"/><Relationship Id="rId537" Type="http://schemas.openxmlformats.org/officeDocument/2006/relationships/image" Target="media/image499.png"/><Relationship Id="rId538" Type="http://schemas.openxmlformats.org/officeDocument/2006/relationships/image" Target="media/image500.png"/><Relationship Id="rId539" Type="http://schemas.openxmlformats.org/officeDocument/2006/relationships/image" Target="media/image501.png"/><Relationship Id="rId540" Type="http://schemas.openxmlformats.org/officeDocument/2006/relationships/image" Target="media/image502.png"/><Relationship Id="rId541" Type="http://schemas.openxmlformats.org/officeDocument/2006/relationships/image" Target="media/image503.png"/><Relationship Id="rId542" Type="http://schemas.openxmlformats.org/officeDocument/2006/relationships/image" Target="media/image504.png"/><Relationship Id="rId543" Type="http://schemas.openxmlformats.org/officeDocument/2006/relationships/image" Target="media/image505.png"/><Relationship Id="rId544" Type="http://schemas.openxmlformats.org/officeDocument/2006/relationships/image" Target="media/image506.png"/><Relationship Id="rId545" Type="http://schemas.openxmlformats.org/officeDocument/2006/relationships/image" Target="media/image507.png"/><Relationship Id="rId546" Type="http://schemas.openxmlformats.org/officeDocument/2006/relationships/image" Target="media/image508.png"/><Relationship Id="rId547" Type="http://schemas.openxmlformats.org/officeDocument/2006/relationships/image" Target="media/image509.png"/><Relationship Id="rId548" Type="http://schemas.openxmlformats.org/officeDocument/2006/relationships/image" Target="media/image510.png"/><Relationship Id="rId549" Type="http://schemas.openxmlformats.org/officeDocument/2006/relationships/image" Target="media/image511.png"/><Relationship Id="rId550" Type="http://schemas.openxmlformats.org/officeDocument/2006/relationships/image" Target="media/image512.png"/><Relationship Id="rId551" Type="http://schemas.openxmlformats.org/officeDocument/2006/relationships/image" Target="media/image513.png"/><Relationship Id="rId552" Type="http://schemas.openxmlformats.org/officeDocument/2006/relationships/image" Target="media/image514.png"/><Relationship Id="rId553" Type="http://schemas.openxmlformats.org/officeDocument/2006/relationships/image" Target="media/image515.png"/><Relationship Id="rId554" Type="http://schemas.openxmlformats.org/officeDocument/2006/relationships/image" Target="media/image516.png"/><Relationship Id="rId555" Type="http://schemas.openxmlformats.org/officeDocument/2006/relationships/image" Target="media/image517.png"/><Relationship Id="rId556" Type="http://schemas.openxmlformats.org/officeDocument/2006/relationships/image" Target="media/image518.png"/><Relationship Id="rId557" Type="http://schemas.openxmlformats.org/officeDocument/2006/relationships/image" Target="media/image519.png"/><Relationship Id="rId558" Type="http://schemas.openxmlformats.org/officeDocument/2006/relationships/image" Target="media/image520.jpeg"/><Relationship Id="rId559" Type="http://schemas.openxmlformats.org/officeDocument/2006/relationships/image" Target="media/image521.png"/><Relationship Id="rId560" Type="http://schemas.openxmlformats.org/officeDocument/2006/relationships/image" Target="media/image522.png"/><Relationship Id="rId561" Type="http://schemas.openxmlformats.org/officeDocument/2006/relationships/image" Target="media/image523.png"/><Relationship Id="rId562" Type="http://schemas.openxmlformats.org/officeDocument/2006/relationships/image" Target="media/image524.png"/><Relationship Id="rId563" Type="http://schemas.openxmlformats.org/officeDocument/2006/relationships/image" Target="media/image525.png"/><Relationship Id="rId564" Type="http://schemas.openxmlformats.org/officeDocument/2006/relationships/image" Target="media/image526.png"/><Relationship Id="rId565" Type="http://schemas.openxmlformats.org/officeDocument/2006/relationships/image" Target="media/image527.png"/><Relationship Id="rId566" Type="http://schemas.openxmlformats.org/officeDocument/2006/relationships/image" Target="media/image528.png"/><Relationship Id="rId567" Type="http://schemas.openxmlformats.org/officeDocument/2006/relationships/image" Target="media/image529.png"/><Relationship Id="rId568" Type="http://schemas.openxmlformats.org/officeDocument/2006/relationships/image" Target="media/image530.png"/><Relationship Id="rId569" Type="http://schemas.openxmlformats.org/officeDocument/2006/relationships/image" Target="media/image531.png"/><Relationship Id="rId570" Type="http://schemas.openxmlformats.org/officeDocument/2006/relationships/image" Target="media/image532.png"/><Relationship Id="rId571" Type="http://schemas.openxmlformats.org/officeDocument/2006/relationships/image" Target="media/image533.png"/><Relationship Id="rId572" Type="http://schemas.openxmlformats.org/officeDocument/2006/relationships/image" Target="media/image534.png"/><Relationship Id="rId573" Type="http://schemas.openxmlformats.org/officeDocument/2006/relationships/image" Target="media/image535.png"/><Relationship Id="rId574" Type="http://schemas.openxmlformats.org/officeDocument/2006/relationships/image" Target="media/image536.png"/><Relationship Id="rId575" Type="http://schemas.openxmlformats.org/officeDocument/2006/relationships/image" Target="media/image537.png"/><Relationship Id="rId576" Type="http://schemas.openxmlformats.org/officeDocument/2006/relationships/image" Target="media/image538.png"/><Relationship Id="rId577" Type="http://schemas.openxmlformats.org/officeDocument/2006/relationships/image" Target="media/image539.png"/><Relationship Id="rId181" Type="http://schemas.openxmlformats.org/officeDocument/2006/relationships/hyperlink" Target="https://www.sec.gov/Archives/edgar/data/0001832038/000119312521242044/d211424dex31.htm" TargetMode="External"/><Relationship Id="rId182" Type="http://schemas.openxmlformats.org/officeDocument/2006/relationships/hyperlink" Target="https://www.sec.gov/Archives/edgar/data/1832038/000119312522243285/d388436dex31.htm" TargetMode="External"/><Relationship Id="rId183" Type="http://schemas.openxmlformats.org/officeDocument/2006/relationships/hyperlink" Target="https://www.sec.gov/Archives/edgar/data/1832038/000119312523154233/d473409dex31.htm" TargetMode="External"/><Relationship Id="rId184" Type="http://schemas.openxmlformats.org/officeDocument/2006/relationships/hyperlink" Target="https://www.sec.gov/Archives/edgar/data/1832038/000119312522243285/d388436dex32.htm" TargetMode="External"/><Relationship Id="rId185" Type="http://schemas.openxmlformats.org/officeDocument/2006/relationships/hyperlink" Target="https://www.sec.gov/Archives/edgar/data/1832038/000119312523154233/d473409dex32.htm" TargetMode="External"/><Relationship Id="rId186" Type="http://schemas.openxmlformats.org/officeDocument/2006/relationships/hyperlink" Target="https://www.sec.gov/Archives/edgar/data/1832038/000119312522253372/d392092dex33.htm" TargetMode="External"/><Relationship Id="rId187" Type="http://schemas.openxmlformats.org/officeDocument/2006/relationships/hyperlink" Target="https://www.sec.gov/Archives/edgar/data/0001832038/000119312521217506/d549501dex41.htm" TargetMode="External"/><Relationship Id="rId188" Type="http://schemas.openxmlformats.org/officeDocument/2006/relationships/hyperlink" Target="https://www.sec.gov/Archives/edgar/data/1832038/000095017023009516/ivvd-ex4_3.htm" TargetMode="External"/><Relationship Id="rId189" Type="http://schemas.openxmlformats.org/officeDocument/2006/relationships/hyperlink" Target="https://www.sec.gov/Archives/edgar/data/1832038/000095017025110952/ivvd-ex4_1.htm" TargetMode="External"/><Relationship Id="rId190" Type="http://schemas.openxmlformats.org/officeDocument/2006/relationships/hyperlink" Target="https://www.sec.gov/Archives/edgar/data/1832038/000119312525288347/ivvd-ex4_1.htm" TargetMode="External"/><Relationship Id="rId191" Type="http://schemas.openxmlformats.org/officeDocument/2006/relationships/hyperlink" Target="https://www.sec.gov/Archives/edgar/data/1832038/000095017022024516/ivvd-ex10_4.htm" TargetMode="External"/><Relationship Id="rId192" Type="http://schemas.openxmlformats.org/officeDocument/2006/relationships/hyperlink" Target="https://www.sec.gov/Archives/edgar/data/1832038/000095017022024516/ivvd-ex10_6.htm" TargetMode="External"/><Relationship Id="rId193" Type="http://schemas.openxmlformats.org/officeDocument/2006/relationships/hyperlink" Target="https://www.sec.gov/Archives/edgar/data/1832038/000095017022005112/adgi-ex10_11.htm" TargetMode="External"/><Relationship Id="rId196" Type="http://schemas.openxmlformats.org/officeDocument/2006/relationships/hyperlink" Target="https://www.sec.gov/Archives/edgar/data/1832038/000095017024037610/ivvd-ex10_12.htm" TargetMode="External"/><Relationship Id="rId197" Type="http://schemas.openxmlformats.org/officeDocument/2006/relationships/hyperlink" Target="https://www.sec.gov/Archives/edgar/data/1832038/000119312523228074/d539466dex101.htm" TargetMode="External"/><Relationship Id="rId198" Type="http://schemas.openxmlformats.org/officeDocument/2006/relationships/hyperlink" Target="https://www.sec.gov/Archives/edgar/data/1832038/000095017024037610/ivvd-ex10_14.htm" TargetMode="External"/><Relationship Id="rId199" Type="http://schemas.openxmlformats.org/officeDocument/2006/relationships/hyperlink" Target="https://www.sec.gov/Archives/edgar/data/1832038/000095017025042332/ivvd-ex10_15.htm" TargetMode="External"/><Relationship Id="rId200" Type="http://schemas.openxmlformats.org/officeDocument/2006/relationships/hyperlink" Target="https://www.sec.gov/Archives/edgar/data/1832038/000095017025042332/ivvd-ex10_16.htm" TargetMode="External"/><Relationship Id="rId201" Type="http://schemas.openxmlformats.org/officeDocument/2006/relationships/hyperlink" Target="https://www.sec.gov/Archives/edgar/data/1832038/000095017023021235/ivvd-ex10_3.htm" TargetMode="External"/><Relationship Id="rId202" Type="http://schemas.openxmlformats.org/officeDocument/2006/relationships/hyperlink" Target="https://www.sec.gov/Archives/edgar/data/1832038/000119312521217506/d549501dex105.htm" TargetMode="External"/><Relationship Id="rId203" Type="http://schemas.openxmlformats.org/officeDocument/2006/relationships/hyperlink" Target="https://www.sec.gov/Archives/edgar/data/1832038/000119312521217506/d549501dex106.htm" TargetMode="External"/><Relationship Id="rId204" Type="http://schemas.openxmlformats.org/officeDocument/2006/relationships/hyperlink" Target="https://www.sec.gov/Archives/edgar/data/1832038/000095017023009516/ivvd-ex10_13.htm" TargetMode="External"/><Relationship Id="rId205" Type="http://schemas.openxmlformats.org/officeDocument/2006/relationships/hyperlink" Target="https://www.sec.gov/Archives/edgar/data/1832038/000095017023062043/ivvd-ex10_2.htm" TargetMode="External"/><Relationship Id="rId206" Type="http://schemas.openxmlformats.org/officeDocument/2006/relationships/hyperlink" Target="https://www.sec.gov/Archives/edgar/data/1832038/000095017023062043/ivvd-ex10_3.htm" TargetMode="External"/><Relationship Id="rId207" Type="http://schemas.openxmlformats.org/officeDocument/2006/relationships/hyperlink" Target="https://www.sec.gov/Archives/edgar/data/1832038/000119312521217506/d549501dex108.htm" TargetMode="External"/><Relationship Id="rId208" Type="http://schemas.openxmlformats.org/officeDocument/2006/relationships/hyperlink" Target="https://www.sec.gov/Archives/edgar/data/1832038/000095017023009516/ivvd-ex10_16.htm" TargetMode="External"/><Relationship Id="rId209" Type="http://schemas.openxmlformats.org/officeDocument/2006/relationships/hyperlink" Target="https://www.sec.gov/Archives/edgar/data/1832038/000095017024037610/ivvd-ex10_23.htm" TargetMode="External"/><Relationship Id="rId212" Type="http://schemas.openxmlformats.org/officeDocument/2006/relationships/hyperlink" Target="https://www.sec.gov/Archives/edgar/data/1832038/000095017023009516/ivvd-ex10_17.htm" TargetMode="External"/><Relationship Id="rId213" Type="http://schemas.openxmlformats.org/officeDocument/2006/relationships/hyperlink" Target="https://www.sec.gov/Archives/edgar/data/1832038/000119312523302195/d547148dex101.htm" TargetMode="External"/><Relationship Id="rId214" Type="http://schemas.openxmlformats.org/officeDocument/2006/relationships/hyperlink" Target="https://www.sec.gov/Archives/edgar/data/1832038/000095017025056005/ivvd-ex10_1.htm" TargetMode="External"/><Relationship Id="rId215" Type="http://schemas.openxmlformats.org/officeDocument/2006/relationships/hyperlink" Target="https://www.sec.gov/Archives/edgar/data/1832038/000095017024037610/ivvd-ex97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2026-03-05T06:29:16Z</dcterms:created>
  <dcterms:modified xsi:type="dcterms:W3CDTF">2026-03-05T06:29:16Z</dcterms:modified>
</cp:coreProperties>
</file>