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63"/>
        <w:spacing w:after="0"/>
        <w:rPr>
          <w:sz w:val="20"/>
          <w:szCs w:val="20"/>
          <w:color w:val="auto"/>
        </w:rPr>
      </w:pPr>
      <w:r>
        <w:rPr>
          <w:rFonts w:ascii="Arial" w:cs="Arial" w:eastAsia="Arial" w:hAnsi="Arial"/>
          <w:sz w:val="32"/>
          <w:szCs w:val="32"/>
          <w:b w:val="1"/>
          <w:bCs w:val="1"/>
          <w:color w:val="auto"/>
        </w:rPr>
        <w:t>SCHEDULE 13D</w:t>
      </w:r>
    </w:p>
    <w:p>
      <w:pPr>
        <w:spacing w:after="0" w:line="226"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63"/>
        <w:spacing w:after="0"/>
        <w:rPr>
          <w:sz w:val="20"/>
          <w:szCs w:val="20"/>
          <w:color w:val="auto"/>
        </w:rPr>
      </w:pPr>
      <w:r>
        <w:rPr>
          <w:rFonts w:ascii="Arial" w:cs="Arial" w:eastAsia="Arial" w:hAnsi="Arial"/>
          <w:sz w:val="22"/>
          <w:szCs w:val="22"/>
          <w:b w:val="1"/>
          <w:bCs w:val="1"/>
          <w:color w:val="auto"/>
        </w:rPr>
        <w:t>(Amendment No. 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63"/>
        <w:spacing w:after="0"/>
        <w:rPr>
          <w:sz w:val="20"/>
          <w:szCs w:val="20"/>
          <w:color w:val="auto"/>
        </w:rPr>
      </w:pPr>
      <w:r>
        <w:rPr>
          <w:rFonts w:ascii="Arial" w:cs="Arial" w:eastAsia="Arial" w:hAnsi="Arial"/>
          <w:sz w:val="40"/>
          <w:szCs w:val="40"/>
          <w:b w:val="1"/>
          <w:bCs w:val="1"/>
          <w:color w:val="auto"/>
        </w:rPr>
        <w:t>ADAGIO THERAPEUTICS, INC.</w:t>
      </w:r>
    </w:p>
    <w:p>
      <w:pPr>
        <w:spacing w:after="0" w:line="3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(Name of Issuer)</w:t>
      </w:r>
    </w:p>
    <w:p>
      <w:pPr>
        <w:spacing w:after="0" w:line="205"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Common Stock, $0.0001 par value per share</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(Title of Class of Securities)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00534A102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(CUSIP Number)</w:t>
      </w:r>
    </w:p>
    <w:p>
      <w:pPr>
        <w:spacing w:after="0" w:line="192" w:lineRule="exact"/>
        <w:rPr>
          <w:sz w:val="24"/>
          <w:szCs w:val="24"/>
          <w:color w:val="auto"/>
        </w:rPr>
      </w:pPr>
    </w:p>
    <w:p>
      <w:pPr>
        <w:ind w:left="5044"/>
        <w:spacing w:after="0"/>
        <w:rPr>
          <w:sz w:val="20"/>
          <w:szCs w:val="20"/>
          <w:color w:val="auto"/>
        </w:rPr>
      </w:pPr>
      <w:r>
        <w:rPr>
          <w:rFonts w:ascii="Arial" w:cs="Arial" w:eastAsia="Arial" w:hAnsi="Arial"/>
          <w:sz w:val="18"/>
          <w:szCs w:val="18"/>
          <w:b w:val="1"/>
          <w:bCs w:val="1"/>
          <w:color w:val="auto"/>
        </w:rPr>
        <w:t>Ajay Royan</w:t>
      </w:r>
    </w:p>
    <w:p>
      <w:pPr>
        <w:spacing w:after="0" w:line="27" w:lineRule="exact"/>
        <w:rPr>
          <w:sz w:val="24"/>
          <w:szCs w:val="24"/>
          <w:color w:val="auto"/>
        </w:rPr>
      </w:pPr>
    </w:p>
    <w:p>
      <w:pPr>
        <w:ind w:left="5004"/>
        <w:spacing w:after="0"/>
        <w:rPr>
          <w:sz w:val="20"/>
          <w:szCs w:val="20"/>
          <w:color w:val="auto"/>
        </w:rPr>
      </w:pPr>
      <w:r>
        <w:rPr>
          <w:rFonts w:ascii="Arial" w:cs="Arial" w:eastAsia="Arial" w:hAnsi="Arial"/>
          <w:sz w:val="18"/>
          <w:szCs w:val="18"/>
          <w:b w:val="1"/>
          <w:bCs w:val="1"/>
          <w:color w:val="auto"/>
        </w:rPr>
        <w:t>Mithril II LP</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c/o Mithril Capital Management</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600 Congress Avenue, Suite 3100</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Austin, TX 78701</w:t>
      </w:r>
    </w:p>
    <w:p>
      <w:pPr>
        <w:spacing w:after="0" w:line="9"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(512) 717-3770</w:t>
      </w:r>
    </w:p>
    <w:p>
      <w:pPr>
        <w:spacing w:after="0" w:line="2"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(Name, Address and Telephone Number of Person Authorized to Receive Notices and Communications)</w:t>
      </w:r>
    </w:p>
    <w:p>
      <w:pPr>
        <w:spacing w:after="0" w:line="192" w:lineRule="exact"/>
        <w:rPr>
          <w:sz w:val="24"/>
          <w:szCs w:val="24"/>
          <w:color w:val="auto"/>
        </w:rPr>
      </w:pPr>
    </w:p>
    <w:p>
      <w:pPr>
        <w:jc w:val="center"/>
        <w:ind w:right="-63"/>
        <w:spacing w:after="0"/>
        <w:rPr>
          <w:sz w:val="20"/>
          <w:szCs w:val="20"/>
          <w:color w:val="auto"/>
        </w:rPr>
      </w:pPr>
      <w:r>
        <w:rPr>
          <w:rFonts w:ascii="Arial" w:cs="Arial" w:eastAsia="Arial" w:hAnsi="Arial"/>
          <w:sz w:val="18"/>
          <w:szCs w:val="18"/>
          <w:b w:val="1"/>
          <w:bCs w:val="1"/>
          <w:color w:val="auto"/>
        </w:rPr>
        <w:t>April 25, 2022</w:t>
      </w:r>
    </w:p>
    <w:p>
      <w:pPr>
        <w:spacing w:after="0" w:line="21" w:lineRule="exact"/>
        <w:rPr>
          <w:sz w:val="24"/>
          <w:szCs w:val="24"/>
          <w:color w:val="auto"/>
        </w:rPr>
      </w:pPr>
    </w:p>
    <w:p>
      <w:pPr>
        <w:jc w:val="center"/>
        <w:ind w:right="-63"/>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left="4" w:right="120"/>
        <w:spacing w:after="0" w:line="233" w:lineRule="exact"/>
        <w:rPr>
          <w:sz w:val="20"/>
          <w:szCs w:val="20"/>
          <w:color w:val="auto"/>
        </w:rPr>
      </w:pPr>
      <w:r>
        <w:rPr>
          <w:rFonts w:ascii="Arial" w:cs="Arial" w:eastAsia="Arial" w:hAnsi="Arial"/>
          <w:sz w:val="18"/>
          <w:szCs w:val="18"/>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4"/>
          <w:szCs w:val="24"/>
          <w:color w:val="auto"/>
        </w:rPr>
      </w:pPr>
    </w:p>
    <w:p>
      <w:pPr>
        <w:ind w:left="424" w:hanging="424"/>
        <w:spacing w:after="0" w:line="308" w:lineRule="auto"/>
        <w:tabs>
          <w:tab w:leader="none" w:pos="424" w:val="left"/>
        </w:tabs>
        <w:numPr>
          <w:ilvl w:val="0"/>
          <w:numId w:val="1"/>
        </w:numPr>
        <w:rPr>
          <w:rFonts w:ascii="Arial" w:cs="Arial" w:eastAsia="Arial" w:hAnsi="Arial"/>
          <w:sz w:val="17"/>
          <w:szCs w:val="17"/>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46" w:lineRule="exact"/>
        <w:rPr>
          <w:sz w:val="24"/>
          <w:szCs w:val="24"/>
          <w:color w:val="auto"/>
        </w:rPr>
      </w:pPr>
    </w:p>
    <w:p>
      <w:pPr>
        <w:ind w:left="4" w:right="20"/>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w:t>
      </w:r>
      <w:r>
        <w:rPr>
          <w:rFonts w:ascii="Arial" w:cs="Arial" w:eastAsia="Arial" w:hAnsi="Arial"/>
          <w:sz w:val="18"/>
          <w:szCs w:val="18"/>
          <w:u w:val="single" w:color="auto"/>
          <w:color w:val="auto"/>
        </w:rPr>
        <w:t>Act</w:t>
      </w:r>
      <w:r>
        <w:rPr>
          <w:rFonts w:ascii="Arial" w:cs="Arial" w:eastAsia="Arial" w:hAnsi="Arial"/>
          <w:sz w:val="18"/>
          <w:szCs w:val="18"/>
          <w:color w:val="auto"/>
        </w:rPr>
        <w:t>”) or otherwise subject to the liabilities of that section of the Act but shall be subject to all other provisions of the Act (however, see the Notes).</w:t>
      </w:r>
    </w:p>
    <w:p>
      <w:pPr>
        <w:spacing w:after="0" w:line="184" w:lineRule="exact"/>
        <w:rPr>
          <w:sz w:val="24"/>
          <w:szCs w:val="24"/>
          <w:color w:val="auto"/>
        </w:rPr>
      </w:pPr>
    </w:p>
    <w:p>
      <w:pPr>
        <w:jc w:val="center"/>
        <w:ind w:right="-63"/>
        <w:spacing w:after="0"/>
        <w:rPr>
          <w:sz w:val="20"/>
          <w:szCs w:val="20"/>
          <w:color w:val="auto"/>
        </w:rPr>
      </w:pPr>
      <w:r>
        <w:rPr>
          <w:rFonts w:ascii="Arial" w:cs="Arial" w:eastAsia="Arial" w:hAnsi="Arial"/>
          <w:sz w:val="18"/>
          <w:szCs w:val="18"/>
          <w:color w:val="auto"/>
        </w:rPr>
        <w:t>(Continued on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160655</wp:posOffset>
            </wp:positionV>
            <wp:extent cx="69951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203200</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44"/>
          </w:cols>
          <w:pgMar w:left="436" w:top="368" w:right="519" w:bottom="1440" w:gutter="0" w:footer="0" w:header="0"/>
        </w:sectPr>
      </w:pPr>
    </w:p>
    <w:bookmarkStart w:id="1" w:name="page2"/>
    <w:bookmarkEnd w:id="1"/>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Mithril II LP</w:t>
      </w:r>
    </w:p>
    <w:p>
      <w:pPr>
        <w:spacing w:after="0" w:line="36" w:lineRule="exact"/>
        <w:rPr>
          <w:sz w:val="20"/>
          <w:szCs w:val="20"/>
          <w:color w:val="auto"/>
        </w:rPr>
      </w:pPr>
    </w:p>
    <w:p>
      <w:pPr>
        <w:ind w:left="624" w:hanging="377"/>
        <w:spacing w:after="0"/>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5"/>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WC</w:t>
      </w:r>
    </w:p>
    <w:p>
      <w:pPr>
        <w:spacing w:after="0" w:line="36" w:lineRule="exact"/>
        <w:rPr>
          <w:sz w:val="20"/>
          <w:szCs w:val="20"/>
          <w:color w:val="auto"/>
        </w:rPr>
      </w:pPr>
    </w:p>
    <w:p>
      <w:pPr>
        <w:ind w:left="624" w:hanging="377"/>
        <w:spacing w:after="0"/>
        <w:tabs>
          <w:tab w:leader="none" w:pos="624" w:val="left"/>
        </w:tabs>
        <w:numPr>
          <w:ilvl w:val="0"/>
          <w:numId w:val="6"/>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8"/>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8"/>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8"/>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40" w:hanging="424"/>
        <w:spacing w:after="0" w:line="268" w:lineRule="auto"/>
        <w:tabs>
          <w:tab w:leader="none" w:pos="424" w:val="left"/>
        </w:tabs>
        <w:numPr>
          <w:ilvl w:val="0"/>
          <w:numId w:val="9"/>
        </w:numPr>
        <w:rPr>
          <w:rFonts w:ascii="Arial" w:cs="Arial" w:eastAsia="Arial" w:hAnsi="Arial"/>
          <w:sz w:val="17"/>
          <w:szCs w:val="17"/>
          <w:color w:val="auto"/>
        </w:rPr>
      </w:pPr>
      <w:r>
        <w:rPr>
          <w:rFonts w:ascii="Arial" w:cs="Arial" w:eastAsia="Arial" w:hAnsi="Arial"/>
          <w:sz w:val="17"/>
          <w:szCs w:val="17"/>
          <w:color w:val="auto"/>
        </w:rPr>
        <w:t>All shares are held of record by Mithril II (as defined in Item 2(a) of the Original 13D). Mithril II UGP (as defined in Item 2(a) of the Original 13D) is the general partner of Mithril II GP (as defined in Item 2(a) of the Original 13D), which is the general partner of Mithril II and each of Mithril II UGP and Mithril II GP may be deemed to have shared voting, investment and dispositive power with respect to these securities. Ajay Royan, a member of the Issuer’s board of directors (the “</w:t>
      </w:r>
      <w:r>
        <w:rPr>
          <w:rFonts w:ascii="Arial" w:cs="Arial" w:eastAsia="Arial" w:hAnsi="Arial"/>
          <w:sz w:val="17"/>
          <w:szCs w:val="17"/>
          <w:u w:val="single" w:color="auto"/>
          <w:color w:val="auto"/>
        </w:rPr>
        <w:t>Board</w:t>
      </w:r>
      <w:r>
        <w:rPr>
          <w:rFonts w:ascii="Arial" w:cs="Arial" w:eastAsia="Arial" w:hAnsi="Arial"/>
          <w:sz w:val="17"/>
          <w:szCs w:val="17"/>
          <w:color w:val="auto"/>
        </w:rPr>
        <w:t>”),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ind w:left="424" w:right="340" w:hanging="424"/>
        <w:spacing w:after="0" w:line="260" w:lineRule="auto"/>
        <w:tabs>
          <w:tab w:leader="none" w:pos="424"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its annual report on Form 10-K filed with the Commission (as defined in the Original 13D) on March 31, 2022 (the “</w:t>
      </w:r>
      <w:r>
        <w:rPr>
          <w:rFonts w:ascii="Arial" w:cs="Arial" w:eastAsia="Arial" w:hAnsi="Arial"/>
          <w:sz w:val="18"/>
          <w:szCs w:val="18"/>
          <w:u w:val="single" w:color="auto"/>
          <w:color w:val="auto"/>
        </w:rPr>
        <w:t>Form 10-K</w:t>
      </w:r>
      <w:r>
        <w:rPr>
          <w:rFonts w:ascii="Arial" w:cs="Arial" w:eastAsia="Arial" w:hAnsi="Arial"/>
          <w:sz w:val="18"/>
          <w:szCs w:val="18"/>
          <w:color w:val="auto"/>
        </w:rPr>
        <w:t>”).</w:t>
      </w:r>
    </w:p>
    <w:p>
      <w:pPr>
        <w:sectPr>
          <w:pgSz w:w="11900" w:h="16838" w:orient="portrait"/>
          <w:cols w:equalWidth="0" w:num="1">
            <w:col w:w="11024"/>
          </w:cols>
          <w:pgMar w:left="436" w:top="274" w:right="439" w:bottom="1440" w:gutter="0" w:footer="0" w:header="0"/>
        </w:sectPr>
      </w:pPr>
    </w:p>
    <w:bookmarkStart w:id="2" w:name="page3"/>
    <w:bookmarkEnd w:id="2"/>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624" w:hanging="377"/>
        <w:spacing w:after="0"/>
        <w:tabs>
          <w:tab w:leader="none" w:pos="624" w:val="left"/>
        </w:tabs>
        <w:numPr>
          <w:ilvl w:val="0"/>
          <w:numId w:val="10"/>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Mithril II GP LP</w:t>
      </w:r>
    </w:p>
    <w:p>
      <w:pPr>
        <w:spacing w:after="0" w:line="36" w:lineRule="exact"/>
        <w:rPr>
          <w:sz w:val="20"/>
          <w:szCs w:val="20"/>
          <w:color w:val="auto"/>
        </w:rPr>
      </w:pPr>
    </w:p>
    <w:p>
      <w:pPr>
        <w:ind w:left="624" w:hanging="377"/>
        <w:spacing w:after="0"/>
        <w:tabs>
          <w:tab w:leader="none" w:pos="624" w:val="left"/>
        </w:tabs>
        <w:numPr>
          <w:ilvl w:val="0"/>
          <w:numId w:val="1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1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13"/>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1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1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16"/>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16"/>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PN</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17"/>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17"/>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3" w:name="page4"/>
    <w:bookmarkEnd w:id="3"/>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39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18"/>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Mithril II UGP LLC</w:t>
      </w:r>
    </w:p>
    <w:p>
      <w:pPr>
        <w:spacing w:after="0" w:line="36" w:lineRule="exact"/>
        <w:rPr>
          <w:sz w:val="20"/>
          <w:szCs w:val="20"/>
          <w:color w:val="auto"/>
        </w:rPr>
      </w:pPr>
    </w:p>
    <w:p>
      <w:pPr>
        <w:ind w:left="624" w:hanging="377"/>
        <w:spacing w:after="0"/>
        <w:tabs>
          <w:tab w:leader="none" w:pos="624"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0"/>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23"/>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Delaware</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24"/>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24"/>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24"/>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25"/>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4" w:name="page5"/>
    <w:bookmarkEnd w:id="4"/>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26"/>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Ajay Royan</w:t>
      </w:r>
    </w:p>
    <w:p>
      <w:pPr>
        <w:spacing w:after="0" w:line="36" w:lineRule="exact"/>
        <w:rPr>
          <w:sz w:val="20"/>
          <w:szCs w:val="20"/>
          <w:color w:val="auto"/>
        </w:rPr>
      </w:pPr>
    </w:p>
    <w:p>
      <w:pPr>
        <w:ind w:left="624" w:hanging="377"/>
        <w:spacing w:after="0"/>
        <w:tabs>
          <w:tab w:leader="none" w:pos="624"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28"/>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29"/>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0"/>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1"/>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Canada</w:t>
      </w:r>
    </w:p>
    <w:p>
      <w:pPr>
        <w:spacing w:after="0" w:line="36" w:lineRule="exact"/>
        <w:rPr>
          <w:sz w:val="20"/>
          <w:szCs w:val="20"/>
          <w:color w:val="auto"/>
        </w:rPr>
      </w:pPr>
    </w:p>
    <w:tbl>
      <w:tblPr>
        <w:tblLayout w:type="fixed"/>
        <w:tblInd w:w="204" w:type="dxa"/>
        <w:tblCellMar>
          <w:top w:w="0" w:type="dxa"/>
          <w:left w:w="0" w:type="dxa"/>
          <w:bottom w:w="0" w:type="dxa"/>
          <w:right w:w="0" w:type="dxa"/>
        </w:tblCellMar>
      </w:tblPr>
      <w:tr>
        <w:trPr>
          <w:trHeight w:val="230"/>
        </w:trPr>
        <w:tc>
          <w:tcPr>
            <w:tcW w:w="1300" w:type="dxa"/>
            <w:vAlign w:val="bottom"/>
          </w:tcPr>
          <w:p>
            <w:pPr>
              <w:spacing w:after="0"/>
              <w:rPr>
                <w:sz w:val="20"/>
                <w:szCs w:val="20"/>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7</w:t>
            </w:r>
          </w:p>
        </w:tc>
        <w:tc>
          <w:tcPr>
            <w:tcW w:w="8940" w:type="dxa"/>
            <w:vAlign w:val="bottom"/>
          </w:tcPr>
          <w:p>
            <w:pPr>
              <w:ind w:left="16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05"/>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24"/>
                <w:szCs w:val="24"/>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32"/>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32"/>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32"/>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33"/>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5" w:name="page6"/>
    <w:bookmarkEnd w:id="5"/>
    <w:tbl>
      <w:tblPr>
        <w:tblLayout w:type="fixed"/>
        <w:tblInd w:w="4"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4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624" w:hanging="377"/>
        <w:spacing w:after="0"/>
        <w:tabs>
          <w:tab w:leader="none" w:pos="624" w:val="left"/>
        </w:tabs>
        <w:numPr>
          <w:ilvl w:val="0"/>
          <w:numId w:val="3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-130175</wp:posOffset>
            </wp:positionV>
            <wp:extent cx="6926580" cy="6111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26580" cy="6111875"/>
                    </a:xfrm>
                    <a:prstGeom prst="rect">
                      <a:avLst/>
                    </a:prstGeom>
                    <a:noFill/>
                  </pic:spPr>
                </pic:pic>
              </a:graphicData>
            </a:graphic>
          </wp:anchor>
        </w:drawing>
      </w:r>
    </w:p>
    <w:p>
      <w:pPr>
        <w:spacing w:after="0" w:line="232" w:lineRule="exact"/>
        <w:rPr>
          <w:sz w:val="20"/>
          <w:szCs w:val="20"/>
          <w:color w:val="auto"/>
        </w:rPr>
      </w:pPr>
    </w:p>
    <w:p>
      <w:pPr>
        <w:ind w:left="624"/>
        <w:spacing w:after="0"/>
        <w:rPr>
          <w:sz w:val="20"/>
          <w:szCs w:val="20"/>
          <w:color w:val="auto"/>
        </w:rPr>
      </w:pPr>
      <w:r>
        <w:rPr>
          <w:rFonts w:ascii="Arial" w:cs="Arial" w:eastAsia="Arial" w:hAnsi="Arial"/>
          <w:sz w:val="18"/>
          <w:szCs w:val="18"/>
          <w:color w:val="auto"/>
        </w:rPr>
        <w:t>Peter Thiel</w:t>
      </w:r>
    </w:p>
    <w:p>
      <w:pPr>
        <w:spacing w:after="0" w:line="36" w:lineRule="exact"/>
        <w:rPr>
          <w:sz w:val="20"/>
          <w:szCs w:val="20"/>
          <w:color w:val="auto"/>
        </w:rPr>
      </w:pPr>
    </w:p>
    <w:p>
      <w:pPr>
        <w:ind w:left="624" w:hanging="377"/>
        <w:spacing w:after="0"/>
        <w:tabs>
          <w:tab w:leader="none" w:pos="624"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8" w:lineRule="exact"/>
        <w:rPr>
          <w:sz w:val="20"/>
          <w:szCs w:val="20"/>
          <w:color w:val="auto"/>
        </w:rPr>
      </w:pPr>
    </w:p>
    <w:p>
      <w:pPr>
        <w:ind w:left="624"/>
        <w:spacing w:after="0" w:line="207" w:lineRule="exact"/>
        <w:tabs>
          <w:tab w:leader="none" w:pos="1404" w:val="left"/>
        </w:tabs>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(b) </w:t>
      </w:r>
      <w:r>
        <w:rPr>
          <w:rFonts w:ascii="MS PGothic" w:cs="MS PGothic" w:eastAsia="MS PGothic" w:hAnsi="MS PGothic"/>
          <w:sz w:val="18"/>
          <w:szCs w:val="18"/>
          <w:color w:val="auto"/>
        </w:rPr>
        <w:t>☐</w:t>
      </w:r>
    </w:p>
    <w:p>
      <w:pPr>
        <w:spacing w:after="0" w:line="270" w:lineRule="exact"/>
        <w:rPr>
          <w:sz w:val="20"/>
          <w:szCs w:val="20"/>
          <w:color w:val="auto"/>
        </w:rPr>
      </w:pPr>
    </w:p>
    <w:p>
      <w:pPr>
        <w:ind w:left="624" w:hanging="377"/>
        <w:spacing w:after="0"/>
        <w:tabs>
          <w:tab w:leader="none" w:pos="624" w:val="left"/>
        </w:tabs>
        <w:numPr>
          <w:ilvl w:val="0"/>
          <w:numId w:val="36"/>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79" w:lineRule="exact"/>
        <w:rPr>
          <w:sz w:val="20"/>
          <w:szCs w:val="20"/>
          <w:color w:val="auto"/>
        </w:rPr>
      </w:pPr>
    </w:p>
    <w:p>
      <w:pPr>
        <w:ind w:left="624" w:hanging="377"/>
        <w:spacing w:after="0"/>
        <w:tabs>
          <w:tab w:leader="none" w:pos="624" w:val="left"/>
        </w:tabs>
        <w:numPr>
          <w:ilvl w:val="0"/>
          <w:numId w:val="37"/>
        </w:numPr>
        <w:rPr>
          <w:rFonts w:ascii="Arial" w:cs="Arial" w:eastAsia="Arial" w:hAnsi="Arial"/>
          <w:sz w:val="18"/>
          <w:szCs w:val="18"/>
          <w:color w:val="auto"/>
        </w:rPr>
      </w:pPr>
      <w:r>
        <w:rPr>
          <w:rFonts w:ascii="Arial" w:cs="Arial" w:eastAsia="Arial" w:hAnsi="Arial"/>
          <w:sz w:val="18"/>
          <w:szCs w:val="18"/>
          <w:color w:val="auto"/>
        </w:rPr>
        <w:t>SOURCE OF FUNDS (see instructions)</w:t>
      </w:r>
    </w:p>
    <w:p>
      <w:pPr>
        <w:spacing w:after="0" w:line="252" w:lineRule="exact"/>
        <w:rPr>
          <w:sz w:val="20"/>
          <w:szCs w:val="20"/>
          <w:color w:val="auto"/>
        </w:rPr>
      </w:pPr>
    </w:p>
    <w:p>
      <w:pPr>
        <w:ind w:left="604"/>
        <w:spacing w:after="0"/>
        <w:rPr>
          <w:sz w:val="20"/>
          <w:szCs w:val="20"/>
          <w:color w:val="auto"/>
        </w:rPr>
      </w:pPr>
      <w:r>
        <w:rPr>
          <w:rFonts w:ascii="Arial" w:cs="Arial" w:eastAsia="Arial" w:hAnsi="Arial"/>
          <w:sz w:val="18"/>
          <w:szCs w:val="18"/>
          <w:color w:val="auto"/>
        </w:rPr>
        <w:t>AF</w:t>
      </w:r>
    </w:p>
    <w:p>
      <w:pPr>
        <w:spacing w:after="0" w:line="36" w:lineRule="exact"/>
        <w:rPr>
          <w:sz w:val="20"/>
          <w:szCs w:val="20"/>
          <w:color w:val="auto"/>
        </w:rPr>
      </w:pPr>
    </w:p>
    <w:p>
      <w:pPr>
        <w:ind w:left="624" w:hanging="377"/>
        <w:spacing w:after="0"/>
        <w:tabs>
          <w:tab w:leader="none" w:pos="624"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w:t>
      </w:r>
    </w:p>
    <w:p>
      <w:pPr>
        <w:spacing w:after="0" w:line="219" w:lineRule="exact"/>
        <w:rPr>
          <w:sz w:val="20"/>
          <w:szCs w:val="20"/>
          <w:color w:val="auto"/>
        </w:rPr>
      </w:pPr>
    </w:p>
    <w:p>
      <w:pPr>
        <w:ind w:left="624"/>
        <w:spacing w:after="0" w:line="181" w:lineRule="exact"/>
        <w:rPr>
          <w:sz w:val="20"/>
          <w:szCs w:val="20"/>
          <w:color w:val="auto"/>
        </w:rPr>
      </w:pPr>
      <w:r>
        <w:rPr>
          <w:rFonts w:ascii="MS PGothic" w:cs="MS PGothic" w:eastAsia="MS PGothic" w:hAnsi="MS PGothic"/>
          <w:sz w:val="18"/>
          <w:szCs w:val="18"/>
          <w:color w:val="auto"/>
        </w:rPr>
        <w:t>☐</w:t>
      </w:r>
    </w:p>
    <w:p>
      <w:pPr>
        <w:spacing w:after="0" w:line="103" w:lineRule="exact"/>
        <w:rPr>
          <w:sz w:val="20"/>
          <w:szCs w:val="20"/>
          <w:color w:val="auto"/>
        </w:rPr>
      </w:pPr>
    </w:p>
    <w:p>
      <w:pPr>
        <w:ind w:left="624" w:hanging="377"/>
        <w:spacing w:after="0"/>
        <w:tabs>
          <w:tab w:leader="none" w:pos="624" w:val="left"/>
        </w:tabs>
        <w:numPr>
          <w:ilvl w:val="0"/>
          <w:numId w:val="39"/>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45" w:lineRule="exact"/>
        <w:rPr>
          <w:sz w:val="20"/>
          <w:szCs w:val="20"/>
          <w:color w:val="auto"/>
        </w:rPr>
      </w:pPr>
    </w:p>
    <w:p>
      <w:pPr>
        <w:ind w:left="624"/>
        <w:spacing w:after="0"/>
        <w:rPr>
          <w:sz w:val="20"/>
          <w:szCs w:val="20"/>
          <w:color w:val="auto"/>
        </w:rPr>
      </w:pPr>
      <w:r>
        <w:rPr>
          <w:rFonts w:ascii="Arial" w:cs="Arial" w:eastAsia="Arial" w:hAnsi="Arial"/>
          <w:sz w:val="18"/>
          <w:szCs w:val="18"/>
          <w:color w:val="auto"/>
        </w:rPr>
        <w:t>United States of America</w:t>
      </w:r>
    </w:p>
    <w:p>
      <w:pPr>
        <w:spacing w:after="0" w:line="36" w:lineRule="exact"/>
        <w:rPr>
          <w:sz w:val="20"/>
          <w:szCs w:val="20"/>
          <w:color w:val="auto"/>
        </w:rPr>
      </w:pPr>
    </w:p>
    <w:p>
      <w:pPr>
        <w:ind w:left="2124" w:hanging="414"/>
        <w:spacing w:after="0"/>
        <w:tabs>
          <w:tab w:leader="none" w:pos="2124"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SOLE VOTING POWER</w:t>
      </w:r>
    </w:p>
    <w:p>
      <w:pPr>
        <w:spacing w:after="0" w:line="212" w:lineRule="exact"/>
        <w:rPr>
          <w:sz w:val="20"/>
          <w:szCs w:val="20"/>
          <w:color w:val="auto"/>
        </w:rPr>
      </w:pPr>
    </w:p>
    <w:tbl>
      <w:tblPr>
        <w:tblLayout w:type="fixed"/>
        <w:tblInd w:w="204" w:type="dxa"/>
        <w:tblCellMar>
          <w:top w:w="0" w:type="dxa"/>
          <w:left w:w="0" w:type="dxa"/>
          <w:bottom w:w="0" w:type="dxa"/>
          <w:right w:w="0" w:type="dxa"/>
        </w:tblCellMar>
      </w:tblPr>
      <w:tr>
        <w:trPr>
          <w:trHeight w:val="217"/>
        </w:trPr>
        <w:tc>
          <w:tcPr>
            <w:tcW w:w="1300" w:type="dxa"/>
            <w:vAlign w:val="bottom"/>
          </w:tcPr>
          <w:p>
            <w:pPr>
              <w:jc w:val="center"/>
              <w:spacing w:after="0"/>
              <w:rPr>
                <w:sz w:val="20"/>
                <w:szCs w:val="20"/>
                <w:color w:val="auto"/>
              </w:rPr>
            </w:pPr>
            <w:r>
              <w:rPr>
                <w:rFonts w:ascii="Arial" w:cs="Arial" w:eastAsia="Arial" w:hAnsi="Arial"/>
                <w:sz w:val="18"/>
                <w:szCs w:val="18"/>
                <w:color w:val="auto"/>
                <w:w w:val="98"/>
              </w:rPr>
              <w:t>NUMBER OF</w:t>
            </w:r>
          </w:p>
        </w:tc>
        <w:tc>
          <w:tcPr>
            <w:tcW w:w="460" w:type="dxa"/>
            <w:vAlign w:val="bottom"/>
          </w:tcPr>
          <w:p>
            <w:pPr>
              <w:spacing w:after="0"/>
              <w:rPr>
                <w:sz w:val="18"/>
                <w:szCs w:val="18"/>
                <w:color w:val="auto"/>
              </w:rPr>
            </w:pPr>
          </w:p>
        </w:tc>
        <w:tc>
          <w:tcPr>
            <w:tcW w:w="894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4"/>
              </w:rPr>
              <w:t>SHARES</w:t>
            </w:r>
          </w:p>
        </w:tc>
        <w:tc>
          <w:tcPr>
            <w:tcW w:w="460" w:type="dxa"/>
            <w:vAlign w:val="bottom"/>
            <w:tcBorders>
              <w:bottom w:val="single" w:sz="8" w:color="auto"/>
            </w:tcBorders>
          </w:tcPr>
          <w:p>
            <w:pPr>
              <w:spacing w:after="0"/>
              <w:rPr>
                <w:sz w:val="5"/>
                <w:szCs w:val="5"/>
                <w:color w:val="auto"/>
              </w:rPr>
            </w:pPr>
          </w:p>
        </w:tc>
        <w:tc>
          <w:tcPr>
            <w:tcW w:w="8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8"/>
        </w:trPr>
        <w:tc>
          <w:tcPr>
            <w:tcW w:w="1300" w:type="dxa"/>
            <w:vAlign w:val="bottom"/>
            <w:vMerge w:val="continue"/>
          </w:tcPr>
          <w:p>
            <w:pPr>
              <w:spacing w:after="0"/>
              <w:rPr>
                <w:sz w:val="11"/>
                <w:szCs w:val="11"/>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8</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9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BENEFICIALLY</w:t>
            </w:r>
          </w:p>
        </w:tc>
        <w:tc>
          <w:tcPr>
            <w:tcW w:w="460" w:type="dxa"/>
            <w:vAlign w:val="bottom"/>
            <w:vMerge w:val="continue"/>
          </w:tcPr>
          <w:p>
            <w:pPr>
              <w:spacing w:after="0"/>
              <w:rPr>
                <w:sz w:val="8"/>
                <w:szCs w:val="8"/>
                <w:color w:val="auto"/>
              </w:rPr>
            </w:pPr>
          </w:p>
        </w:tc>
        <w:tc>
          <w:tcPr>
            <w:tcW w:w="89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0"/>
        </w:trPr>
        <w:tc>
          <w:tcPr>
            <w:tcW w:w="1300" w:type="dxa"/>
            <w:vAlign w:val="bottom"/>
            <w:vMerge w:val="continue"/>
          </w:tcPr>
          <w:p>
            <w:pPr>
              <w:spacing w:after="0"/>
              <w:rPr>
                <w:sz w:val="10"/>
                <w:szCs w:val="10"/>
                <w:color w:val="auto"/>
              </w:rPr>
            </w:pPr>
          </w:p>
        </w:tc>
        <w:tc>
          <w:tcPr>
            <w:tcW w:w="460" w:type="dxa"/>
            <w:vAlign w:val="bottom"/>
          </w:tcPr>
          <w:p>
            <w:pPr>
              <w:spacing w:after="0"/>
              <w:rPr>
                <w:sz w:val="10"/>
                <w:szCs w:val="10"/>
                <w:color w:val="auto"/>
              </w:rPr>
            </w:pPr>
          </w:p>
        </w:tc>
        <w:tc>
          <w:tcPr>
            <w:tcW w:w="89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9"/>
              </w:rPr>
              <w:t>OWNED BY</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11,241,580 Shares of Common Stock (1)</w:t>
            </w: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9"/>
              </w:rPr>
              <w:t>EACH</w:t>
            </w:r>
          </w:p>
        </w:tc>
        <w:tc>
          <w:tcPr>
            <w:tcW w:w="460" w:type="dxa"/>
            <w:vAlign w:val="bottom"/>
            <w:tcBorders>
              <w:bottom w:val="single" w:sz="8" w:color="auto"/>
            </w:tcBorders>
          </w:tcPr>
          <w:p>
            <w:pPr>
              <w:spacing w:after="0"/>
              <w:rPr>
                <w:sz w:val="10"/>
                <w:szCs w:val="10"/>
                <w:color w:val="auto"/>
              </w:rPr>
            </w:pPr>
          </w:p>
        </w:tc>
        <w:tc>
          <w:tcPr>
            <w:tcW w:w="8940" w:type="dxa"/>
            <w:vAlign w:val="bottom"/>
            <w:tcBorders>
              <w:bottom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300" w:type="dxa"/>
            <w:vAlign w:val="bottom"/>
            <w:vMerge w:val="continue"/>
          </w:tcPr>
          <w:p>
            <w:pPr>
              <w:spacing w:after="0"/>
              <w:rPr>
                <w:sz w:val="6"/>
                <w:szCs w:val="6"/>
                <w:color w:val="auto"/>
              </w:rPr>
            </w:pPr>
          </w:p>
        </w:tc>
        <w:tc>
          <w:tcPr>
            <w:tcW w:w="460" w:type="dxa"/>
            <w:vAlign w:val="bottom"/>
            <w:vMerge w:val="restart"/>
          </w:tcPr>
          <w:p>
            <w:pPr>
              <w:jc w:val="right"/>
              <w:ind w:right="70"/>
              <w:spacing w:after="0"/>
              <w:rPr>
                <w:sz w:val="20"/>
                <w:szCs w:val="20"/>
                <w:color w:val="auto"/>
              </w:rPr>
            </w:pPr>
            <w:r>
              <w:rPr>
                <w:rFonts w:ascii="Arial" w:cs="Arial" w:eastAsia="Arial" w:hAnsi="Arial"/>
                <w:sz w:val="18"/>
                <w:szCs w:val="18"/>
                <w:color w:val="auto"/>
              </w:rPr>
              <w:t>9</w:t>
            </w: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150"/>
        </w:trPr>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3"/>
              </w:rPr>
              <w:t>REPORTING</w:t>
            </w:r>
          </w:p>
        </w:tc>
        <w:tc>
          <w:tcPr>
            <w:tcW w:w="460" w:type="dxa"/>
            <w:vAlign w:val="bottom"/>
            <w:vMerge w:val="continue"/>
          </w:tcPr>
          <w:p>
            <w:pPr>
              <w:spacing w:after="0"/>
              <w:rPr>
                <w:sz w:val="13"/>
                <w:szCs w:val="13"/>
                <w:color w:val="auto"/>
              </w:rPr>
            </w:pPr>
          </w:p>
        </w:tc>
        <w:tc>
          <w:tcPr>
            <w:tcW w:w="89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6"/>
        </w:trPr>
        <w:tc>
          <w:tcPr>
            <w:tcW w:w="130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89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center"/>
              <w:spacing w:after="0"/>
              <w:rPr>
                <w:sz w:val="20"/>
                <w:szCs w:val="20"/>
                <w:color w:val="auto"/>
              </w:rPr>
            </w:pPr>
            <w:r>
              <w:rPr>
                <w:rFonts w:ascii="Arial" w:cs="Arial" w:eastAsia="Arial" w:hAnsi="Arial"/>
                <w:sz w:val="18"/>
                <w:szCs w:val="18"/>
                <w:color w:val="auto"/>
                <w:w w:val="92"/>
              </w:rPr>
              <w:t>PERSON</w:t>
            </w:r>
          </w:p>
        </w:tc>
        <w:tc>
          <w:tcPr>
            <w:tcW w:w="460" w:type="dxa"/>
            <w:vAlign w:val="bottom"/>
          </w:tcPr>
          <w:p>
            <w:pPr>
              <w:spacing w:after="0"/>
              <w:rPr>
                <w:sz w:val="18"/>
                <w:szCs w:val="18"/>
                <w:color w:val="auto"/>
              </w:rPr>
            </w:pPr>
          </w:p>
        </w:tc>
        <w:tc>
          <w:tcPr>
            <w:tcW w:w="8940" w:type="dxa"/>
            <w:vAlign w:val="bottom"/>
            <w:vMerge w:val="restart"/>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76"/>
        </w:trPr>
        <w:tc>
          <w:tcPr>
            <w:tcW w:w="1300" w:type="dxa"/>
            <w:vAlign w:val="bottom"/>
          </w:tcPr>
          <w:p>
            <w:pPr>
              <w:jc w:val="center"/>
              <w:spacing w:after="0" w:line="157" w:lineRule="exact"/>
              <w:rPr>
                <w:sz w:val="20"/>
                <w:szCs w:val="20"/>
                <w:color w:val="auto"/>
              </w:rPr>
            </w:pPr>
            <w:r>
              <w:rPr>
                <w:rFonts w:ascii="Arial" w:cs="Arial" w:eastAsia="Arial" w:hAnsi="Arial"/>
                <w:sz w:val="18"/>
                <w:szCs w:val="18"/>
                <w:color w:val="auto"/>
                <w:w w:val="99"/>
              </w:rPr>
              <w:t>WITH</w:t>
            </w:r>
          </w:p>
        </w:tc>
        <w:tc>
          <w:tcPr>
            <w:tcW w:w="460" w:type="dxa"/>
            <w:vAlign w:val="bottom"/>
            <w:tcBorders>
              <w:bottom w:val="single" w:sz="8" w:color="auto"/>
            </w:tcBorders>
          </w:tcPr>
          <w:p>
            <w:pPr>
              <w:spacing w:after="0"/>
              <w:rPr>
                <w:sz w:val="15"/>
                <w:szCs w:val="15"/>
                <w:color w:val="auto"/>
              </w:rPr>
            </w:pPr>
          </w:p>
        </w:tc>
        <w:tc>
          <w:tcPr>
            <w:tcW w:w="894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1300" w:type="dxa"/>
            <w:vAlign w:val="bottom"/>
          </w:tcPr>
          <w:p>
            <w:pPr>
              <w:spacing w:after="0"/>
              <w:rPr>
                <w:sz w:val="19"/>
                <w:szCs w:val="19"/>
                <w:color w:val="auto"/>
              </w:rPr>
            </w:pPr>
          </w:p>
        </w:tc>
        <w:tc>
          <w:tcPr>
            <w:tcW w:w="460" w:type="dxa"/>
            <w:vAlign w:val="bottom"/>
          </w:tcPr>
          <w:p>
            <w:pPr>
              <w:jc w:val="right"/>
              <w:ind w:right="70"/>
              <w:spacing w:after="0"/>
              <w:rPr>
                <w:sz w:val="20"/>
                <w:szCs w:val="20"/>
                <w:color w:val="auto"/>
              </w:rPr>
            </w:pPr>
            <w:r>
              <w:rPr>
                <w:rFonts w:ascii="Arial" w:cs="Arial" w:eastAsia="Arial" w:hAnsi="Arial"/>
                <w:sz w:val="18"/>
                <w:szCs w:val="18"/>
                <w:color w:val="auto"/>
              </w:rPr>
              <w:t>10</w:t>
            </w:r>
          </w:p>
        </w:tc>
        <w:tc>
          <w:tcPr>
            <w:tcW w:w="8940" w:type="dxa"/>
            <w:vAlign w:val="bottom"/>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2124"/>
        <w:spacing w:after="0"/>
        <w:rPr>
          <w:sz w:val="20"/>
          <w:szCs w:val="20"/>
          <w:color w:val="auto"/>
        </w:rPr>
      </w:pPr>
      <w:r>
        <w:rPr>
          <w:rFonts w:ascii="Arial" w:cs="Arial" w:eastAsia="Arial" w:hAnsi="Arial"/>
          <w:sz w:val="18"/>
          <w:szCs w:val="18"/>
          <w:color w:val="auto"/>
        </w:rPr>
        <w:t>11,241,580 Shares of Common Stock (1)</w:t>
      </w:r>
    </w:p>
    <w:p>
      <w:pPr>
        <w:spacing w:after="0" w:line="36" w:lineRule="exact"/>
        <w:rPr>
          <w:sz w:val="20"/>
          <w:szCs w:val="20"/>
          <w:color w:val="auto"/>
        </w:rPr>
      </w:pPr>
    </w:p>
    <w:p>
      <w:pPr>
        <w:ind w:left="624" w:right="3860" w:hanging="467"/>
        <w:spacing w:after="0" w:line="406" w:lineRule="auto"/>
        <w:tabs>
          <w:tab w:leader="none" w:pos="614" w:val="left"/>
        </w:tabs>
        <w:numPr>
          <w:ilvl w:val="1"/>
          <w:numId w:val="41"/>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11,241,580 Shares of Common Stock (1)</w:t>
      </w:r>
    </w:p>
    <w:p>
      <w:pPr>
        <w:spacing w:after="0" w:line="1" w:lineRule="exact"/>
        <w:rPr>
          <w:rFonts w:ascii="Arial" w:cs="Arial" w:eastAsia="Arial" w:hAnsi="Arial"/>
          <w:sz w:val="18"/>
          <w:szCs w:val="18"/>
          <w:color w:val="auto"/>
        </w:rPr>
      </w:pPr>
    </w:p>
    <w:p>
      <w:pPr>
        <w:ind w:left="624" w:hanging="467"/>
        <w:spacing w:after="0"/>
        <w:tabs>
          <w:tab w:leader="none" w:pos="6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CHECK BOX IF THE AGGREGATE AMOUNT IN ROW (11) EXCLUDES CERTAIN SHARES (see instructions)</w:t>
      </w:r>
    </w:p>
    <w:p>
      <w:pPr>
        <w:spacing w:after="0" w:line="219" w:lineRule="exact"/>
        <w:rPr>
          <w:rFonts w:ascii="Arial" w:cs="Arial" w:eastAsia="Arial" w:hAnsi="Arial"/>
          <w:sz w:val="18"/>
          <w:szCs w:val="18"/>
          <w:color w:val="auto"/>
        </w:rPr>
      </w:pPr>
    </w:p>
    <w:p>
      <w:pPr>
        <w:ind w:left="624"/>
        <w:spacing w:after="0" w:line="181" w:lineRule="exact"/>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02" w:lineRule="exact"/>
        <w:rPr>
          <w:rFonts w:ascii="Arial" w:cs="Arial" w:eastAsia="Arial" w:hAnsi="Arial"/>
          <w:sz w:val="18"/>
          <w:szCs w:val="18"/>
          <w:color w:val="auto"/>
        </w:rPr>
      </w:pPr>
    </w:p>
    <w:p>
      <w:pPr>
        <w:ind w:left="624" w:right="5380" w:hanging="467"/>
        <w:spacing w:after="0" w:line="402" w:lineRule="auto"/>
        <w:tabs>
          <w:tab w:leader="none" w:pos="624" w:val="left"/>
        </w:tabs>
        <w:numPr>
          <w:ilvl w:val="1"/>
          <w:numId w:val="41"/>
        </w:numPr>
        <w:rPr>
          <w:rFonts w:ascii="Arial" w:cs="Arial" w:eastAsia="Arial" w:hAnsi="Arial"/>
          <w:sz w:val="18"/>
          <w:szCs w:val="18"/>
          <w:color w:val="auto"/>
        </w:rPr>
      </w:pPr>
      <w:r>
        <w:rPr>
          <w:rFonts w:ascii="Arial" w:cs="Arial" w:eastAsia="Arial" w:hAnsi="Arial"/>
          <w:sz w:val="18"/>
          <w:szCs w:val="18"/>
          <w:color w:val="auto"/>
        </w:rPr>
        <w:t>PERCENT OF CLASS REPRESENTED BY AMOUNT IN ROW 11 10.2% (2)</w:t>
      </w:r>
    </w:p>
    <w:p>
      <w:pPr>
        <w:spacing w:after="0" w:line="1" w:lineRule="exact"/>
        <w:rPr>
          <w:rFonts w:ascii="Arial" w:cs="Arial" w:eastAsia="Arial" w:hAnsi="Arial"/>
          <w:sz w:val="18"/>
          <w:szCs w:val="18"/>
          <w:color w:val="auto"/>
        </w:rPr>
      </w:pPr>
    </w:p>
    <w:p>
      <w:pPr>
        <w:ind w:left="604" w:hanging="447"/>
        <w:spacing w:after="0"/>
        <w:tabs>
          <w:tab w:leader="none" w:pos="604" w:val="left"/>
        </w:tabs>
        <w:numPr>
          <w:ilvl w:val="1"/>
          <w:numId w:val="41"/>
        </w:numPr>
        <w:rPr>
          <w:rFonts w:ascii="Arial" w:cs="Arial" w:eastAsia="Arial" w:hAnsi="Arial"/>
          <w:sz w:val="18"/>
          <w:szCs w:val="18"/>
          <w:color w:val="auto"/>
        </w:rPr>
      </w:pPr>
      <w:r>
        <w:rPr>
          <w:rFonts w:ascii="Arial" w:cs="Arial" w:eastAsia="Arial" w:hAnsi="Arial"/>
          <w:sz w:val="18"/>
          <w:szCs w:val="18"/>
          <w:color w:val="auto"/>
        </w:rPr>
        <w:t>TYPE OF REPORTING PERSON (see instructions)</w:t>
      </w:r>
    </w:p>
    <w:p>
      <w:pPr>
        <w:spacing w:after="0" w:line="252" w:lineRule="exact"/>
        <w:rPr>
          <w:rFonts w:ascii="Arial" w:cs="Arial" w:eastAsia="Arial" w:hAnsi="Arial"/>
          <w:sz w:val="18"/>
          <w:szCs w:val="18"/>
          <w:color w:val="auto"/>
        </w:rPr>
      </w:pPr>
    </w:p>
    <w:p>
      <w:pPr>
        <w:ind w:left="624"/>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79" w:lineRule="exact"/>
        <w:rPr>
          <w:rFonts w:ascii="Arial" w:cs="Arial" w:eastAsia="Arial" w:hAnsi="Arial"/>
          <w:sz w:val="18"/>
          <w:szCs w:val="18"/>
          <w:color w:val="auto"/>
        </w:rPr>
      </w:pPr>
    </w:p>
    <w:p>
      <w:pPr>
        <w:ind w:left="424" w:right="20" w:hanging="424"/>
        <w:spacing w:after="0" w:line="268" w:lineRule="auto"/>
        <w:tabs>
          <w:tab w:leader="none" w:pos="424" w:val="left"/>
        </w:tabs>
        <w:numPr>
          <w:ilvl w:val="0"/>
          <w:numId w:val="42"/>
        </w:numPr>
        <w:rPr>
          <w:rFonts w:ascii="Arial" w:cs="Arial" w:eastAsia="Arial" w:hAnsi="Arial"/>
          <w:sz w:val="17"/>
          <w:szCs w:val="17"/>
          <w:color w:val="auto"/>
        </w:rPr>
      </w:pPr>
      <w:r>
        <w:rPr>
          <w:rFonts w:ascii="Arial" w:cs="Arial" w:eastAsia="Arial" w:hAnsi="Arial"/>
          <w:sz w:val="17"/>
          <w:szCs w:val="17"/>
          <w:color w:val="auto"/>
        </w:rPr>
        <w:t>All shares are held of record by Mithril II. Mithril II UGP is the general partner of Mithril II GP, which is the general partner of Mithril II and each of Mithril II UGP and Mithril II GP may be deemed to have shared voting, investment and dispositive power with respect to these securities. Ajay Royan, a member of the Issuer’s board of directors, is the sole managing member of Mithril II UGP. Peter Thiel and Ajay Royan are the members of the investment committee of Mithril II GP. The investment committee makes all investment decisions with respect to shares held by Mithril II and may be deemed to have shared voting, investment and dispositive power with respect to these securities.</w:t>
      </w:r>
    </w:p>
    <w:p>
      <w:pPr>
        <w:spacing w:after="0" w:line="2" w:lineRule="exact"/>
        <w:rPr>
          <w:rFonts w:ascii="Arial" w:cs="Arial" w:eastAsia="Arial" w:hAnsi="Arial"/>
          <w:sz w:val="17"/>
          <w:szCs w:val="17"/>
          <w:color w:val="auto"/>
        </w:rPr>
      </w:pPr>
    </w:p>
    <w:p>
      <w:pPr>
        <w:ind w:left="424" w:hanging="424"/>
        <w:spacing w:after="0"/>
        <w:tabs>
          <w:tab w:leader="none" w:pos="424"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109,675,173 shares of Common Stock outstanding as of March 24, 2022, as reported by the Issuer in the Form 10-K.</w:t>
      </w:r>
    </w:p>
    <w:p>
      <w:pPr>
        <w:sectPr>
          <w:pgSz w:w="11900" w:h="16838" w:orient="portrait"/>
          <w:cols w:equalWidth="0" w:num="1">
            <w:col w:w="11024"/>
          </w:cols>
          <w:pgMar w:left="436" w:top="274" w:right="4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0"/>
        </w:trPr>
        <w:tc>
          <w:tcPr>
            <w:tcW w:w="6200" w:type="dxa"/>
            <w:vAlign w:val="bottom"/>
          </w:tcPr>
          <w:p>
            <w:pPr>
              <w:spacing w:after="0"/>
              <w:rPr>
                <w:sz w:val="20"/>
                <w:szCs w:val="20"/>
                <w:color w:val="auto"/>
              </w:rPr>
            </w:pPr>
            <w:r>
              <w:rPr>
                <w:rFonts w:ascii="Arial" w:cs="Arial" w:eastAsia="Arial" w:hAnsi="Arial"/>
                <w:sz w:val="18"/>
                <w:szCs w:val="18"/>
                <w:color w:val="auto"/>
              </w:rPr>
              <w:t>CUSIP No. 00534A102</w:t>
            </w:r>
          </w:p>
        </w:tc>
        <w:tc>
          <w:tcPr>
            <w:tcW w:w="4820" w:type="dxa"/>
            <w:vAlign w:val="bottom"/>
          </w:tcPr>
          <w:p>
            <w:pPr>
              <w:ind w:left="4500"/>
              <w:spacing w:after="0"/>
              <w:rPr>
                <w:sz w:val="20"/>
                <w:szCs w:val="20"/>
                <w:color w:val="auto"/>
              </w:rPr>
            </w:pPr>
            <w:r>
              <w:rPr>
                <w:rFonts w:ascii="Arial" w:cs="Arial" w:eastAsia="Arial" w:hAnsi="Arial"/>
                <w:sz w:val="18"/>
                <w:szCs w:val="18"/>
                <w:color w:val="auto"/>
                <w:w w:val="90"/>
              </w:rPr>
              <w:t>13D</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Explanatory Note.</w:t>
      </w:r>
    </w:p>
    <w:p>
      <w:pPr>
        <w:spacing w:after="0" w:line="121"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This Amendment No. 2 (“</w:t>
      </w:r>
      <w:r>
        <w:rPr>
          <w:rFonts w:ascii="Arial" w:cs="Arial" w:eastAsia="Arial" w:hAnsi="Arial"/>
          <w:sz w:val="17"/>
          <w:szCs w:val="17"/>
          <w:u w:val="single" w:color="auto"/>
          <w:color w:val="auto"/>
        </w:rPr>
        <w:t>Amendment No. 2</w:t>
      </w:r>
      <w:r>
        <w:rPr>
          <w:rFonts w:ascii="Arial" w:cs="Arial" w:eastAsia="Arial" w:hAnsi="Arial"/>
          <w:sz w:val="17"/>
          <w:szCs w:val="17"/>
          <w:color w:val="auto"/>
        </w:rPr>
        <w:t>”) amends and supplements the Schedule 13D originally filed by the Reporting Persons with the Commission on August 20, 2021, as amended on March 30, 2022 (as so amended through March 30, 2022, the “</w:t>
      </w:r>
      <w:r>
        <w:rPr>
          <w:rFonts w:ascii="Arial" w:cs="Arial" w:eastAsia="Arial" w:hAnsi="Arial"/>
          <w:sz w:val="17"/>
          <w:szCs w:val="17"/>
          <w:u w:val="single" w:color="auto"/>
          <w:color w:val="auto"/>
        </w:rPr>
        <w:t>Original 13D</w:t>
      </w:r>
      <w:r>
        <w:rPr>
          <w:rFonts w:ascii="Arial" w:cs="Arial" w:eastAsia="Arial" w:hAnsi="Arial"/>
          <w:sz w:val="17"/>
          <w:szCs w:val="17"/>
          <w:color w:val="auto"/>
        </w:rPr>
        <w:t>”, and together with this Amendment No. 2, the “</w:t>
      </w:r>
      <w:r>
        <w:rPr>
          <w:rFonts w:ascii="Arial" w:cs="Arial" w:eastAsia="Arial" w:hAnsi="Arial"/>
          <w:sz w:val="17"/>
          <w:szCs w:val="17"/>
          <w:u w:val="single" w:color="auto"/>
          <w:color w:val="auto"/>
        </w:rPr>
        <w:t>Schedule 13D</w:t>
      </w:r>
      <w:r>
        <w:rPr>
          <w:rFonts w:ascii="Arial" w:cs="Arial" w:eastAsia="Arial" w:hAnsi="Arial"/>
          <w:sz w:val="17"/>
          <w:szCs w:val="17"/>
          <w:color w:val="auto"/>
        </w:rPr>
        <w:t>”). Only those items that are hereby reported are amended; all other items reported in the Original 13D remain unchanged. Information given in response to each item shall be deemed incorporated by reference in all other items, as applicable. Capitalized terms not defined in this Amendment No. 2 have the meanings ascribed to them in the Original 13D and any supplements thereto.</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4 of the Schedule 13D is hereby supplemented as set forth below.</w:t>
      </w:r>
    </w:p>
    <w:p>
      <w:pPr>
        <w:spacing w:after="0" w:line="225" w:lineRule="exact"/>
        <w:rPr>
          <w:sz w:val="20"/>
          <w:szCs w:val="20"/>
          <w:color w:val="auto"/>
        </w:rPr>
      </w:pPr>
    </w:p>
    <w:p>
      <w:pPr>
        <w:ind w:right="320"/>
        <w:spacing w:after="0" w:line="286" w:lineRule="auto"/>
        <w:rPr>
          <w:sz w:val="20"/>
          <w:szCs w:val="20"/>
          <w:color w:val="auto"/>
        </w:rPr>
      </w:pPr>
      <w:r>
        <w:rPr>
          <w:rFonts w:ascii="Arial" w:cs="Arial" w:eastAsia="Arial" w:hAnsi="Arial"/>
          <w:sz w:val="17"/>
          <w:szCs w:val="17"/>
          <w:color w:val="auto"/>
        </w:rPr>
        <w:t>“Following the date of Amendment No. 1, on April 11, 2022, the Reporting Persons, the Participating Stockholders (as defined below) and the Nominees (collectively, the “</w:t>
      </w:r>
      <w:r>
        <w:rPr>
          <w:rFonts w:ascii="Arial" w:cs="Arial" w:eastAsia="Arial" w:hAnsi="Arial"/>
          <w:sz w:val="17"/>
          <w:szCs w:val="17"/>
          <w:u w:val="single" w:color="auto"/>
          <w:color w:val="auto"/>
        </w:rPr>
        <w:t>Participants</w:t>
      </w:r>
      <w:r>
        <w:rPr>
          <w:rFonts w:ascii="Arial" w:cs="Arial" w:eastAsia="Arial" w:hAnsi="Arial"/>
          <w:sz w:val="17"/>
          <w:szCs w:val="17"/>
          <w:color w:val="auto"/>
        </w:rPr>
        <w:t>”) filed a preliminary proxy statement on Schedule 14A (the “</w:t>
      </w:r>
      <w:r>
        <w:rPr>
          <w:rFonts w:ascii="Arial" w:cs="Arial" w:eastAsia="Arial" w:hAnsi="Arial"/>
          <w:sz w:val="17"/>
          <w:szCs w:val="17"/>
          <w:u w:val="single" w:color="auto"/>
          <w:color w:val="auto"/>
        </w:rPr>
        <w:t>Preliminary Proxy Statement</w:t>
      </w:r>
      <w:r>
        <w:rPr>
          <w:rFonts w:ascii="Arial" w:cs="Arial" w:eastAsia="Arial" w:hAnsi="Arial"/>
          <w:sz w:val="17"/>
          <w:szCs w:val="17"/>
          <w:color w:val="auto"/>
        </w:rPr>
        <w:t>”), in connection with the potential solicitation of proxies in favor of the election of the Nominees as Class I directors at the 2022 Annual Meeting.</w:t>
      </w:r>
    </w:p>
    <w:p>
      <w:pPr>
        <w:spacing w:after="0" w:line="165" w:lineRule="exact"/>
        <w:rPr>
          <w:sz w:val="20"/>
          <w:szCs w:val="20"/>
          <w:color w:val="auto"/>
        </w:rPr>
      </w:pPr>
    </w:p>
    <w:p>
      <w:pPr>
        <w:ind w:right="240"/>
        <w:spacing w:after="0" w:line="255" w:lineRule="auto"/>
        <w:rPr>
          <w:sz w:val="20"/>
          <w:szCs w:val="20"/>
          <w:color w:val="auto"/>
        </w:rPr>
      </w:pPr>
      <w:r>
        <w:rPr>
          <w:rFonts w:ascii="Arial" w:cs="Arial" w:eastAsia="Arial" w:hAnsi="Arial"/>
          <w:sz w:val="18"/>
          <w:szCs w:val="18"/>
          <w:color w:val="auto"/>
        </w:rPr>
        <w:t>Also following the date of Amendment No. 1, the Reporting Persons, along with M28, Adimab, Polaris and Population Health (collectively, the “</w:t>
      </w:r>
      <w:r>
        <w:rPr>
          <w:rFonts w:ascii="Arial" w:cs="Arial" w:eastAsia="Arial" w:hAnsi="Arial"/>
          <w:sz w:val="18"/>
          <w:szCs w:val="18"/>
          <w:u w:val="single" w:color="auto"/>
          <w:color w:val="auto"/>
        </w:rPr>
        <w:t>Participating Stockholders</w:t>
      </w:r>
      <w:r>
        <w:rPr>
          <w:rFonts w:ascii="Arial" w:cs="Arial" w:eastAsia="Arial" w:hAnsi="Arial"/>
          <w:sz w:val="18"/>
          <w:szCs w:val="18"/>
          <w:color w:val="auto"/>
        </w:rPr>
        <w:t>”) engaged in discussions with the Issuer’s Board regarding a potential settlement. The Reporting Persons and the Participating Stockholders proposed terms including, among other things, the departure of directors René Russo, Tom Heyman, Anand Shah, Howard Mayer and Michael Wyzga from the Board, the addition of the Nominees to the Board as Class III directors, the re-nomination of Mr. Royan to the Board and a reduction in the size of the Board. This proposal was rejected by a special committee of the Board that was formed on or about April 8, 2022 (the “</w:t>
      </w:r>
      <w:r>
        <w:rPr>
          <w:rFonts w:ascii="Arial" w:cs="Arial" w:eastAsia="Arial" w:hAnsi="Arial"/>
          <w:sz w:val="18"/>
          <w:szCs w:val="18"/>
          <w:u w:val="single" w:color="auto"/>
          <w:color w:val="auto"/>
        </w:rPr>
        <w:t>Committee</w:t>
      </w:r>
      <w:r>
        <w:rPr>
          <w:rFonts w:ascii="Arial" w:cs="Arial" w:eastAsia="Arial" w:hAnsi="Arial"/>
          <w:sz w:val="18"/>
          <w:szCs w:val="18"/>
          <w:color w:val="auto"/>
        </w:rPr>
        <w:t>”).</w:t>
      </w:r>
    </w:p>
    <w:p>
      <w:pPr>
        <w:spacing w:after="0" w:line="192"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On April 17, 2022, the Committee offered to nominate the Nominees for election to the Board at the 2022 Annual Meeting in exchange for a standstill, a liability waiver and a non-disparagement undertaking. On April 19, 2022, Mithril II and the Participating Stockholders made a counterproposal to the Committee’s April 17, 2022 proposal, which among other things modified the Committee’s proposal to provide for greater stockholder protections, including by proposing to declassify the Board at the Issuer’s 2023 annual meeting of stockholders (the “</w:t>
      </w:r>
      <w:r>
        <w:rPr>
          <w:rFonts w:ascii="Arial" w:cs="Arial" w:eastAsia="Arial" w:hAnsi="Arial"/>
          <w:sz w:val="16"/>
          <w:szCs w:val="16"/>
          <w:u w:val="single" w:color="auto"/>
          <w:color w:val="auto"/>
        </w:rPr>
        <w:t>2023 Annual Meeting</w:t>
      </w:r>
      <w:r>
        <w:rPr>
          <w:rFonts w:ascii="Arial" w:cs="Arial" w:eastAsia="Arial" w:hAnsi="Arial"/>
          <w:sz w:val="16"/>
          <w:szCs w:val="16"/>
          <w:color w:val="auto"/>
        </w:rPr>
        <w:t>”) and encourage Board consensus through supermajority decision-making. The Committee informed Mr. McGuire (a director of the Issuer who is also a Participant) on</w:t>
      </w:r>
    </w:p>
    <w:p>
      <w:pPr>
        <w:spacing w:after="0" w:line="2"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April 20, 2022 that it had considered and rejected such counterproposal, including the idea of providing greater stockholder accountability through a declassification of the Board. As of the date hereof, Mithril II and the Participating Stockholders have been unable to reach an agreement with the Board in respect of the foregoing matters.</w:t>
      </w:r>
    </w:p>
    <w:p>
      <w:pPr>
        <w:spacing w:after="0" w:line="19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On April 25, 2022, Mithril II mailed to the Issuer a further supplement to the Notice, notifying the Issuer that Mithril II intended to propose an advisory, non-binding stockholder resolution that the Board take all necessary actions to cause the Board to be declassified in advance of the 2023 Annual Meeting, such that the term of each Board member expires at the 2023 Annual Meeting, and that any director elected to the Board at or after the 2023 Annual Meeting be elected on an annual basis (the “</w:t>
      </w:r>
      <w:r>
        <w:rPr>
          <w:rFonts w:ascii="Arial" w:cs="Arial" w:eastAsia="Arial" w:hAnsi="Arial"/>
          <w:sz w:val="18"/>
          <w:szCs w:val="18"/>
          <w:u w:val="single" w:color="auto"/>
          <w:color w:val="auto"/>
        </w:rPr>
        <w:t>Declassification Proposal</w:t>
      </w:r>
      <w:r>
        <w:rPr>
          <w:rFonts w:ascii="Arial" w:cs="Arial" w:eastAsia="Arial" w:hAnsi="Arial"/>
          <w:sz w:val="18"/>
          <w:szCs w:val="18"/>
          <w:color w:val="auto"/>
        </w:rPr>
        <w:t>”).</w:t>
      </w:r>
    </w:p>
    <w:p>
      <w:pPr>
        <w:spacing w:after="0" w:line="18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Also on April 25, 2022, (i) Mithril II and the Participating Stockholders reached an agreement, memorialized in an email on that same date, to vote all of their respective shares of the Issuer’s Common Stock in favor of the Declassification Proposal at the 2022 Annual Meeting and (ii) the Participants filed a revised preliminary proxy statement (the “</w:t>
      </w:r>
      <w:r>
        <w:rPr>
          <w:rFonts w:ascii="Arial" w:cs="Arial" w:eastAsia="Arial" w:hAnsi="Arial"/>
          <w:sz w:val="18"/>
          <w:szCs w:val="18"/>
          <w:u w:val="single" w:color="auto"/>
          <w:color w:val="auto"/>
        </w:rPr>
        <w:t>Revised Preliminary Proxy Statement</w:t>
      </w:r>
      <w:r>
        <w:rPr>
          <w:rFonts w:ascii="Arial" w:cs="Arial" w:eastAsia="Arial" w:hAnsi="Arial"/>
          <w:sz w:val="18"/>
          <w:szCs w:val="18"/>
          <w:color w:val="auto"/>
        </w:rPr>
        <w:t>”), including both the proposal that the Nominees be elected as Class I directors and the Declassification Proposal. The Participants intend to solicit proxies in favor of both the election of the Nominees and the approval of the Declassification Proposal at the 2022 Annual Meeting.”</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6 of the Schedule 13D is hereby supplemented as set forth below:</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“On April 25, 2022, Mithril II and the Participating Stockholders reached an agreement, memorialized in an email on that same date, to vote all of their respective shares of the Issuer’s Common Stock in favor of the Declassification Proposal at the 2022 Annual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set forth in Item 4 and Exhibit 7 of Amendment No. 2 is incorporated herein by reference.”</w:t>
      </w:r>
    </w:p>
    <w:p>
      <w:pPr>
        <w:sectPr>
          <w:pgSz w:w="11900" w:h="16838" w:orient="portrait"/>
          <w:cols w:equalWidth="0" w:num="1">
            <w:col w:w="11020"/>
          </w:cols>
          <w:pgMar w:left="440" w:top="274" w:right="4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7. Material to be Filed as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Item 7 of the Schedule 13D is hereby supplemented to include the following exhibit:</w:t>
      </w:r>
    </w:p>
    <w:p>
      <w:pPr>
        <w:spacing w:after="0" w:line="252"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color w:val="auto"/>
        </w:rPr>
        <w:t>Exhibit 7:</w:t>
      </w:r>
      <w:r>
        <w:rPr>
          <w:sz w:val="20"/>
          <w:szCs w:val="20"/>
          <w:color w:val="auto"/>
        </w:rPr>
        <w:tab/>
      </w:r>
      <w:r>
        <w:rPr>
          <w:rFonts w:ascii="Arial" w:cs="Arial" w:eastAsia="Arial" w:hAnsi="Arial"/>
          <w:sz w:val="16"/>
          <w:szCs w:val="16"/>
          <w:color w:val="auto"/>
        </w:rPr>
        <w:t>Email memorializing the agreement reached among Mithril II, M28, Polaris, Adimab and Population Health (filed herewith).</w:t>
      </w:r>
    </w:p>
    <w:p>
      <w:pPr>
        <w:sectPr>
          <w:pgSz w:w="11900" w:h="16838" w:orient="portrait"/>
          <w:cols w:equalWidth="0" w:num="1">
            <w:col w:w="10019"/>
          </w:cols>
          <w:pgMar w:left="440" w:top="270" w:right="1440" w:bottom="1440" w:gutter="0" w:footer="0" w:header="0"/>
        </w:sectPr>
      </w:pPr>
    </w:p>
    <w:bookmarkStart w:id="8" w:name="page9"/>
    <w:bookmarkEnd w:id="8"/>
    <w:p>
      <w:pPr>
        <w:ind w:left="4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color w:val="auto"/>
        </w:rPr>
        <w:t>Dated: April 25, 2022</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GP LP</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w:t>
      </w:r>
    </w:p>
    <w:p>
      <w:pPr>
        <w:spacing w:after="0" w:line="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GP LP</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Mithril II UGP LLC</w:t>
      </w:r>
    </w:p>
    <w:p>
      <w:pPr>
        <w:spacing w:after="0" w:line="23"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1"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MITHRIL II UGP LLC</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By: /s/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14605</wp:posOffset>
            </wp:positionV>
            <wp:extent cx="25628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Arial" w:cs="Arial" w:eastAsia="Arial" w:hAnsi="Arial"/>
          <w:sz w:val="18"/>
          <w:szCs w:val="18"/>
          <w:color w:val="auto"/>
        </w:rPr>
        <w:t>Ajay Royan, Managing Member</w:t>
      </w:r>
    </w:p>
    <w:p>
      <w:pPr>
        <w:spacing w:after="0" w:line="225"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Ajay Royan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Ajay Royan</w:t>
      </w:r>
    </w:p>
    <w:p>
      <w:pPr>
        <w:spacing w:after="0" w:line="22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Peter Thiel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14605</wp:posOffset>
            </wp:positionV>
            <wp:extent cx="279463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12"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Peter Thiel</w:t>
      </w:r>
    </w:p>
    <w:p>
      <w:pPr>
        <w:sectPr>
          <w:pgSz w:w="11900" w:h="16838" w:orient="portrait"/>
          <w:cols w:equalWidth="0" w:num="1">
            <w:col w:w="10460"/>
          </w:cols>
          <w:pgMar w:left="440" w:top="270" w:right="99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b w:val="1"/>
          <w:bCs w:val="1"/>
          <w:color w:val="auto"/>
        </w:rPr>
        <w:t>Exhibit 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From: Ajay Royan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Sent: Monday, April 25, 2022 12:12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Phil Chase; Lauren Crockett; Terry McGuire; Marc Elia; Clive Meanwell; Chris Cox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Kadekar, Kiran; Brand, Richard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Re: Adagio nomination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Friends and colleagues,</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As we discussed and agreed earlier today, Mithril has delivered notice of our intention to make an advisory, non-binding declassification proposal at the 2022 annual meeting of ADGI (in addition to nominating our three director nominees at the meeting).</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This email is to memorialize our understanding and agreement reached earlier today that you will vote your shares in favor of the declassification proposal at the meeting.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confirm your receipt of this message.*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Very best,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Ajay</w:t>
      </w:r>
    </w:p>
    <w:sectPr>
      <w:pgSz w:w="11900" w:h="16838" w:orient="portrait"/>
      <w:cols w:equalWidth="0" w:num="1">
        <w:col w:w="11020"/>
      </w:cols>
      <w:pgMar w:left="440" w:top="121"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3AB105"/>
    <w:multiLevelType w:val="hybridMultilevel"/>
    <w:lvl w:ilvl="0">
      <w:lvlJc w:val="left"/>
      <w:lvlText w:val="*"/>
      <w:numFmt w:val="bullet"/>
      <w:start w:val="1"/>
    </w:lvl>
  </w:abstractNum>
  <w:abstractNum w:abstractNumId="1">
    <w:nsid w:val="721DA317"/>
    <w:multiLevelType w:val="hybridMultilevel"/>
    <w:lvl w:ilvl="0">
      <w:lvlJc w:val="left"/>
      <w:lvlText w:val="1"/>
      <w:numFmt w:val="bullet"/>
      <w:start w:val="1"/>
    </w:lvl>
  </w:abstractNum>
  <w:abstractNum w:abstractNumId="2">
    <w:nsid w:val="2443A858"/>
    <w:multiLevelType w:val="hybridMultilevel"/>
    <w:lvl w:ilvl="0">
      <w:lvlJc w:val="left"/>
      <w:lvlText w:val="2"/>
      <w:numFmt w:val="bullet"/>
      <w:start w:val="1"/>
    </w:lvl>
  </w:abstractNum>
  <w:abstractNum w:abstractNumId="3">
    <w:nsid w:val="2D1D5AE9"/>
    <w:multiLevelType w:val="hybridMultilevel"/>
    <w:lvl w:ilvl="0">
      <w:lvlJc w:val="left"/>
      <w:lvlText w:val="3"/>
      <w:numFmt w:val="bullet"/>
      <w:start w:val="1"/>
    </w:lvl>
  </w:abstractNum>
  <w:abstractNum w:abstractNumId="4">
    <w:nsid w:val="6763845E"/>
    <w:multiLevelType w:val="hybridMultilevel"/>
    <w:lvl w:ilvl="0">
      <w:lvlJc w:val="left"/>
      <w:lvlText w:val="4"/>
      <w:numFmt w:val="bullet"/>
      <w:start w:val="1"/>
    </w:lvl>
  </w:abstractNum>
  <w:abstractNum w:abstractNumId="5">
    <w:nsid w:val="75A2A8D4"/>
    <w:multiLevelType w:val="hybridMultilevel"/>
    <w:lvl w:ilvl="0">
      <w:lvlJc w:val="left"/>
      <w:lvlText w:val="5"/>
      <w:numFmt w:val="bullet"/>
      <w:start w:val="1"/>
    </w:lvl>
  </w:abstractNum>
  <w:abstractNum w:abstractNumId="6">
    <w:nsid w:val="8EDBDAB"/>
    <w:multiLevelType w:val="hybridMultilevel"/>
    <w:lvl w:ilvl="0">
      <w:lvlJc w:val="left"/>
      <w:lvlText w:val="6"/>
      <w:numFmt w:val="bullet"/>
      <w:start w:val="1"/>
    </w:lvl>
  </w:abstractNum>
  <w:abstractNum w:abstractNumId="7">
    <w:nsid w:val="79838CB2"/>
    <w:multiLevelType w:val="hybridMultilevel"/>
    <w:lvl w:ilvl="0">
      <w:lvlJc w:val="left"/>
      <w:lvlText w:val="%1"/>
      <w:numFmt w:val="decimal"/>
      <w:start w:val="1"/>
    </w:lvl>
    <w:lvl w:ilvl="1">
      <w:lvlJc w:val="left"/>
      <w:lvlText w:val="%2"/>
      <w:numFmt w:val="decimal"/>
      <w:start w:val="11"/>
    </w:lvl>
  </w:abstractNum>
  <w:abstractNum w:abstractNumId="8">
    <w:nsid w:val="4353D0CD"/>
    <w:multiLevelType w:val="hybridMultilevel"/>
    <w:lvl w:ilvl="0">
      <w:lvlJc w:val="left"/>
      <w:lvlText w:val="(%1)"/>
      <w:numFmt w:val="decimal"/>
      <w:start w:val="1"/>
    </w:lvl>
    <w:lvl w:ilvl="1">
      <w:lvlJc w:val="left"/>
      <w:lvlText w:val="%2"/>
      <w:numFmt w:val="decimal"/>
      <w:start w:val="1"/>
    </w:lvl>
  </w:abstractNum>
  <w:abstractNum w:abstractNumId="9">
    <w:nsid w:val="B03E0C6"/>
    <w:multiLevelType w:val="hybridMultilevel"/>
    <w:lvl w:ilvl="0">
      <w:lvlJc w:val="left"/>
      <w:lvlText w:val="1"/>
      <w:numFmt w:val="bullet"/>
      <w:start w:val="1"/>
    </w:lvl>
  </w:abstractNum>
  <w:abstractNum w:abstractNumId="10">
    <w:nsid w:val="189A769B"/>
    <w:multiLevelType w:val="hybridMultilevel"/>
    <w:lvl w:ilvl="0">
      <w:lvlJc w:val="left"/>
      <w:lvlText w:val="2"/>
      <w:numFmt w:val="bullet"/>
      <w:start w:val="1"/>
    </w:lvl>
  </w:abstractNum>
  <w:abstractNum w:abstractNumId="11">
    <w:nsid w:val="54E49EB4"/>
    <w:multiLevelType w:val="hybridMultilevel"/>
    <w:lvl w:ilvl="0">
      <w:lvlJc w:val="left"/>
      <w:lvlText w:val="3"/>
      <w:numFmt w:val="bullet"/>
      <w:start w:val="1"/>
    </w:lvl>
  </w:abstractNum>
  <w:abstractNum w:abstractNumId="12">
    <w:nsid w:val="71F32454"/>
    <w:multiLevelType w:val="hybridMultilevel"/>
    <w:lvl w:ilvl="0">
      <w:lvlJc w:val="left"/>
      <w:lvlText w:val="4"/>
      <w:numFmt w:val="bullet"/>
      <w:start w:val="1"/>
    </w:lvl>
  </w:abstractNum>
  <w:abstractNum w:abstractNumId="13">
    <w:nsid w:val="2CA88611"/>
    <w:multiLevelType w:val="hybridMultilevel"/>
    <w:lvl w:ilvl="0">
      <w:lvlJc w:val="left"/>
      <w:lvlText w:val="5"/>
      <w:numFmt w:val="bullet"/>
      <w:start w:val="1"/>
    </w:lvl>
  </w:abstractNum>
  <w:abstractNum w:abstractNumId="14">
    <w:nsid w:val="836C40E"/>
    <w:multiLevelType w:val="hybridMultilevel"/>
    <w:lvl w:ilvl="0">
      <w:lvlJc w:val="left"/>
      <w:lvlText w:val="6"/>
      <w:numFmt w:val="bullet"/>
      <w:start w:val="1"/>
    </w:lvl>
  </w:abstractNum>
  <w:abstractNum w:abstractNumId="15">
    <w:nsid w:val="2901D82"/>
    <w:multiLevelType w:val="hybridMultilevel"/>
    <w:lvl w:ilvl="0">
      <w:lvlJc w:val="left"/>
      <w:lvlText w:val="%1"/>
      <w:numFmt w:val="decimal"/>
      <w:start w:val="1"/>
    </w:lvl>
    <w:lvl w:ilvl="1">
      <w:lvlJc w:val="left"/>
      <w:lvlText w:val="%2"/>
      <w:numFmt w:val="decimal"/>
      <w:start w:val="11"/>
    </w:lvl>
  </w:abstractNum>
  <w:abstractNum w:abstractNumId="16">
    <w:nsid w:val="3A95F874"/>
    <w:multiLevelType w:val="hybridMultilevel"/>
    <w:lvl w:ilvl="0">
      <w:lvlJc w:val="left"/>
      <w:lvlText w:val="(%1)"/>
      <w:numFmt w:val="decimal"/>
      <w:start w:val="1"/>
    </w:lvl>
    <w:lvl w:ilvl="1">
      <w:lvlJc w:val="left"/>
      <w:lvlText w:val="%2"/>
      <w:numFmt w:val="decimal"/>
      <w:start w:val="1"/>
    </w:lvl>
  </w:abstractNum>
  <w:abstractNum w:abstractNumId="17">
    <w:nsid w:val="8138641"/>
    <w:multiLevelType w:val="hybridMultilevel"/>
    <w:lvl w:ilvl="0">
      <w:lvlJc w:val="left"/>
      <w:lvlText w:val="1"/>
      <w:numFmt w:val="bullet"/>
      <w:start w:val="1"/>
    </w:lvl>
  </w:abstractNum>
  <w:abstractNum w:abstractNumId="18">
    <w:nsid w:val="1E7FF521"/>
    <w:multiLevelType w:val="hybridMultilevel"/>
    <w:lvl w:ilvl="0">
      <w:lvlJc w:val="left"/>
      <w:lvlText w:val="2"/>
      <w:numFmt w:val="bullet"/>
      <w:start w:val="1"/>
    </w:lvl>
  </w:abstractNum>
  <w:abstractNum w:abstractNumId="19">
    <w:nsid w:val="7C3DBD3D"/>
    <w:multiLevelType w:val="hybridMultilevel"/>
    <w:lvl w:ilvl="0">
      <w:lvlJc w:val="left"/>
      <w:lvlText w:val="3"/>
      <w:numFmt w:val="bullet"/>
      <w:start w:val="1"/>
    </w:lvl>
  </w:abstractNum>
  <w:abstractNum w:abstractNumId="20">
    <w:nsid w:val="737B8DDC"/>
    <w:multiLevelType w:val="hybridMultilevel"/>
    <w:lvl w:ilvl="0">
      <w:lvlJc w:val="left"/>
      <w:lvlText w:val="4"/>
      <w:numFmt w:val="bullet"/>
      <w:start w:val="1"/>
    </w:lvl>
  </w:abstractNum>
  <w:abstractNum w:abstractNumId="21">
    <w:nsid w:val="6CEAF087"/>
    <w:multiLevelType w:val="hybridMultilevel"/>
    <w:lvl w:ilvl="0">
      <w:lvlJc w:val="left"/>
      <w:lvlText w:val="5"/>
      <w:numFmt w:val="bullet"/>
      <w:start w:val="1"/>
    </w:lvl>
  </w:abstractNum>
  <w:abstractNum w:abstractNumId="22">
    <w:nsid w:val="22221A70"/>
    <w:multiLevelType w:val="hybridMultilevel"/>
    <w:lvl w:ilvl="0">
      <w:lvlJc w:val="left"/>
      <w:lvlText w:val="6"/>
      <w:numFmt w:val="bullet"/>
      <w:start w:val="1"/>
    </w:lvl>
  </w:abstractNum>
  <w:abstractNum w:abstractNumId="23">
    <w:nsid w:val="4516DDE9"/>
    <w:multiLevelType w:val="hybridMultilevel"/>
    <w:lvl w:ilvl="0">
      <w:lvlJc w:val="left"/>
      <w:lvlText w:val="%1"/>
      <w:numFmt w:val="decimal"/>
      <w:start w:val="1"/>
    </w:lvl>
    <w:lvl w:ilvl="1">
      <w:lvlJc w:val="left"/>
      <w:lvlText w:val="%2"/>
      <w:numFmt w:val="decimal"/>
      <w:start w:val="11"/>
    </w:lvl>
  </w:abstractNum>
  <w:abstractNum w:abstractNumId="24">
    <w:nsid w:val="3006C83E"/>
    <w:multiLevelType w:val="hybridMultilevel"/>
    <w:lvl w:ilvl="0">
      <w:lvlJc w:val="left"/>
      <w:lvlText w:val="(%1)"/>
      <w:numFmt w:val="decimal"/>
      <w:start w:val="1"/>
    </w:lvl>
    <w:lvl w:ilvl="1">
      <w:lvlJc w:val="left"/>
      <w:lvlText w:val="%2"/>
      <w:numFmt w:val="decimal"/>
      <w:start w:val="1"/>
    </w:lvl>
  </w:abstractNum>
  <w:abstractNum w:abstractNumId="25">
    <w:nsid w:val="614FD4A1"/>
    <w:multiLevelType w:val="hybridMultilevel"/>
    <w:lvl w:ilvl="0">
      <w:lvlJc w:val="left"/>
      <w:lvlText w:val="1"/>
      <w:numFmt w:val="bullet"/>
      <w:start w:val="1"/>
    </w:lvl>
  </w:abstractNum>
  <w:abstractNum w:abstractNumId="26">
    <w:nsid w:val="419AC241"/>
    <w:multiLevelType w:val="hybridMultilevel"/>
    <w:lvl w:ilvl="0">
      <w:lvlJc w:val="left"/>
      <w:lvlText w:val="2"/>
      <w:numFmt w:val="bullet"/>
      <w:start w:val="1"/>
    </w:lvl>
  </w:abstractNum>
  <w:abstractNum w:abstractNumId="27">
    <w:nsid w:val="5577F8E1"/>
    <w:multiLevelType w:val="hybridMultilevel"/>
    <w:lvl w:ilvl="0">
      <w:lvlJc w:val="left"/>
      <w:lvlText w:val="3"/>
      <w:numFmt w:val="bullet"/>
      <w:start w:val="1"/>
    </w:lvl>
  </w:abstractNum>
  <w:abstractNum w:abstractNumId="28">
    <w:nsid w:val="440BADFC"/>
    <w:multiLevelType w:val="hybridMultilevel"/>
    <w:lvl w:ilvl="0">
      <w:lvlJc w:val="left"/>
      <w:lvlText w:val="4"/>
      <w:numFmt w:val="bullet"/>
      <w:start w:val="1"/>
    </w:lvl>
  </w:abstractNum>
  <w:abstractNum w:abstractNumId="29">
    <w:nsid w:val="5072367"/>
    <w:multiLevelType w:val="hybridMultilevel"/>
    <w:lvl w:ilvl="0">
      <w:lvlJc w:val="left"/>
      <w:lvlText w:val="5"/>
      <w:numFmt w:val="bullet"/>
      <w:start w:val="1"/>
    </w:lvl>
  </w:abstractNum>
  <w:abstractNum w:abstractNumId="30">
    <w:nsid w:val="3804823E"/>
    <w:multiLevelType w:val="hybridMultilevel"/>
    <w:lvl w:ilvl="0">
      <w:lvlJc w:val="left"/>
      <w:lvlText w:val="6"/>
      <w:numFmt w:val="bullet"/>
      <w:start w:val="1"/>
    </w:lvl>
  </w:abstractNum>
  <w:abstractNum w:abstractNumId="31">
    <w:nsid w:val="77465F01"/>
    <w:multiLevelType w:val="hybridMultilevel"/>
    <w:lvl w:ilvl="0">
      <w:lvlJc w:val="left"/>
      <w:lvlText w:val="%1"/>
      <w:numFmt w:val="decimal"/>
      <w:start w:val="1"/>
    </w:lvl>
    <w:lvl w:ilvl="1">
      <w:lvlJc w:val="left"/>
      <w:lvlText w:val="%2"/>
      <w:numFmt w:val="decimal"/>
      <w:start w:val="11"/>
    </w:lvl>
  </w:abstractNum>
  <w:abstractNum w:abstractNumId="32">
    <w:nsid w:val="7724C67E"/>
    <w:multiLevelType w:val="hybridMultilevel"/>
    <w:lvl w:ilvl="0">
      <w:lvlJc w:val="left"/>
      <w:lvlText w:val="(%1)"/>
      <w:numFmt w:val="decimal"/>
      <w:start w:val="1"/>
    </w:lvl>
    <w:lvl w:ilvl="1">
      <w:lvlJc w:val="left"/>
      <w:lvlText w:val="%2"/>
      <w:numFmt w:val="decimal"/>
      <w:start w:val="1"/>
    </w:lvl>
  </w:abstractNum>
  <w:abstractNum w:abstractNumId="33">
    <w:nsid w:val="5C482A97"/>
    <w:multiLevelType w:val="hybridMultilevel"/>
    <w:lvl w:ilvl="0">
      <w:lvlJc w:val="left"/>
      <w:lvlText w:val="1"/>
      <w:numFmt w:val="bullet"/>
      <w:start w:val="1"/>
    </w:lvl>
  </w:abstractNum>
  <w:abstractNum w:abstractNumId="34">
    <w:nsid w:val="2463B9EA"/>
    <w:multiLevelType w:val="hybridMultilevel"/>
    <w:lvl w:ilvl="0">
      <w:lvlJc w:val="left"/>
      <w:lvlText w:val="2"/>
      <w:numFmt w:val="bullet"/>
      <w:start w:val="1"/>
    </w:lvl>
  </w:abstractNum>
  <w:abstractNum w:abstractNumId="35">
    <w:nsid w:val="5E884ADC"/>
    <w:multiLevelType w:val="hybridMultilevel"/>
    <w:lvl w:ilvl="0">
      <w:lvlJc w:val="left"/>
      <w:lvlText w:val="3"/>
      <w:numFmt w:val="bullet"/>
      <w:start w:val="1"/>
    </w:lvl>
  </w:abstractNum>
  <w:abstractNum w:abstractNumId="36">
    <w:nsid w:val="51EAD36B"/>
    <w:multiLevelType w:val="hybridMultilevel"/>
    <w:lvl w:ilvl="0">
      <w:lvlJc w:val="left"/>
      <w:lvlText w:val="4"/>
      <w:numFmt w:val="bullet"/>
      <w:start w:val="1"/>
    </w:lvl>
  </w:abstractNum>
  <w:abstractNum w:abstractNumId="37">
    <w:nsid w:val="2D517796"/>
    <w:multiLevelType w:val="hybridMultilevel"/>
    <w:lvl w:ilvl="0">
      <w:lvlJc w:val="left"/>
      <w:lvlText w:val="5"/>
      <w:numFmt w:val="bullet"/>
      <w:start w:val="1"/>
    </w:lvl>
  </w:abstractNum>
  <w:abstractNum w:abstractNumId="38">
    <w:nsid w:val="580BD78F"/>
    <w:multiLevelType w:val="hybridMultilevel"/>
    <w:lvl w:ilvl="0">
      <w:lvlJc w:val="left"/>
      <w:lvlText w:val="6"/>
      <w:numFmt w:val="bullet"/>
      <w:start w:val="1"/>
    </w:lvl>
  </w:abstractNum>
  <w:abstractNum w:abstractNumId="39">
    <w:nsid w:val="153EA438"/>
    <w:multiLevelType w:val="hybridMultilevel"/>
    <w:lvl w:ilvl="0">
      <w:lvlJc w:val="left"/>
      <w:lvlText w:val="7"/>
      <w:numFmt w:val="bullet"/>
      <w:start w:val="1"/>
    </w:lvl>
  </w:abstractNum>
  <w:abstractNum w:abstractNumId="40">
    <w:nsid w:val="3855585C"/>
    <w:multiLevelType w:val="hybridMultilevel"/>
    <w:lvl w:ilvl="0">
      <w:lvlJc w:val="left"/>
      <w:lvlText w:val="%1"/>
      <w:numFmt w:val="decimal"/>
      <w:start w:val="1"/>
    </w:lvl>
    <w:lvl w:ilvl="1">
      <w:lvlJc w:val="left"/>
      <w:lvlText w:val="%2"/>
      <w:numFmt w:val="decimal"/>
      <w:start w:val="11"/>
    </w:lvl>
  </w:abstractNum>
  <w:abstractNum w:abstractNumId="41">
    <w:nsid w:val="70A64E2A"/>
    <w:multiLevelType w:val="hybridMultilevel"/>
    <w:lvl w:ilvl="0">
      <w:lvlJc w:val="left"/>
      <w:lvlText w:val="(%1)"/>
      <w:numFmt w:val="decimal"/>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2022-04-26T05:30:12Z</dcterms:created>
  <dcterms:modified xsi:type="dcterms:W3CDTF">2022-04-26T05:30:12Z</dcterms:modified>
</cp:coreProperties>
</file>